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E3372E" w14:textId="77777777" w:rsidR="004E79BF" w:rsidRPr="002657D1" w:rsidRDefault="00C4196E">
      <w:pPr>
        <w:jc w:val="center"/>
        <w:rPr>
          <w:rFonts w:ascii="Calibri" w:eastAsia="Arial Unicode MS" w:hAnsi="Calibri" w:cs="Calibri"/>
          <w:b/>
          <w:bCs/>
          <w:color w:val="000000" w:themeColor="text1"/>
          <w:sz w:val="28"/>
          <w:szCs w:val="28"/>
        </w:rPr>
      </w:pPr>
      <w:r w:rsidRPr="002657D1">
        <w:rPr>
          <w:rFonts w:ascii="Calibri" w:eastAsia="Arial Unicode MS" w:hAnsi="Calibri" w:cs="Calibri"/>
          <w:b/>
          <w:bCs/>
          <w:color w:val="000000" w:themeColor="text1"/>
          <w:sz w:val="28"/>
          <w:szCs w:val="28"/>
        </w:rPr>
        <w:t xml:space="preserve">Supplementary </w:t>
      </w:r>
      <w:bookmarkStart w:id="0" w:name="OLE_LINK103"/>
      <w:r w:rsidRPr="002657D1">
        <w:rPr>
          <w:rFonts w:ascii="Calibri" w:eastAsia="Arial Unicode MS" w:hAnsi="Calibri" w:cs="Calibri"/>
          <w:b/>
          <w:bCs/>
          <w:color w:val="000000" w:themeColor="text1"/>
          <w:sz w:val="28"/>
          <w:szCs w:val="28"/>
        </w:rPr>
        <w:t>materials</w:t>
      </w:r>
      <w:bookmarkEnd w:id="0"/>
      <w:r w:rsidRPr="002657D1">
        <w:rPr>
          <w:rFonts w:ascii="Calibri" w:eastAsia="Arial Unicode MS" w:hAnsi="Calibri" w:cs="Calibri"/>
          <w:b/>
          <w:bCs/>
          <w:color w:val="000000" w:themeColor="text1"/>
          <w:sz w:val="28"/>
          <w:szCs w:val="28"/>
        </w:rPr>
        <w:t xml:space="preserve"> for</w:t>
      </w:r>
    </w:p>
    <w:p w14:paraId="0569E55D" w14:textId="77777777" w:rsidR="00953073" w:rsidRPr="002657D1" w:rsidRDefault="00953073" w:rsidP="00953073">
      <w:pPr>
        <w:spacing w:before="120" w:afterLines="50" w:after="156" w:line="360" w:lineRule="auto"/>
        <w:rPr>
          <w:rFonts w:ascii="Calibri" w:eastAsia="Arial Unicode MS" w:hAnsi="Calibri" w:cs="Calibri"/>
          <w:b/>
          <w:bCs/>
          <w:color w:val="000000" w:themeColor="text1"/>
          <w:sz w:val="28"/>
          <w:szCs w:val="28"/>
        </w:rPr>
      </w:pPr>
      <w:bookmarkStart w:id="1" w:name="_Hlk101962887"/>
      <w:bookmarkStart w:id="2" w:name="_Hlk184736842"/>
      <w:r w:rsidRPr="002657D1">
        <w:rPr>
          <w:rFonts w:ascii="Calibri" w:eastAsia="Arial Unicode MS" w:hAnsi="Calibri" w:cs="Calibri"/>
          <w:b/>
          <w:bCs/>
          <w:color w:val="000000" w:themeColor="text1"/>
          <w:sz w:val="28"/>
          <w:szCs w:val="28"/>
        </w:rPr>
        <w:t>A machine-learned superionic, Li-metal-compatible, and cost-effective halide electrolyte for all-solid-state Li metal batteries</w:t>
      </w:r>
    </w:p>
    <w:p w14:paraId="4A90D768" w14:textId="77777777" w:rsidR="00953073" w:rsidRPr="002657D1" w:rsidRDefault="00953073" w:rsidP="00953073">
      <w:pPr>
        <w:snapToGrid w:val="0"/>
        <w:spacing w:before="120" w:afterLines="50" w:after="156" w:line="360" w:lineRule="auto"/>
        <w:rPr>
          <w:rFonts w:ascii="Calibri" w:eastAsia="Arial Unicode MS" w:hAnsi="Calibri" w:cs="Calibri"/>
          <w:i/>
          <w:iCs/>
          <w:color w:val="000000" w:themeColor="text1"/>
          <w:sz w:val="24"/>
          <w:szCs w:val="24"/>
        </w:rPr>
      </w:pPr>
      <w:bookmarkStart w:id="3" w:name="_Hlk184803310"/>
      <w:bookmarkStart w:id="4" w:name="_Hlk166937075"/>
      <w:bookmarkStart w:id="5" w:name="_Hlk186057744"/>
      <w:bookmarkEnd w:id="1"/>
      <w:r w:rsidRPr="002657D1">
        <w:rPr>
          <w:rFonts w:ascii="Calibri" w:eastAsia="Arial Unicode MS" w:hAnsi="Calibri" w:cs="Calibri"/>
          <w:i/>
          <w:iCs/>
          <w:color w:val="000000" w:themeColor="text1"/>
          <w:sz w:val="24"/>
          <w:szCs w:val="24"/>
        </w:rPr>
        <w:t>Hong Liu</w:t>
      </w:r>
      <w:r w:rsidRPr="002657D1">
        <w:rPr>
          <w:rFonts w:ascii="Calibri" w:eastAsia="Arial Unicode MS" w:hAnsi="Calibri" w:cs="Calibri"/>
          <w:i/>
          <w:iCs/>
          <w:color w:val="000000" w:themeColor="text1"/>
          <w:sz w:val="24"/>
          <w:szCs w:val="24"/>
          <w:vertAlign w:val="superscript"/>
        </w:rPr>
        <w:t>1,2,9</w:t>
      </w:r>
      <w:r w:rsidRPr="002657D1">
        <w:rPr>
          <w:rFonts w:ascii="Calibri" w:eastAsia="Arial Unicode MS" w:hAnsi="Calibri" w:cs="Calibri"/>
          <w:i/>
          <w:iCs/>
          <w:color w:val="000000" w:themeColor="text1"/>
          <w:sz w:val="24"/>
          <w:szCs w:val="24"/>
        </w:rPr>
        <w:t>, Haoyu Yin</w:t>
      </w:r>
      <w:r w:rsidRPr="002657D1">
        <w:rPr>
          <w:rFonts w:ascii="Calibri" w:eastAsia="Arial Unicode MS" w:hAnsi="Calibri" w:cs="Calibri"/>
          <w:i/>
          <w:iCs/>
          <w:color w:val="000000" w:themeColor="text1"/>
          <w:sz w:val="24"/>
          <w:szCs w:val="24"/>
          <w:vertAlign w:val="superscript"/>
        </w:rPr>
        <w:t>3,9</w:t>
      </w:r>
      <w:r w:rsidRPr="002657D1">
        <w:rPr>
          <w:rFonts w:ascii="Calibri" w:eastAsia="Arial Unicode MS" w:hAnsi="Calibri" w:cs="Calibri"/>
          <w:i/>
          <w:iCs/>
          <w:color w:val="000000" w:themeColor="text1"/>
          <w:sz w:val="24"/>
          <w:szCs w:val="24"/>
        </w:rPr>
        <w:t>, Xiang Qi</w:t>
      </w:r>
      <w:r w:rsidRPr="002657D1">
        <w:rPr>
          <w:rFonts w:ascii="Calibri" w:eastAsia="Arial Unicode MS" w:hAnsi="Calibri" w:cs="Calibri"/>
          <w:i/>
          <w:iCs/>
          <w:color w:val="000000" w:themeColor="text1"/>
          <w:sz w:val="24"/>
          <w:szCs w:val="24"/>
          <w:vertAlign w:val="superscript"/>
        </w:rPr>
        <w:t>4,9</w:t>
      </w:r>
      <w:r w:rsidRPr="002657D1">
        <w:rPr>
          <w:rFonts w:ascii="Calibri" w:eastAsia="Arial Unicode MS" w:hAnsi="Calibri" w:cs="Calibri"/>
          <w:i/>
          <w:iCs/>
          <w:color w:val="000000" w:themeColor="text1"/>
          <w:sz w:val="24"/>
          <w:szCs w:val="24"/>
        </w:rPr>
        <w:t xml:space="preserve">, </w:t>
      </w:r>
      <w:proofErr w:type="spellStart"/>
      <w:r w:rsidRPr="002657D1">
        <w:rPr>
          <w:rFonts w:ascii="Calibri" w:eastAsia="Arial Unicode MS" w:hAnsi="Calibri" w:cs="Calibri"/>
          <w:i/>
          <w:iCs/>
          <w:color w:val="000000" w:themeColor="text1"/>
          <w:sz w:val="24"/>
          <w:szCs w:val="24"/>
        </w:rPr>
        <w:t>Yaoyu</w:t>
      </w:r>
      <w:proofErr w:type="spellEnd"/>
      <w:r w:rsidRPr="002657D1">
        <w:rPr>
          <w:rFonts w:ascii="Calibri" w:eastAsia="Arial Unicode MS" w:hAnsi="Calibri" w:cs="Calibri"/>
          <w:i/>
          <w:iCs/>
          <w:color w:val="000000" w:themeColor="text1"/>
          <w:sz w:val="24"/>
          <w:szCs w:val="24"/>
        </w:rPr>
        <w:t xml:space="preserve"> Ren</w:t>
      </w:r>
      <w:proofErr w:type="gramStart"/>
      <w:r w:rsidRPr="002657D1">
        <w:rPr>
          <w:rFonts w:ascii="Calibri" w:eastAsia="Arial Unicode MS" w:hAnsi="Calibri" w:cs="Calibri"/>
          <w:i/>
          <w:iCs/>
          <w:color w:val="000000" w:themeColor="text1"/>
          <w:sz w:val="24"/>
          <w:szCs w:val="24"/>
          <w:vertAlign w:val="superscript"/>
        </w:rPr>
        <w:t>1,</w:t>
      </w:r>
      <w:r w:rsidRPr="002657D1">
        <w:rPr>
          <w:rFonts w:ascii="Calibri" w:eastAsia="Arial Unicode MS" w:hAnsi="Calibri" w:cs="Calibri"/>
          <w:i/>
          <w:iCs/>
          <w:color w:val="000000" w:themeColor="text1"/>
          <w:sz w:val="24"/>
          <w:szCs w:val="24"/>
        </w:rPr>
        <w:t>*</w:t>
      </w:r>
      <w:proofErr w:type="gramEnd"/>
      <w:r w:rsidRPr="002657D1">
        <w:rPr>
          <w:rFonts w:ascii="Calibri" w:eastAsia="Arial Unicode MS" w:hAnsi="Calibri" w:cs="Calibri"/>
          <w:i/>
          <w:iCs/>
          <w:color w:val="000000" w:themeColor="text1"/>
          <w:sz w:val="24"/>
          <w:szCs w:val="24"/>
        </w:rPr>
        <w:t>, Meng Wu</w:t>
      </w:r>
      <w:r w:rsidRPr="002657D1">
        <w:rPr>
          <w:rFonts w:ascii="Calibri" w:eastAsia="Arial Unicode MS" w:hAnsi="Calibri" w:cs="Calibri"/>
          <w:i/>
          <w:iCs/>
          <w:color w:val="000000" w:themeColor="text1"/>
          <w:sz w:val="24"/>
          <w:szCs w:val="24"/>
          <w:vertAlign w:val="superscript"/>
        </w:rPr>
        <w:t>4</w:t>
      </w:r>
      <w:r w:rsidRPr="002657D1">
        <w:rPr>
          <w:rFonts w:ascii="Calibri" w:eastAsia="Arial Unicode MS" w:hAnsi="Calibri" w:cs="Calibri"/>
          <w:i/>
          <w:iCs/>
          <w:color w:val="000000" w:themeColor="text1"/>
          <w:sz w:val="24"/>
          <w:szCs w:val="24"/>
        </w:rPr>
        <w:t>, Yang Li</w:t>
      </w:r>
      <w:r w:rsidRPr="002657D1">
        <w:rPr>
          <w:rFonts w:ascii="Calibri" w:eastAsia="Arial Unicode MS" w:hAnsi="Calibri" w:cs="Calibri"/>
          <w:i/>
          <w:iCs/>
          <w:color w:val="000000" w:themeColor="text1"/>
          <w:sz w:val="24"/>
          <w:szCs w:val="24"/>
          <w:vertAlign w:val="superscript"/>
        </w:rPr>
        <w:t>4</w:t>
      </w:r>
      <w:r w:rsidRPr="002657D1">
        <w:rPr>
          <w:rFonts w:ascii="Calibri" w:eastAsia="Arial Unicode MS" w:hAnsi="Calibri" w:cs="Calibri"/>
          <w:i/>
          <w:iCs/>
          <w:color w:val="000000" w:themeColor="text1"/>
          <w:sz w:val="24"/>
          <w:szCs w:val="24"/>
        </w:rPr>
        <w:t xml:space="preserve">, </w:t>
      </w:r>
      <w:proofErr w:type="spellStart"/>
      <w:r w:rsidRPr="002657D1">
        <w:rPr>
          <w:rFonts w:ascii="Calibri" w:eastAsia="Arial Unicode MS" w:hAnsi="Calibri" w:cs="Calibri"/>
          <w:i/>
          <w:iCs/>
          <w:color w:val="000000" w:themeColor="text1"/>
          <w:sz w:val="24"/>
          <w:szCs w:val="24"/>
        </w:rPr>
        <w:t>Haocheng</w:t>
      </w:r>
      <w:proofErr w:type="spellEnd"/>
      <w:r w:rsidRPr="002657D1">
        <w:rPr>
          <w:rFonts w:ascii="Calibri" w:eastAsia="Arial Unicode MS" w:hAnsi="Calibri" w:cs="Calibri"/>
          <w:i/>
          <w:iCs/>
          <w:color w:val="000000" w:themeColor="text1"/>
          <w:sz w:val="24"/>
          <w:szCs w:val="24"/>
        </w:rPr>
        <w:t xml:space="preserve"> Yuan</w:t>
      </w:r>
      <w:r w:rsidRPr="002657D1">
        <w:rPr>
          <w:rFonts w:ascii="Calibri" w:eastAsia="Arial Unicode MS" w:hAnsi="Calibri" w:cs="Calibri"/>
          <w:i/>
          <w:iCs/>
          <w:color w:val="000000" w:themeColor="text1"/>
          <w:sz w:val="24"/>
          <w:szCs w:val="24"/>
          <w:vertAlign w:val="superscript"/>
        </w:rPr>
        <w:t>1</w:t>
      </w:r>
      <w:r w:rsidRPr="002657D1">
        <w:rPr>
          <w:rFonts w:ascii="Calibri" w:eastAsia="Arial Unicode MS" w:hAnsi="Calibri" w:cs="Calibri"/>
          <w:i/>
          <w:iCs/>
          <w:color w:val="000000" w:themeColor="text1"/>
          <w:sz w:val="24"/>
          <w:szCs w:val="24"/>
        </w:rPr>
        <w:t xml:space="preserve">, </w:t>
      </w:r>
      <w:proofErr w:type="spellStart"/>
      <w:r w:rsidRPr="002657D1">
        <w:rPr>
          <w:rFonts w:ascii="Calibri" w:eastAsia="Arial Unicode MS" w:hAnsi="Calibri" w:cs="Calibri"/>
          <w:i/>
          <w:iCs/>
          <w:color w:val="000000" w:themeColor="text1"/>
          <w:sz w:val="24"/>
          <w:szCs w:val="24"/>
        </w:rPr>
        <w:t>Dengfeng</w:t>
      </w:r>
      <w:proofErr w:type="spellEnd"/>
      <w:r w:rsidRPr="002657D1">
        <w:rPr>
          <w:rFonts w:ascii="Calibri" w:eastAsia="Arial Unicode MS" w:hAnsi="Calibri" w:cs="Calibri"/>
          <w:i/>
          <w:iCs/>
          <w:color w:val="000000" w:themeColor="text1"/>
          <w:sz w:val="24"/>
          <w:szCs w:val="24"/>
        </w:rPr>
        <w:t xml:space="preserve"> Yu</w:t>
      </w:r>
      <w:r w:rsidRPr="002657D1">
        <w:rPr>
          <w:rFonts w:ascii="Calibri" w:eastAsia="Arial Unicode MS" w:hAnsi="Calibri" w:cs="Calibri"/>
          <w:i/>
          <w:iCs/>
          <w:color w:val="000000" w:themeColor="text1"/>
          <w:sz w:val="24"/>
          <w:szCs w:val="24"/>
          <w:vertAlign w:val="superscript"/>
        </w:rPr>
        <w:t>1</w:t>
      </w:r>
      <w:r w:rsidRPr="002657D1">
        <w:rPr>
          <w:rFonts w:ascii="Calibri" w:eastAsia="Arial Unicode MS" w:hAnsi="Calibri" w:cs="Calibri"/>
          <w:i/>
          <w:iCs/>
          <w:color w:val="000000" w:themeColor="text1"/>
          <w:sz w:val="24"/>
          <w:szCs w:val="24"/>
        </w:rPr>
        <w:t xml:space="preserve">, </w:t>
      </w:r>
      <w:proofErr w:type="spellStart"/>
      <w:r w:rsidRPr="002657D1">
        <w:rPr>
          <w:rFonts w:ascii="Calibri" w:eastAsia="Arial Unicode MS" w:hAnsi="Calibri" w:cs="Calibri"/>
          <w:i/>
          <w:iCs/>
          <w:color w:val="000000" w:themeColor="text1"/>
          <w:sz w:val="24"/>
          <w:szCs w:val="24"/>
        </w:rPr>
        <w:t>Fangyi</w:t>
      </w:r>
      <w:proofErr w:type="spellEnd"/>
      <w:r w:rsidRPr="002657D1">
        <w:rPr>
          <w:rFonts w:ascii="Calibri" w:eastAsia="Arial Unicode MS" w:hAnsi="Calibri" w:cs="Calibri"/>
          <w:i/>
          <w:iCs/>
          <w:color w:val="000000" w:themeColor="text1"/>
          <w:sz w:val="24"/>
          <w:szCs w:val="24"/>
        </w:rPr>
        <w:t xml:space="preserve"> Chen</w:t>
      </w:r>
      <w:r w:rsidRPr="002657D1">
        <w:rPr>
          <w:rFonts w:ascii="Calibri" w:eastAsia="Arial Unicode MS" w:hAnsi="Calibri" w:cs="Calibri"/>
          <w:i/>
          <w:iCs/>
          <w:color w:val="000000" w:themeColor="text1"/>
          <w:sz w:val="24"/>
          <w:szCs w:val="24"/>
          <w:vertAlign w:val="superscript"/>
        </w:rPr>
        <w:t>1</w:t>
      </w:r>
      <w:r w:rsidRPr="002657D1">
        <w:rPr>
          <w:rFonts w:ascii="Calibri" w:eastAsia="Arial Unicode MS" w:hAnsi="Calibri" w:cs="Calibri"/>
          <w:i/>
          <w:iCs/>
          <w:color w:val="000000" w:themeColor="text1"/>
          <w:sz w:val="24"/>
          <w:szCs w:val="24"/>
        </w:rPr>
        <w:t xml:space="preserve">, </w:t>
      </w:r>
      <w:proofErr w:type="spellStart"/>
      <w:r w:rsidRPr="002657D1">
        <w:rPr>
          <w:rFonts w:ascii="Calibri" w:eastAsia="Arial Unicode MS" w:hAnsi="Calibri" w:cs="Calibri"/>
          <w:i/>
          <w:iCs/>
          <w:color w:val="000000" w:themeColor="text1"/>
          <w:sz w:val="24"/>
          <w:szCs w:val="24"/>
        </w:rPr>
        <w:t>Guangshuo</w:t>
      </w:r>
      <w:proofErr w:type="spellEnd"/>
      <w:r w:rsidRPr="002657D1">
        <w:rPr>
          <w:rFonts w:ascii="Calibri" w:eastAsia="Arial Unicode MS" w:hAnsi="Calibri" w:cs="Calibri"/>
          <w:i/>
          <w:iCs/>
          <w:color w:val="000000" w:themeColor="text1"/>
          <w:sz w:val="24"/>
          <w:szCs w:val="24"/>
        </w:rPr>
        <w:t xml:space="preserve"> Liao</w:t>
      </w:r>
      <w:r w:rsidRPr="002657D1">
        <w:rPr>
          <w:rFonts w:ascii="Calibri" w:eastAsia="Arial Unicode MS" w:hAnsi="Calibri" w:cs="Calibri"/>
          <w:i/>
          <w:iCs/>
          <w:color w:val="000000" w:themeColor="text1"/>
          <w:sz w:val="24"/>
          <w:szCs w:val="24"/>
          <w:vertAlign w:val="superscript"/>
        </w:rPr>
        <w:t>1</w:t>
      </w:r>
      <w:r w:rsidRPr="002657D1">
        <w:rPr>
          <w:rFonts w:ascii="Calibri" w:eastAsia="Arial Unicode MS" w:hAnsi="Calibri" w:cs="Calibri"/>
          <w:i/>
          <w:iCs/>
          <w:color w:val="000000" w:themeColor="text1"/>
          <w:sz w:val="24"/>
          <w:szCs w:val="24"/>
        </w:rPr>
        <w:t xml:space="preserve">, </w:t>
      </w:r>
      <w:proofErr w:type="spellStart"/>
      <w:r w:rsidRPr="002657D1">
        <w:rPr>
          <w:rFonts w:ascii="Calibri" w:eastAsia="Arial Unicode MS" w:hAnsi="Calibri" w:cs="Calibri"/>
          <w:i/>
          <w:iCs/>
          <w:color w:val="000000" w:themeColor="text1"/>
          <w:sz w:val="24"/>
          <w:szCs w:val="24"/>
        </w:rPr>
        <w:t>Mingxue</w:t>
      </w:r>
      <w:proofErr w:type="spellEnd"/>
      <w:r w:rsidRPr="002657D1">
        <w:rPr>
          <w:rFonts w:ascii="Calibri" w:eastAsia="Arial Unicode MS" w:hAnsi="Calibri" w:cs="Calibri"/>
          <w:i/>
          <w:iCs/>
          <w:color w:val="000000" w:themeColor="text1"/>
          <w:sz w:val="24"/>
          <w:szCs w:val="24"/>
        </w:rPr>
        <w:t xml:space="preserve"> Tang</w:t>
      </w:r>
      <w:r w:rsidRPr="002657D1">
        <w:rPr>
          <w:rFonts w:ascii="Calibri" w:eastAsia="Arial Unicode MS" w:hAnsi="Calibri" w:cs="Calibri"/>
          <w:i/>
          <w:iCs/>
          <w:color w:val="000000" w:themeColor="text1"/>
          <w:sz w:val="24"/>
          <w:szCs w:val="24"/>
          <w:vertAlign w:val="superscript"/>
        </w:rPr>
        <w:t>5</w:t>
      </w:r>
      <w:r w:rsidRPr="002657D1">
        <w:rPr>
          <w:rFonts w:ascii="Calibri" w:eastAsia="Arial Unicode MS" w:hAnsi="Calibri" w:cs="Calibri"/>
          <w:i/>
          <w:iCs/>
          <w:color w:val="000000" w:themeColor="text1"/>
          <w:sz w:val="24"/>
          <w:szCs w:val="24"/>
        </w:rPr>
        <w:t>,</w:t>
      </w:r>
      <w:bookmarkStart w:id="6" w:name="OLE_LINK25"/>
      <w:r w:rsidRPr="002657D1">
        <w:rPr>
          <w:rFonts w:ascii="Calibri" w:eastAsia="Arial Unicode MS" w:hAnsi="Calibri" w:cs="Calibri"/>
          <w:i/>
          <w:iCs/>
          <w:color w:val="000000" w:themeColor="text1"/>
          <w:sz w:val="24"/>
          <w:szCs w:val="24"/>
        </w:rPr>
        <w:t xml:space="preserve"> Yujun Zhang</w:t>
      </w:r>
      <w:r w:rsidRPr="002657D1">
        <w:rPr>
          <w:rFonts w:ascii="Calibri" w:eastAsia="Arial Unicode MS" w:hAnsi="Calibri" w:cs="Calibri"/>
          <w:i/>
          <w:iCs/>
          <w:color w:val="000000" w:themeColor="text1"/>
          <w:sz w:val="24"/>
          <w:szCs w:val="24"/>
          <w:vertAlign w:val="superscript"/>
        </w:rPr>
        <w:t>6</w:t>
      </w:r>
      <w:r w:rsidRPr="002657D1">
        <w:rPr>
          <w:rFonts w:ascii="Calibri" w:eastAsia="Arial Unicode MS" w:hAnsi="Calibri" w:cs="Calibri"/>
          <w:i/>
          <w:iCs/>
          <w:color w:val="000000" w:themeColor="text1"/>
          <w:sz w:val="24"/>
          <w:szCs w:val="24"/>
        </w:rPr>
        <w:t>,</w:t>
      </w:r>
      <w:r w:rsidRPr="002657D1">
        <w:rPr>
          <w:rFonts w:ascii="Calibri" w:eastAsia="Arial Unicode MS" w:hAnsi="Calibri" w:cs="Calibri"/>
          <w:color w:val="000000" w:themeColor="text1"/>
          <w:sz w:val="24"/>
          <w:szCs w:val="24"/>
        </w:rPr>
        <w:t xml:space="preserve"> </w:t>
      </w:r>
      <w:proofErr w:type="spellStart"/>
      <w:r w:rsidRPr="002657D1">
        <w:rPr>
          <w:rFonts w:ascii="Calibri" w:eastAsia="Arial Unicode MS" w:hAnsi="Calibri" w:cs="Calibri"/>
          <w:i/>
          <w:iCs/>
          <w:color w:val="000000" w:themeColor="text1"/>
          <w:sz w:val="24"/>
          <w:szCs w:val="24"/>
        </w:rPr>
        <w:t>Shangming</w:t>
      </w:r>
      <w:proofErr w:type="spellEnd"/>
      <w:r w:rsidRPr="002657D1">
        <w:rPr>
          <w:rFonts w:ascii="Calibri" w:eastAsia="Arial Unicode MS" w:hAnsi="Calibri" w:cs="Calibri"/>
          <w:i/>
          <w:iCs/>
          <w:color w:val="000000" w:themeColor="text1"/>
          <w:sz w:val="24"/>
          <w:szCs w:val="24"/>
        </w:rPr>
        <w:t xml:space="preserve"> He</w:t>
      </w:r>
      <w:r w:rsidRPr="002657D1">
        <w:rPr>
          <w:rFonts w:ascii="Calibri" w:eastAsia="Arial Unicode MS" w:hAnsi="Calibri" w:cs="Calibri"/>
          <w:i/>
          <w:iCs/>
          <w:color w:val="000000" w:themeColor="text1"/>
          <w:sz w:val="24"/>
          <w:szCs w:val="24"/>
          <w:vertAlign w:val="superscript"/>
        </w:rPr>
        <w:t>7,8</w:t>
      </w:r>
      <w:r w:rsidRPr="002657D1">
        <w:rPr>
          <w:rFonts w:ascii="Calibri" w:eastAsia="Arial Unicode MS" w:hAnsi="Calibri" w:cs="Calibri"/>
          <w:i/>
          <w:iCs/>
          <w:color w:val="000000" w:themeColor="text1"/>
          <w:sz w:val="24"/>
          <w:szCs w:val="24"/>
        </w:rPr>
        <w:t xml:space="preserve">, </w:t>
      </w:r>
      <w:proofErr w:type="spellStart"/>
      <w:r w:rsidRPr="002657D1">
        <w:rPr>
          <w:rFonts w:ascii="Calibri" w:eastAsia="Arial Unicode MS" w:hAnsi="Calibri" w:cs="Calibri"/>
          <w:i/>
          <w:iCs/>
          <w:color w:val="000000" w:themeColor="text1"/>
          <w:sz w:val="24"/>
          <w:szCs w:val="24"/>
        </w:rPr>
        <w:t>Jianrong</w:t>
      </w:r>
      <w:proofErr w:type="spellEnd"/>
      <w:r w:rsidRPr="002657D1">
        <w:rPr>
          <w:rFonts w:ascii="Calibri" w:eastAsia="Arial Unicode MS" w:hAnsi="Calibri" w:cs="Calibri"/>
          <w:i/>
          <w:iCs/>
          <w:color w:val="000000" w:themeColor="text1"/>
          <w:sz w:val="24"/>
          <w:szCs w:val="24"/>
        </w:rPr>
        <w:t xml:space="preserve"> </w:t>
      </w:r>
      <w:bookmarkEnd w:id="6"/>
      <w:r w:rsidRPr="002657D1">
        <w:rPr>
          <w:rFonts w:ascii="Calibri" w:eastAsia="Arial Unicode MS" w:hAnsi="Calibri" w:cs="Calibri"/>
          <w:i/>
          <w:iCs/>
          <w:color w:val="000000" w:themeColor="text1"/>
          <w:sz w:val="24"/>
          <w:szCs w:val="24"/>
        </w:rPr>
        <w:t>Zeng</w:t>
      </w:r>
      <w:r w:rsidRPr="002657D1">
        <w:rPr>
          <w:rFonts w:ascii="Calibri" w:eastAsia="Arial Unicode MS" w:hAnsi="Calibri" w:cs="Calibri"/>
          <w:i/>
          <w:iCs/>
          <w:color w:val="000000" w:themeColor="text1"/>
          <w:sz w:val="24"/>
          <w:szCs w:val="24"/>
          <w:vertAlign w:val="superscript"/>
        </w:rPr>
        <w:t>7,8</w:t>
      </w:r>
      <w:r w:rsidRPr="002657D1">
        <w:rPr>
          <w:rFonts w:ascii="Calibri" w:eastAsia="Arial Unicode MS" w:hAnsi="Calibri" w:cs="Calibri"/>
          <w:i/>
          <w:iCs/>
          <w:color w:val="000000" w:themeColor="text1"/>
          <w:sz w:val="24"/>
          <w:szCs w:val="24"/>
        </w:rPr>
        <w:t xml:space="preserve">, </w:t>
      </w:r>
      <w:proofErr w:type="spellStart"/>
      <w:r w:rsidRPr="002657D1">
        <w:rPr>
          <w:rFonts w:ascii="Calibri" w:eastAsia="Arial Unicode MS" w:hAnsi="Calibri" w:cs="Calibri"/>
          <w:i/>
          <w:iCs/>
          <w:color w:val="000000" w:themeColor="text1"/>
          <w:sz w:val="24"/>
          <w:szCs w:val="24"/>
        </w:rPr>
        <w:t>Xiaonan</w:t>
      </w:r>
      <w:proofErr w:type="spellEnd"/>
      <w:r w:rsidRPr="002657D1">
        <w:rPr>
          <w:rFonts w:ascii="Calibri" w:eastAsia="Arial Unicode MS" w:hAnsi="Calibri" w:cs="Calibri"/>
          <w:i/>
          <w:iCs/>
          <w:color w:val="000000" w:themeColor="text1"/>
          <w:sz w:val="24"/>
          <w:szCs w:val="24"/>
        </w:rPr>
        <w:t xml:space="preserve"> Wang</w:t>
      </w:r>
      <w:proofErr w:type="gramStart"/>
      <w:r w:rsidRPr="002657D1">
        <w:rPr>
          <w:rFonts w:ascii="Calibri" w:eastAsia="Arial Unicode MS" w:hAnsi="Calibri" w:cs="Calibri"/>
          <w:i/>
          <w:iCs/>
          <w:color w:val="000000" w:themeColor="text1"/>
          <w:sz w:val="24"/>
          <w:szCs w:val="24"/>
          <w:vertAlign w:val="superscript"/>
        </w:rPr>
        <w:t>3,</w:t>
      </w:r>
      <w:r w:rsidRPr="002657D1">
        <w:rPr>
          <w:rFonts w:ascii="Calibri" w:eastAsia="Arial Unicode MS" w:hAnsi="Calibri" w:cs="Calibri"/>
          <w:i/>
          <w:iCs/>
          <w:color w:val="000000" w:themeColor="text1"/>
          <w:sz w:val="24"/>
          <w:szCs w:val="24"/>
        </w:rPr>
        <w:t>*</w:t>
      </w:r>
      <w:proofErr w:type="gramEnd"/>
      <w:r w:rsidRPr="002657D1">
        <w:rPr>
          <w:rFonts w:ascii="Calibri" w:eastAsia="Arial Unicode MS" w:hAnsi="Calibri" w:cs="Calibri"/>
          <w:i/>
          <w:iCs/>
          <w:color w:val="000000" w:themeColor="text1"/>
          <w:sz w:val="24"/>
          <w:szCs w:val="24"/>
        </w:rPr>
        <w:t>, Li-Zhen Fan</w:t>
      </w:r>
      <w:r w:rsidRPr="002657D1">
        <w:rPr>
          <w:rFonts w:ascii="Calibri" w:eastAsia="Arial Unicode MS" w:hAnsi="Calibri" w:cs="Calibri"/>
          <w:i/>
          <w:iCs/>
          <w:color w:val="000000" w:themeColor="text1"/>
          <w:sz w:val="24"/>
          <w:szCs w:val="24"/>
          <w:vertAlign w:val="superscript"/>
        </w:rPr>
        <w:t>4</w:t>
      </w:r>
      <w:r w:rsidRPr="002657D1">
        <w:rPr>
          <w:rFonts w:ascii="Calibri" w:eastAsia="Arial Unicode MS" w:hAnsi="Calibri" w:cs="Calibri"/>
          <w:i/>
          <w:iCs/>
          <w:color w:val="000000" w:themeColor="text1"/>
          <w:sz w:val="24"/>
          <w:szCs w:val="24"/>
        </w:rPr>
        <w:t>, Yang Shen</w:t>
      </w:r>
      <w:r w:rsidRPr="002657D1">
        <w:rPr>
          <w:rFonts w:ascii="Calibri" w:eastAsia="Arial Unicode MS" w:hAnsi="Calibri" w:cs="Calibri"/>
          <w:i/>
          <w:iCs/>
          <w:color w:val="000000" w:themeColor="text1"/>
          <w:sz w:val="24"/>
          <w:szCs w:val="24"/>
          <w:vertAlign w:val="superscript"/>
        </w:rPr>
        <w:t>1</w:t>
      </w:r>
      <w:r w:rsidRPr="002657D1">
        <w:rPr>
          <w:rFonts w:ascii="Calibri" w:eastAsia="Arial Unicode MS" w:hAnsi="Calibri" w:cs="Calibri"/>
          <w:i/>
          <w:iCs/>
          <w:color w:val="000000" w:themeColor="text1"/>
          <w:sz w:val="24"/>
          <w:szCs w:val="24"/>
        </w:rPr>
        <w:t>, Ce-Wen Nan</w:t>
      </w:r>
      <w:proofErr w:type="gramStart"/>
      <w:r w:rsidRPr="002657D1">
        <w:rPr>
          <w:rFonts w:ascii="Calibri" w:eastAsia="Arial Unicode MS" w:hAnsi="Calibri" w:cs="Calibri"/>
          <w:i/>
          <w:iCs/>
          <w:color w:val="000000" w:themeColor="text1"/>
          <w:sz w:val="24"/>
          <w:szCs w:val="24"/>
          <w:vertAlign w:val="superscript"/>
        </w:rPr>
        <w:t>1,</w:t>
      </w:r>
      <w:r w:rsidRPr="002657D1">
        <w:rPr>
          <w:rFonts w:ascii="Calibri" w:eastAsia="Arial Unicode MS" w:hAnsi="Calibri" w:cs="Calibri"/>
          <w:i/>
          <w:iCs/>
          <w:color w:val="000000" w:themeColor="text1"/>
          <w:sz w:val="24"/>
          <w:szCs w:val="24"/>
        </w:rPr>
        <w:t>*</w:t>
      </w:r>
      <w:proofErr w:type="gramEnd"/>
    </w:p>
    <w:p w14:paraId="31A49A95" w14:textId="77777777" w:rsidR="00953073" w:rsidRPr="002657D1" w:rsidRDefault="00953073" w:rsidP="00953073">
      <w:pPr>
        <w:adjustRightInd w:val="0"/>
        <w:snapToGrid w:val="0"/>
        <w:spacing w:beforeLines="50" w:before="156" w:line="360" w:lineRule="auto"/>
        <w:rPr>
          <w:rFonts w:ascii="Calibri" w:eastAsia="Arial Unicode MS" w:hAnsi="Calibri" w:cs="Calibri"/>
          <w:i/>
          <w:iCs/>
          <w:color w:val="000000" w:themeColor="text1"/>
          <w:sz w:val="24"/>
          <w:szCs w:val="24"/>
        </w:rPr>
      </w:pPr>
      <w:bookmarkStart w:id="7" w:name="_Hlk186059946"/>
      <w:bookmarkEnd w:id="3"/>
      <w:r w:rsidRPr="002657D1">
        <w:rPr>
          <w:rFonts w:ascii="Calibri" w:eastAsia="Arial Unicode MS" w:hAnsi="Calibri" w:cs="Calibri"/>
          <w:i/>
          <w:iCs/>
          <w:color w:val="000000" w:themeColor="text1"/>
          <w:sz w:val="24"/>
          <w:szCs w:val="24"/>
          <w:vertAlign w:val="superscript"/>
        </w:rPr>
        <w:t>1</w:t>
      </w:r>
      <w:r w:rsidRPr="002657D1">
        <w:rPr>
          <w:rFonts w:ascii="Calibri" w:eastAsia="Arial Unicode MS" w:hAnsi="Calibri" w:cs="Calibri"/>
          <w:i/>
          <w:iCs/>
          <w:color w:val="000000" w:themeColor="text1"/>
          <w:sz w:val="24"/>
          <w:szCs w:val="24"/>
        </w:rPr>
        <w:t xml:space="preserve">School of Materials Science and Engineering, State Key Laboratory of New Ceramic Materials, Tsinghua University, Beijing 100084, China </w:t>
      </w:r>
    </w:p>
    <w:p w14:paraId="12CB0BE4" w14:textId="77777777" w:rsidR="00953073" w:rsidRPr="002657D1" w:rsidRDefault="00953073" w:rsidP="00953073">
      <w:pPr>
        <w:adjustRightInd w:val="0"/>
        <w:snapToGrid w:val="0"/>
        <w:spacing w:beforeLines="50" w:before="156" w:line="360" w:lineRule="auto"/>
        <w:rPr>
          <w:rFonts w:ascii="Calibri" w:eastAsia="Arial Unicode MS" w:hAnsi="Calibri" w:cs="Calibri"/>
          <w:i/>
          <w:iCs/>
          <w:color w:val="000000" w:themeColor="text1"/>
          <w:sz w:val="24"/>
          <w:szCs w:val="24"/>
        </w:rPr>
      </w:pPr>
      <w:r w:rsidRPr="002657D1">
        <w:rPr>
          <w:rFonts w:ascii="Calibri" w:eastAsia="Arial Unicode MS" w:hAnsi="Calibri" w:cs="Calibri"/>
          <w:i/>
          <w:iCs/>
          <w:color w:val="000000" w:themeColor="text1"/>
          <w:sz w:val="24"/>
          <w:szCs w:val="24"/>
          <w:vertAlign w:val="superscript"/>
        </w:rPr>
        <w:t>2</w:t>
      </w:r>
      <w:r w:rsidRPr="002657D1">
        <w:rPr>
          <w:rFonts w:ascii="Calibri" w:eastAsia="Arial Unicode MS" w:hAnsi="Calibri" w:cs="Calibri"/>
          <w:i/>
          <w:iCs/>
          <w:color w:val="000000" w:themeColor="text1"/>
          <w:sz w:val="24"/>
          <w:szCs w:val="24"/>
        </w:rPr>
        <w:t>State Key Laboratory of New Ceramic Materials, Beijing Tsinghua Institute for Frontier Interdisciplinary Innovation, Beijing 102202, China</w:t>
      </w:r>
    </w:p>
    <w:p w14:paraId="1293E16E" w14:textId="5C1D17F4" w:rsidR="00953073" w:rsidRPr="002657D1" w:rsidRDefault="00953073" w:rsidP="00953073">
      <w:pPr>
        <w:adjustRightInd w:val="0"/>
        <w:snapToGrid w:val="0"/>
        <w:spacing w:beforeLines="50" w:before="156" w:line="360" w:lineRule="auto"/>
        <w:rPr>
          <w:rFonts w:ascii="Calibri" w:eastAsia="Arial Unicode MS" w:hAnsi="Calibri" w:cs="Calibri"/>
          <w:i/>
          <w:iCs/>
          <w:color w:val="000000" w:themeColor="text1"/>
          <w:sz w:val="24"/>
          <w:szCs w:val="24"/>
        </w:rPr>
      </w:pPr>
      <w:r w:rsidRPr="002657D1">
        <w:rPr>
          <w:rFonts w:ascii="Calibri" w:eastAsia="Arial Unicode MS" w:hAnsi="Calibri" w:cs="Calibri"/>
          <w:i/>
          <w:iCs/>
          <w:color w:val="000000" w:themeColor="text1"/>
          <w:sz w:val="24"/>
          <w:szCs w:val="24"/>
          <w:vertAlign w:val="superscript"/>
        </w:rPr>
        <w:t>3</w:t>
      </w:r>
      <w:r w:rsidR="005A04D8" w:rsidRPr="002657D1">
        <w:rPr>
          <w:rFonts w:ascii="Calibri" w:eastAsia="Arial Unicode MS" w:hAnsi="Calibri" w:cs="Calibri" w:hint="eastAsia"/>
          <w:i/>
          <w:iCs/>
          <w:color w:val="000000" w:themeColor="text1"/>
          <w:sz w:val="24"/>
          <w:szCs w:val="24"/>
        </w:rPr>
        <w:t>State Key Laboratory of Chemical Engineering and Low-Carbon Technology, Department of Chemical Engineering, Tsinghua University, Beijing 100084, China</w:t>
      </w:r>
    </w:p>
    <w:p w14:paraId="4E3BE3E5" w14:textId="77777777" w:rsidR="00953073" w:rsidRPr="002657D1" w:rsidRDefault="00953073" w:rsidP="00953073">
      <w:pPr>
        <w:adjustRightInd w:val="0"/>
        <w:snapToGrid w:val="0"/>
        <w:spacing w:beforeLines="50" w:before="156" w:line="360" w:lineRule="auto"/>
        <w:rPr>
          <w:rFonts w:ascii="Calibri" w:eastAsia="Arial Unicode MS" w:hAnsi="Calibri" w:cs="Calibri"/>
          <w:i/>
          <w:iCs/>
          <w:color w:val="000000" w:themeColor="text1"/>
          <w:sz w:val="24"/>
          <w:szCs w:val="24"/>
        </w:rPr>
      </w:pPr>
      <w:r w:rsidRPr="002657D1">
        <w:rPr>
          <w:rFonts w:ascii="Calibri" w:eastAsia="Arial Unicode MS" w:hAnsi="Calibri" w:cs="Calibri"/>
          <w:i/>
          <w:iCs/>
          <w:color w:val="000000" w:themeColor="text1"/>
          <w:sz w:val="24"/>
          <w:szCs w:val="24"/>
          <w:vertAlign w:val="superscript"/>
        </w:rPr>
        <w:t>4</w:t>
      </w:r>
      <w:r w:rsidRPr="002657D1">
        <w:rPr>
          <w:rFonts w:ascii="Calibri" w:eastAsia="Arial Unicode MS" w:hAnsi="Calibri" w:cs="Calibri"/>
          <w:i/>
          <w:iCs/>
          <w:color w:val="000000" w:themeColor="text1"/>
          <w:sz w:val="24"/>
          <w:szCs w:val="24"/>
        </w:rPr>
        <w:t>Institute for Advanced Materials and Technologies, University of Science and Technology Beijing, Beijing 100083, China</w:t>
      </w:r>
    </w:p>
    <w:p w14:paraId="6AA2A51A" w14:textId="77777777" w:rsidR="00953073" w:rsidRPr="002657D1" w:rsidRDefault="00953073" w:rsidP="00953073">
      <w:pPr>
        <w:adjustRightInd w:val="0"/>
        <w:snapToGrid w:val="0"/>
        <w:spacing w:beforeLines="50" w:before="156" w:line="360" w:lineRule="auto"/>
        <w:rPr>
          <w:rFonts w:ascii="Calibri" w:eastAsia="Arial Unicode MS" w:hAnsi="Calibri" w:cs="Calibri"/>
          <w:i/>
          <w:iCs/>
          <w:color w:val="000000" w:themeColor="text1"/>
          <w:sz w:val="24"/>
          <w:szCs w:val="24"/>
        </w:rPr>
      </w:pPr>
      <w:r w:rsidRPr="002657D1">
        <w:rPr>
          <w:rFonts w:ascii="Calibri" w:eastAsia="Arial Unicode MS" w:hAnsi="Calibri" w:cs="Calibri"/>
          <w:i/>
          <w:iCs/>
          <w:color w:val="000000" w:themeColor="text1"/>
          <w:sz w:val="24"/>
          <w:szCs w:val="24"/>
          <w:vertAlign w:val="superscript"/>
        </w:rPr>
        <w:t>5</w:t>
      </w:r>
      <w:r w:rsidRPr="002657D1">
        <w:rPr>
          <w:rFonts w:ascii="Calibri" w:eastAsia="Arial Unicode MS" w:hAnsi="Calibri" w:cs="Calibri"/>
          <w:i/>
          <w:iCs/>
          <w:color w:val="000000" w:themeColor="text1"/>
          <w:sz w:val="24"/>
          <w:szCs w:val="24"/>
        </w:rPr>
        <w:t>Center for High Pressure Science and Technology Advanced Research, Beijing 100193, China</w:t>
      </w:r>
    </w:p>
    <w:bookmarkEnd w:id="4"/>
    <w:p w14:paraId="7CA4B946" w14:textId="77777777" w:rsidR="00953073" w:rsidRPr="002657D1" w:rsidRDefault="00953073" w:rsidP="00953073">
      <w:pPr>
        <w:adjustRightInd w:val="0"/>
        <w:snapToGrid w:val="0"/>
        <w:spacing w:beforeLines="50" w:before="156" w:line="360" w:lineRule="auto"/>
        <w:rPr>
          <w:rFonts w:ascii="Calibri" w:eastAsia="Arial Unicode MS" w:hAnsi="Calibri" w:cs="Calibri"/>
          <w:i/>
          <w:iCs/>
          <w:color w:val="000000" w:themeColor="text1"/>
          <w:sz w:val="24"/>
          <w:szCs w:val="24"/>
        </w:rPr>
      </w:pPr>
      <w:r w:rsidRPr="002657D1">
        <w:rPr>
          <w:rFonts w:ascii="Calibri" w:eastAsia="Arial Unicode MS" w:hAnsi="Calibri" w:cs="Calibri"/>
          <w:i/>
          <w:iCs/>
          <w:color w:val="000000" w:themeColor="text1"/>
          <w:sz w:val="24"/>
          <w:szCs w:val="24"/>
          <w:vertAlign w:val="superscript"/>
        </w:rPr>
        <w:t>6</w:t>
      </w:r>
      <w:r w:rsidRPr="002657D1">
        <w:rPr>
          <w:rFonts w:ascii="Calibri" w:eastAsia="Arial Unicode MS" w:hAnsi="Calibri" w:cs="Calibri"/>
          <w:i/>
          <w:iCs/>
          <w:color w:val="000000" w:themeColor="text1"/>
          <w:sz w:val="24"/>
          <w:szCs w:val="24"/>
        </w:rPr>
        <w:t>Institute of High Energy Physics, Chinese Academy of Sciences, Beijing 100049, China</w:t>
      </w:r>
    </w:p>
    <w:p w14:paraId="5664A2AC" w14:textId="77777777" w:rsidR="00953073" w:rsidRPr="002657D1" w:rsidRDefault="00953073" w:rsidP="00953073">
      <w:pPr>
        <w:adjustRightInd w:val="0"/>
        <w:snapToGrid w:val="0"/>
        <w:spacing w:beforeLines="50" w:before="156" w:line="360" w:lineRule="auto"/>
        <w:rPr>
          <w:rFonts w:ascii="Calibri" w:eastAsia="Arial Unicode MS" w:hAnsi="Calibri" w:cs="Calibri"/>
          <w:i/>
          <w:iCs/>
          <w:color w:val="000000" w:themeColor="text1"/>
          <w:sz w:val="24"/>
          <w:szCs w:val="24"/>
        </w:rPr>
      </w:pPr>
      <w:r w:rsidRPr="002657D1">
        <w:rPr>
          <w:rFonts w:ascii="Calibri" w:eastAsia="Arial Unicode MS" w:hAnsi="Calibri" w:cs="Calibri"/>
          <w:i/>
          <w:iCs/>
          <w:color w:val="000000" w:themeColor="text1"/>
          <w:sz w:val="24"/>
          <w:szCs w:val="24"/>
          <w:vertAlign w:val="superscript"/>
        </w:rPr>
        <w:t>7</w:t>
      </w:r>
      <w:r w:rsidRPr="002657D1">
        <w:rPr>
          <w:rFonts w:ascii="Calibri" w:eastAsia="Arial Unicode MS" w:hAnsi="Calibri" w:cs="Calibri"/>
          <w:i/>
          <w:iCs/>
          <w:color w:val="000000" w:themeColor="text1"/>
          <w:sz w:val="24"/>
          <w:szCs w:val="24"/>
        </w:rPr>
        <w:t>Shanghai Institute of Applied Physics, Chinese Academy of Sciences, Shanghai 201800, China</w:t>
      </w:r>
    </w:p>
    <w:p w14:paraId="6DC17E38" w14:textId="77777777" w:rsidR="00953073" w:rsidRPr="002657D1" w:rsidRDefault="00953073" w:rsidP="00953073">
      <w:pPr>
        <w:adjustRightInd w:val="0"/>
        <w:snapToGrid w:val="0"/>
        <w:spacing w:beforeLines="50" w:before="156" w:line="360" w:lineRule="auto"/>
        <w:rPr>
          <w:rFonts w:ascii="Calibri" w:eastAsia="Arial Unicode MS" w:hAnsi="Calibri" w:cs="Calibri"/>
          <w:i/>
          <w:iCs/>
          <w:color w:val="000000" w:themeColor="text1"/>
          <w:sz w:val="24"/>
          <w:szCs w:val="24"/>
        </w:rPr>
      </w:pPr>
      <w:r w:rsidRPr="002657D1">
        <w:rPr>
          <w:rFonts w:ascii="Calibri" w:eastAsia="Arial Unicode MS" w:hAnsi="Calibri" w:cs="Calibri"/>
          <w:i/>
          <w:iCs/>
          <w:color w:val="000000" w:themeColor="text1"/>
          <w:sz w:val="24"/>
          <w:szCs w:val="24"/>
          <w:vertAlign w:val="superscript"/>
        </w:rPr>
        <w:t>8</w:t>
      </w:r>
      <w:r w:rsidRPr="002657D1">
        <w:rPr>
          <w:rFonts w:ascii="Calibri" w:eastAsia="Arial Unicode MS" w:hAnsi="Calibri" w:cs="Calibri"/>
          <w:i/>
          <w:iCs/>
          <w:color w:val="000000" w:themeColor="text1"/>
          <w:sz w:val="24"/>
          <w:szCs w:val="24"/>
        </w:rPr>
        <w:t>Institute of High Energy Physics, Chinese Academy of Sciences, Beijing 100049, China</w:t>
      </w:r>
    </w:p>
    <w:p w14:paraId="33140D1A" w14:textId="77777777" w:rsidR="00953073" w:rsidRPr="002657D1" w:rsidRDefault="00953073" w:rsidP="00953073">
      <w:pPr>
        <w:adjustRightInd w:val="0"/>
        <w:snapToGrid w:val="0"/>
        <w:spacing w:beforeLines="50" w:before="156" w:line="360" w:lineRule="auto"/>
        <w:rPr>
          <w:rFonts w:ascii="Calibri" w:eastAsia="Arial Unicode MS" w:hAnsi="Calibri" w:cs="Calibri"/>
          <w:i/>
          <w:iCs/>
          <w:color w:val="000000" w:themeColor="text1"/>
          <w:sz w:val="24"/>
          <w:szCs w:val="24"/>
        </w:rPr>
      </w:pPr>
      <w:r w:rsidRPr="002657D1">
        <w:rPr>
          <w:rFonts w:ascii="Calibri" w:eastAsia="Arial Unicode MS" w:hAnsi="Calibri" w:cs="Calibri"/>
          <w:i/>
          <w:iCs/>
          <w:color w:val="000000" w:themeColor="text1"/>
          <w:sz w:val="24"/>
          <w:szCs w:val="24"/>
          <w:vertAlign w:val="superscript"/>
        </w:rPr>
        <w:t>9</w:t>
      </w:r>
      <w:r w:rsidRPr="002657D1">
        <w:rPr>
          <w:rFonts w:ascii="Calibri" w:eastAsia="Arial Unicode MS" w:hAnsi="Calibri" w:cs="Calibri"/>
          <w:i/>
          <w:iCs/>
          <w:color w:val="000000" w:themeColor="text1"/>
          <w:sz w:val="24"/>
          <w:szCs w:val="24"/>
        </w:rPr>
        <w:t>These authors contributed equally to this work</w:t>
      </w:r>
    </w:p>
    <w:bookmarkEnd w:id="5"/>
    <w:bookmarkEnd w:id="7"/>
    <w:p w14:paraId="1D197EE8" w14:textId="7A5A5915" w:rsidR="00316585" w:rsidRPr="002657D1" w:rsidRDefault="00953073" w:rsidP="00953073">
      <w:pPr>
        <w:adjustRightInd w:val="0"/>
        <w:snapToGrid w:val="0"/>
        <w:spacing w:beforeLines="50" w:before="156" w:line="360" w:lineRule="auto"/>
        <w:rPr>
          <w:rFonts w:ascii="Calibri" w:eastAsia="Arial Unicode MS" w:hAnsi="Calibri" w:cs="Calibri"/>
          <w:color w:val="000000" w:themeColor="text1"/>
          <w:sz w:val="24"/>
          <w:szCs w:val="24"/>
        </w:rPr>
      </w:pPr>
      <w:r w:rsidRPr="002657D1">
        <w:rPr>
          <w:rFonts w:ascii="Calibri" w:eastAsia="Arial Unicode MS" w:hAnsi="Calibri" w:cs="Calibri"/>
          <w:color w:val="000000" w:themeColor="text1"/>
          <w:sz w:val="24"/>
          <w:szCs w:val="24"/>
        </w:rPr>
        <w:t>*Email: renyaoyu@tsinghua.edu.cn; wangxiaonan@tsinghua.edu.cn; cwnan@tsinghua.edu.cn</w:t>
      </w:r>
    </w:p>
    <w:p w14:paraId="2634AC61" w14:textId="39150F92" w:rsidR="004E79BF" w:rsidRPr="002657D1" w:rsidRDefault="00000DF3" w:rsidP="00C95504">
      <w:pPr>
        <w:snapToGrid w:val="0"/>
        <w:spacing w:before="120" w:afterLines="50" w:after="156" w:line="360" w:lineRule="auto"/>
        <w:rPr>
          <w:rFonts w:ascii="Times New Roman" w:hAnsi="Times New Roman" w:cs="Times New Roman"/>
          <w:b/>
          <w:color w:val="000000" w:themeColor="text1"/>
          <w:sz w:val="24"/>
          <w:szCs w:val="24"/>
          <w:u w:val="single"/>
        </w:rPr>
      </w:pPr>
      <w:r w:rsidRPr="002657D1">
        <w:rPr>
          <w:rFonts w:ascii="Calibri" w:eastAsia="Arial Unicode MS" w:hAnsi="Calibri" w:cs="Calibri" w:hint="eastAsia"/>
          <w:b/>
          <w:bCs/>
          <w:i/>
          <w:iCs/>
          <w:color w:val="000000" w:themeColor="text1"/>
          <w:sz w:val="24"/>
          <w:szCs w:val="24"/>
        </w:rPr>
        <w:t>This PDF file includes: Methods, Supplementary Figures 1 to 4</w:t>
      </w:r>
      <w:r w:rsidR="00CE7F82" w:rsidRPr="002657D1">
        <w:rPr>
          <w:rFonts w:ascii="Calibri" w:eastAsia="Arial Unicode MS" w:hAnsi="Calibri" w:cs="Calibri" w:hint="eastAsia"/>
          <w:b/>
          <w:bCs/>
          <w:i/>
          <w:iCs/>
          <w:color w:val="000000" w:themeColor="text1"/>
          <w:sz w:val="24"/>
          <w:szCs w:val="24"/>
        </w:rPr>
        <w:t>5</w:t>
      </w:r>
      <w:r w:rsidRPr="002657D1">
        <w:rPr>
          <w:rFonts w:ascii="Calibri" w:eastAsia="Arial Unicode MS" w:hAnsi="Calibri" w:cs="Calibri" w:hint="eastAsia"/>
          <w:b/>
          <w:bCs/>
          <w:i/>
          <w:iCs/>
          <w:color w:val="000000" w:themeColor="text1"/>
          <w:sz w:val="24"/>
          <w:szCs w:val="24"/>
        </w:rPr>
        <w:t xml:space="preserve">, </w:t>
      </w:r>
      <w:r w:rsidR="00D577E6" w:rsidRPr="002657D1">
        <w:rPr>
          <w:rFonts w:ascii="Calibri" w:eastAsia="Arial Unicode MS" w:hAnsi="Calibri" w:cs="Calibri" w:hint="eastAsia"/>
          <w:b/>
          <w:bCs/>
          <w:i/>
          <w:iCs/>
          <w:color w:val="000000" w:themeColor="text1"/>
          <w:sz w:val="24"/>
          <w:szCs w:val="24"/>
        </w:rPr>
        <w:t xml:space="preserve">and </w:t>
      </w:r>
      <w:r w:rsidR="00213C95" w:rsidRPr="002657D1">
        <w:rPr>
          <w:rFonts w:ascii="Calibri" w:eastAsia="Arial Unicode MS" w:hAnsi="Calibri" w:cs="Calibri" w:hint="eastAsia"/>
          <w:b/>
          <w:bCs/>
          <w:i/>
          <w:iCs/>
          <w:color w:val="000000" w:themeColor="text1"/>
          <w:sz w:val="24"/>
          <w:szCs w:val="24"/>
        </w:rPr>
        <w:t>Supplementary Tables 1 to 1</w:t>
      </w:r>
      <w:r w:rsidR="00CE7F82" w:rsidRPr="002657D1">
        <w:rPr>
          <w:rFonts w:ascii="Calibri" w:eastAsia="Arial Unicode MS" w:hAnsi="Calibri" w:cs="Calibri" w:hint="eastAsia"/>
          <w:b/>
          <w:bCs/>
          <w:i/>
          <w:iCs/>
          <w:color w:val="000000" w:themeColor="text1"/>
          <w:sz w:val="24"/>
          <w:szCs w:val="24"/>
        </w:rPr>
        <w:t>1</w:t>
      </w:r>
      <w:r w:rsidR="00D577E6" w:rsidRPr="002657D1">
        <w:rPr>
          <w:rFonts w:ascii="Calibri" w:eastAsia="Arial Unicode MS" w:hAnsi="Calibri" w:cs="Calibri" w:hint="eastAsia"/>
          <w:i/>
          <w:iCs/>
          <w:color w:val="000000" w:themeColor="text1"/>
          <w:sz w:val="24"/>
          <w:szCs w:val="24"/>
        </w:rPr>
        <w:t>.</w:t>
      </w:r>
      <w:bookmarkEnd w:id="2"/>
      <w:r w:rsidR="00C4196E" w:rsidRPr="002657D1">
        <w:rPr>
          <w:rFonts w:ascii="Times New Roman" w:hAnsi="Times New Roman" w:cs="Times New Roman"/>
          <w:b/>
          <w:color w:val="000000" w:themeColor="text1"/>
          <w:sz w:val="24"/>
          <w:szCs w:val="24"/>
          <w:u w:val="single"/>
        </w:rPr>
        <w:br w:type="page"/>
      </w:r>
    </w:p>
    <w:p w14:paraId="2D75E278" w14:textId="70ABF99D" w:rsidR="00FF2663" w:rsidRPr="002657D1" w:rsidRDefault="00FF2663" w:rsidP="007045AB">
      <w:pPr>
        <w:widowControl/>
        <w:spacing w:line="360" w:lineRule="auto"/>
        <w:jc w:val="center"/>
        <w:rPr>
          <w:rFonts w:ascii="Calibri" w:eastAsia="Arial Unicode MS" w:hAnsi="Calibri" w:cs="Calibri"/>
          <w:b/>
          <w:bCs/>
          <w:i/>
          <w:iCs/>
          <w:color w:val="000000" w:themeColor="text1"/>
          <w:sz w:val="28"/>
          <w:szCs w:val="28"/>
        </w:rPr>
      </w:pPr>
      <w:r w:rsidRPr="002657D1">
        <w:rPr>
          <w:rFonts w:ascii="Calibri" w:eastAsia="Arial Unicode MS" w:hAnsi="Calibri" w:cs="Calibri" w:hint="eastAsia"/>
          <w:b/>
          <w:bCs/>
          <w:i/>
          <w:iCs/>
          <w:color w:val="000000" w:themeColor="text1"/>
          <w:sz w:val="28"/>
          <w:szCs w:val="28"/>
        </w:rPr>
        <w:lastRenderedPageBreak/>
        <w:t>Contents</w:t>
      </w:r>
    </w:p>
    <w:p w14:paraId="24CE3C1C" w14:textId="6DF537CA" w:rsidR="00025860" w:rsidRPr="002657D1" w:rsidRDefault="00F85E34" w:rsidP="00583E16">
      <w:pPr>
        <w:pStyle w:val="TOC1"/>
        <w:rPr>
          <w:noProof/>
          <w14:ligatures w14:val="standardContextual"/>
        </w:rPr>
      </w:pPr>
      <w:r w:rsidRPr="002657D1">
        <w:fldChar w:fldCharType="begin"/>
      </w:r>
      <w:r w:rsidRPr="002657D1">
        <w:instrText xml:space="preserve"> TOC \o "1-3" \h \z \u </w:instrText>
      </w:r>
      <w:r w:rsidRPr="002657D1">
        <w:fldChar w:fldCharType="separate"/>
      </w:r>
      <w:hyperlink w:anchor="_Toc217638241" w:history="1">
        <w:r w:rsidR="00025860" w:rsidRPr="002657D1">
          <w:rPr>
            <w:rStyle w:val="af2"/>
            <w:bCs/>
            <w:noProof/>
            <w:color w:val="000000" w:themeColor="text1"/>
          </w:rPr>
          <w:t>1. Methods</w:t>
        </w:r>
        <w:r w:rsidR="00025860" w:rsidRPr="002657D1">
          <w:rPr>
            <w:noProof/>
            <w:webHidden/>
          </w:rPr>
          <w:tab/>
        </w:r>
        <w:r w:rsidR="00025860" w:rsidRPr="002657D1">
          <w:rPr>
            <w:noProof/>
            <w:webHidden/>
          </w:rPr>
          <w:fldChar w:fldCharType="begin"/>
        </w:r>
        <w:r w:rsidR="00025860" w:rsidRPr="002657D1">
          <w:rPr>
            <w:noProof/>
            <w:webHidden/>
          </w:rPr>
          <w:instrText xml:space="preserve"> PAGEREF _Toc217638241 \h </w:instrText>
        </w:r>
        <w:r w:rsidR="00025860" w:rsidRPr="002657D1">
          <w:rPr>
            <w:noProof/>
            <w:webHidden/>
          </w:rPr>
        </w:r>
        <w:r w:rsidR="00025860" w:rsidRPr="002657D1">
          <w:rPr>
            <w:noProof/>
            <w:webHidden/>
          </w:rPr>
          <w:fldChar w:fldCharType="separate"/>
        </w:r>
        <w:r w:rsidR="00025860" w:rsidRPr="002657D1">
          <w:rPr>
            <w:noProof/>
            <w:webHidden/>
          </w:rPr>
          <w:t>9</w:t>
        </w:r>
        <w:r w:rsidR="00025860" w:rsidRPr="002657D1">
          <w:rPr>
            <w:noProof/>
            <w:webHidden/>
          </w:rPr>
          <w:fldChar w:fldCharType="end"/>
        </w:r>
      </w:hyperlink>
    </w:p>
    <w:p w14:paraId="16E4BEB0" w14:textId="4BA1AA3E" w:rsidR="00025860" w:rsidRPr="002657D1" w:rsidRDefault="00025860">
      <w:pPr>
        <w:pStyle w:val="TOC2"/>
        <w:rPr>
          <w:rFonts w:ascii="Times New Roman" w:hAnsi="Times New Roman" w:cs="Times New Roman"/>
          <w:bCs/>
          <w:noProof/>
          <w:color w:val="000000" w:themeColor="text1"/>
          <w:sz w:val="24"/>
          <w:szCs w:val="24"/>
          <w14:ligatures w14:val="standardContextual"/>
        </w:rPr>
      </w:pPr>
      <w:hyperlink w:anchor="_Toc217638242" w:history="1">
        <w:r w:rsidRPr="002657D1">
          <w:rPr>
            <w:rStyle w:val="af2"/>
            <w:rFonts w:ascii="Times New Roman" w:hAnsi="Times New Roman" w:cs="Times New Roman"/>
            <w:bCs/>
            <w:noProof/>
            <w:color w:val="000000" w:themeColor="text1"/>
            <w:sz w:val="24"/>
            <w:szCs w:val="24"/>
          </w:rPr>
          <w:t>1.1 Materials synthesis</w:t>
        </w:r>
        <w:r w:rsidRPr="002657D1">
          <w:rPr>
            <w:rFonts w:ascii="Times New Roman" w:hAnsi="Times New Roman" w:cs="Times New Roman"/>
            <w:bCs/>
            <w:noProof/>
            <w:webHidden/>
            <w:color w:val="000000" w:themeColor="text1"/>
            <w:sz w:val="24"/>
            <w:szCs w:val="24"/>
          </w:rPr>
          <w:tab/>
        </w:r>
        <w:r w:rsidRPr="002657D1">
          <w:rPr>
            <w:rFonts w:ascii="Times New Roman" w:hAnsi="Times New Roman" w:cs="Times New Roman"/>
            <w:bCs/>
            <w:noProof/>
            <w:webHidden/>
            <w:color w:val="000000" w:themeColor="text1"/>
            <w:sz w:val="24"/>
            <w:szCs w:val="24"/>
          </w:rPr>
          <w:fldChar w:fldCharType="begin"/>
        </w:r>
        <w:r w:rsidRPr="002657D1">
          <w:rPr>
            <w:rFonts w:ascii="Times New Roman" w:hAnsi="Times New Roman" w:cs="Times New Roman"/>
            <w:bCs/>
            <w:noProof/>
            <w:webHidden/>
            <w:color w:val="000000" w:themeColor="text1"/>
            <w:sz w:val="24"/>
            <w:szCs w:val="24"/>
          </w:rPr>
          <w:instrText xml:space="preserve"> PAGEREF _Toc217638242 \h </w:instrText>
        </w:r>
        <w:r w:rsidRPr="002657D1">
          <w:rPr>
            <w:rFonts w:ascii="Times New Roman" w:hAnsi="Times New Roman" w:cs="Times New Roman"/>
            <w:bCs/>
            <w:noProof/>
            <w:webHidden/>
            <w:color w:val="000000" w:themeColor="text1"/>
            <w:sz w:val="24"/>
            <w:szCs w:val="24"/>
          </w:rPr>
        </w:r>
        <w:r w:rsidRPr="002657D1">
          <w:rPr>
            <w:rFonts w:ascii="Times New Roman" w:hAnsi="Times New Roman" w:cs="Times New Roman"/>
            <w:bCs/>
            <w:noProof/>
            <w:webHidden/>
            <w:color w:val="000000" w:themeColor="text1"/>
            <w:sz w:val="24"/>
            <w:szCs w:val="24"/>
          </w:rPr>
          <w:fldChar w:fldCharType="separate"/>
        </w:r>
        <w:r w:rsidRPr="002657D1">
          <w:rPr>
            <w:rFonts w:ascii="Times New Roman" w:hAnsi="Times New Roman" w:cs="Times New Roman"/>
            <w:bCs/>
            <w:noProof/>
            <w:webHidden/>
            <w:color w:val="000000" w:themeColor="text1"/>
            <w:sz w:val="24"/>
            <w:szCs w:val="24"/>
          </w:rPr>
          <w:t>9</w:t>
        </w:r>
        <w:r w:rsidRPr="002657D1">
          <w:rPr>
            <w:rFonts w:ascii="Times New Roman" w:hAnsi="Times New Roman" w:cs="Times New Roman"/>
            <w:bCs/>
            <w:noProof/>
            <w:webHidden/>
            <w:color w:val="000000" w:themeColor="text1"/>
            <w:sz w:val="24"/>
            <w:szCs w:val="24"/>
          </w:rPr>
          <w:fldChar w:fldCharType="end"/>
        </w:r>
      </w:hyperlink>
    </w:p>
    <w:p w14:paraId="60742879" w14:textId="4E784940" w:rsidR="00025860" w:rsidRPr="002657D1" w:rsidRDefault="00025860">
      <w:pPr>
        <w:pStyle w:val="TOC2"/>
        <w:rPr>
          <w:rFonts w:ascii="Times New Roman" w:hAnsi="Times New Roman" w:cs="Times New Roman"/>
          <w:bCs/>
          <w:noProof/>
          <w:color w:val="000000" w:themeColor="text1"/>
          <w:sz w:val="24"/>
          <w:szCs w:val="24"/>
          <w14:ligatures w14:val="standardContextual"/>
        </w:rPr>
      </w:pPr>
      <w:hyperlink w:anchor="_Toc217638243" w:history="1">
        <w:r w:rsidRPr="002657D1">
          <w:rPr>
            <w:rStyle w:val="af2"/>
            <w:rFonts w:ascii="Times New Roman" w:hAnsi="Times New Roman" w:cs="Times New Roman"/>
            <w:bCs/>
            <w:noProof/>
            <w:color w:val="000000" w:themeColor="text1"/>
            <w:sz w:val="24"/>
            <w:szCs w:val="24"/>
          </w:rPr>
          <w:t>1.2 Material characterizations</w:t>
        </w:r>
        <w:r w:rsidRPr="002657D1">
          <w:rPr>
            <w:rFonts w:ascii="Times New Roman" w:hAnsi="Times New Roman" w:cs="Times New Roman"/>
            <w:bCs/>
            <w:noProof/>
            <w:webHidden/>
            <w:color w:val="000000" w:themeColor="text1"/>
            <w:sz w:val="24"/>
            <w:szCs w:val="24"/>
          </w:rPr>
          <w:tab/>
        </w:r>
        <w:r w:rsidRPr="002657D1">
          <w:rPr>
            <w:rFonts w:ascii="Times New Roman" w:hAnsi="Times New Roman" w:cs="Times New Roman"/>
            <w:bCs/>
            <w:noProof/>
            <w:webHidden/>
            <w:color w:val="000000" w:themeColor="text1"/>
            <w:sz w:val="24"/>
            <w:szCs w:val="24"/>
          </w:rPr>
          <w:fldChar w:fldCharType="begin"/>
        </w:r>
        <w:r w:rsidRPr="002657D1">
          <w:rPr>
            <w:rFonts w:ascii="Times New Roman" w:hAnsi="Times New Roman" w:cs="Times New Roman"/>
            <w:bCs/>
            <w:noProof/>
            <w:webHidden/>
            <w:color w:val="000000" w:themeColor="text1"/>
            <w:sz w:val="24"/>
            <w:szCs w:val="24"/>
          </w:rPr>
          <w:instrText xml:space="preserve"> PAGEREF _Toc217638243 \h </w:instrText>
        </w:r>
        <w:r w:rsidRPr="002657D1">
          <w:rPr>
            <w:rFonts w:ascii="Times New Roman" w:hAnsi="Times New Roman" w:cs="Times New Roman"/>
            <w:bCs/>
            <w:noProof/>
            <w:webHidden/>
            <w:color w:val="000000" w:themeColor="text1"/>
            <w:sz w:val="24"/>
            <w:szCs w:val="24"/>
          </w:rPr>
        </w:r>
        <w:r w:rsidRPr="002657D1">
          <w:rPr>
            <w:rFonts w:ascii="Times New Roman" w:hAnsi="Times New Roman" w:cs="Times New Roman"/>
            <w:bCs/>
            <w:noProof/>
            <w:webHidden/>
            <w:color w:val="000000" w:themeColor="text1"/>
            <w:sz w:val="24"/>
            <w:szCs w:val="24"/>
          </w:rPr>
          <w:fldChar w:fldCharType="separate"/>
        </w:r>
        <w:r w:rsidRPr="002657D1">
          <w:rPr>
            <w:rFonts w:ascii="Times New Roman" w:hAnsi="Times New Roman" w:cs="Times New Roman"/>
            <w:bCs/>
            <w:noProof/>
            <w:webHidden/>
            <w:color w:val="000000" w:themeColor="text1"/>
            <w:sz w:val="24"/>
            <w:szCs w:val="24"/>
          </w:rPr>
          <w:t>9</w:t>
        </w:r>
        <w:r w:rsidRPr="002657D1">
          <w:rPr>
            <w:rFonts w:ascii="Times New Roman" w:hAnsi="Times New Roman" w:cs="Times New Roman"/>
            <w:bCs/>
            <w:noProof/>
            <w:webHidden/>
            <w:color w:val="000000" w:themeColor="text1"/>
            <w:sz w:val="24"/>
            <w:szCs w:val="24"/>
          </w:rPr>
          <w:fldChar w:fldCharType="end"/>
        </w:r>
      </w:hyperlink>
    </w:p>
    <w:p w14:paraId="63418F2F" w14:textId="275C6D27" w:rsidR="00025860" w:rsidRPr="002657D1" w:rsidRDefault="00025860">
      <w:pPr>
        <w:pStyle w:val="TOC2"/>
        <w:rPr>
          <w:rFonts w:ascii="Times New Roman" w:hAnsi="Times New Roman" w:cs="Times New Roman"/>
          <w:bCs/>
          <w:noProof/>
          <w:color w:val="000000" w:themeColor="text1"/>
          <w:sz w:val="24"/>
          <w:szCs w:val="24"/>
          <w14:ligatures w14:val="standardContextual"/>
        </w:rPr>
      </w:pPr>
      <w:hyperlink w:anchor="_Toc217638244" w:history="1">
        <w:r w:rsidRPr="002657D1">
          <w:rPr>
            <w:rStyle w:val="af2"/>
            <w:rFonts w:ascii="Times New Roman" w:hAnsi="Times New Roman" w:cs="Times New Roman"/>
            <w:bCs/>
            <w:noProof/>
            <w:color w:val="000000" w:themeColor="text1"/>
            <w:sz w:val="24"/>
            <w:szCs w:val="24"/>
          </w:rPr>
          <w:t>1.3 Electrochemical measurements</w:t>
        </w:r>
        <w:r w:rsidRPr="002657D1">
          <w:rPr>
            <w:rFonts w:ascii="Times New Roman" w:hAnsi="Times New Roman" w:cs="Times New Roman"/>
            <w:bCs/>
            <w:noProof/>
            <w:webHidden/>
            <w:color w:val="000000" w:themeColor="text1"/>
            <w:sz w:val="24"/>
            <w:szCs w:val="24"/>
          </w:rPr>
          <w:tab/>
        </w:r>
        <w:r w:rsidRPr="002657D1">
          <w:rPr>
            <w:rFonts w:ascii="Times New Roman" w:hAnsi="Times New Roman" w:cs="Times New Roman"/>
            <w:bCs/>
            <w:noProof/>
            <w:webHidden/>
            <w:color w:val="000000" w:themeColor="text1"/>
            <w:sz w:val="24"/>
            <w:szCs w:val="24"/>
          </w:rPr>
          <w:fldChar w:fldCharType="begin"/>
        </w:r>
        <w:r w:rsidRPr="002657D1">
          <w:rPr>
            <w:rFonts w:ascii="Times New Roman" w:hAnsi="Times New Roman" w:cs="Times New Roman"/>
            <w:bCs/>
            <w:noProof/>
            <w:webHidden/>
            <w:color w:val="000000" w:themeColor="text1"/>
            <w:sz w:val="24"/>
            <w:szCs w:val="24"/>
          </w:rPr>
          <w:instrText xml:space="preserve"> PAGEREF _Toc217638244 \h </w:instrText>
        </w:r>
        <w:r w:rsidRPr="002657D1">
          <w:rPr>
            <w:rFonts w:ascii="Times New Roman" w:hAnsi="Times New Roman" w:cs="Times New Roman"/>
            <w:bCs/>
            <w:noProof/>
            <w:webHidden/>
            <w:color w:val="000000" w:themeColor="text1"/>
            <w:sz w:val="24"/>
            <w:szCs w:val="24"/>
          </w:rPr>
        </w:r>
        <w:r w:rsidRPr="002657D1">
          <w:rPr>
            <w:rFonts w:ascii="Times New Roman" w:hAnsi="Times New Roman" w:cs="Times New Roman"/>
            <w:bCs/>
            <w:noProof/>
            <w:webHidden/>
            <w:color w:val="000000" w:themeColor="text1"/>
            <w:sz w:val="24"/>
            <w:szCs w:val="24"/>
          </w:rPr>
          <w:fldChar w:fldCharType="separate"/>
        </w:r>
        <w:r w:rsidRPr="002657D1">
          <w:rPr>
            <w:rFonts w:ascii="Times New Roman" w:hAnsi="Times New Roman" w:cs="Times New Roman"/>
            <w:bCs/>
            <w:noProof/>
            <w:webHidden/>
            <w:color w:val="000000" w:themeColor="text1"/>
            <w:sz w:val="24"/>
            <w:szCs w:val="24"/>
          </w:rPr>
          <w:t>10</w:t>
        </w:r>
        <w:r w:rsidRPr="002657D1">
          <w:rPr>
            <w:rFonts w:ascii="Times New Roman" w:hAnsi="Times New Roman" w:cs="Times New Roman"/>
            <w:bCs/>
            <w:noProof/>
            <w:webHidden/>
            <w:color w:val="000000" w:themeColor="text1"/>
            <w:sz w:val="24"/>
            <w:szCs w:val="24"/>
          </w:rPr>
          <w:fldChar w:fldCharType="end"/>
        </w:r>
      </w:hyperlink>
    </w:p>
    <w:p w14:paraId="651EE71F" w14:textId="29DC109D" w:rsidR="00025860" w:rsidRPr="002657D1" w:rsidRDefault="00025860">
      <w:pPr>
        <w:pStyle w:val="TOC2"/>
        <w:rPr>
          <w:rFonts w:ascii="Times New Roman" w:hAnsi="Times New Roman" w:cs="Times New Roman"/>
          <w:bCs/>
          <w:noProof/>
          <w:color w:val="000000" w:themeColor="text1"/>
          <w:sz w:val="24"/>
          <w:szCs w:val="24"/>
          <w14:ligatures w14:val="standardContextual"/>
        </w:rPr>
      </w:pPr>
      <w:hyperlink w:anchor="_Toc217638245" w:history="1">
        <w:r w:rsidRPr="002657D1">
          <w:rPr>
            <w:rStyle w:val="af2"/>
            <w:rFonts w:ascii="Times New Roman" w:hAnsi="Times New Roman" w:cs="Times New Roman"/>
            <w:bCs/>
            <w:noProof/>
            <w:color w:val="000000" w:themeColor="text1"/>
            <w:sz w:val="24"/>
            <w:szCs w:val="24"/>
          </w:rPr>
          <w:t>1.4 Mold-type ASSLMBs assembly and measurements</w:t>
        </w:r>
        <w:r w:rsidRPr="002657D1">
          <w:rPr>
            <w:rFonts w:ascii="Times New Roman" w:hAnsi="Times New Roman" w:cs="Times New Roman"/>
            <w:bCs/>
            <w:noProof/>
            <w:webHidden/>
            <w:color w:val="000000" w:themeColor="text1"/>
            <w:sz w:val="24"/>
            <w:szCs w:val="24"/>
          </w:rPr>
          <w:tab/>
        </w:r>
        <w:r w:rsidRPr="002657D1">
          <w:rPr>
            <w:rFonts w:ascii="Times New Roman" w:hAnsi="Times New Roman" w:cs="Times New Roman"/>
            <w:bCs/>
            <w:noProof/>
            <w:webHidden/>
            <w:color w:val="000000" w:themeColor="text1"/>
            <w:sz w:val="24"/>
            <w:szCs w:val="24"/>
          </w:rPr>
          <w:fldChar w:fldCharType="begin"/>
        </w:r>
        <w:r w:rsidRPr="002657D1">
          <w:rPr>
            <w:rFonts w:ascii="Times New Roman" w:hAnsi="Times New Roman" w:cs="Times New Roman"/>
            <w:bCs/>
            <w:noProof/>
            <w:webHidden/>
            <w:color w:val="000000" w:themeColor="text1"/>
            <w:sz w:val="24"/>
            <w:szCs w:val="24"/>
          </w:rPr>
          <w:instrText xml:space="preserve"> PAGEREF _Toc217638245 \h </w:instrText>
        </w:r>
        <w:r w:rsidRPr="002657D1">
          <w:rPr>
            <w:rFonts w:ascii="Times New Roman" w:hAnsi="Times New Roman" w:cs="Times New Roman"/>
            <w:bCs/>
            <w:noProof/>
            <w:webHidden/>
            <w:color w:val="000000" w:themeColor="text1"/>
            <w:sz w:val="24"/>
            <w:szCs w:val="24"/>
          </w:rPr>
        </w:r>
        <w:r w:rsidRPr="002657D1">
          <w:rPr>
            <w:rFonts w:ascii="Times New Roman" w:hAnsi="Times New Roman" w:cs="Times New Roman"/>
            <w:bCs/>
            <w:noProof/>
            <w:webHidden/>
            <w:color w:val="000000" w:themeColor="text1"/>
            <w:sz w:val="24"/>
            <w:szCs w:val="24"/>
          </w:rPr>
          <w:fldChar w:fldCharType="separate"/>
        </w:r>
        <w:r w:rsidRPr="002657D1">
          <w:rPr>
            <w:rFonts w:ascii="Times New Roman" w:hAnsi="Times New Roman" w:cs="Times New Roman"/>
            <w:bCs/>
            <w:noProof/>
            <w:webHidden/>
            <w:color w:val="000000" w:themeColor="text1"/>
            <w:sz w:val="24"/>
            <w:szCs w:val="24"/>
          </w:rPr>
          <w:t>10</w:t>
        </w:r>
        <w:r w:rsidRPr="002657D1">
          <w:rPr>
            <w:rFonts w:ascii="Times New Roman" w:hAnsi="Times New Roman" w:cs="Times New Roman"/>
            <w:bCs/>
            <w:noProof/>
            <w:webHidden/>
            <w:color w:val="000000" w:themeColor="text1"/>
            <w:sz w:val="24"/>
            <w:szCs w:val="24"/>
          </w:rPr>
          <w:fldChar w:fldCharType="end"/>
        </w:r>
      </w:hyperlink>
    </w:p>
    <w:p w14:paraId="6D95836D" w14:textId="20863259" w:rsidR="00025860" w:rsidRPr="002657D1" w:rsidRDefault="00025860">
      <w:pPr>
        <w:pStyle w:val="TOC2"/>
        <w:rPr>
          <w:rFonts w:ascii="Times New Roman" w:hAnsi="Times New Roman" w:cs="Times New Roman"/>
          <w:bCs/>
          <w:noProof/>
          <w:color w:val="000000" w:themeColor="text1"/>
          <w:sz w:val="24"/>
          <w:szCs w:val="24"/>
          <w14:ligatures w14:val="standardContextual"/>
        </w:rPr>
      </w:pPr>
      <w:hyperlink w:anchor="_Toc217638246" w:history="1">
        <w:r w:rsidRPr="002657D1">
          <w:rPr>
            <w:rStyle w:val="af2"/>
            <w:rFonts w:ascii="Times New Roman" w:hAnsi="Times New Roman" w:cs="Times New Roman"/>
            <w:bCs/>
            <w:noProof/>
            <w:color w:val="000000" w:themeColor="text1"/>
            <w:sz w:val="24"/>
            <w:szCs w:val="24"/>
          </w:rPr>
          <w:t>1.5 Pouch-type ASSLMBs assembly and measurements</w:t>
        </w:r>
        <w:r w:rsidRPr="002657D1">
          <w:rPr>
            <w:rFonts w:ascii="Times New Roman" w:hAnsi="Times New Roman" w:cs="Times New Roman"/>
            <w:bCs/>
            <w:noProof/>
            <w:webHidden/>
            <w:color w:val="000000" w:themeColor="text1"/>
            <w:sz w:val="24"/>
            <w:szCs w:val="24"/>
          </w:rPr>
          <w:tab/>
        </w:r>
        <w:r w:rsidRPr="002657D1">
          <w:rPr>
            <w:rFonts w:ascii="Times New Roman" w:hAnsi="Times New Roman" w:cs="Times New Roman"/>
            <w:bCs/>
            <w:noProof/>
            <w:webHidden/>
            <w:color w:val="000000" w:themeColor="text1"/>
            <w:sz w:val="24"/>
            <w:szCs w:val="24"/>
          </w:rPr>
          <w:fldChar w:fldCharType="begin"/>
        </w:r>
        <w:r w:rsidRPr="002657D1">
          <w:rPr>
            <w:rFonts w:ascii="Times New Roman" w:hAnsi="Times New Roman" w:cs="Times New Roman"/>
            <w:bCs/>
            <w:noProof/>
            <w:webHidden/>
            <w:color w:val="000000" w:themeColor="text1"/>
            <w:sz w:val="24"/>
            <w:szCs w:val="24"/>
          </w:rPr>
          <w:instrText xml:space="preserve"> PAGEREF _Toc217638246 \h </w:instrText>
        </w:r>
        <w:r w:rsidRPr="002657D1">
          <w:rPr>
            <w:rFonts w:ascii="Times New Roman" w:hAnsi="Times New Roman" w:cs="Times New Roman"/>
            <w:bCs/>
            <w:noProof/>
            <w:webHidden/>
            <w:color w:val="000000" w:themeColor="text1"/>
            <w:sz w:val="24"/>
            <w:szCs w:val="24"/>
          </w:rPr>
        </w:r>
        <w:r w:rsidRPr="002657D1">
          <w:rPr>
            <w:rFonts w:ascii="Times New Roman" w:hAnsi="Times New Roman" w:cs="Times New Roman"/>
            <w:bCs/>
            <w:noProof/>
            <w:webHidden/>
            <w:color w:val="000000" w:themeColor="text1"/>
            <w:sz w:val="24"/>
            <w:szCs w:val="24"/>
          </w:rPr>
          <w:fldChar w:fldCharType="separate"/>
        </w:r>
        <w:r w:rsidRPr="002657D1">
          <w:rPr>
            <w:rFonts w:ascii="Times New Roman" w:hAnsi="Times New Roman" w:cs="Times New Roman"/>
            <w:bCs/>
            <w:noProof/>
            <w:webHidden/>
            <w:color w:val="000000" w:themeColor="text1"/>
            <w:sz w:val="24"/>
            <w:szCs w:val="24"/>
          </w:rPr>
          <w:t>11</w:t>
        </w:r>
        <w:r w:rsidRPr="002657D1">
          <w:rPr>
            <w:rFonts w:ascii="Times New Roman" w:hAnsi="Times New Roman" w:cs="Times New Roman"/>
            <w:bCs/>
            <w:noProof/>
            <w:webHidden/>
            <w:color w:val="000000" w:themeColor="text1"/>
            <w:sz w:val="24"/>
            <w:szCs w:val="24"/>
          </w:rPr>
          <w:fldChar w:fldCharType="end"/>
        </w:r>
      </w:hyperlink>
    </w:p>
    <w:p w14:paraId="1BDFCD68" w14:textId="3B275EE8" w:rsidR="00025860" w:rsidRPr="002657D1" w:rsidRDefault="00025860">
      <w:pPr>
        <w:pStyle w:val="TOC2"/>
        <w:rPr>
          <w:rFonts w:ascii="Times New Roman" w:hAnsi="Times New Roman" w:cs="Times New Roman"/>
          <w:bCs/>
          <w:noProof/>
          <w:color w:val="000000" w:themeColor="text1"/>
          <w:sz w:val="24"/>
          <w:szCs w:val="24"/>
          <w14:ligatures w14:val="standardContextual"/>
        </w:rPr>
      </w:pPr>
      <w:hyperlink w:anchor="_Toc217638247" w:history="1">
        <w:r w:rsidRPr="002657D1">
          <w:rPr>
            <w:rStyle w:val="af2"/>
            <w:rFonts w:ascii="Times New Roman" w:hAnsi="Times New Roman" w:cs="Times New Roman"/>
            <w:bCs/>
            <w:noProof/>
            <w:color w:val="000000" w:themeColor="text1"/>
            <w:sz w:val="24"/>
            <w:szCs w:val="24"/>
          </w:rPr>
          <w:t>1.6 Humidity tolerance test</w:t>
        </w:r>
        <w:r w:rsidRPr="002657D1">
          <w:rPr>
            <w:rFonts w:ascii="Times New Roman" w:hAnsi="Times New Roman" w:cs="Times New Roman"/>
            <w:bCs/>
            <w:noProof/>
            <w:webHidden/>
            <w:color w:val="000000" w:themeColor="text1"/>
            <w:sz w:val="24"/>
            <w:szCs w:val="24"/>
          </w:rPr>
          <w:tab/>
        </w:r>
        <w:r w:rsidRPr="002657D1">
          <w:rPr>
            <w:rFonts w:ascii="Times New Roman" w:hAnsi="Times New Roman" w:cs="Times New Roman"/>
            <w:bCs/>
            <w:noProof/>
            <w:webHidden/>
            <w:color w:val="000000" w:themeColor="text1"/>
            <w:sz w:val="24"/>
            <w:szCs w:val="24"/>
          </w:rPr>
          <w:fldChar w:fldCharType="begin"/>
        </w:r>
        <w:r w:rsidRPr="002657D1">
          <w:rPr>
            <w:rFonts w:ascii="Times New Roman" w:hAnsi="Times New Roman" w:cs="Times New Roman"/>
            <w:bCs/>
            <w:noProof/>
            <w:webHidden/>
            <w:color w:val="000000" w:themeColor="text1"/>
            <w:sz w:val="24"/>
            <w:szCs w:val="24"/>
          </w:rPr>
          <w:instrText xml:space="preserve"> PAGEREF _Toc217638247 \h </w:instrText>
        </w:r>
        <w:r w:rsidRPr="002657D1">
          <w:rPr>
            <w:rFonts w:ascii="Times New Roman" w:hAnsi="Times New Roman" w:cs="Times New Roman"/>
            <w:bCs/>
            <w:noProof/>
            <w:webHidden/>
            <w:color w:val="000000" w:themeColor="text1"/>
            <w:sz w:val="24"/>
            <w:szCs w:val="24"/>
          </w:rPr>
        </w:r>
        <w:r w:rsidRPr="002657D1">
          <w:rPr>
            <w:rFonts w:ascii="Times New Roman" w:hAnsi="Times New Roman" w:cs="Times New Roman"/>
            <w:bCs/>
            <w:noProof/>
            <w:webHidden/>
            <w:color w:val="000000" w:themeColor="text1"/>
            <w:sz w:val="24"/>
            <w:szCs w:val="24"/>
          </w:rPr>
          <w:fldChar w:fldCharType="separate"/>
        </w:r>
        <w:r w:rsidRPr="002657D1">
          <w:rPr>
            <w:rFonts w:ascii="Times New Roman" w:hAnsi="Times New Roman" w:cs="Times New Roman"/>
            <w:bCs/>
            <w:noProof/>
            <w:webHidden/>
            <w:color w:val="000000" w:themeColor="text1"/>
            <w:sz w:val="24"/>
            <w:szCs w:val="24"/>
          </w:rPr>
          <w:t>11</w:t>
        </w:r>
        <w:r w:rsidRPr="002657D1">
          <w:rPr>
            <w:rFonts w:ascii="Times New Roman" w:hAnsi="Times New Roman" w:cs="Times New Roman"/>
            <w:bCs/>
            <w:noProof/>
            <w:webHidden/>
            <w:color w:val="000000" w:themeColor="text1"/>
            <w:sz w:val="24"/>
            <w:szCs w:val="24"/>
          </w:rPr>
          <w:fldChar w:fldCharType="end"/>
        </w:r>
      </w:hyperlink>
    </w:p>
    <w:p w14:paraId="73D7DC54" w14:textId="30407506" w:rsidR="00025860" w:rsidRPr="002657D1" w:rsidRDefault="00025860">
      <w:pPr>
        <w:pStyle w:val="TOC2"/>
        <w:rPr>
          <w:rFonts w:ascii="Times New Roman" w:hAnsi="Times New Roman" w:cs="Times New Roman"/>
          <w:bCs/>
          <w:noProof/>
          <w:color w:val="000000" w:themeColor="text1"/>
          <w:sz w:val="24"/>
          <w:szCs w:val="24"/>
          <w14:ligatures w14:val="standardContextual"/>
        </w:rPr>
      </w:pPr>
      <w:hyperlink w:anchor="_Toc217638248" w:history="1">
        <w:r w:rsidRPr="002657D1">
          <w:rPr>
            <w:rStyle w:val="af2"/>
            <w:rFonts w:ascii="Times New Roman" w:hAnsi="Times New Roman" w:cs="Times New Roman"/>
            <w:bCs/>
            <w:noProof/>
            <w:color w:val="000000" w:themeColor="text1"/>
            <w:sz w:val="24"/>
            <w:szCs w:val="24"/>
          </w:rPr>
          <w:t>1.7 Density functional theory calculations</w:t>
        </w:r>
        <w:r w:rsidRPr="002657D1">
          <w:rPr>
            <w:rFonts w:ascii="Times New Roman" w:hAnsi="Times New Roman" w:cs="Times New Roman"/>
            <w:bCs/>
            <w:noProof/>
            <w:webHidden/>
            <w:color w:val="000000" w:themeColor="text1"/>
            <w:sz w:val="24"/>
            <w:szCs w:val="24"/>
          </w:rPr>
          <w:tab/>
        </w:r>
        <w:r w:rsidRPr="002657D1">
          <w:rPr>
            <w:rFonts w:ascii="Times New Roman" w:hAnsi="Times New Roman" w:cs="Times New Roman"/>
            <w:bCs/>
            <w:noProof/>
            <w:webHidden/>
            <w:color w:val="000000" w:themeColor="text1"/>
            <w:sz w:val="24"/>
            <w:szCs w:val="24"/>
          </w:rPr>
          <w:fldChar w:fldCharType="begin"/>
        </w:r>
        <w:r w:rsidRPr="002657D1">
          <w:rPr>
            <w:rFonts w:ascii="Times New Roman" w:hAnsi="Times New Roman" w:cs="Times New Roman"/>
            <w:bCs/>
            <w:noProof/>
            <w:webHidden/>
            <w:color w:val="000000" w:themeColor="text1"/>
            <w:sz w:val="24"/>
            <w:szCs w:val="24"/>
          </w:rPr>
          <w:instrText xml:space="preserve"> PAGEREF _Toc217638248 \h </w:instrText>
        </w:r>
        <w:r w:rsidRPr="002657D1">
          <w:rPr>
            <w:rFonts w:ascii="Times New Roman" w:hAnsi="Times New Roman" w:cs="Times New Roman"/>
            <w:bCs/>
            <w:noProof/>
            <w:webHidden/>
            <w:color w:val="000000" w:themeColor="text1"/>
            <w:sz w:val="24"/>
            <w:szCs w:val="24"/>
          </w:rPr>
        </w:r>
        <w:r w:rsidRPr="002657D1">
          <w:rPr>
            <w:rFonts w:ascii="Times New Roman" w:hAnsi="Times New Roman" w:cs="Times New Roman"/>
            <w:bCs/>
            <w:noProof/>
            <w:webHidden/>
            <w:color w:val="000000" w:themeColor="text1"/>
            <w:sz w:val="24"/>
            <w:szCs w:val="24"/>
          </w:rPr>
          <w:fldChar w:fldCharType="separate"/>
        </w:r>
        <w:r w:rsidRPr="002657D1">
          <w:rPr>
            <w:rFonts w:ascii="Times New Roman" w:hAnsi="Times New Roman" w:cs="Times New Roman"/>
            <w:bCs/>
            <w:noProof/>
            <w:webHidden/>
            <w:color w:val="000000" w:themeColor="text1"/>
            <w:sz w:val="24"/>
            <w:szCs w:val="24"/>
          </w:rPr>
          <w:t>11</w:t>
        </w:r>
        <w:r w:rsidRPr="002657D1">
          <w:rPr>
            <w:rFonts w:ascii="Times New Roman" w:hAnsi="Times New Roman" w:cs="Times New Roman"/>
            <w:bCs/>
            <w:noProof/>
            <w:webHidden/>
            <w:color w:val="000000" w:themeColor="text1"/>
            <w:sz w:val="24"/>
            <w:szCs w:val="24"/>
          </w:rPr>
          <w:fldChar w:fldCharType="end"/>
        </w:r>
      </w:hyperlink>
    </w:p>
    <w:p w14:paraId="3B2C82A5" w14:textId="39E5D864" w:rsidR="00025860" w:rsidRPr="002657D1" w:rsidRDefault="00025860">
      <w:pPr>
        <w:pStyle w:val="TOC2"/>
        <w:rPr>
          <w:rFonts w:ascii="Times New Roman" w:hAnsi="Times New Roman" w:cs="Times New Roman"/>
          <w:bCs/>
          <w:noProof/>
          <w:color w:val="000000" w:themeColor="text1"/>
          <w:sz w:val="24"/>
          <w:szCs w:val="24"/>
          <w14:ligatures w14:val="standardContextual"/>
        </w:rPr>
      </w:pPr>
      <w:hyperlink w:anchor="_Toc217638249" w:history="1">
        <w:r w:rsidRPr="002657D1">
          <w:rPr>
            <w:rStyle w:val="af2"/>
            <w:rFonts w:ascii="Times New Roman" w:hAnsi="Times New Roman" w:cs="Times New Roman"/>
            <w:bCs/>
            <w:noProof/>
            <w:color w:val="000000" w:themeColor="text1"/>
            <w:sz w:val="24"/>
            <w:szCs w:val="24"/>
          </w:rPr>
          <w:t>1.8 Ab initio molecular dynamics simulations</w:t>
        </w:r>
        <w:r w:rsidRPr="002657D1">
          <w:rPr>
            <w:rFonts w:ascii="Times New Roman" w:hAnsi="Times New Roman" w:cs="Times New Roman"/>
            <w:bCs/>
            <w:noProof/>
            <w:webHidden/>
            <w:color w:val="000000" w:themeColor="text1"/>
            <w:sz w:val="24"/>
            <w:szCs w:val="24"/>
          </w:rPr>
          <w:tab/>
        </w:r>
        <w:r w:rsidRPr="002657D1">
          <w:rPr>
            <w:rFonts w:ascii="Times New Roman" w:hAnsi="Times New Roman" w:cs="Times New Roman"/>
            <w:bCs/>
            <w:noProof/>
            <w:webHidden/>
            <w:color w:val="000000" w:themeColor="text1"/>
            <w:sz w:val="24"/>
            <w:szCs w:val="24"/>
          </w:rPr>
          <w:fldChar w:fldCharType="begin"/>
        </w:r>
        <w:r w:rsidRPr="002657D1">
          <w:rPr>
            <w:rFonts w:ascii="Times New Roman" w:hAnsi="Times New Roman" w:cs="Times New Roman"/>
            <w:bCs/>
            <w:noProof/>
            <w:webHidden/>
            <w:color w:val="000000" w:themeColor="text1"/>
            <w:sz w:val="24"/>
            <w:szCs w:val="24"/>
          </w:rPr>
          <w:instrText xml:space="preserve"> PAGEREF _Toc217638249 \h </w:instrText>
        </w:r>
        <w:r w:rsidRPr="002657D1">
          <w:rPr>
            <w:rFonts w:ascii="Times New Roman" w:hAnsi="Times New Roman" w:cs="Times New Roman"/>
            <w:bCs/>
            <w:noProof/>
            <w:webHidden/>
            <w:color w:val="000000" w:themeColor="text1"/>
            <w:sz w:val="24"/>
            <w:szCs w:val="24"/>
          </w:rPr>
        </w:r>
        <w:r w:rsidRPr="002657D1">
          <w:rPr>
            <w:rFonts w:ascii="Times New Roman" w:hAnsi="Times New Roman" w:cs="Times New Roman"/>
            <w:bCs/>
            <w:noProof/>
            <w:webHidden/>
            <w:color w:val="000000" w:themeColor="text1"/>
            <w:sz w:val="24"/>
            <w:szCs w:val="24"/>
          </w:rPr>
          <w:fldChar w:fldCharType="separate"/>
        </w:r>
        <w:r w:rsidRPr="002657D1">
          <w:rPr>
            <w:rFonts w:ascii="Times New Roman" w:hAnsi="Times New Roman" w:cs="Times New Roman"/>
            <w:bCs/>
            <w:noProof/>
            <w:webHidden/>
            <w:color w:val="000000" w:themeColor="text1"/>
            <w:sz w:val="24"/>
            <w:szCs w:val="24"/>
          </w:rPr>
          <w:t>12</w:t>
        </w:r>
        <w:r w:rsidRPr="002657D1">
          <w:rPr>
            <w:rFonts w:ascii="Times New Roman" w:hAnsi="Times New Roman" w:cs="Times New Roman"/>
            <w:bCs/>
            <w:noProof/>
            <w:webHidden/>
            <w:color w:val="000000" w:themeColor="text1"/>
            <w:sz w:val="24"/>
            <w:szCs w:val="24"/>
          </w:rPr>
          <w:fldChar w:fldCharType="end"/>
        </w:r>
      </w:hyperlink>
    </w:p>
    <w:p w14:paraId="359CBECC" w14:textId="62B1E700" w:rsidR="00025860" w:rsidRPr="002657D1" w:rsidRDefault="00025860">
      <w:pPr>
        <w:pStyle w:val="TOC2"/>
        <w:rPr>
          <w:rFonts w:ascii="Times New Roman" w:hAnsi="Times New Roman" w:cs="Times New Roman"/>
          <w:bCs/>
          <w:noProof/>
          <w:color w:val="000000" w:themeColor="text1"/>
          <w:sz w:val="24"/>
          <w:szCs w:val="24"/>
          <w14:ligatures w14:val="standardContextual"/>
        </w:rPr>
      </w:pPr>
      <w:hyperlink w:anchor="_Toc217638250" w:history="1">
        <w:r w:rsidRPr="002657D1">
          <w:rPr>
            <w:rStyle w:val="af2"/>
            <w:rFonts w:ascii="Times New Roman" w:hAnsi="Times New Roman" w:cs="Times New Roman"/>
            <w:bCs/>
            <w:noProof/>
            <w:color w:val="000000" w:themeColor="text1"/>
            <w:sz w:val="24"/>
            <w:szCs w:val="24"/>
          </w:rPr>
          <w:t>1.9 Nudged elastic band calculations</w:t>
        </w:r>
        <w:r w:rsidRPr="002657D1">
          <w:rPr>
            <w:rFonts w:ascii="Times New Roman" w:hAnsi="Times New Roman" w:cs="Times New Roman"/>
            <w:bCs/>
            <w:noProof/>
            <w:webHidden/>
            <w:color w:val="000000" w:themeColor="text1"/>
            <w:sz w:val="24"/>
            <w:szCs w:val="24"/>
          </w:rPr>
          <w:tab/>
        </w:r>
        <w:r w:rsidRPr="002657D1">
          <w:rPr>
            <w:rFonts w:ascii="Times New Roman" w:hAnsi="Times New Roman" w:cs="Times New Roman"/>
            <w:bCs/>
            <w:noProof/>
            <w:webHidden/>
            <w:color w:val="000000" w:themeColor="text1"/>
            <w:sz w:val="24"/>
            <w:szCs w:val="24"/>
          </w:rPr>
          <w:fldChar w:fldCharType="begin"/>
        </w:r>
        <w:r w:rsidRPr="002657D1">
          <w:rPr>
            <w:rFonts w:ascii="Times New Roman" w:hAnsi="Times New Roman" w:cs="Times New Roman"/>
            <w:bCs/>
            <w:noProof/>
            <w:webHidden/>
            <w:color w:val="000000" w:themeColor="text1"/>
            <w:sz w:val="24"/>
            <w:szCs w:val="24"/>
          </w:rPr>
          <w:instrText xml:space="preserve"> PAGEREF _Toc217638250 \h </w:instrText>
        </w:r>
        <w:r w:rsidRPr="002657D1">
          <w:rPr>
            <w:rFonts w:ascii="Times New Roman" w:hAnsi="Times New Roman" w:cs="Times New Roman"/>
            <w:bCs/>
            <w:noProof/>
            <w:webHidden/>
            <w:color w:val="000000" w:themeColor="text1"/>
            <w:sz w:val="24"/>
            <w:szCs w:val="24"/>
          </w:rPr>
        </w:r>
        <w:r w:rsidRPr="002657D1">
          <w:rPr>
            <w:rFonts w:ascii="Times New Roman" w:hAnsi="Times New Roman" w:cs="Times New Roman"/>
            <w:bCs/>
            <w:noProof/>
            <w:webHidden/>
            <w:color w:val="000000" w:themeColor="text1"/>
            <w:sz w:val="24"/>
            <w:szCs w:val="24"/>
          </w:rPr>
          <w:fldChar w:fldCharType="separate"/>
        </w:r>
        <w:r w:rsidRPr="002657D1">
          <w:rPr>
            <w:rFonts w:ascii="Times New Roman" w:hAnsi="Times New Roman" w:cs="Times New Roman"/>
            <w:bCs/>
            <w:noProof/>
            <w:webHidden/>
            <w:color w:val="000000" w:themeColor="text1"/>
            <w:sz w:val="24"/>
            <w:szCs w:val="24"/>
          </w:rPr>
          <w:t>12</w:t>
        </w:r>
        <w:r w:rsidRPr="002657D1">
          <w:rPr>
            <w:rFonts w:ascii="Times New Roman" w:hAnsi="Times New Roman" w:cs="Times New Roman"/>
            <w:bCs/>
            <w:noProof/>
            <w:webHidden/>
            <w:color w:val="000000" w:themeColor="text1"/>
            <w:sz w:val="24"/>
            <w:szCs w:val="24"/>
          </w:rPr>
          <w:fldChar w:fldCharType="end"/>
        </w:r>
      </w:hyperlink>
    </w:p>
    <w:p w14:paraId="59505D31" w14:textId="076F24F3" w:rsidR="00025860" w:rsidRPr="002657D1" w:rsidRDefault="00025860">
      <w:pPr>
        <w:pStyle w:val="TOC2"/>
        <w:rPr>
          <w:rFonts w:ascii="Times New Roman" w:hAnsi="Times New Roman" w:cs="Times New Roman"/>
          <w:bCs/>
          <w:noProof/>
          <w:color w:val="000000" w:themeColor="text1"/>
          <w:sz w:val="24"/>
          <w:szCs w:val="24"/>
          <w14:ligatures w14:val="standardContextual"/>
        </w:rPr>
      </w:pPr>
      <w:hyperlink w:anchor="_Toc217638251" w:history="1">
        <w:r w:rsidRPr="002657D1">
          <w:rPr>
            <w:rStyle w:val="af2"/>
            <w:rFonts w:ascii="Times New Roman" w:hAnsi="Times New Roman" w:cs="Times New Roman"/>
            <w:bCs/>
            <w:noProof/>
            <w:color w:val="000000" w:themeColor="text1"/>
            <w:sz w:val="24"/>
            <w:szCs w:val="24"/>
          </w:rPr>
          <w:t>1.10 Site ordering of LZC-10TF</w:t>
        </w:r>
        <w:r w:rsidRPr="002657D1">
          <w:rPr>
            <w:rFonts w:ascii="Times New Roman" w:hAnsi="Times New Roman" w:cs="Times New Roman"/>
            <w:bCs/>
            <w:noProof/>
            <w:webHidden/>
            <w:color w:val="000000" w:themeColor="text1"/>
            <w:sz w:val="24"/>
            <w:szCs w:val="24"/>
          </w:rPr>
          <w:tab/>
        </w:r>
        <w:r w:rsidRPr="002657D1">
          <w:rPr>
            <w:rFonts w:ascii="Times New Roman" w:hAnsi="Times New Roman" w:cs="Times New Roman"/>
            <w:bCs/>
            <w:noProof/>
            <w:webHidden/>
            <w:color w:val="000000" w:themeColor="text1"/>
            <w:sz w:val="24"/>
            <w:szCs w:val="24"/>
          </w:rPr>
          <w:fldChar w:fldCharType="begin"/>
        </w:r>
        <w:r w:rsidRPr="002657D1">
          <w:rPr>
            <w:rFonts w:ascii="Times New Roman" w:hAnsi="Times New Roman" w:cs="Times New Roman"/>
            <w:bCs/>
            <w:noProof/>
            <w:webHidden/>
            <w:color w:val="000000" w:themeColor="text1"/>
            <w:sz w:val="24"/>
            <w:szCs w:val="24"/>
          </w:rPr>
          <w:instrText xml:space="preserve"> PAGEREF _Toc217638251 \h </w:instrText>
        </w:r>
        <w:r w:rsidRPr="002657D1">
          <w:rPr>
            <w:rFonts w:ascii="Times New Roman" w:hAnsi="Times New Roman" w:cs="Times New Roman"/>
            <w:bCs/>
            <w:noProof/>
            <w:webHidden/>
            <w:color w:val="000000" w:themeColor="text1"/>
            <w:sz w:val="24"/>
            <w:szCs w:val="24"/>
          </w:rPr>
        </w:r>
        <w:r w:rsidRPr="002657D1">
          <w:rPr>
            <w:rFonts w:ascii="Times New Roman" w:hAnsi="Times New Roman" w:cs="Times New Roman"/>
            <w:bCs/>
            <w:noProof/>
            <w:webHidden/>
            <w:color w:val="000000" w:themeColor="text1"/>
            <w:sz w:val="24"/>
            <w:szCs w:val="24"/>
          </w:rPr>
          <w:fldChar w:fldCharType="separate"/>
        </w:r>
        <w:r w:rsidRPr="002657D1">
          <w:rPr>
            <w:rFonts w:ascii="Times New Roman" w:hAnsi="Times New Roman" w:cs="Times New Roman"/>
            <w:bCs/>
            <w:noProof/>
            <w:webHidden/>
            <w:color w:val="000000" w:themeColor="text1"/>
            <w:sz w:val="24"/>
            <w:szCs w:val="24"/>
          </w:rPr>
          <w:t>13</w:t>
        </w:r>
        <w:r w:rsidRPr="002657D1">
          <w:rPr>
            <w:rFonts w:ascii="Times New Roman" w:hAnsi="Times New Roman" w:cs="Times New Roman"/>
            <w:bCs/>
            <w:noProof/>
            <w:webHidden/>
            <w:color w:val="000000" w:themeColor="text1"/>
            <w:sz w:val="24"/>
            <w:szCs w:val="24"/>
          </w:rPr>
          <w:fldChar w:fldCharType="end"/>
        </w:r>
      </w:hyperlink>
    </w:p>
    <w:p w14:paraId="7B140CC5" w14:textId="083D32BC" w:rsidR="00025860" w:rsidRPr="002657D1" w:rsidRDefault="00025860">
      <w:pPr>
        <w:pStyle w:val="TOC2"/>
        <w:rPr>
          <w:rFonts w:ascii="Times New Roman" w:hAnsi="Times New Roman" w:cs="Times New Roman"/>
          <w:bCs/>
          <w:noProof/>
          <w:color w:val="000000" w:themeColor="text1"/>
          <w:sz w:val="24"/>
          <w:szCs w:val="24"/>
          <w14:ligatures w14:val="standardContextual"/>
        </w:rPr>
      </w:pPr>
      <w:hyperlink w:anchor="_Toc217638252" w:history="1">
        <w:r w:rsidRPr="002657D1">
          <w:rPr>
            <w:rStyle w:val="af2"/>
            <w:rFonts w:ascii="Times New Roman" w:hAnsi="Times New Roman" w:cs="Times New Roman"/>
            <w:bCs/>
            <w:noProof/>
            <w:color w:val="000000" w:themeColor="text1"/>
            <w:sz w:val="24"/>
            <w:szCs w:val="24"/>
          </w:rPr>
          <w:t>1.11 Charge density difference and electron localization function calculations</w:t>
        </w:r>
        <w:r w:rsidRPr="002657D1">
          <w:rPr>
            <w:rFonts w:ascii="Times New Roman" w:hAnsi="Times New Roman" w:cs="Times New Roman"/>
            <w:bCs/>
            <w:noProof/>
            <w:webHidden/>
            <w:color w:val="000000" w:themeColor="text1"/>
            <w:sz w:val="24"/>
            <w:szCs w:val="24"/>
          </w:rPr>
          <w:tab/>
        </w:r>
        <w:r w:rsidRPr="002657D1">
          <w:rPr>
            <w:rFonts w:ascii="Times New Roman" w:hAnsi="Times New Roman" w:cs="Times New Roman"/>
            <w:bCs/>
            <w:noProof/>
            <w:webHidden/>
            <w:color w:val="000000" w:themeColor="text1"/>
            <w:sz w:val="24"/>
            <w:szCs w:val="24"/>
          </w:rPr>
          <w:fldChar w:fldCharType="begin"/>
        </w:r>
        <w:r w:rsidRPr="002657D1">
          <w:rPr>
            <w:rFonts w:ascii="Times New Roman" w:hAnsi="Times New Roman" w:cs="Times New Roman"/>
            <w:bCs/>
            <w:noProof/>
            <w:webHidden/>
            <w:color w:val="000000" w:themeColor="text1"/>
            <w:sz w:val="24"/>
            <w:szCs w:val="24"/>
          </w:rPr>
          <w:instrText xml:space="preserve"> PAGEREF _Toc217638252 \h </w:instrText>
        </w:r>
        <w:r w:rsidRPr="002657D1">
          <w:rPr>
            <w:rFonts w:ascii="Times New Roman" w:hAnsi="Times New Roman" w:cs="Times New Roman"/>
            <w:bCs/>
            <w:noProof/>
            <w:webHidden/>
            <w:color w:val="000000" w:themeColor="text1"/>
            <w:sz w:val="24"/>
            <w:szCs w:val="24"/>
          </w:rPr>
        </w:r>
        <w:r w:rsidRPr="002657D1">
          <w:rPr>
            <w:rFonts w:ascii="Times New Roman" w:hAnsi="Times New Roman" w:cs="Times New Roman"/>
            <w:bCs/>
            <w:noProof/>
            <w:webHidden/>
            <w:color w:val="000000" w:themeColor="text1"/>
            <w:sz w:val="24"/>
            <w:szCs w:val="24"/>
          </w:rPr>
          <w:fldChar w:fldCharType="separate"/>
        </w:r>
        <w:r w:rsidRPr="002657D1">
          <w:rPr>
            <w:rFonts w:ascii="Times New Roman" w:hAnsi="Times New Roman" w:cs="Times New Roman"/>
            <w:bCs/>
            <w:noProof/>
            <w:webHidden/>
            <w:color w:val="000000" w:themeColor="text1"/>
            <w:sz w:val="24"/>
            <w:szCs w:val="24"/>
          </w:rPr>
          <w:t>13</w:t>
        </w:r>
        <w:r w:rsidRPr="002657D1">
          <w:rPr>
            <w:rFonts w:ascii="Times New Roman" w:hAnsi="Times New Roman" w:cs="Times New Roman"/>
            <w:bCs/>
            <w:noProof/>
            <w:webHidden/>
            <w:color w:val="000000" w:themeColor="text1"/>
            <w:sz w:val="24"/>
            <w:szCs w:val="24"/>
          </w:rPr>
          <w:fldChar w:fldCharType="end"/>
        </w:r>
      </w:hyperlink>
    </w:p>
    <w:p w14:paraId="4B3AD7F4" w14:textId="7E1F4215" w:rsidR="00025860" w:rsidRPr="002657D1" w:rsidRDefault="00025860">
      <w:pPr>
        <w:pStyle w:val="TOC2"/>
        <w:rPr>
          <w:rFonts w:ascii="Times New Roman" w:hAnsi="Times New Roman" w:cs="Times New Roman"/>
          <w:bCs/>
          <w:noProof/>
          <w:color w:val="000000" w:themeColor="text1"/>
          <w:sz w:val="24"/>
          <w:szCs w:val="24"/>
          <w14:ligatures w14:val="standardContextual"/>
        </w:rPr>
      </w:pPr>
      <w:hyperlink w:anchor="_Toc217638253" w:history="1">
        <w:r w:rsidRPr="002657D1">
          <w:rPr>
            <w:rStyle w:val="af2"/>
            <w:rFonts w:ascii="Times New Roman" w:hAnsi="Times New Roman" w:cs="Times New Roman"/>
            <w:bCs/>
            <w:noProof/>
            <w:color w:val="000000" w:themeColor="text1"/>
            <w:sz w:val="24"/>
            <w:szCs w:val="24"/>
          </w:rPr>
          <w:t>1.12 Density of state calculations</w:t>
        </w:r>
        <w:r w:rsidRPr="002657D1">
          <w:rPr>
            <w:rFonts w:ascii="Times New Roman" w:hAnsi="Times New Roman" w:cs="Times New Roman"/>
            <w:bCs/>
            <w:noProof/>
            <w:webHidden/>
            <w:color w:val="000000" w:themeColor="text1"/>
            <w:sz w:val="24"/>
            <w:szCs w:val="24"/>
          </w:rPr>
          <w:tab/>
        </w:r>
        <w:r w:rsidRPr="002657D1">
          <w:rPr>
            <w:rFonts w:ascii="Times New Roman" w:hAnsi="Times New Roman" w:cs="Times New Roman"/>
            <w:bCs/>
            <w:noProof/>
            <w:webHidden/>
            <w:color w:val="000000" w:themeColor="text1"/>
            <w:sz w:val="24"/>
            <w:szCs w:val="24"/>
          </w:rPr>
          <w:fldChar w:fldCharType="begin"/>
        </w:r>
        <w:r w:rsidRPr="002657D1">
          <w:rPr>
            <w:rFonts w:ascii="Times New Roman" w:hAnsi="Times New Roman" w:cs="Times New Roman"/>
            <w:bCs/>
            <w:noProof/>
            <w:webHidden/>
            <w:color w:val="000000" w:themeColor="text1"/>
            <w:sz w:val="24"/>
            <w:szCs w:val="24"/>
          </w:rPr>
          <w:instrText xml:space="preserve"> PAGEREF _Toc217638253 \h </w:instrText>
        </w:r>
        <w:r w:rsidRPr="002657D1">
          <w:rPr>
            <w:rFonts w:ascii="Times New Roman" w:hAnsi="Times New Roman" w:cs="Times New Roman"/>
            <w:bCs/>
            <w:noProof/>
            <w:webHidden/>
            <w:color w:val="000000" w:themeColor="text1"/>
            <w:sz w:val="24"/>
            <w:szCs w:val="24"/>
          </w:rPr>
        </w:r>
        <w:r w:rsidRPr="002657D1">
          <w:rPr>
            <w:rFonts w:ascii="Times New Roman" w:hAnsi="Times New Roman" w:cs="Times New Roman"/>
            <w:bCs/>
            <w:noProof/>
            <w:webHidden/>
            <w:color w:val="000000" w:themeColor="text1"/>
            <w:sz w:val="24"/>
            <w:szCs w:val="24"/>
          </w:rPr>
          <w:fldChar w:fldCharType="separate"/>
        </w:r>
        <w:r w:rsidRPr="002657D1">
          <w:rPr>
            <w:rFonts w:ascii="Times New Roman" w:hAnsi="Times New Roman" w:cs="Times New Roman"/>
            <w:bCs/>
            <w:noProof/>
            <w:webHidden/>
            <w:color w:val="000000" w:themeColor="text1"/>
            <w:sz w:val="24"/>
            <w:szCs w:val="24"/>
          </w:rPr>
          <w:t>14</w:t>
        </w:r>
        <w:r w:rsidRPr="002657D1">
          <w:rPr>
            <w:rFonts w:ascii="Times New Roman" w:hAnsi="Times New Roman" w:cs="Times New Roman"/>
            <w:bCs/>
            <w:noProof/>
            <w:webHidden/>
            <w:color w:val="000000" w:themeColor="text1"/>
            <w:sz w:val="24"/>
            <w:szCs w:val="24"/>
          </w:rPr>
          <w:fldChar w:fldCharType="end"/>
        </w:r>
      </w:hyperlink>
    </w:p>
    <w:p w14:paraId="2B7B852E" w14:textId="2B435D5B" w:rsidR="00025860" w:rsidRPr="002657D1" w:rsidRDefault="00025860">
      <w:pPr>
        <w:pStyle w:val="TOC2"/>
        <w:rPr>
          <w:rFonts w:ascii="Times New Roman" w:hAnsi="Times New Roman" w:cs="Times New Roman"/>
          <w:bCs/>
          <w:noProof/>
          <w:color w:val="000000" w:themeColor="text1"/>
          <w:sz w:val="24"/>
          <w:szCs w:val="24"/>
          <w14:ligatures w14:val="standardContextual"/>
        </w:rPr>
      </w:pPr>
      <w:hyperlink w:anchor="_Toc217638254" w:history="1">
        <w:r w:rsidRPr="002657D1">
          <w:rPr>
            <w:rStyle w:val="af2"/>
            <w:rFonts w:ascii="Times New Roman" w:hAnsi="Times New Roman" w:cs="Times New Roman"/>
            <w:bCs/>
            <w:noProof/>
            <w:color w:val="000000" w:themeColor="text1"/>
            <w:sz w:val="24"/>
            <w:szCs w:val="24"/>
          </w:rPr>
          <w:t>1.13 Bond-valence site energy calculations</w:t>
        </w:r>
        <w:r w:rsidRPr="002657D1">
          <w:rPr>
            <w:rFonts w:ascii="Times New Roman" w:hAnsi="Times New Roman" w:cs="Times New Roman"/>
            <w:bCs/>
            <w:noProof/>
            <w:webHidden/>
            <w:color w:val="000000" w:themeColor="text1"/>
            <w:sz w:val="24"/>
            <w:szCs w:val="24"/>
          </w:rPr>
          <w:tab/>
        </w:r>
        <w:r w:rsidRPr="002657D1">
          <w:rPr>
            <w:rFonts w:ascii="Times New Roman" w:hAnsi="Times New Roman" w:cs="Times New Roman"/>
            <w:bCs/>
            <w:noProof/>
            <w:webHidden/>
            <w:color w:val="000000" w:themeColor="text1"/>
            <w:sz w:val="24"/>
            <w:szCs w:val="24"/>
          </w:rPr>
          <w:fldChar w:fldCharType="begin"/>
        </w:r>
        <w:r w:rsidRPr="002657D1">
          <w:rPr>
            <w:rFonts w:ascii="Times New Roman" w:hAnsi="Times New Roman" w:cs="Times New Roman"/>
            <w:bCs/>
            <w:noProof/>
            <w:webHidden/>
            <w:color w:val="000000" w:themeColor="text1"/>
            <w:sz w:val="24"/>
            <w:szCs w:val="24"/>
          </w:rPr>
          <w:instrText xml:space="preserve"> PAGEREF _Toc217638254 \h </w:instrText>
        </w:r>
        <w:r w:rsidRPr="002657D1">
          <w:rPr>
            <w:rFonts w:ascii="Times New Roman" w:hAnsi="Times New Roman" w:cs="Times New Roman"/>
            <w:bCs/>
            <w:noProof/>
            <w:webHidden/>
            <w:color w:val="000000" w:themeColor="text1"/>
            <w:sz w:val="24"/>
            <w:szCs w:val="24"/>
          </w:rPr>
        </w:r>
        <w:r w:rsidRPr="002657D1">
          <w:rPr>
            <w:rFonts w:ascii="Times New Roman" w:hAnsi="Times New Roman" w:cs="Times New Roman"/>
            <w:bCs/>
            <w:noProof/>
            <w:webHidden/>
            <w:color w:val="000000" w:themeColor="text1"/>
            <w:sz w:val="24"/>
            <w:szCs w:val="24"/>
          </w:rPr>
          <w:fldChar w:fldCharType="separate"/>
        </w:r>
        <w:r w:rsidRPr="002657D1">
          <w:rPr>
            <w:rFonts w:ascii="Times New Roman" w:hAnsi="Times New Roman" w:cs="Times New Roman"/>
            <w:bCs/>
            <w:noProof/>
            <w:webHidden/>
            <w:color w:val="000000" w:themeColor="text1"/>
            <w:sz w:val="24"/>
            <w:szCs w:val="24"/>
          </w:rPr>
          <w:t>14</w:t>
        </w:r>
        <w:r w:rsidRPr="002657D1">
          <w:rPr>
            <w:rFonts w:ascii="Times New Roman" w:hAnsi="Times New Roman" w:cs="Times New Roman"/>
            <w:bCs/>
            <w:noProof/>
            <w:webHidden/>
            <w:color w:val="000000" w:themeColor="text1"/>
            <w:sz w:val="24"/>
            <w:szCs w:val="24"/>
          </w:rPr>
          <w:fldChar w:fldCharType="end"/>
        </w:r>
      </w:hyperlink>
    </w:p>
    <w:p w14:paraId="3CB111E0" w14:textId="7595DED3" w:rsidR="00025860" w:rsidRPr="002657D1" w:rsidRDefault="00025860" w:rsidP="00583E16">
      <w:pPr>
        <w:pStyle w:val="TOC1"/>
        <w:rPr>
          <w:noProof/>
          <w14:ligatures w14:val="standardContextual"/>
        </w:rPr>
      </w:pPr>
      <w:hyperlink w:anchor="_Toc217638255" w:history="1">
        <w:r w:rsidRPr="002657D1">
          <w:rPr>
            <w:rStyle w:val="af2"/>
            <w:bCs/>
            <w:noProof/>
            <w:color w:val="000000" w:themeColor="text1"/>
          </w:rPr>
          <w:t>2. Supplementary Figures</w:t>
        </w:r>
        <w:r w:rsidRPr="002657D1">
          <w:rPr>
            <w:noProof/>
            <w:webHidden/>
          </w:rPr>
          <w:tab/>
        </w:r>
        <w:r w:rsidRPr="002657D1">
          <w:rPr>
            <w:noProof/>
            <w:webHidden/>
          </w:rPr>
          <w:fldChar w:fldCharType="begin"/>
        </w:r>
        <w:r w:rsidRPr="002657D1">
          <w:rPr>
            <w:noProof/>
            <w:webHidden/>
          </w:rPr>
          <w:instrText xml:space="preserve"> PAGEREF _Toc217638255 \h </w:instrText>
        </w:r>
        <w:r w:rsidRPr="002657D1">
          <w:rPr>
            <w:noProof/>
            <w:webHidden/>
          </w:rPr>
        </w:r>
        <w:r w:rsidRPr="002657D1">
          <w:rPr>
            <w:noProof/>
            <w:webHidden/>
          </w:rPr>
          <w:fldChar w:fldCharType="separate"/>
        </w:r>
        <w:r w:rsidRPr="002657D1">
          <w:rPr>
            <w:noProof/>
            <w:webHidden/>
          </w:rPr>
          <w:t>15</w:t>
        </w:r>
        <w:r w:rsidRPr="002657D1">
          <w:rPr>
            <w:noProof/>
            <w:webHidden/>
          </w:rPr>
          <w:fldChar w:fldCharType="end"/>
        </w:r>
      </w:hyperlink>
    </w:p>
    <w:p w14:paraId="700781E2" w14:textId="2FE49FDC" w:rsidR="00025860" w:rsidRPr="002657D1" w:rsidRDefault="00025860" w:rsidP="00583E16">
      <w:pPr>
        <w:pStyle w:val="TOC1"/>
        <w:rPr>
          <w:noProof/>
          <w14:ligatures w14:val="standardContextual"/>
        </w:rPr>
      </w:pPr>
      <w:hyperlink w:anchor="_Toc217638256" w:history="1">
        <w:r w:rsidRPr="002657D1">
          <w:rPr>
            <w:rStyle w:val="af2"/>
            <w:bCs/>
            <w:noProof/>
            <w:color w:val="000000" w:themeColor="text1"/>
          </w:rPr>
          <w:t>3. Supplementary Tables</w:t>
        </w:r>
        <w:r w:rsidRPr="002657D1">
          <w:rPr>
            <w:noProof/>
            <w:webHidden/>
          </w:rPr>
          <w:tab/>
        </w:r>
        <w:r w:rsidRPr="002657D1">
          <w:rPr>
            <w:noProof/>
            <w:webHidden/>
          </w:rPr>
          <w:fldChar w:fldCharType="begin"/>
        </w:r>
        <w:r w:rsidRPr="002657D1">
          <w:rPr>
            <w:noProof/>
            <w:webHidden/>
          </w:rPr>
          <w:instrText xml:space="preserve"> PAGEREF _Toc217638256 \h </w:instrText>
        </w:r>
        <w:r w:rsidRPr="002657D1">
          <w:rPr>
            <w:noProof/>
            <w:webHidden/>
          </w:rPr>
        </w:r>
        <w:r w:rsidRPr="002657D1">
          <w:rPr>
            <w:noProof/>
            <w:webHidden/>
          </w:rPr>
          <w:fldChar w:fldCharType="separate"/>
        </w:r>
        <w:r w:rsidRPr="002657D1">
          <w:rPr>
            <w:noProof/>
            <w:webHidden/>
          </w:rPr>
          <w:t>66</w:t>
        </w:r>
        <w:r w:rsidRPr="002657D1">
          <w:rPr>
            <w:noProof/>
            <w:webHidden/>
          </w:rPr>
          <w:fldChar w:fldCharType="end"/>
        </w:r>
      </w:hyperlink>
    </w:p>
    <w:p w14:paraId="6B0EAE30" w14:textId="4C937031" w:rsidR="00025860" w:rsidRPr="002657D1" w:rsidRDefault="00025860" w:rsidP="00583E16">
      <w:pPr>
        <w:pStyle w:val="TOC1"/>
        <w:rPr>
          <w:noProof/>
          <w14:ligatures w14:val="standardContextual"/>
        </w:rPr>
      </w:pPr>
      <w:hyperlink w:anchor="_Toc217638257" w:history="1">
        <w:r w:rsidRPr="002657D1">
          <w:rPr>
            <w:rStyle w:val="af2"/>
            <w:bCs/>
            <w:noProof/>
            <w:color w:val="000000" w:themeColor="text1"/>
          </w:rPr>
          <w:t>4. References for Supplementary Materials</w:t>
        </w:r>
        <w:r w:rsidRPr="002657D1">
          <w:rPr>
            <w:noProof/>
            <w:webHidden/>
          </w:rPr>
          <w:tab/>
        </w:r>
        <w:r w:rsidRPr="002657D1">
          <w:rPr>
            <w:noProof/>
            <w:webHidden/>
          </w:rPr>
          <w:fldChar w:fldCharType="begin"/>
        </w:r>
        <w:r w:rsidRPr="002657D1">
          <w:rPr>
            <w:noProof/>
            <w:webHidden/>
          </w:rPr>
          <w:instrText xml:space="preserve"> PAGEREF _Toc217638257 \h </w:instrText>
        </w:r>
        <w:r w:rsidRPr="002657D1">
          <w:rPr>
            <w:noProof/>
            <w:webHidden/>
          </w:rPr>
        </w:r>
        <w:r w:rsidRPr="002657D1">
          <w:rPr>
            <w:noProof/>
            <w:webHidden/>
          </w:rPr>
          <w:fldChar w:fldCharType="separate"/>
        </w:r>
        <w:r w:rsidRPr="002657D1">
          <w:rPr>
            <w:noProof/>
            <w:webHidden/>
          </w:rPr>
          <w:t>82</w:t>
        </w:r>
        <w:r w:rsidRPr="002657D1">
          <w:rPr>
            <w:noProof/>
            <w:webHidden/>
          </w:rPr>
          <w:fldChar w:fldCharType="end"/>
        </w:r>
      </w:hyperlink>
    </w:p>
    <w:p w14:paraId="68F7DA50" w14:textId="2D3D67A4" w:rsidR="00FF2663" w:rsidRPr="002657D1" w:rsidRDefault="00F85E34" w:rsidP="005C7203">
      <w:pPr>
        <w:widowControl/>
        <w:spacing w:line="360" w:lineRule="auto"/>
        <w:jc w:val="left"/>
        <w:rPr>
          <w:rFonts w:ascii="Times New Roman" w:hAnsi="Times New Roman" w:cs="Times New Roman"/>
          <w:b/>
          <w:color w:val="000000" w:themeColor="text1"/>
        </w:rPr>
      </w:pPr>
      <w:r w:rsidRPr="002657D1">
        <w:rPr>
          <w:rFonts w:ascii="Times New Roman" w:hAnsi="Times New Roman" w:cs="Times New Roman"/>
          <w:bCs/>
          <w:color w:val="000000" w:themeColor="text1"/>
          <w:sz w:val="24"/>
          <w:szCs w:val="24"/>
        </w:rPr>
        <w:fldChar w:fldCharType="end"/>
      </w:r>
      <w:r w:rsidR="00FF2663" w:rsidRPr="002657D1">
        <w:rPr>
          <w:rFonts w:ascii="Times New Roman" w:hAnsi="Times New Roman" w:cs="Times New Roman"/>
          <w:b/>
          <w:color w:val="000000" w:themeColor="text1"/>
        </w:rPr>
        <w:br w:type="page"/>
      </w:r>
    </w:p>
    <w:p w14:paraId="69E9EA3A" w14:textId="6CEE4F0F" w:rsidR="00207BD1" w:rsidRPr="002657D1" w:rsidRDefault="00207BD1" w:rsidP="00583E16">
      <w:pPr>
        <w:widowControl/>
        <w:spacing w:line="360" w:lineRule="auto"/>
        <w:jc w:val="center"/>
        <w:rPr>
          <w:rFonts w:ascii="Calibri" w:eastAsia="Arial Unicode MS" w:hAnsi="Calibri" w:cs="Calibri"/>
          <w:b/>
          <w:bCs/>
          <w:i/>
          <w:iCs/>
          <w:color w:val="000000" w:themeColor="text1"/>
          <w:sz w:val="28"/>
          <w:szCs w:val="28"/>
        </w:rPr>
      </w:pPr>
      <w:bookmarkStart w:id="8" w:name="OLE_LINK42"/>
      <w:bookmarkStart w:id="9" w:name="_Hlk213071082"/>
      <w:bookmarkStart w:id="10" w:name="_Toc206419548"/>
      <w:bookmarkStart w:id="11" w:name="_Toc206419598"/>
      <w:r w:rsidRPr="002657D1">
        <w:rPr>
          <w:rFonts w:ascii="Calibri" w:eastAsia="Arial Unicode MS" w:hAnsi="Calibri" w:cs="Calibri"/>
          <w:b/>
          <w:bCs/>
          <w:i/>
          <w:iCs/>
          <w:color w:val="000000" w:themeColor="text1"/>
          <w:sz w:val="28"/>
          <w:szCs w:val="28"/>
        </w:rPr>
        <w:lastRenderedPageBreak/>
        <w:t xml:space="preserve">List of </w:t>
      </w:r>
      <w:r w:rsidRPr="002657D1">
        <w:rPr>
          <w:rFonts w:ascii="Calibri" w:eastAsia="Arial Unicode MS" w:hAnsi="Calibri" w:cs="Calibri" w:hint="eastAsia"/>
          <w:b/>
          <w:bCs/>
          <w:i/>
          <w:iCs/>
          <w:color w:val="000000" w:themeColor="text1"/>
          <w:sz w:val="28"/>
          <w:szCs w:val="28"/>
        </w:rPr>
        <w:t>Supplementary</w:t>
      </w:r>
      <w:r w:rsidRPr="002657D1">
        <w:rPr>
          <w:rFonts w:ascii="Calibri" w:eastAsia="Arial Unicode MS" w:hAnsi="Calibri" w:cs="Calibri"/>
          <w:b/>
          <w:bCs/>
          <w:i/>
          <w:iCs/>
          <w:color w:val="000000" w:themeColor="text1"/>
          <w:sz w:val="28"/>
          <w:szCs w:val="28"/>
        </w:rPr>
        <w:t xml:space="preserve"> Figures</w:t>
      </w:r>
    </w:p>
    <w:bookmarkEnd w:id="8"/>
    <w:p w14:paraId="220D4F1D" w14:textId="10E6F38B" w:rsidR="00207BD1" w:rsidRPr="002657D1" w:rsidRDefault="00CD7A73" w:rsidP="00583E16">
      <w:pPr>
        <w:pStyle w:val="TOC1"/>
        <w:rPr>
          <w:noProof/>
        </w:rPr>
      </w:pPr>
      <w:r w:rsidRPr="002657D1">
        <w:fldChar w:fldCharType="begin"/>
      </w:r>
      <w:r w:rsidRPr="002657D1">
        <w:instrText>HYPERLINK \l "_Toc212046303"</w:instrText>
      </w:r>
      <w:r w:rsidRPr="002657D1">
        <w:fldChar w:fldCharType="separate"/>
      </w:r>
      <w:r w:rsidRPr="002657D1">
        <w:t xml:space="preserve">Supplementary Fig. 1. </w:t>
      </w:r>
      <w:proofErr w:type="gramStart"/>
      <w:r w:rsidRPr="002657D1">
        <w:t>a,b</w:t>
      </w:r>
      <w:proofErr w:type="gramEnd"/>
      <w:r w:rsidRPr="002657D1">
        <w:t xml:space="preserve"> Nyquist plots of the LZC (a) and 450 °C-annealed LZC (b). c Arrhenius plots of the LZC and 450 °C-annealed LZC. d XRD patterns of the LZC and 450 °C-annealed </w:t>
      </w:r>
      <w:bookmarkStart w:id="12" w:name="OLE_LINK55"/>
      <w:r w:rsidRPr="002657D1">
        <w:t>LZC.</w:t>
      </w:r>
      <w:bookmarkStart w:id="13" w:name="OLE_LINK54"/>
      <w:r w:rsidRPr="002657D1">
        <w:rPr>
          <w:noProof/>
          <w:webHidden/>
        </w:rPr>
        <w:tab/>
        <w:t>1</w:t>
      </w:r>
      <w:r w:rsidRPr="002657D1">
        <w:rPr>
          <w:rFonts w:hint="eastAsia"/>
          <w:noProof/>
          <w:webHidden/>
        </w:rPr>
        <w:t>5</w:t>
      </w:r>
      <w:bookmarkEnd w:id="12"/>
      <w:bookmarkEnd w:id="13"/>
      <w:r w:rsidRPr="002657D1">
        <w:fldChar w:fldCharType="end"/>
      </w:r>
    </w:p>
    <w:p w14:paraId="78EE1624" w14:textId="1A7D1A57" w:rsidR="002657D1" w:rsidRPr="002657D1" w:rsidRDefault="00013777" w:rsidP="002657D1">
      <w:pPr>
        <w:pStyle w:val="TOC1"/>
        <w:rPr>
          <w:noProof/>
        </w:rPr>
      </w:pPr>
      <w:r w:rsidRPr="002657D1">
        <w:rPr>
          <w:kern w:val="24"/>
        </w:rPr>
        <w:t xml:space="preserve">Supplementary Fig. 2 | a </w:t>
      </w:r>
      <w:proofErr w:type="spellStart"/>
      <w:r w:rsidRPr="002657D1">
        <w:rPr>
          <w:kern w:val="24"/>
        </w:rPr>
        <w:t>A</w:t>
      </w:r>
      <w:proofErr w:type="spellEnd"/>
      <w:r w:rsidRPr="002657D1">
        <w:rPr>
          <w:kern w:val="24"/>
        </w:rPr>
        <w:t xml:space="preserve"> top view of the ZrCl</w:t>
      </w:r>
      <w:r w:rsidRPr="002657D1">
        <w:rPr>
          <w:kern w:val="24"/>
          <w:vertAlign w:val="subscript"/>
        </w:rPr>
        <w:t>6</w:t>
      </w:r>
      <w:r w:rsidRPr="002657D1">
        <w:rPr>
          <w:kern w:val="24"/>
        </w:rPr>
        <w:t xml:space="preserve"> lattice along the </w:t>
      </w:r>
      <w:r w:rsidRPr="002657D1">
        <w:rPr>
          <w:i/>
          <w:iCs/>
          <w:kern w:val="24"/>
        </w:rPr>
        <w:t>c</w:t>
      </w:r>
      <w:r w:rsidRPr="002657D1">
        <w:rPr>
          <w:kern w:val="24"/>
        </w:rPr>
        <w:t xml:space="preserve">-axis is presented, with the unit cell outlined by the lines. The structure features intrinsically preexisting channels along the </w:t>
      </w:r>
      <w:r w:rsidRPr="002657D1">
        <w:rPr>
          <w:i/>
          <w:iCs/>
          <w:kern w:val="24"/>
        </w:rPr>
        <w:t>c</w:t>
      </w:r>
      <w:r w:rsidRPr="002657D1">
        <w:rPr>
          <w:kern w:val="24"/>
        </w:rPr>
        <w:t>-axis, with an inner diameter of 5.1 Å. b A side view of the ZrCl</w:t>
      </w:r>
      <w:r w:rsidRPr="002657D1">
        <w:rPr>
          <w:kern w:val="24"/>
          <w:vertAlign w:val="subscript"/>
        </w:rPr>
        <w:t>6</w:t>
      </w:r>
      <w:r w:rsidRPr="002657D1">
        <w:rPr>
          <w:kern w:val="24"/>
        </w:rPr>
        <w:t xml:space="preserve"> lattice reveals the Zr </w:t>
      </w:r>
      <w:proofErr w:type="spellStart"/>
      <w:r w:rsidRPr="002657D1">
        <w:rPr>
          <w:kern w:val="24"/>
        </w:rPr>
        <w:t>polyhedra</w:t>
      </w:r>
      <w:proofErr w:type="spellEnd"/>
      <w:r w:rsidRPr="002657D1">
        <w:rPr>
          <w:kern w:val="24"/>
        </w:rPr>
        <w:t xml:space="preserve"> arranged in an ABA stacking configuration, providing sufficient interlayer space for in-plane Li⁺ migration. The presence of Li ions within the lattice suggests migration both along the c-axis and in the plane</w:t>
      </w:r>
      <w:r w:rsidR="002657D1" w:rsidRPr="002657D1">
        <w:rPr>
          <w:rFonts w:hint="eastAsia"/>
          <w:kern w:val="24"/>
        </w:rPr>
        <w:t>.</w:t>
      </w:r>
      <w:hyperlink w:anchor="_Toc212046303" w:history="1">
        <w:r w:rsidR="002657D1" w:rsidRPr="002657D1">
          <w:rPr>
            <w:noProof/>
            <w:webHidden/>
          </w:rPr>
          <w:tab/>
          <w:t>1</w:t>
        </w:r>
        <w:r w:rsidR="002657D1" w:rsidRPr="002657D1">
          <w:rPr>
            <w:rFonts w:hint="eastAsia"/>
            <w:noProof/>
            <w:webHidden/>
          </w:rPr>
          <w:t>7</w:t>
        </w:r>
      </w:hyperlink>
    </w:p>
    <w:p w14:paraId="50BEFBFA" w14:textId="4775AA2C" w:rsidR="00013777" w:rsidRPr="002657D1" w:rsidRDefault="00013777" w:rsidP="00583E16">
      <w:pPr>
        <w:pStyle w:val="TOC1"/>
        <w:rPr>
          <w:webHidden/>
        </w:rPr>
      </w:pPr>
      <w:r w:rsidRPr="002657D1">
        <w:t>Supplementary Fig. 3 |</w:t>
      </w:r>
      <w:r w:rsidR="00E84054" w:rsidRPr="002657D1">
        <w:rPr>
          <w:rFonts w:hint="eastAsia"/>
        </w:rPr>
        <w:t xml:space="preserve"> </w:t>
      </w:r>
      <w:proofErr w:type="spellStart"/>
      <w:proofErr w:type="gramStart"/>
      <w:r w:rsidR="00E84054" w:rsidRPr="002657D1">
        <w:rPr>
          <w:rFonts w:hint="eastAsia"/>
        </w:rPr>
        <w:t>a,b</w:t>
      </w:r>
      <w:proofErr w:type="spellEnd"/>
      <w:proofErr w:type="gramEnd"/>
      <w:r w:rsidR="00E84054" w:rsidRPr="002657D1">
        <w:rPr>
          <w:rFonts w:hint="eastAsia"/>
        </w:rPr>
        <w:t xml:space="preserve"> Plots of the MSD along each direction for LZC at varying temperatures</w:t>
      </w:r>
      <w:r w:rsidR="00E84054" w:rsidRPr="002657D1">
        <w:rPr>
          <w:rFonts w:hint="eastAsia"/>
        </w:rPr>
        <w:t>—</w:t>
      </w:r>
      <w:r w:rsidR="00E84054" w:rsidRPr="002657D1">
        <w:rPr>
          <w:rFonts w:hint="eastAsia"/>
        </w:rPr>
        <w:t>600 K (lowest) and 1100 K (highest)</w:t>
      </w:r>
      <w:r w:rsidR="00E84054" w:rsidRPr="002657D1">
        <w:rPr>
          <w:rFonts w:hint="eastAsia"/>
        </w:rPr>
        <w:t>—</w:t>
      </w:r>
      <w:r w:rsidR="00E84054" w:rsidRPr="002657D1">
        <w:rPr>
          <w:rFonts w:hint="eastAsia"/>
        </w:rPr>
        <w:t xml:space="preserve">reveal that the </w:t>
      </w:r>
      <w:r w:rsidR="00E84054" w:rsidRPr="002657D1">
        <w:rPr>
          <w:rFonts w:hint="eastAsia"/>
          <w:i/>
          <w:iCs/>
        </w:rPr>
        <w:t>c</w:t>
      </w:r>
      <w:r w:rsidR="00E84054" w:rsidRPr="002657D1">
        <w:rPr>
          <w:rFonts w:hint="eastAsia"/>
        </w:rPr>
        <w:t xml:space="preserve">-axis diffusion channel plays a predominant role in the overall diffusion process. </w:t>
      </w:r>
      <w:proofErr w:type="spellStart"/>
      <w:proofErr w:type="gramStart"/>
      <w:r w:rsidR="00E84054" w:rsidRPr="002657D1">
        <w:rPr>
          <w:rFonts w:hint="eastAsia"/>
        </w:rPr>
        <w:t>c,d</w:t>
      </w:r>
      <w:proofErr w:type="spellEnd"/>
      <w:proofErr w:type="gramEnd"/>
      <w:r w:rsidR="00E84054" w:rsidRPr="002657D1">
        <w:rPr>
          <w:rFonts w:hint="eastAsia"/>
        </w:rPr>
        <w:t xml:space="preserve"> </w:t>
      </w:r>
      <w:proofErr w:type="gramStart"/>
      <w:r w:rsidR="00E84054" w:rsidRPr="002657D1">
        <w:rPr>
          <w:rFonts w:hint="eastAsia"/>
        </w:rPr>
        <w:t>The</w:t>
      </w:r>
      <w:proofErr w:type="gramEnd"/>
      <w:r w:rsidR="00E84054" w:rsidRPr="002657D1">
        <w:rPr>
          <w:rFonts w:hint="eastAsia"/>
        </w:rPr>
        <w:t xml:space="preserve"> structures of LZC after 260 </w:t>
      </w:r>
      <w:proofErr w:type="spellStart"/>
      <w:r w:rsidR="00E84054" w:rsidRPr="002657D1">
        <w:rPr>
          <w:rFonts w:hint="eastAsia"/>
        </w:rPr>
        <w:t>ps</w:t>
      </w:r>
      <w:proofErr w:type="spellEnd"/>
      <w:r w:rsidR="00E84054" w:rsidRPr="002657D1">
        <w:rPr>
          <w:rFonts w:hint="eastAsia"/>
        </w:rPr>
        <w:t xml:space="preserve"> of AIMD simulations at 600 K and 1100 K show that the positions of Zr remain stable, demonstrating the stability of the [ZrCl</w:t>
      </w:r>
      <w:r w:rsidR="00E84054" w:rsidRPr="002657D1">
        <w:rPr>
          <w:rFonts w:hint="eastAsia"/>
          <w:vertAlign w:val="subscript"/>
        </w:rPr>
        <w:t>6</w:t>
      </w:r>
      <w:r w:rsidR="00E84054" w:rsidRPr="002657D1">
        <w:rPr>
          <w:rFonts w:hint="eastAsia"/>
        </w:rPr>
        <w:t>] framework at high temperatures</w:t>
      </w:r>
      <w:bookmarkStart w:id="14" w:name="OLE_LINK111"/>
      <w:r w:rsidR="00E84054" w:rsidRPr="002657D1">
        <w:rPr>
          <w:rFonts w:hint="eastAsia"/>
        </w:rPr>
        <w:t>.</w:t>
      </w:r>
      <w:bookmarkStart w:id="15" w:name="OLE_LINK72"/>
      <w:r w:rsidRPr="002657D1">
        <w:rPr>
          <w:webHidden/>
        </w:rPr>
        <w:tab/>
        <w:t>1</w:t>
      </w:r>
      <w:bookmarkEnd w:id="14"/>
      <w:bookmarkEnd w:id="15"/>
      <w:r w:rsidR="00AF1674" w:rsidRPr="002657D1">
        <w:rPr>
          <w:rFonts w:hint="eastAsia"/>
          <w:webHidden/>
        </w:rPr>
        <w:t>8</w:t>
      </w:r>
    </w:p>
    <w:p w14:paraId="792AC8C7" w14:textId="2571B4A9" w:rsidR="00234065" w:rsidRPr="002657D1" w:rsidRDefault="00CB00B4" w:rsidP="00583E16">
      <w:pPr>
        <w:pStyle w:val="TOC1"/>
      </w:pPr>
      <w:hyperlink w:anchor="_Toc212046303" w:history="1">
        <w:r w:rsidRPr="002657D1">
          <w:t xml:space="preserve">Supplementary Fig. </w:t>
        </w:r>
        <w:r w:rsidR="00013777" w:rsidRPr="002657D1">
          <w:rPr>
            <w:rFonts w:hint="eastAsia"/>
          </w:rPr>
          <w:t>4</w:t>
        </w:r>
        <w:r w:rsidR="00DF556D" w:rsidRPr="002657D1">
          <w:t>.</w:t>
        </w:r>
        <w:r w:rsidR="00E84054" w:rsidRPr="002657D1">
          <w:rPr>
            <w:rFonts w:hint="eastAsia"/>
          </w:rPr>
          <w:t xml:space="preserve"> </w:t>
        </w:r>
        <w:proofErr w:type="gramStart"/>
        <w:r w:rsidR="00E84054" w:rsidRPr="002657D1">
          <w:rPr>
            <w:rFonts w:hint="eastAsia"/>
          </w:rPr>
          <w:t>a</w:t>
        </w:r>
        <w:proofErr w:type="gramEnd"/>
        <w:r w:rsidR="00E84054" w:rsidRPr="002657D1">
          <w:rPr>
            <w:rFonts w:hint="eastAsia"/>
          </w:rPr>
          <w:t xml:space="preserve"> Arrhenius plot of Li</w:t>
        </w:r>
        <w:r w:rsidR="00E84054" w:rsidRPr="002657D1">
          <w:rPr>
            <w:rFonts w:hint="eastAsia"/>
            <w:vertAlign w:val="superscript"/>
          </w:rPr>
          <w:t>+</w:t>
        </w:r>
        <w:r w:rsidR="00E84054" w:rsidRPr="002657D1">
          <w:rPr>
            <w:rFonts w:hint="eastAsia"/>
          </w:rPr>
          <w:t xml:space="preserve"> diffusivity in the LZC lattice from AIMD simulations at 1,100, 1,000, 900, 800, 700, and 600 K. The yellow line represents the linear fitting of the Arrhenius plots of Li</w:t>
        </w:r>
        <w:r w:rsidR="00E84054" w:rsidRPr="002657D1">
          <w:rPr>
            <w:rFonts w:hint="eastAsia"/>
            <w:vertAlign w:val="superscript"/>
          </w:rPr>
          <w:t>+</w:t>
        </w:r>
        <w:r w:rsidR="00E84054" w:rsidRPr="002657D1">
          <w:rPr>
            <w:rFonts w:hint="eastAsia"/>
          </w:rPr>
          <w:t xml:space="preserve"> conductivity from AIMD simulations, which is used to extrapo</w:t>
        </w:r>
        <w:r w:rsidR="00E84054" w:rsidRPr="002657D1">
          <w:t>late the Li</w:t>
        </w:r>
        <w:r w:rsidR="00E84054" w:rsidRPr="002657D1">
          <w:rPr>
            <w:vertAlign w:val="superscript"/>
          </w:rPr>
          <w:t>+</w:t>
        </w:r>
        <w:r w:rsidR="00E84054" w:rsidRPr="002657D1">
          <w:t xml:space="preserve"> conductivity at 300 K to be 6.4630 ± 3.8842 mS cm⁻</w:t>
        </w:r>
        <w:r w:rsidR="00E84054" w:rsidRPr="002657D1">
          <w:rPr>
            <w:vertAlign w:val="superscript"/>
          </w:rPr>
          <w:t>1</w:t>
        </w:r>
        <w:r w:rsidR="00E84054" w:rsidRPr="002657D1">
          <w:t>. b Li</w:t>
        </w:r>
        <w:r w:rsidR="00E84054" w:rsidRPr="002657D1">
          <w:rPr>
            <w:vertAlign w:val="superscript"/>
          </w:rPr>
          <w:t>+</w:t>
        </w:r>
        <w:r w:rsidR="00E84054" w:rsidRPr="002657D1">
          <w:t xml:space="preserve"> migration paths in the LZC lattice and corresponding energy barriers with different interlayer distances. The path 1 (red) and path 2 (blue) represent Li</w:t>
        </w:r>
        <w:r w:rsidR="00E84054" w:rsidRPr="002657D1">
          <w:rPr>
            <w:vertAlign w:val="superscript"/>
          </w:rPr>
          <w:t>+</w:t>
        </w:r>
        <w:r w:rsidR="00E84054" w:rsidRPr="002657D1">
          <w:t xml:space="preserve"> migration in </w:t>
        </w:r>
        <w:r w:rsidR="00E84054" w:rsidRPr="002657D1">
          <w:rPr>
            <w:i/>
            <w:iCs/>
          </w:rPr>
          <w:t>a-b</w:t>
        </w:r>
        <w:r w:rsidR="00E84054" w:rsidRPr="002657D1">
          <w:t xml:space="preserve"> plane, while</w:t>
        </w:r>
        <w:r w:rsidR="00E84054" w:rsidRPr="002657D1">
          <w:rPr>
            <w:rFonts w:hint="eastAsia"/>
          </w:rPr>
          <w:t xml:space="preserve"> path 3 (green) is the transport of Li</w:t>
        </w:r>
        <w:r w:rsidR="00E84054" w:rsidRPr="002657D1">
          <w:rPr>
            <w:rFonts w:hint="eastAsia"/>
            <w:vertAlign w:val="superscript"/>
          </w:rPr>
          <w:t>+</w:t>
        </w:r>
        <w:r w:rsidR="00E84054" w:rsidRPr="002657D1">
          <w:rPr>
            <w:rFonts w:hint="eastAsia"/>
          </w:rPr>
          <w:t xml:space="preserve"> along the c </w:t>
        </w:r>
        <w:proofErr w:type="gramStart"/>
        <w:r w:rsidR="00E84054" w:rsidRPr="002657D1">
          <w:rPr>
            <w:rFonts w:hint="eastAsia"/>
          </w:rPr>
          <w:t>axis.</w:t>
        </w:r>
        <w:r w:rsidRPr="002657D1">
          <w:t>.</w:t>
        </w:r>
        <w:proofErr w:type="gramEnd"/>
        <w:r w:rsidRPr="002657D1">
          <w:tab/>
        </w:r>
        <w:r w:rsidR="00013777" w:rsidRPr="002657D1">
          <w:rPr>
            <w:rFonts w:hint="eastAsia"/>
          </w:rPr>
          <w:t>1</w:t>
        </w:r>
        <w:r w:rsidR="00AF1674" w:rsidRPr="002657D1">
          <w:rPr>
            <w:rFonts w:hint="eastAsia"/>
          </w:rPr>
          <w:t>9</w:t>
        </w:r>
      </w:hyperlink>
    </w:p>
    <w:p w14:paraId="5E52546D" w14:textId="4ACFEFAB" w:rsidR="00E84054" w:rsidRPr="002657D1" w:rsidRDefault="00013777" w:rsidP="00583E16">
      <w:pPr>
        <w:pStyle w:val="TOC1"/>
        <w:rPr>
          <w:noProof/>
        </w:rPr>
      </w:pPr>
      <w:bookmarkStart w:id="16" w:name="_Hlk216428317"/>
      <w:r w:rsidRPr="002657D1">
        <w:rPr>
          <w:rFonts w:eastAsia="等线"/>
        </w:rPr>
        <w:t xml:space="preserve">Supplementary Fig. 5 | </w:t>
      </w:r>
      <w:proofErr w:type="spellStart"/>
      <w:proofErr w:type="gramStart"/>
      <w:r w:rsidR="00583E16" w:rsidRPr="002657D1">
        <w:rPr>
          <w:rFonts w:hint="eastAsia"/>
        </w:rPr>
        <w:t>a,b</w:t>
      </w:r>
      <w:proofErr w:type="spellEnd"/>
      <w:proofErr w:type="gramEnd"/>
      <w:r w:rsidR="00583E16" w:rsidRPr="002657D1">
        <w:rPr>
          <w:rFonts w:hint="eastAsia"/>
        </w:rPr>
        <w:t xml:space="preserve"> </w:t>
      </w:r>
      <w:r w:rsidR="00583E16" w:rsidRPr="002657D1">
        <w:t>Potential doping sites for LZC</w:t>
      </w:r>
      <w:r w:rsidR="00583E16" w:rsidRPr="002657D1">
        <w:rPr>
          <w:rFonts w:hint="eastAsia"/>
        </w:rPr>
        <w:t xml:space="preserve"> (a)</w:t>
      </w:r>
      <w:r w:rsidR="00583E16" w:rsidRPr="002657D1">
        <w:t xml:space="preserve"> and potential crystal structure</w:t>
      </w:r>
      <w:r w:rsidR="00583E16" w:rsidRPr="002657D1">
        <w:rPr>
          <w:rFonts w:hint="eastAsia"/>
        </w:rPr>
        <w:t xml:space="preserve"> (b)</w:t>
      </w:r>
      <w:r w:rsidR="00583E16" w:rsidRPr="002657D1">
        <w:t xml:space="preserve">. LZC is a kind of 1D channel material, with the space group of </w:t>
      </w:r>
      <m:oMath>
        <m:r>
          <w:rPr>
            <w:rFonts w:ascii="Cambria Math" w:hAnsi="Cambria Math"/>
          </w:rPr>
          <m:t>P</m:t>
        </m:r>
        <m:acc>
          <m:accPr>
            <m:chr m:val="̅"/>
            <m:ctrlPr>
              <w:rPr>
                <w:rFonts w:ascii="Cambria Math" w:hAnsi="Cambria Math"/>
                <w:i/>
              </w:rPr>
            </m:ctrlPr>
          </m:accPr>
          <m:e>
            <m:r>
              <w:rPr>
                <w:rFonts w:ascii="Cambria Math" w:hAnsi="Cambria Math"/>
              </w:rPr>
              <m:t>3</m:t>
            </m:r>
          </m:e>
        </m:acc>
        <m:r>
          <w:rPr>
            <w:rFonts w:ascii="Cambria Math" w:hAnsi="Cambria Math"/>
          </w:rPr>
          <m:t>m</m:t>
        </m:r>
        <m:r>
          <m:rPr>
            <m:sty m:val="p"/>
          </m:rPr>
          <w:rPr>
            <w:rFonts w:ascii="Cambria Math" w:hAnsi="Cambria Math"/>
          </w:rPr>
          <m:t>1</m:t>
        </m:r>
      </m:oMath>
      <w:r w:rsidR="00583E16" w:rsidRPr="002657D1">
        <w:t>. There are only 6i sites available for anion substitution, while there are 1a and 2d sites suitable for cation s</w:t>
      </w:r>
      <w:r w:rsidR="00583E16" w:rsidRPr="002657D1">
        <w:rPr>
          <w:rFonts w:hint="eastAsia"/>
        </w:rPr>
        <w:t>ubstitution.</w:t>
      </w:r>
      <w:hyperlink r:id="rId9" w:anchor="_Toc212046303" w:history="1">
        <w:r w:rsidR="00E84054" w:rsidRPr="002657D1">
          <w:rPr>
            <w:rStyle w:val="af2"/>
            <w:noProof/>
            <w:webHidden/>
            <w:color w:val="000000" w:themeColor="text1"/>
            <w:u w:val="none"/>
          </w:rPr>
          <w:tab/>
        </w:r>
        <w:r w:rsidR="00AF1674" w:rsidRPr="002657D1">
          <w:rPr>
            <w:rStyle w:val="af2"/>
            <w:rFonts w:hint="eastAsia"/>
            <w:noProof/>
            <w:webHidden/>
            <w:color w:val="000000" w:themeColor="text1"/>
            <w:u w:val="none"/>
          </w:rPr>
          <w:t>20</w:t>
        </w:r>
      </w:hyperlink>
    </w:p>
    <w:bookmarkStart w:id="17" w:name="OLE_LINK112"/>
    <w:bookmarkEnd w:id="16"/>
    <w:p w14:paraId="2D8AEB1C" w14:textId="4F3581E7" w:rsidR="00DF556D" w:rsidRPr="002657D1" w:rsidRDefault="00892C75" w:rsidP="00583E16">
      <w:pPr>
        <w:pStyle w:val="TOC1"/>
        <w:rPr>
          <w:noProof/>
        </w:rPr>
      </w:pPr>
      <w:r w:rsidRPr="002657D1">
        <w:fldChar w:fldCharType="begin"/>
      </w:r>
      <w:r w:rsidRPr="002657D1">
        <w:instrText>HYPERLINK \l "_Toc212046303"</w:instrText>
      </w:r>
      <w:r w:rsidRPr="002657D1">
        <w:fldChar w:fldCharType="separate"/>
      </w:r>
      <w:r w:rsidRPr="002657D1">
        <w:t xml:space="preserve">Supplementary Fig. </w:t>
      </w:r>
      <w:r w:rsidRPr="002657D1">
        <w:rPr>
          <w:rFonts w:hint="eastAsia"/>
        </w:rPr>
        <w:t>6</w:t>
      </w:r>
      <w:r w:rsidRPr="002657D1">
        <w:t>. The heatmaps present the performance rankings of all doping combinations.</w:t>
      </w:r>
      <w:bookmarkStart w:id="18" w:name="_Hlk216384104"/>
      <w:r w:rsidRPr="002657D1">
        <w:rPr>
          <w:noProof/>
          <w:webHidden/>
        </w:rPr>
        <w:tab/>
      </w:r>
      <w:bookmarkEnd w:id="18"/>
      <w:r w:rsidR="00CD7A73" w:rsidRPr="002657D1">
        <w:rPr>
          <w:rFonts w:hint="eastAsia"/>
          <w:noProof/>
          <w:webHidden/>
        </w:rPr>
        <w:t>2</w:t>
      </w:r>
      <w:r w:rsidR="00AF1674" w:rsidRPr="002657D1">
        <w:rPr>
          <w:rFonts w:hint="eastAsia"/>
          <w:noProof/>
          <w:webHidden/>
        </w:rPr>
        <w:t>1</w:t>
      </w:r>
      <w:r w:rsidRPr="002657D1">
        <w:fldChar w:fldCharType="end"/>
      </w:r>
    </w:p>
    <w:bookmarkEnd w:id="17"/>
    <w:p w14:paraId="456A5B20" w14:textId="5E2BE0DD" w:rsidR="00DF556D" w:rsidRPr="002657D1" w:rsidRDefault="00DF556D" w:rsidP="00583E16">
      <w:pPr>
        <w:pStyle w:val="TOC1"/>
        <w:rPr>
          <w:noProof/>
        </w:rPr>
      </w:pPr>
      <w:r w:rsidRPr="002657D1">
        <w:lastRenderedPageBreak/>
        <w:fldChar w:fldCharType="begin"/>
      </w:r>
      <w:r w:rsidRPr="002657D1">
        <w:instrText>HYPERLINK \l "_Toc212046303"</w:instrText>
      </w:r>
      <w:r w:rsidRPr="002657D1">
        <w:fldChar w:fldCharType="separate"/>
      </w:r>
      <w:r w:rsidRPr="002657D1">
        <w:t xml:space="preserve">Supplementary Fig. </w:t>
      </w:r>
      <w:r w:rsidR="00892C75" w:rsidRPr="002657D1">
        <w:rPr>
          <w:rFonts w:hint="eastAsia"/>
        </w:rPr>
        <w:t>7</w:t>
      </w:r>
      <w:r w:rsidRPr="002657D1">
        <w:t>. a XRD patterns for a series of Li</w:t>
      </w:r>
      <w:r w:rsidRPr="002657D1">
        <w:rPr>
          <w:vertAlign w:val="subscript"/>
        </w:rPr>
        <w:t>2</w:t>
      </w:r>
      <w:r w:rsidRPr="002657D1">
        <w:t>Zr</w:t>
      </w:r>
      <w:r w:rsidRPr="002657D1">
        <w:rPr>
          <w:vertAlign w:val="subscript"/>
        </w:rPr>
        <w:t>1-x</w:t>
      </w:r>
      <w:r w:rsidRPr="002657D1">
        <w:t>Al</w:t>
      </w:r>
      <w:r w:rsidRPr="002657D1">
        <w:rPr>
          <w:vertAlign w:val="subscript"/>
        </w:rPr>
        <w:t>x</w:t>
      </w:r>
      <w:r w:rsidRPr="002657D1">
        <w:t>Cl</w:t>
      </w:r>
      <w:r w:rsidRPr="002657D1">
        <w:rPr>
          <w:vertAlign w:val="subscript"/>
        </w:rPr>
        <w:t>6-3x</w:t>
      </w:r>
      <w:r w:rsidRPr="002657D1">
        <w:t>F</w:t>
      </w:r>
      <w:r w:rsidRPr="002657D1">
        <w:rPr>
          <w:vertAlign w:val="subscript"/>
        </w:rPr>
        <w:t>3x</w:t>
      </w:r>
      <w:r w:rsidRPr="002657D1">
        <w:t xml:space="preserve"> (denoted as LZC-xAF, where x% is the AlF</w:t>
      </w:r>
      <w:r w:rsidRPr="002657D1">
        <w:rPr>
          <w:vertAlign w:val="subscript"/>
        </w:rPr>
        <w:t>3</w:t>
      </w:r>
      <w:r w:rsidRPr="002657D1">
        <w:t xml:space="preserve"> substitution percentage, x = 0, 10, 20, 30, 40). b Arrhenius plots of the prepared LZC-x</w:t>
      </w:r>
      <w:r w:rsidR="007675C1" w:rsidRPr="002657D1">
        <w:t>A</w:t>
      </w:r>
      <w:r w:rsidRPr="002657D1">
        <w:t>F electrolytes (x = 0, 10, 20, 30, 40) c Ionic conductivities and activation energy for the prepared LZC-xAF electrolytes.</w:t>
      </w:r>
      <w:r w:rsidRPr="002657D1">
        <w:tab/>
      </w:r>
      <w:r w:rsidR="00892C75" w:rsidRPr="002657D1">
        <w:rPr>
          <w:rFonts w:hint="eastAsia"/>
        </w:rPr>
        <w:t>2</w:t>
      </w:r>
      <w:r w:rsidR="00AF1674" w:rsidRPr="002657D1">
        <w:rPr>
          <w:rFonts w:hint="eastAsia"/>
        </w:rPr>
        <w:t>2</w:t>
      </w:r>
      <w:r w:rsidRPr="002657D1">
        <w:fldChar w:fldCharType="end"/>
      </w:r>
    </w:p>
    <w:p w14:paraId="0CEEF2F2" w14:textId="3BD9C8D1" w:rsidR="00DF556D" w:rsidRPr="002657D1" w:rsidRDefault="00892C75" w:rsidP="00583E16">
      <w:pPr>
        <w:pStyle w:val="TOC1"/>
        <w:rPr>
          <w:noProof/>
        </w:rPr>
      </w:pPr>
      <w:hyperlink w:anchor="_Toc212046303" w:history="1">
        <w:r w:rsidRPr="002657D1">
          <w:t xml:space="preserve">Supplementary Fig. </w:t>
        </w:r>
        <w:r w:rsidR="006563E6" w:rsidRPr="002657D1">
          <w:rPr>
            <w:rFonts w:hint="eastAsia"/>
          </w:rPr>
          <w:t>8</w:t>
        </w:r>
        <w:r w:rsidRPr="002657D1">
          <w:t>. a XRD patterns for a series of Li</w:t>
        </w:r>
        <w:r w:rsidRPr="002657D1">
          <w:rPr>
            <w:vertAlign w:val="subscript"/>
          </w:rPr>
          <w:t>2</w:t>
        </w:r>
        <w:r w:rsidRPr="002657D1">
          <w:t>Zr</w:t>
        </w:r>
        <w:r w:rsidRPr="002657D1">
          <w:rPr>
            <w:vertAlign w:val="subscript"/>
          </w:rPr>
          <w:t>1-x</w:t>
        </w:r>
        <w:r w:rsidRPr="002657D1">
          <w:t>P</w:t>
        </w:r>
        <w:r w:rsidRPr="002657D1">
          <w:rPr>
            <w:vertAlign w:val="subscript"/>
          </w:rPr>
          <w:t>x</w:t>
        </w:r>
        <w:r w:rsidRPr="002657D1">
          <w:t>Cl</w:t>
        </w:r>
        <w:r w:rsidRPr="002657D1">
          <w:rPr>
            <w:vertAlign w:val="subscript"/>
          </w:rPr>
          <w:t>6-3x</w:t>
        </w:r>
        <w:r w:rsidRPr="002657D1">
          <w:t>F</w:t>
        </w:r>
        <w:r w:rsidRPr="002657D1">
          <w:rPr>
            <w:vertAlign w:val="subscript"/>
          </w:rPr>
          <w:t>4x</w:t>
        </w:r>
        <w:r w:rsidRPr="002657D1">
          <w:t xml:space="preserve"> (denoted as LZC-xPF, where x% is the P substitution percentage, x = 0, 10, 20, 30, 40). b Arrhenius plots of the prepared LZC-xPF electrolytes (x = 0, 10, 20, 30, 40). c Ionic conductivities and activation energy for the prepared LZC-xPF electrolytes.</w:t>
        </w:r>
        <w:r w:rsidRPr="002657D1">
          <w:rPr>
            <w:noProof/>
            <w:webHidden/>
          </w:rPr>
          <w:tab/>
        </w:r>
        <w:r w:rsidRPr="002657D1">
          <w:rPr>
            <w:rFonts w:hint="eastAsia"/>
            <w:noProof/>
            <w:webHidden/>
          </w:rPr>
          <w:t>2</w:t>
        </w:r>
        <w:r w:rsidR="00AF1674" w:rsidRPr="002657D1">
          <w:rPr>
            <w:rFonts w:hint="eastAsia"/>
            <w:noProof/>
            <w:webHidden/>
          </w:rPr>
          <w:t>3</w:t>
        </w:r>
      </w:hyperlink>
    </w:p>
    <w:p w14:paraId="45EAF2C7" w14:textId="1FAEE913" w:rsidR="00DF556D" w:rsidRPr="002657D1" w:rsidRDefault="00892C75" w:rsidP="00583E16">
      <w:pPr>
        <w:pStyle w:val="TOC1"/>
        <w:rPr>
          <w:noProof/>
        </w:rPr>
      </w:pPr>
      <w:hyperlink w:anchor="_Toc212046303" w:history="1">
        <w:r w:rsidRPr="002657D1">
          <w:t xml:space="preserve">Supplementary Fig. </w:t>
        </w:r>
        <w:r w:rsidR="006563E6" w:rsidRPr="002657D1">
          <w:rPr>
            <w:rFonts w:hint="eastAsia"/>
          </w:rPr>
          <w:t>9</w:t>
        </w:r>
        <w:r w:rsidRPr="002657D1">
          <w:t>. a-e SEM images of the prepared LZC (a), LZC-10TF (b), LZC-20TF (c), LZC-30TF (d), and LZC-40TF (e) electrolytes.</w:t>
        </w:r>
        <w:r w:rsidRPr="002657D1">
          <w:tab/>
        </w:r>
        <w:r w:rsidRPr="002657D1">
          <w:rPr>
            <w:rFonts w:hint="eastAsia"/>
          </w:rPr>
          <w:t>2</w:t>
        </w:r>
        <w:r w:rsidR="00AF1674" w:rsidRPr="002657D1">
          <w:rPr>
            <w:rFonts w:hint="eastAsia"/>
          </w:rPr>
          <w:t>4</w:t>
        </w:r>
      </w:hyperlink>
    </w:p>
    <w:p w14:paraId="373C9F48" w14:textId="18298968" w:rsidR="00DF556D" w:rsidRPr="002657D1" w:rsidRDefault="00892C75" w:rsidP="00583E16">
      <w:pPr>
        <w:pStyle w:val="TOC1"/>
        <w:rPr>
          <w:noProof/>
        </w:rPr>
      </w:pPr>
      <w:hyperlink w:anchor="_Toc212046303" w:history="1">
        <w:r w:rsidRPr="002657D1">
          <w:t xml:space="preserve">Supplementary Fig. </w:t>
        </w:r>
        <w:r w:rsidR="006563E6" w:rsidRPr="002657D1">
          <w:rPr>
            <w:rFonts w:hint="eastAsia"/>
          </w:rPr>
          <w:t>10</w:t>
        </w:r>
        <w:r w:rsidRPr="002657D1">
          <w:t>. Magnified XRD patterns of the LZC-xTF electrolytes (x = 0, 10, 20, 30, 40) in the 2θ range from 30° to 60°.</w:t>
        </w:r>
        <w:r w:rsidRPr="002657D1">
          <w:rPr>
            <w:noProof/>
            <w:webHidden/>
          </w:rPr>
          <w:tab/>
        </w:r>
        <w:r w:rsidRPr="002657D1">
          <w:rPr>
            <w:rFonts w:hint="eastAsia"/>
            <w:noProof/>
            <w:webHidden/>
          </w:rPr>
          <w:t>2</w:t>
        </w:r>
        <w:r w:rsidR="00AF1674" w:rsidRPr="002657D1">
          <w:rPr>
            <w:rFonts w:hint="eastAsia"/>
            <w:noProof/>
            <w:webHidden/>
          </w:rPr>
          <w:t>5</w:t>
        </w:r>
      </w:hyperlink>
    </w:p>
    <w:p w14:paraId="2BB75ADC" w14:textId="3A2EE979" w:rsidR="00DF556D" w:rsidRPr="002657D1" w:rsidRDefault="00892C75" w:rsidP="00583E16">
      <w:pPr>
        <w:pStyle w:val="TOC1"/>
        <w:rPr>
          <w:noProof/>
        </w:rPr>
      </w:pPr>
      <w:hyperlink w:anchor="_Toc212046303" w:history="1">
        <w:r w:rsidRPr="002657D1">
          <w:t xml:space="preserve">Supplementary Fig. </w:t>
        </w:r>
        <w:r w:rsidR="006563E6" w:rsidRPr="002657D1">
          <w:rPr>
            <w:rFonts w:hint="eastAsia"/>
          </w:rPr>
          <w:t>11</w:t>
        </w:r>
        <w:r w:rsidRPr="002657D1">
          <w:t>. Raman spectra of the LZC-xTF, TiF</w:t>
        </w:r>
        <w:r w:rsidRPr="002657D1">
          <w:rPr>
            <w:vertAlign w:val="subscript"/>
          </w:rPr>
          <w:t>3</w:t>
        </w:r>
        <w:r w:rsidRPr="002657D1">
          <w:t>, LiCl, and ZrCl</w:t>
        </w:r>
        <w:r w:rsidRPr="002657D1">
          <w:rPr>
            <w:vertAlign w:val="subscript"/>
          </w:rPr>
          <w:t>4</w:t>
        </w:r>
        <w:r w:rsidRPr="002657D1">
          <w:t>.</w:t>
        </w:r>
        <w:r w:rsidRPr="002657D1">
          <w:tab/>
        </w:r>
        <w:r w:rsidRPr="002657D1">
          <w:rPr>
            <w:rFonts w:hint="eastAsia"/>
          </w:rPr>
          <w:t>2</w:t>
        </w:r>
        <w:r w:rsidR="00AF1674" w:rsidRPr="002657D1">
          <w:rPr>
            <w:rFonts w:hint="eastAsia"/>
          </w:rPr>
          <w:t>6</w:t>
        </w:r>
      </w:hyperlink>
    </w:p>
    <w:p w14:paraId="308F42CE" w14:textId="30D1E651" w:rsidR="00DF556D" w:rsidRPr="002657D1" w:rsidRDefault="00892C75" w:rsidP="00583E16">
      <w:pPr>
        <w:pStyle w:val="TOC1"/>
        <w:rPr>
          <w:noProof/>
        </w:rPr>
      </w:pPr>
      <w:hyperlink w:anchor="_Toc212046303" w:history="1">
        <w:r w:rsidRPr="002657D1">
          <w:t xml:space="preserve">Supplementary Fig. </w:t>
        </w:r>
        <w:r w:rsidR="006563E6" w:rsidRPr="002657D1">
          <w:rPr>
            <w:rFonts w:hint="eastAsia"/>
          </w:rPr>
          <w:t>12</w:t>
        </w:r>
        <w:r w:rsidRPr="002657D1">
          <w:t>. SEM images of the corresponding EDS mapping of the prepared LZC-10TF.</w:t>
        </w:r>
        <w:r w:rsidRPr="002657D1">
          <w:rPr>
            <w:noProof/>
            <w:webHidden/>
          </w:rPr>
          <w:tab/>
        </w:r>
        <w:r w:rsidRPr="002657D1">
          <w:rPr>
            <w:rFonts w:hint="eastAsia"/>
            <w:noProof/>
            <w:webHidden/>
          </w:rPr>
          <w:t>2</w:t>
        </w:r>
        <w:r w:rsidR="00AF1674" w:rsidRPr="002657D1">
          <w:rPr>
            <w:rFonts w:hint="eastAsia"/>
            <w:noProof/>
            <w:webHidden/>
          </w:rPr>
          <w:t>7</w:t>
        </w:r>
      </w:hyperlink>
    </w:p>
    <w:p w14:paraId="0302B11B" w14:textId="46F55870" w:rsidR="00DF556D" w:rsidRPr="002657D1" w:rsidRDefault="00DF556D" w:rsidP="00583E16">
      <w:pPr>
        <w:pStyle w:val="TOC1"/>
      </w:pPr>
      <w:r w:rsidRPr="002657D1">
        <w:t xml:space="preserve">Supplementary Fig. </w:t>
      </w:r>
      <w:r w:rsidR="006563E6" w:rsidRPr="002657D1">
        <w:t>1</w:t>
      </w:r>
      <w:r w:rsidR="006563E6" w:rsidRPr="002657D1">
        <w:rPr>
          <w:rFonts w:hint="eastAsia"/>
        </w:rPr>
        <w:t>3</w:t>
      </w:r>
      <w:r w:rsidRPr="002657D1">
        <w:t xml:space="preserve">. </w:t>
      </w:r>
      <w:hyperlink w:anchor="_Toc212046303" w:history="1">
        <w:r w:rsidR="00892C75" w:rsidRPr="002657D1">
          <w:t>Nyquist plots of the prepared LZC-xTF (x = 0, 10, 20, 30, 40).</w:t>
        </w:r>
        <w:r w:rsidR="00892C75" w:rsidRPr="002657D1">
          <w:tab/>
        </w:r>
        <w:r w:rsidR="00892C75" w:rsidRPr="002657D1">
          <w:rPr>
            <w:rFonts w:hint="eastAsia"/>
          </w:rPr>
          <w:t>2</w:t>
        </w:r>
        <w:r w:rsidR="00AF1674" w:rsidRPr="002657D1">
          <w:rPr>
            <w:rFonts w:hint="eastAsia"/>
          </w:rPr>
          <w:t>8</w:t>
        </w:r>
      </w:hyperlink>
    </w:p>
    <w:p w14:paraId="477981D6" w14:textId="21B1ECDB" w:rsidR="00DF556D" w:rsidRPr="002657D1" w:rsidRDefault="00892C75" w:rsidP="00583E16">
      <w:pPr>
        <w:pStyle w:val="TOC1"/>
        <w:rPr>
          <w:noProof/>
        </w:rPr>
      </w:pPr>
      <w:hyperlink w:anchor="_Toc212046303" w:history="1">
        <w:r w:rsidRPr="002657D1">
          <w:t>Supplementary Fig. 1</w:t>
        </w:r>
        <w:r w:rsidR="006563E6" w:rsidRPr="002657D1">
          <w:rPr>
            <w:rFonts w:hint="eastAsia"/>
          </w:rPr>
          <w:t>4</w:t>
        </w:r>
        <w:r w:rsidRPr="002657D1">
          <w:t>. Ionic conductivity comparison of the prepared LZC-10TF with previously advanced HSEs.</w:t>
        </w:r>
        <w:r w:rsidRPr="002657D1">
          <w:rPr>
            <w:noProof/>
            <w:webHidden/>
          </w:rPr>
          <w:tab/>
        </w:r>
        <w:r w:rsidRPr="002657D1">
          <w:rPr>
            <w:rFonts w:hint="eastAsia"/>
            <w:noProof/>
            <w:webHidden/>
          </w:rPr>
          <w:t>2</w:t>
        </w:r>
        <w:r w:rsidR="00AF1674" w:rsidRPr="002657D1">
          <w:rPr>
            <w:rFonts w:hint="eastAsia"/>
            <w:noProof/>
            <w:webHidden/>
          </w:rPr>
          <w:t>9</w:t>
        </w:r>
      </w:hyperlink>
    </w:p>
    <w:p w14:paraId="1B76DC5D" w14:textId="4BC4ACB1" w:rsidR="00DF556D" w:rsidRPr="002657D1" w:rsidRDefault="00892C75" w:rsidP="00583E16">
      <w:pPr>
        <w:pStyle w:val="TOC1"/>
        <w:rPr>
          <w:noProof/>
        </w:rPr>
      </w:pPr>
      <w:hyperlink w:anchor="_Toc212046303" w:history="1">
        <w:r w:rsidRPr="002657D1">
          <w:t>Supplementary Fig. 1</w:t>
        </w:r>
        <w:r w:rsidR="006563E6" w:rsidRPr="002657D1">
          <w:rPr>
            <w:rFonts w:hint="eastAsia"/>
          </w:rPr>
          <w:t>5</w:t>
        </w:r>
        <w:r w:rsidRPr="002657D1">
          <w:t xml:space="preserve">. </w:t>
        </w:r>
        <w:proofErr w:type="gramStart"/>
        <w:r w:rsidRPr="002657D1">
          <w:t>a,b</w:t>
        </w:r>
        <w:proofErr w:type="gramEnd"/>
        <w:r w:rsidRPr="002657D1">
          <w:t xml:space="preserve"> Rietveld refinement of the LZC-10TF (a) and LZC (b).</w:t>
        </w:r>
        <w:r w:rsidRPr="002657D1">
          <w:tab/>
        </w:r>
        <w:r w:rsidR="00AF1674" w:rsidRPr="002657D1">
          <w:rPr>
            <w:rFonts w:hint="eastAsia"/>
          </w:rPr>
          <w:t>30</w:t>
        </w:r>
      </w:hyperlink>
    </w:p>
    <w:p w14:paraId="133132BD" w14:textId="437167AC" w:rsidR="00DF556D" w:rsidRPr="002657D1" w:rsidRDefault="00892C75" w:rsidP="00583E16">
      <w:pPr>
        <w:pStyle w:val="TOC1"/>
        <w:rPr>
          <w:noProof/>
        </w:rPr>
      </w:pPr>
      <w:hyperlink w:anchor="_Toc212046303" w:history="1">
        <w:r w:rsidRPr="002657D1">
          <w:t>Supplementary Fig. 1</w:t>
        </w:r>
        <w:r w:rsidR="006563E6" w:rsidRPr="002657D1">
          <w:rPr>
            <w:rFonts w:hint="eastAsia"/>
          </w:rPr>
          <w:t>6</w:t>
        </w:r>
        <w:r w:rsidRPr="002657D1">
          <w:t>. Normalized XANES spectra of Ti K-edge for TiF</w:t>
        </w:r>
        <w:r w:rsidRPr="002657D1">
          <w:rPr>
            <w:vertAlign w:val="subscript"/>
          </w:rPr>
          <w:t>3</w:t>
        </w:r>
        <w:r w:rsidRPr="002657D1">
          <w:t xml:space="preserve"> and LZC-10TF</w:t>
        </w:r>
        <w:r w:rsidRPr="002657D1">
          <w:rPr>
            <w:rFonts w:hint="eastAsia"/>
          </w:rPr>
          <w:t>.</w:t>
        </w:r>
        <w:r w:rsidRPr="002657D1">
          <w:rPr>
            <w:noProof/>
            <w:webHidden/>
          </w:rPr>
          <w:tab/>
        </w:r>
        <w:r w:rsidR="00CD7A73" w:rsidRPr="002657D1">
          <w:rPr>
            <w:rFonts w:hint="eastAsia"/>
            <w:noProof/>
            <w:webHidden/>
          </w:rPr>
          <w:t>3</w:t>
        </w:r>
        <w:r w:rsidR="00AF1674" w:rsidRPr="002657D1">
          <w:rPr>
            <w:rFonts w:hint="eastAsia"/>
            <w:noProof/>
            <w:webHidden/>
          </w:rPr>
          <w:t>1</w:t>
        </w:r>
      </w:hyperlink>
    </w:p>
    <w:p w14:paraId="61743C33" w14:textId="6FEAC995" w:rsidR="00DF556D" w:rsidRPr="002657D1" w:rsidRDefault="00892C75" w:rsidP="00583E16">
      <w:pPr>
        <w:pStyle w:val="TOC1"/>
        <w:rPr>
          <w:noProof/>
        </w:rPr>
      </w:pPr>
      <w:hyperlink w:anchor="_Toc212046303" w:history="1">
        <w:r w:rsidRPr="002657D1">
          <w:t>Supplementary Fig. 1</w:t>
        </w:r>
        <w:r w:rsidR="006563E6" w:rsidRPr="002657D1">
          <w:rPr>
            <w:rFonts w:hint="eastAsia"/>
          </w:rPr>
          <w:t>7</w:t>
        </w:r>
        <w:r w:rsidRPr="002657D1">
          <w:t xml:space="preserve">. </w:t>
        </w:r>
        <w:r w:rsidR="00E3060D" w:rsidRPr="002657D1">
          <w:rPr>
            <w:rFonts w:hint="eastAsia"/>
          </w:rPr>
          <w:t xml:space="preserve">a </w:t>
        </w:r>
        <w:r w:rsidR="00E3060D" w:rsidRPr="002657D1">
          <w:t>WT for the k</w:t>
        </w:r>
        <w:r w:rsidR="00E3060D" w:rsidRPr="002657D1">
          <w:rPr>
            <w:vertAlign w:val="superscript"/>
          </w:rPr>
          <w:t>3</w:t>
        </w:r>
        <w:r w:rsidR="00E3060D" w:rsidRPr="002657D1">
          <w:t xml:space="preserve">-weighted Zr K-edge EXAFS signals of the Zr foil. </w:t>
        </w:r>
        <w:proofErr w:type="gramStart"/>
        <w:r w:rsidR="00E3060D" w:rsidRPr="002657D1">
          <w:t>b,c</w:t>
        </w:r>
        <w:proofErr w:type="gramEnd"/>
        <w:r w:rsidR="00E3060D" w:rsidRPr="002657D1">
          <w:t xml:space="preserve"> WT for the k</w:t>
        </w:r>
        <w:r w:rsidR="00E3060D" w:rsidRPr="002657D1">
          <w:rPr>
            <w:vertAlign w:val="superscript"/>
          </w:rPr>
          <w:t>3</w:t>
        </w:r>
        <w:r w:rsidR="00E3060D" w:rsidRPr="002657D1">
          <w:t>-weighted Ti K-edge EXAFS signals of the Ti foil (b) and TiF</w:t>
        </w:r>
        <w:r w:rsidR="00E3060D" w:rsidRPr="002657D1">
          <w:rPr>
            <w:vertAlign w:val="subscript"/>
          </w:rPr>
          <w:t>3</w:t>
        </w:r>
        <w:r w:rsidR="00E3060D" w:rsidRPr="002657D1">
          <w:t xml:space="preserve"> (c).</w:t>
        </w:r>
        <w:r w:rsidRPr="002657D1">
          <w:tab/>
        </w:r>
        <w:r w:rsidRPr="002657D1">
          <w:rPr>
            <w:rFonts w:hint="eastAsia"/>
          </w:rPr>
          <w:t>3</w:t>
        </w:r>
        <w:r w:rsidR="00AF1674" w:rsidRPr="002657D1">
          <w:rPr>
            <w:rFonts w:hint="eastAsia"/>
          </w:rPr>
          <w:t>2</w:t>
        </w:r>
      </w:hyperlink>
    </w:p>
    <w:p w14:paraId="7C4F5956" w14:textId="57FA0CAE" w:rsidR="00DF556D" w:rsidRPr="002657D1" w:rsidRDefault="00892C75" w:rsidP="00583E16">
      <w:pPr>
        <w:pStyle w:val="TOC1"/>
        <w:rPr>
          <w:noProof/>
        </w:rPr>
      </w:pPr>
      <w:hyperlink w:anchor="_Toc212046303" w:history="1">
        <w:r w:rsidRPr="002657D1">
          <w:t>Supplementary Fig. 1</w:t>
        </w:r>
        <w:r w:rsidR="006563E6" w:rsidRPr="002657D1">
          <w:rPr>
            <w:rFonts w:hint="eastAsia"/>
          </w:rPr>
          <w:t>8</w:t>
        </w:r>
        <w:r w:rsidRPr="002657D1">
          <w:t xml:space="preserve">. </w:t>
        </w:r>
        <w:proofErr w:type="gramStart"/>
        <w:r w:rsidR="00E3060D" w:rsidRPr="002657D1">
          <w:t>a,b</w:t>
        </w:r>
        <w:proofErr w:type="gramEnd"/>
        <w:r w:rsidR="00E3060D" w:rsidRPr="002657D1">
          <w:t xml:space="preserve"> Ti K-edge EXAFS fitting curves at R space for TiF</w:t>
        </w:r>
        <w:r w:rsidR="00E3060D" w:rsidRPr="002657D1">
          <w:rPr>
            <w:vertAlign w:val="subscript"/>
          </w:rPr>
          <w:t>3</w:t>
        </w:r>
        <w:r w:rsidR="00E3060D" w:rsidRPr="002657D1">
          <w:t xml:space="preserve"> (a) and LZC-10TF (b)</w:t>
        </w:r>
        <w:bookmarkStart w:id="19" w:name="OLE_LINK64"/>
        <w:r w:rsidR="00E3060D" w:rsidRPr="002657D1">
          <w:t>.</w:t>
        </w:r>
        <w:bookmarkEnd w:id="19"/>
        <w:r w:rsidRPr="002657D1">
          <w:rPr>
            <w:noProof/>
            <w:webHidden/>
          </w:rPr>
          <w:tab/>
        </w:r>
        <w:r w:rsidRPr="002657D1">
          <w:rPr>
            <w:rFonts w:hint="eastAsia"/>
            <w:noProof/>
            <w:webHidden/>
          </w:rPr>
          <w:t>3</w:t>
        </w:r>
        <w:r w:rsidR="00AF1674" w:rsidRPr="002657D1">
          <w:rPr>
            <w:rFonts w:hint="eastAsia"/>
            <w:noProof/>
            <w:webHidden/>
          </w:rPr>
          <w:t>3</w:t>
        </w:r>
      </w:hyperlink>
    </w:p>
    <w:p w14:paraId="0B232DF5" w14:textId="5D7623F9" w:rsidR="00DF556D" w:rsidRPr="002657D1" w:rsidRDefault="00892C75" w:rsidP="00583E16">
      <w:pPr>
        <w:pStyle w:val="TOC1"/>
        <w:rPr>
          <w:noProof/>
        </w:rPr>
      </w:pPr>
      <w:hyperlink w:anchor="_Toc212046303" w:history="1">
        <w:r w:rsidRPr="002657D1">
          <w:t>Supplementary Fig. 1</w:t>
        </w:r>
        <w:r w:rsidR="006563E6" w:rsidRPr="002657D1">
          <w:rPr>
            <w:rFonts w:hint="eastAsia"/>
          </w:rPr>
          <w:t>9</w:t>
        </w:r>
        <w:r w:rsidRPr="002657D1">
          <w:t xml:space="preserve">. </w:t>
        </w:r>
        <w:proofErr w:type="gramStart"/>
        <w:r w:rsidR="00E3060D" w:rsidRPr="002657D1">
          <w:t>a,b</w:t>
        </w:r>
        <w:proofErr w:type="gramEnd"/>
        <w:r w:rsidR="00E3060D" w:rsidRPr="002657D1">
          <w:t xml:space="preserve"> Zr K-edge EXAFS fitting curves at R space for LZC (a) and LZC-10TF (b)</w:t>
        </w:r>
        <w:bookmarkStart w:id="20" w:name="OLE_LINK74"/>
        <w:r w:rsidR="002657D1" w:rsidRPr="002657D1">
          <w:t>.</w:t>
        </w:r>
        <w:bookmarkEnd w:id="20"/>
        <w:r w:rsidRPr="002657D1">
          <w:tab/>
        </w:r>
        <w:r w:rsidRPr="002657D1">
          <w:rPr>
            <w:rFonts w:hint="eastAsia"/>
          </w:rPr>
          <w:t>3</w:t>
        </w:r>
        <w:r w:rsidR="00AF1674" w:rsidRPr="002657D1">
          <w:rPr>
            <w:rFonts w:hint="eastAsia"/>
          </w:rPr>
          <w:t>4</w:t>
        </w:r>
      </w:hyperlink>
    </w:p>
    <w:p w14:paraId="2683D2DD" w14:textId="60B8FA3D" w:rsidR="00DF556D" w:rsidRPr="002657D1" w:rsidRDefault="00892C75" w:rsidP="00583E16">
      <w:pPr>
        <w:pStyle w:val="TOC1"/>
        <w:rPr>
          <w:noProof/>
        </w:rPr>
      </w:pPr>
      <w:hyperlink w:anchor="_Toc212046303" w:history="1">
        <w:r w:rsidRPr="002657D1">
          <w:t xml:space="preserve">Supplementary Fig. </w:t>
        </w:r>
        <w:r w:rsidR="006563E6" w:rsidRPr="002657D1">
          <w:rPr>
            <w:rFonts w:hint="eastAsia"/>
          </w:rPr>
          <w:t>20</w:t>
        </w:r>
        <w:r w:rsidRPr="002657D1">
          <w:t xml:space="preserve">. </w:t>
        </w:r>
        <w:r w:rsidRPr="002657D1">
          <w:rPr>
            <w:vertAlign w:val="superscript"/>
          </w:rPr>
          <w:t>7</w:t>
        </w:r>
        <w:r w:rsidRPr="002657D1">
          <w:t>Li MAS NMR spectra of LZC and LZC-10TF.</w:t>
        </w:r>
        <w:r w:rsidRPr="002657D1">
          <w:rPr>
            <w:noProof/>
            <w:webHidden/>
          </w:rPr>
          <w:tab/>
        </w:r>
        <w:r w:rsidRPr="002657D1">
          <w:rPr>
            <w:rFonts w:hint="eastAsia"/>
            <w:noProof/>
            <w:webHidden/>
          </w:rPr>
          <w:t>3</w:t>
        </w:r>
        <w:r w:rsidR="00AF1674" w:rsidRPr="002657D1">
          <w:rPr>
            <w:rFonts w:hint="eastAsia"/>
            <w:noProof/>
            <w:webHidden/>
          </w:rPr>
          <w:t>5</w:t>
        </w:r>
      </w:hyperlink>
    </w:p>
    <w:p w14:paraId="2A3D286D" w14:textId="3C2137CA" w:rsidR="00DF556D" w:rsidRPr="002657D1" w:rsidRDefault="00892C75" w:rsidP="00583E16">
      <w:pPr>
        <w:pStyle w:val="TOC1"/>
        <w:rPr>
          <w:noProof/>
        </w:rPr>
      </w:pPr>
      <w:hyperlink w:anchor="_Toc212046303" w:history="1">
        <w:r w:rsidRPr="002657D1">
          <w:t xml:space="preserve">Supplementary Fig. </w:t>
        </w:r>
        <w:r w:rsidR="006563E6" w:rsidRPr="002657D1">
          <w:rPr>
            <w:rFonts w:hint="eastAsia"/>
          </w:rPr>
          <w:t>21</w:t>
        </w:r>
        <w:r w:rsidRPr="002657D1">
          <w:t>. Normalized electrostatic energy of 25,764,480 Li-free configurations in the LZC-10TF supercell model is shown, with representative high-energy (upper) and low-energy (lower) structures</w:t>
        </w:r>
        <w:bookmarkStart w:id="21" w:name="OLE_LINK96"/>
        <w:r w:rsidR="002657D1" w:rsidRPr="002657D1">
          <w:t>.</w:t>
        </w:r>
        <w:r w:rsidRPr="002657D1">
          <w:tab/>
        </w:r>
        <w:r w:rsidRPr="002657D1">
          <w:rPr>
            <w:rFonts w:hint="eastAsia"/>
          </w:rPr>
          <w:t>3</w:t>
        </w:r>
        <w:r w:rsidR="00AF1674" w:rsidRPr="002657D1">
          <w:rPr>
            <w:rFonts w:hint="eastAsia"/>
          </w:rPr>
          <w:t>6</w:t>
        </w:r>
        <w:bookmarkEnd w:id="21"/>
      </w:hyperlink>
    </w:p>
    <w:p w14:paraId="31F7BCA1" w14:textId="3F2E12C6" w:rsidR="00DF556D" w:rsidRPr="002657D1" w:rsidRDefault="00DF556D" w:rsidP="00583E16">
      <w:pPr>
        <w:pStyle w:val="TOC1"/>
        <w:rPr>
          <w:noProof/>
        </w:rPr>
      </w:pPr>
      <w:hyperlink w:anchor="_Toc212046303" w:history="1">
        <w:r w:rsidRPr="002657D1">
          <w:t xml:space="preserve">Supplementary Fig. </w:t>
        </w:r>
        <w:r w:rsidR="006563E6" w:rsidRPr="002657D1">
          <w:rPr>
            <w:rFonts w:hint="eastAsia"/>
          </w:rPr>
          <w:t>22</w:t>
        </w:r>
        <w:r w:rsidRPr="002657D1">
          <w:t xml:space="preserve">. </w:t>
        </w:r>
        <w:proofErr w:type="gramStart"/>
        <w:r w:rsidR="001F64BF" w:rsidRPr="002657D1">
          <w:rPr>
            <w:rFonts w:hint="eastAsia"/>
          </w:rPr>
          <w:t>a,b</w:t>
        </w:r>
        <w:proofErr w:type="gramEnd"/>
        <w:r w:rsidR="001F64BF" w:rsidRPr="002657D1">
          <w:t xml:space="preserve"> </w:t>
        </w:r>
        <w:r w:rsidRPr="002657D1">
          <w:t>Crystal structure of LZC (a) superimposed with Li⁺ probability density (b) indicated by yellow iso-surfaces, based on 20 ps AIMD simulations at 1100 K. c,d Crystal structure of LZC-10TF (c) superimposed with Li⁺ probability density (d), also marked by yellow iso-surfaces, from 20 ps AIMD simulations at 1100 K</w:t>
        </w:r>
      </w:hyperlink>
      <w:r w:rsidR="007930C4">
        <w:rPr>
          <w:rFonts w:hint="eastAsia"/>
        </w:rPr>
        <w:t>.</w:t>
      </w:r>
      <w:r w:rsidR="007930C4">
        <w:rPr>
          <w:rFonts w:hint="eastAsia"/>
        </w:rPr>
        <w:tab/>
        <w:t>3</w:t>
      </w:r>
      <w:r w:rsidR="007930C4">
        <w:rPr>
          <w:rFonts w:hint="eastAsia"/>
        </w:rPr>
        <w:t>7</w:t>
      </w:r>
    </w:p>
    <w:p w14:paraId="080C3EFD" w14:textId="5CD6AEFA" w:rsidR="00DF556D" w:rsidRPr="002657D1" w:rsidRDefault="00892C75" w:rsidP="00583E16">
      <w:pPr>
        <w:pStyle w:val="TOC1"/>
        <w:rPr>
          <w:noProof/>
        </w:rPr>
      </w:pPr>
      <w:hyperlink w:anchor="_Toc212046303" w:history="1">
        <w:r w:rsidRPr="002657D1">
          <w:t>Supplementary Fig. 2</w:t>
        </w:r>
        <w:r w:rsidR="006563E6" w:rsidRPr="002657D1">
          <w:rPr>
            <w:rFonts w:hint="eastAsia"/>
          </w:rPr>
          <w:t>3</w:t>
        </w:r>
        <w:r w:rsidRPr="002657D1">
          <w:t xml:space="preserve">. </w:t>
        </w:r>
        <w:proofErr w:type="gramStart"/>
        <w:r w:rsidRPr="002657D1">
          <w:t>a,d</w:t>
        </w:r>
        <w:proofErr w:type="gramEnd"/>
        <w:r w:rsidRPr="002657D1">
          <w:t xml:space="preserve"> </w:t>
        </w:r>
        <w:proofErr w:type="gramStart"/>
        <w:r w:rsidRPr="002657D1">
          <w:t>The</w:t>
        </w:r>
        <w:proofErr w:type="gramEnd"/>
        <w:r w:rsidRPr="002657D1">
          <w:t xml:space="preserve"> energy landscape of LZC (a) and LZC-10TF (d) calculated using the BVSE method is shown. </w:t>
        </w:r>
        <w:proofErr w:type="gramStart"/>
        <w:r w:rsidRPr="002657D1">
          <w:t>b,c</w:t>
        </w:r>
        <w:proofErr w:type="gramEnd"/>
        <w:r w:rsidRPr="002657D1">
          <w:t>,</w:t>
        </w:r>
        <w:proofErr w:type="gramStart"/>
        <w:r w:rsidRPr="002657D1">
          <w:t>e,f</w:t>
        </w:r>
        <w:proofErr w:type="gramEnd"/>
        <w:r w:rsidRPr="002657D1">
          <w:t xml:space="preserve"> </w:t>
        </w:r>
        <w:proofErr w:type="gramStart"/>
        <w:r w:rsidRPr="002657D1">
          <w:t>The</w:t>
        </w:r>
        <w:proofErr w:type="gramEnd"/>
        <w:r w:rsidRPr="002657D1">
          <w:t xml:space="preserve"> energy isosurfaces and migration pathways for LZC (</w:t>
        </w:r>
        <w:proofErr w:type="gramStart"/>
        <w:r w:rsidRPr="002657D1">
          <w:t>b,c</w:t>
        </w:r>
        <w:proofErr w:type="gramEnd"/>
        <w:r w:rsidRPr="002657D1">
          <w:t>) and LZC-10TF (</w:t>
        </w:r>
        <w:proofErr w:type="gramStart"/>
        <w:r w:rsidRPr="002657D1">
          <w:t>e,f</w:t>
        </w:r>
        <w:proofErr w:type="gramEnd"/>
        <w:r w:rsidRPr="002657D1">
          <w:t>) are presented, which are consistent with the results obtained from CINEB calculations.</w:t>
        </w:r>
        <w:r w:rsidRPr="002657D1">
          <w:tab/>
          <w:t>3</w:t>
        </w:r>
      </w:hyperlink>
      <w:r w:rsidR="00AF1674" w:rsidRPr="002657D1">
        <w:rPr>
          <w:rFonts w:hint="eastAsia"/>
        </w:rPr>
        <w:t>8</w:t>
      </w:r>
    </w:p>
    <w:p w14:paraId="20D3EAC8" w14:textId="50DD67CB" w:rsidR="00DF556D" w:rsidRPr="002657D1" w:rsidRDefault="00892C75" w:rsidP="00583E16">
      <w:pPr>
        <w:pStyle w:val="TOC1"/>
        <w:rPr>
          <w:noProof/>
        </w:rPr>
      </w:pPr>
      <w:hyperlink w:anchor="_Toc212046303" w:history="1">
        <w:r w:rsidRPr="002657D1">
          <w:t>Supplementary Fig. 2</w:t>
        </w:r>
        <w:r w:rsidR="006563E6" w:rsidRPr="002657D1">
          <w:rPr>
            <w:rFonts w:hint="eastAsia"/>
          </w:rPr>
          <w:t>4</w:t>
        </w:r>
        <w:r w:rsidRPr="002657D1">
          <w:t>. Comparison of bond lengths of Ti-Cl, Zr-Cl, Ti-F, and Zr-F.</w:t>
        </w:r>
        <w:r w:rsidRPr="002657D1">
          <w:rPr>
            <w:noProof/>
            <w:webHidden/>
          </w:rPr>
          <w:tab/>
        </w:r>
        <w:r w:rsidRPr="002657D1">
          <w:rPr>
            <w:rFonts w:hint="eastAsia"/>
            <w:noProof/>
            <w:webHidden/>
          </w:rPr>
          <w:t>3</w:t>
        </w:r>
        <w:r w:rsidR="00AF1674" w:rsidRPr="002657D1">
          <w:rPr>
            <w:rFonts w:hint="eastAsia"/>
            <w:noProof/>
            <w:webHidden/>
          </w:rPr>
          <w:t>9</w:t>
        </w:r>
      </w:hyperlink>
    </w:p>
    <w:p w14:paraId="7CE2BAB7" w14:textId="2FD7A9FE" w:rsidR="00DF556D" w:rsidRPr="002657D1" w:rsidRDefault="00892C75" w:rsidP="00583E16">
      <w:pPr>
        <w:pStyle w:val="TOC1"/>
        <w:rPr>
          <w:noProof/>
        </w:rPr>
      </w:pPr>
      <w:hyperlink w:anchor="_Toc212046303" w:history="1">
        <w:r w:rsidRPr="002657D1">
          <w:t>Supplementary Fig. 2</w:t>
        </w:r>
        <w:r w:rsidR="006563E6" w:rsidRPr="002657D1">
          <w:rPr>
            <w:rFonts w:hint="eastAsia"/>
          </w:rPr>
          <w:t>5</w:t>
        </w:r>
        <w:r w:rsidRPr="002657D1">
          <w:t xml:space="preserve">. </w:t>
        </w:r>
        <w:r w:rsidRPr="002657D1">
          <w:rPr>
            <w:rFonts w:hint="eastAsia"/>
          </w:rPr>
          <w:t xml:space="preserve">a-d </w:t>
        </w:r>
        <w:r w:rsidRPr="002657D1">
          <w:t xml:space="preserve">2D plot of the electron localization function (ELF) for LZC (a), LZC-30F (b), LZC-10T (c), LZC-10TF (d) in the (001) plane, with a fractional coordinate of 0.5 along the </w:t>
        </w:r>
        <w:r w:rsidRPr="002657D1">
          <w:rPr>
            <w:i/>
            <w:iCs/>
          </w:rPr>
          <w:t>c</w:t>
        </w:r>
        <w:r w:rsidRPr="002657D1">
          <w:t>-axis.</w:t>
        </w:r>
        <w:r w:rsidRPr="002657D1">
          <w:tab/>
        </w:r>
      </w:hyperlink>
      <w:r w:rsidR="00AF1674" w:rsidRPr="002657D1">
        <w:rPr>
          <w:rFonts w:hint="eastAsia"/>
        </w:rPr>
        <w:t>40</w:t>
      </w:r>
    </w:p>
    <w:p w14:paraId="23A100ED" w14:textId="2DF7D973" w:rsidR="00DF556D" w:rsidRPr="002657D1" w:rsidRDefault="00892C75" w:rsidP="00583E16">
      <w:pPr>
        <w:pStyle w:val="TOC1"/>
        <w:rPr>
          <w:noProof/>
        </w:rPr>
      </w:pPr>
      <w:hyperlink w:anchor="_Toc212046303" w:history="1">
        <w:r w:rsidRPr="002657D1">
          <w:t>Supplementary Fig. 2</w:t>
        </w:r>
        <w:r w:rsidR="006563E6" w:rsidRPr="002657D1">
          <w:rPr>
            <w:rFonts w:hint="eastAsia"/>
          </w:rPr>
          <w:t>6</w:t>
        </w:r>
        <w:r w:rsidRPr="002657D1">
          <w:t>. a-d PDOS plots for Li⁺ and the nearby anions are shown: LZC (a), LZC-10T (b), LZC-30F (c), LZC-10TF (d).</w:t>
        </w:r>
        <w:r w:rsidRPr="002657D1">
          <w:rPr>
            <w:noProof/>
            <w:webHidden/>
          </w:rPr>
          <w:tab/>
        </w:r>
        <w:r w:rsidR="006563E6" w:rsidRPr="002657D1">
          <w:rPr>
            <w:rFonts w:hint="eastAsia"/>
            <w:noProof/>
            <w:webHidden/>
          </w:rPr>
          <w:t>4</w:t>
        </w:r>
      </w:hyperlink>
      <w:r w:rsidR="00AF1674" w:rsidRPr="002657D1">
        <w:rPr>
          <w:rFonts w:hint="eastAsia"/>
        </w:rPr>
        <w:t>2</w:t>
      </w:r>
    </w:p>
    <w:p w14:paraId="72AD3805" w14:textId="66C35EC3" w:rsidR="00DF556D" w:rsidRPr="002657D1" w:rsidRDefault="00B04AC1" w:rsidP="00583E16">
      <w:pPr>
        <w:pStyle w:val="TOC1"/>
        <w:rPr>
          <w:noProof/>
        </w:rPr>
      </w:pPr>
      <w:hyperlink w:anchor="_Toc212046303" w:history="1">
        <w:r w:rsidRPr="002657D1">
          <w:t>Supplementary Fig. 2</w:t>
        </w:r>
        <w:r w:rsidR="006563E6" w:rsidRPr="002657D1">
          <w:rPr>
            <w:rFonts w:hint="eastAsia"/>
          </w:rPr>
          <w:t>7</w:t>
        </w:r>
        <w:r w:rsidRPr="002657D1">
          <w:t xml:space="preserve">. DC polarization curves of LZC (a) and LZC-10TF (b) using a symmetric cell configuration with different voltage biases from 0.2 to 1 V. c </w:t>
        </w:r>
        <w:proofErr w:type="gramStart"/>
        <w:r w:rsidRPr="002657D1">
          <w:t>The</w:t>
        </w:r>
        <w:proofErr w:type="gramEnd"/>
        <w:r w:rsidRPr="002657D1">
          <w:t xml:space="preserve"> electronic conductivity comparison of LZC and LZC-10TF.</w:t>
        </w:r>
        <w:r w:rsidRPr="002657D1">
          <w:tab/>
        </w:r>
        <w:r w:rsidRPr="002657D1">
          <w:rPr>
            <w:rFonts w:hint="eastAsia"/>
          </w:rPr>
          <w:t>4</w:t>
        </w:r>
        <w:r w:rsidR="00AF1674" w:rsidRPr="002657D1">
          <w:rPr>
            <w:rFonts w:hint="eastAsia"/>
          </w:rPr>
          <w:t>3</w:t>
        </w:r>
      </w:hyperlink>
    </w:p>
    <w:p w14:paraId="6439E344" w14:textId="7A5CE178" w:rsidR="00DF556D" w:rsidRPr="002657D1" w:rsidRDefault="00B04AC1" w:rsidP="00583E16">
      <w:pPr>
        <w:pStyle w:val="TOC1"/>
        <w:rPr>
          <w:noProof/>
        </w:rPr>
      </w:pPr>
      <w:hyperlink w:anchor="_Toc212046303" w:history="1">
        <w:r w:rsidRPr="002657D1">
          <w:rPr>
            <w:bCs/>
          </w:rPr>
          <w:t>Supplementary Fig. 2</w:t>
        </w:r>
        <w:r w:rsidR="006563E6" w:rsidRPr="002657D1">
          <w:rPr>
            <w:rFonts w:hint="eastAsia"/>
            <w:bCs/>
          </w:rPr>
          <w:t>8</w:t>
        </w:r>
        <w:r w:rsidRPr="002657D1">
          <w:rPr>
            <w:bCs/>
          </w:rPr>
          <w:t xml:space="preserve">. </w:t>
        </w:r>
        <w:r w:rsidRPr="002657D1">
          <w:t>a</w:t>
        </w:r>
        <w:r w:rsidRPr="002657D1">
          <w:rPr>
            <w:b/>
            <w:bCs/>
          </w:rPr>
          <w:t xml:space="preserve"> </w:t>
        </w:r>
        <w:r w:rsidRPr="002657D1">
          <w:t xml:space="preserve">Schematic diagram of Li/LZC-xTF/LZC-xTF+VGCF cells. </w:t>
        </w:r>
        <w:proofErr w:type="gramStart"/>
        <w:r w:rsidRPr="002657D1">
          <w:t>b,c</w:t>
        </w:r>
        <w:proofErr w:type="gramEnd"/>
        <w:r w:rsidRPr="002657D1">
          <w:t xml:space="preserve"> LSV curves of Li/LZC/LZC+VGCF (b) and Li/LZC-10TF/LZC-10TF+VGCF (</w:t>
        </w:r>
        <w:r w:rsidRPr="002657D1">
          <w:rPr>
            <w:b/>
            <w:bCs/>
          </w:rPr>
          <w:t>c</w:t>
        </w:r>
        <w:r w:rsidRPr="002657D1">
          <w:t>) at 0.1 mV s</w:t>
        </w:r>
        <w:r w:rsidRPr="002657D1">
          <w:rPr>
            <w:vertAlign w:val="superscript"/>
          </w:rPr>
          <w:t>−1</w:t>
        </w:r>
        <w:r w:rsidRPr="002657D1">
          <w:t>.</w:t>
        </w:r>
        <w:r w:rsidRPr="002657D1">
          <w:rPr>
            <w:noProof/>
            <w:webHidden/>
          </w:rPr>
          <w:tab/>
        </w:r>
        <w:r w:rsidRPr="002657D1">
          <w:rPr>
            <w:rFonts w:hint="eastAsia"/>
            <w:noProof/>
            <w:webHidden/>
          </w:rPr>
          <w:t>4</w:t>
        </w:r>
        <w:r w:rsidR="00AF1674" w:rsidRPr="002657D1">
          <w:rPr>
            <w:rFonts w:hint="eastAsia"/>
            <w:noProof/>
            <w:webHidden/>
          </w:rPr>
          <w:t>4</w:t>
        </w:r>
      </w:hyperlink>
    </w:p>
    <w:p w14:paraId="1BD099BF" w14:textId="4FF56F4C" w:rsidR="00DF556D" w:rsidRPr="002657D1" w:rsidRDefault="006563E6" w:rsidP="00583E16">
      <w:pPr>
        <w:pStyle w:val="TOC1"/>
        <w:rPr>
          <w:noProof/>
        </w:rPr>
      </w:pPr>
      <w:hyperlink w:anchor="_Toc212046303" w:history="1">
        <w:r w:rsidRPr="002657D1">
          <w:t>Supplementary Fig. 2</w:t>
        </w:r>
        <w:r w:rsidRPr="002657D1">
          <w:rPr>
            <w:rFonts w:hint="eastAsia"/>
          </w:rPr>
          <w:t>9</w:t>
        </w:r>
        <w:r w:rsidRPr="002657D1">
          <w:t>. Galvanostatic cycling of Li/LZC/Li and Li/LZC-10TF/Li symmetric cells at the current density of 0.1 mA cm⁻</w:t>
        </w:r>
        <w:r w:rsidRPr="002657D1">
          <w:rPr>
            <w:vertAlign w:val="superscript"/>
          </w:rPr>
          <w:t>2</w:t>
        </w:r>
        <w:r w:rsidRPr="002657D1">
          <w:t xml:space="preserve"> for 0.1 mAh cm⁻</w:t>
        </w:r>
        <w:r w:rsidRPr="002657D1">
          <w:rPr>
            <w:vertAlign w:val="superscript"/>
          </w:rPr>
          <w:t>2</w:t>
        </w:r>
        <w:r w:rsidRPr="002657D1">
          <w:t>.</w:t>
        </w:r>
        <w:r w:rsidRPr="002657D1">
          <w:tab/>
        </w:r>
        <w:r w:rsidRPr="002657D1">
          <w:rPr>
            <w:rFonts w:hint="eastAsia"/>
          </w:rPr>
          <w:t>4</w:t>
        </w:r>
        <w:r w:rsidR="00AF1674" w:rsidRPr="002657D1">
          <w:rPr>
            <w:rFonts w:hint="eastAsia"/>
          </w:rPr>
          <w:t>5</w:t>
        </w:r>
      </w:hyperlink>
    </w:p>
    <w:p w14:paraId="788A2F1A" w14:textId="276F14E5" w:rsidR="00DF556D" w:rsidRPr="002657D1" w:rsidRDefault="00E55125" w:rsidP="00583E16">
      <w:pPr>
        <w:pStyle w:val="TOC1"/>
        <w:rPr>
          <w:noProof/>
        </w:rPr>
      </w:pPr>
      <w:hyperlink w:anchor="_Toc212046303" w:history="1">
        <w:r w:rsidRPr="002657D1">
          <w:rPr>
            <w:bCs/>
          </w:rPr>
          <w:t xml:space="preserve">Supplementary Fig. </w:t>
        </w:r>
        <w:r w:rsidR="006563E6" w:rsidRPr="002657D1">
          <w:rPr>
            <w:rFonts w:hint="eastAsia"/>
            <w:bCs/>
          </w:rPr>
          <w:t>30</w:t>
        </w:r>
        <w:r w:rsidRPr="002657D1">
          <w:rPr>
            <w:bCs/>
          </w:rPr>
          <w:t>.</w:t>
        </w:r>
        <w:r w:rsidR="00DF556D" w:rsidRPr="002657D1">
          <w:rPr>
            <w:bCs/>
          </w:rPr>
          <w:t xml:space="preserve"> </w:t>
        </w:r>
        <w:proofErr w:type="gramStart"/>
        <w:r w:rsidRPr="002657D1">
          <w:t>a,b</w:t>
        </w:r>
        <w:proofErr w:type="gramEnd"/>
        <w:r w:rsidRPr="002657D1">
          <w:t xml:space="preserve"> Nyquist plots of the Li/LZC/Li (a) and Li/LZC-10TF/Li (b) symmetric cells before and after 500 h cycling at 0.1 mA cm⁻</w:t>
        </w:r>
        <w:r w:rsidRPr="002657D1">
          <w:rPr>
            <w:vertAlign w:val="superscript"/>
          </w:rPr>
          <w:t>2</w:t>
        </w:r>
        <w:r w:rsidRPr="002657D1">
          <w:t xml:space="preserve"> for 0.1 mAh cm⁻</w:t>
        </w:r>
        <w:r w:rsidRPr="002657D1">
          <w:rPr>
            <w:vertAlign w:val="superscript"/>
          </w:rPr>
          <w:t>2</w:t>
        </w:r>
        <w:r w:rsidR="00DF556D" w:rsidRPr="002657D1">
          <w:rPr>
            <w:bCs/>
          </w:rPr>
          <w:t>.</w:t>
        </w:r>
        <w:r w:rsidR="00DF556D" w:rsidRPr="002657D1">
          <w:rPr>
            <w:noProof/>
            <w:webHidden/>
          </w:rPr>
          <w:tab/>
        </w:r>
        <w:r w:rsidR="001F64BF" w:rsidRPr="002657D1">
          <w:rPr>
            <w:rFonts w:hint="eastAsia"/>
            <w:noProof/>
            <w:webHidden/>
          </w:rPr>
          <w:t>4</w:t>
        </w:r>
        <w:r w:rsidR="00AF1674" w:rsidRPr="002657D1">
          <w:rPr>
            <w:rFonts w:hint="eastAsia"/>
            <w:noProof/>
            <w:webHidden/>
          </w:rPr>
          <w:t>6</w:t>
        </w:r>
      </w:hyperlink>
    </w:p>
    <w:p w14:paraId="683DE28B" w14:textId="6508EF14" w:rsidR="00DF556D" w:rsidRPr="002657D1" w:rsidRDefault="00DF556D" w:rsidP="00583E16">
      <w:pPr>
        <w:pStyle w:val="TOC1"/>
        <w:rPr>
          <w:noProof/>
        </w:rPr>
      </w:pPr>
      <w:hyperlink w:anchor="_Toc212046303" w:history="1">
        <w:r w:rsidRPr="002657D1">
          <w:t xml:space="preserve">Supplementary Fig. </w:t>
        </w:r>
        <w:r w:rsidR="006563E6" w:rsidRPr="002657D1">
          <w:rPr>
            <w:rFonts w:hint="eastAsia"/>
          </w:rPr>
          <w:t>31</w:t>
        </w:r>
        <w:r w:rsidR="00E55125" w:rsidRPr="002657D1">
          <w:t xml:space="preserve">. </w:t>
        </w:r>
        <w:r w:rsidR="001F64BF" w:rsidRPr="002657D1">
          <w:rPr>
            <w:rFonts w:hint="eastAsia"/>
          </w:rPr>
          <w:t xml:space="preserve">a-c </w:t>
        </w:r>
        <w:r w:rsidR="00E55125" w:rsidRPr="002657D1">
          <w:t xml:space="preserve">Galvanostatic cycling of Li/LZC-20TF/Li (a), Li/LZC-30TF/Li (b), and Li/LZC-40TF/Li (c) symmetric cells at the current density of 0.1 mA </w:t>
        </w:r>
        <w:r w:rsidR="00E55125" w:rsidRPr="002657D1">
          <w:lastRenderedPageBreak/>
          <w:t>cm⁻</w:t>
        </w:r>
        <w:r w:rsidR="00E55125" w:rsidRPr="002657D1">
          <w:rPr>
            <w:vertAlign w:val="superscript"/>
          </w:rPr>
          <w:t>2</w:t>
        </w:r>
        <w:r w:rsidR="00E55125" w:rsidRPr="002657D1">
          <w:t xml:space="preserve"> for 0.1 mAh cm⁻</w:t>
        </w:r>
        <w:r w:rsidR="00E55125" w:rsidRPr="002657D1">
          <w:rPr>
            <w:vertAlign w:val="superscript"/>
          </w:rPr>
          <w:t>2</w:t>
        </w:r>
        <w:bookmarkStart w:id="22" w:name="_Hlk216428180"/>
        <w:r w:rsidR="00E55125" w:rsidRPr="002657D1">
          <w:t>.</w:t>
        </w:r>
        <w:r w:rsidRPr="002657D1">
          <w:tab/>
        </w:r>
        <w:r w:rsidR="001F64BF" w:rsidRPr="002657D1">
          <w:rPr>
            <w:rFonts w:hint="eastAsia"/>
          </w:rPr>
          <w:t>4</w:t>
        </w:r>
        <w:bookmarkEnd w:id="22"/>
        <w:r w:rsidR="00AF1674" w:rsidRPr="002657D1">
          <w:rPr>
            <w:rFonts w:hint="eastAsia"/>
          </w:rPr>
          <w:t>7</w:t>
        </w:r>
      </w:hyperlink>
    </w:p>
    <w:p w14:paraId="67C245C2" w14:textId="53BAC767" w:rsidR="00DF556D" w:rsidRPr="002657D1" w:rsidRDefault="00DF556D" w:rsidP="00583E16">
      <w:pPr>
        <w:pStyle w:val="TOC1"/>
        <w:rPr>
          <w:noProof/>
        </w:rPr>
      </w:pPr>
      <w:hyperlink w:anchor="_Toc212046303" w:history="1">
        <w:r w:rsidRPr="002657D1">
          <w:t xml:space="preserve">Supplementary Fig. </w:t>
        </w:r>
        <w:r w:rsidR="006563E6" w:rsidRPr="002657D1">
          <w:rPr>
            <w:rFonts w:hint="eastAsia"/>
          </w:rPr>
          <w:t>32</w:t>
        </w:r>
        <w:r w:rsidR="00E55125" w:rsidRPr="002657D1">
          <w:t>.</w:t>
        </w:r>
        <w:r w:rsidRPr="002657D1">
          <w:t xml:space="preserve"> </w:t>
        </w:r>
        <w:r w:rsidR="00E55125" w:rsidRPr="002657D1">
          <w:t>Li 1s (a) and Zr 3d (b) XPS spectra of</w:t>
        </w:r>
        <w:r w:rsidR="00E55125" w:rsidRPr="002657D1">
          <w:rPr>
            <w:kern w:val="24"/>
          </w:rPr>
          <w:t xml:space="preserve"> the pristine LZC HSE before and after 500 h cycling at 0.1 mA cm</w:t>
        </w:r>
        <w:r w:rsidR="00E55125" w:rsidRPr="002657D1">
          <w:rPr>
            <w:kern w:val="24"/>
            <w:vertAlign w:val="superscript"/>
          </w:rPr>
          <w:t>−2</w:t>
        </w:r>
        <w:r w:rsidR="00E55125" w:rsidRPr="002657D1">
          <w:rPr>
            <w:kern w:val="24"/>
          </w:rPr>
          <w:t xml:space="preserve"> for 0.1 mAh cm</w:t>
        </w:r>
        <w:r w:rsidR="00E55125" w:rsidRPr="002657D1">
          <w:rPr>
            <w:kern w:val="24"/>
            <w:vertAlign w:val="superscript"/>
          </w:rPr>
          <w:t>−2</w:t>
        </w:r>
        <w:r w:rsidR="00E55125" w:rsidRPr="002657D1">
          <w:rPr>
            <w:kern w:val="24"/>
          </w:rPr>
          <w:t>.</w:t>
        </w:r>
        <w:r w:rsidRPr="002657D1">
          <w:rPr>
            <w:noProof/>
            <w:webHidden/>
          </w:rPr>
          <w:tab/>
        </w:r>
        <w:r w:rsidR="001F64BF" w:rsidRPr="002657D1">
          <w:rPr>
            <w:rFonts w:hint="eastAsia"/>
            <w:noProof/>
            <w:webHidden/>
          </w:rPr>
          <w:t>4</w:t>
        </w:r>
        <w:r w:rsidR="00AF1674" w:rsidRPr="002657D1">
          <w:rPr>
            <w:rFonts w:hint="eastAsia"/>
            <w:noProof/>
            <w:webHidden/>
          </w:rPr>
          <w:t>8</w:t>
        </w:r>
      </w:hyperlink>
    </w:p>
    <w:p w14:paraId="22FB05C9" w14:textId="52C38C9B" w:rsidR="00DF556D" w:rsidRPr="002657D1" w:rsidRDefault="00DF556D" w:rsidP="00583E16">
      <w:pPr>
        <w:pStyle w:val="TOC1"/>
        <w:rPr>
          <w:noProof/>
        </w:rPr>
      </w:pPr>
      <w:hyperlink w:anchor="_Toc212046303" w:history="1">
        <w:r w:rsidRPr="002657D1">
          <w:t xml:space="preserve">Supplementary Fig. </w:t>
        </w:r>
        <w:r w:rsidR="006563E6" w:rsidRPr="002657D1">
          <w:t>3</w:t>
        </w:r>
        <w:r w:rsidR="006563E6" w:rsidRPr="002657D1">
          <w:rPr>
            <w:rFonts w:hint="eastAsia"/>
          </w:rPr>
          <w:t>3</w:t>
        </w:r>
        <w:r w:rsidR="00E55125" w:rsidRPr="002657D1">
          <w:t>.</w:t>
        </w:r>
        <w:r w:rsidRPr="002657D1">
          <w:t xml:space="preserve"> </w:t>
        </w:r>
        <w:proofErr w:type="gramStart"/>
        <w:r w:rsidR="00E55125" w:rsidRPr="002657D1">
          <w:t>a,b</w:t>
        </w:r>
        <w:proofErr w:type="gramEnd"/>
        <w:r w:rsidR="00E55125" w:rsidRPr="002657D1">
          <w:t xml:space="preserve"> Zr 3d (a) and Li 1s (b) in-depth XPS spectra of</w:t>
        </w:r>
        <w:r w:rsidR="00E55125" w:rsidRPr="002657D1">
          <w:rPr>
            <w:kern w:val="24"/>
          </w:rPr>
          <w:t xml:space="preserve"> the LZC-10TF HSE after 500 h cycling at 1.0 mA cm</w:t>
        </w:r>
        <w:r w:rsidR="00E55125" w:rsidRPr="002657D1">
          <w:t>⁻</w:t>
        </w:r>
        <w:r w:rsidR="00E55125" w:rsidRPr="002657D1">
          <w:rPr>
            <w:vertAlign w:val="superscript"/>
          </w:rPr>
          <w:t>2</w:t>
        </w:r>
        <w:r w:rsidR="00E55125" w:rsidRPr="002657D1">
          <w:rPr>
            <w:kern w:val="24"/>
          </w:rPr>
          <w:t xml:space="preserve"> for 1.0 mAh cm</w:t>
        </w:r>
        <w:r w:rsidR="00E55125" w:rsidRPr="002657D1">
          <w:t>⁻</w:t>
        </w:r>
        <w:r w:rsidR="00E55125" w:rsidRPr="002657D1">
          <w:rPr>
            <w:vertAlign w:val="superscript"/>
          </w:rPr>
          <w:t>2</w:t>
        </w:r>
        <w:r w:rsidR="00E55125" w:rsidRPr="002657D1">
          <w:rPr>
            <w:kern w:val="24"/>
          </w:rPr>
          <w:t>.</w:t>
        </w:r>
        <w:r w:rsidRPr="002657D1">
          <w:tab/>
        </w:r>
        <w:r w:rsidR="001F64BF" w:rsidRPr="002657D1">
          <w:rPr>
            <w:rFonts w:hint="eastAsia"/>
          </w:rPr>
          <w:t>4</w:t>
        </w:r>
        <w:r w:rsidR="00AF1674" w:rsidRPr="002657D1">
          <w:rPr>
            <w:rFonts w:hint="eastAsia"/>
          </w:rPr>
          <w:t>9</w:t>
        </w:r>
      </w:hyperlink>
    </w:p>
    <w:p w14:paraId="2CF5D021" w14:textId="0791D116" w:rsidR="00DF556D" w:rsidRPr="002657D1" w:rsidRDefault="00DF556D" w:rsidP="00583E16">
      <w:pPr>
        <w:pStyle w:val="TOC1"/>
        <w:rPr>
          <w:noProof/>
        </w:rPr>
      </w:pPr>
      <w:hyperlink w:anchor="_Toc212046303" w:history="1">
        <w:r w:rsidRPr="002657D1">
          <w:t xml:space="preserve">Supplementary Fig. </w:t>
        </w:r>
        <w:r w:rsidR="006563E6" w:rsidRPr="002657D1">
          <w:t>3</w:t>
        </w:r>
        <w:r w:rsidR="006563E6" w:rsidRPr="002657D1">
          <w:rPr>
            <w:rFonts w:hint="eastAsia"/>
          </w:rPr>
          <w:t>4</w:t>
        </w:r>
        <w:r w:rsidR="00E55125" w:rsidRPr="002657D1">
          <w:t>.</w:t>
        </w:r>
        <w:r w:rsidRPr="002657D1">
          <w:t xml:space="preserve"> </w:t>
        </w:r>
        <w:r w:rsidR="00E55125" w:rsidRPr="002657D1">
          <w:t>a SEM image of the pristine Li metal surface. b, c SEM images of Li metal surface after 500 h cycling at 0.1 mA cm</w:t>
        </w:r>
        <w:r w:rsidR="00E55125" w:rsidRPr="002657D1">
          <w:rPr>
            <w:kern w:val="24"/>
            <w:vertAlign w:val="superscript"/>
          </w:rPr>
          <w:t>−2</w:t>
        </w:r>
        <w:r w:rsidR="00E55125" w:rsidRPr="002657D1">
          <w:t xml:space="preserve"> for 0.1 mAh cm</w:t>
        </w:r>
        <w:r w:rsidR="00E55125" w:rsidRPr="002657D1">
          <w:rPr>
            <w:kern w:val="24"/>
            <w:vertAlign w:val="superscript"/>
          </w:rPr>
          <w:t>−2</w:t>
        </w:r>
        <w:r w:rsidR="00E55125" w:rsidRPr="002657D1">
          <w:t xml:space="preserve"> in the Li/LZC/Li (b) and Li/LZC-10TF/Li (c) symmetric cells.</w:t>
        </w:r>
        <w:r w:rsidRPr="002657D1">
          <w:rPr>
            <w:noProof/>
            <w:webHidden/>
          </w:rPr>
          <w:tab/>
        </w:r>
        <w:r w:rsidR="00AF1674" w:rsidRPr="002657D1">
          <w:rPr>
            <w:rFonts w:hint="eastAsia"/>
            <w:noProof/>
            <w:webHidden/>
          </w:rPr>
          <w:t>50</w:t>
        </w:r>
      </w:hyperlink>
    </w:p>
    <w:p w14:paraId="6D3E536F" w14:textId="1CF0FE7B" w:rsidR="00DF556D" w:rsidRPr="002657D1" w:rsidRDefault="00DF556D" w:rsidP="00583E16">
      <w:pPr>
        <w:pStyle w:val="TOC1"/>
        <w:rPr>
          <w:noProof/>
        </w:rPr>
      </w:pPr>
      <w:hyperlink w:anchor="_Toc212046303" w:history="1">
        <w:r w:rsidRPr="002657D1">
          <w:t xml:space="preserve">Supplementary Fig. </w:t>
        </w:r>
        <w:r w:rsidR="006563E6" w:rsidRPr="002657D1">
          <w:t>3</w:t>
        </w:r>
        <w:r w:rsidR="006563E6" w:rsidRPr="002657D1">
          <w:rPr>
            <w:rFonts w:hint="eastAsia"/>
          </w:rPr>
          <w:t>5</w:t>
        </w:r>
        <w:r w:rsidR="00E55125" w:rsidRPr="002657D1">
          <w:t>.</w:t>
        </w:r>
        <w:r w:rsidRPr="002657D1">
          <w:t xml:space="preserve"> </w:t>
        </w:r>
        <w:proofErr w:type="gramStart"/>
        <w:r w:rsidR="00E55125" w:rsidRPr="002657D1">
          <w:t>a,b</w:t>
        </w:r>
        <w:proofErr w:type="gramEnd"/>
        <w:r w:rsidR="00E55125" w:rsidRPr="002657D1">
          <w:t xml:space="preserve"> Typical cross-sectional SEM images and elemental analysis of the pristine (a) and cycled (b) LZC-10TF/Li interfaces in Li/LZC-10TF/Li symmetric cells.</w:t>
        </w:r>
        <w:r w:rsidRPr="002657D1">
          <w:tab/>
        </w:r>
        <w:r w:rsidR="00CD7A73" w:rsidRPr="002657D1">
          <w:rPr>
            <w:rFonts w:hint="eastAsia"/>
          </w:rPr>
          <w:t>5</w:t>
        </w:r>
        <w:r w:rsidR="00AF1674" w:rsidRPr="002657D1">
          <w:rPr>
            <w:rFonts w:hint="eastAsia"/>
          </w:rPr>
          <w:t>1</w:t>
        </w:r>
      </w:hyperlink>
    </w:p>
    <w:p w14:paraId="7C42D650" w14:textId="57224E0F" w:rsidR="00DF556D" w:rsidRPr="002657D1" w:rsidRDefault="00DF556D" w:rsidP="00583E16">
      <w:pPr>
        <w:pStyle w:val="TOC1"/>
        <w:rPr>
          <w:noProof/>
        </w:rPr>
      </w:pPr>
      <w:hyperlink w:anchor="_Toc212046303" w:history="1">
        <w:r w:rsidRPr="002657D1">
          <w:t xml:space="preserve">Supplementary Fig. </w:t>
        </w:r>
        <w:r w:rsidR="006563E6" w:rsidRPr="002657D1">
          <w:t>3</w:t>
        </w:r>
        <w:r w:rsidR="006563E6" w:rsidRPr="002657D1">
          <w:rPr>
            <w:rFonts w:hint="eastAsia"/>
          </w:rPr>
          <w:t>6</w:t>
        </w:r>
        <w:r w:rsidR="00E55125" w:rsidRPr="002657D1">
          <w:t>.</w:t>
        </w:r>
        <w:r w:rsidRPr="002657D1">
          <w:t xml:space="preserve"> </w:t>
        </w:r>
        <w:r w:rsidR="00E55125" w:rsidRPr="002657D1">
          <w:t xml:space="preserve">Compressibility of electrolytes. </w:t>
        </w:r>
        <w:proofErr w:type="gramStart"/>
        <w:r w:rsidR="00E55125" w:rsidRPr="002657D1">
          <w:t>a,b</w:t>
        </w:r>
        <w:proofErr w:type="gramEnd"/>
        <w:r w:rsidR="00E55125" w:rsidRPr="002657D1">
          <w:t xml:space="preserve"> Low (a) and high (b) magnification SEM images of LZC electrolyte pellets cold-pressed at 300 MPa pressure. </w:t>
        </w:r>
        <w:proofErr w:type="gramStart"/>
        <w:r w:rsidR="00E55125" w:rsidRPr="002657D1">
          <w:t>c,d</w:t>
        </w:r>
        <w:proofErr w:type="gramEnd"/>
        <w:r w:rsidR="00E55125" w:rsidRPr="002657D1">
          <w:t xml:space="preserve"> Low (c) and high (d) magnification SEM images of LZC-10TF electrolyte pellets cold-pressed at 300 MPa pressure.</w:t>
        </w:r>
        <w:r w:rsidRPr="002657D1">
          <w:rPr>
            <w:noProof/>
            <w:webHidden/>
          </w:rPr>
          <w:tab/>
        </w:r>
        <w:r w:rsidR="006563E6" w:rsidRPr="002657D1">
          <w:rPr>
            <w:rFonts w:hint="eastAsia"/>
            <w:noProof/>
            <w:webHidden/>
          </w:rPr>
          <w:t>5</w:t>
        </w:r>
        <w:r w:rsidR="00AF1674" w:rsidRPr="002657D1">
          <w:rPr>
            <w:rFonts w:hint="eastAsia"/>
            <w:noProof/>
            <w:webHidden/>
          </w:rPr>
          <w:t>2</w:t>
        </w:r>
      </w:hyperlink>
    </w:p>
    <w:p w14:paraId="2B24BA5E" w14:textId="762D2A8B" w:rsidR="00DF556D" w:rsidRPr="002657D1" w:rsidRDefault="00DF556D" w:rsidP="00583E16">
      <w:pPr>
        <w:pStyle w:val="TOC1"/>
        <w:rPr>
          <w:noProof/>
        </w:rPr>
      </w:pPr>
      <w:hyperlink w:anchor="_Toc212046303" w:history="1">
        <w:r w:rsidRPr="002657D1">
          <w:t xml:space="preserve">Supplementary Fig. </w:t>
        </w:r>
        <w:r w:rsidR="006563E6" w:rsidRPr="002657D1">
          <w:t>3</w:t>
        </w:r>
        <w:r w:rsidR="006563E6" w:rsidRPr="002657D1">
          <w:rPr>
            <w:rFonts w:hint="eastAsia"/>
          </w:rPr>
          <w:t>7</w:t>
        </w:r>
        <w:r w:rsidR="00E55125" w:rsidRPr="002657D1">
          <w:t>.</w:t>
        </w:r>
        <w:r w:rsidRPr="002657D1">
          <w:t xml:space="preserve"> </w:t>
        </w:r>
        <w:r w:rsidR="00E55125" w:rsidRPr="002657D1">
          <w:t>Schematic diagram of NCM811/LZC-10TF/Li ASSLMBs.</w:t>
        </w:r>
        <w:r w:rsidRPr="002657D1">
          <w:tab/>
        </w:r>
        <w:r w:rsidR="006563E6" w:rsidRPr="002657D1">
          <w:rPr>
            <w:rFonts w:hint="eastAsia"/>
          </w:rPr>
          <w:t>5</w:t>
        </w:r>
        <w:r w:rsidR="00AF1674" w:rsidRPr="002657D1">
          <w:rPr>
            <w:rFonts w:hint="eastAsia"/>
          </w:rPr>
          <w:t>3</w:t>
        </w:r>
      </w:hyperlink>
    </w:p>
    <w:p w14:paraId="58489BC7" w14:textId="0B102FAA" w:rsidR="00DF556D" w:rsidRPr="002657D1" w:rsidRDefault="00DF556D" w:rsidP="00583E16">
      <w:pPr>
        <w:pStyle w:val="TOC1"/>
        <w:rPr>
          <w:noProof/>
        </w:rPr>
      </w:pPr>
      <w:hyperlink w:anchor="_Toc212046303" w:history="1">
        <w:r w:rsidRPr="002657D1">
          <w:t xml:space="preserve">Supplementary Fig. </w:t>
        </w:r>
        <w:r w:rsidR="006563E6" w:rsidRPr="002657D1">
          <w:t>3</w:t>
        </w:r>
        <w:r w:rsidR="006563E6" w:rsidRPr="002657D1">
          <w:rPr>
            <w:rFonts w:hint="eastAsia"/>
          </w:rPr>
          <w:t>8</w:t>
        </w:r>
        <w:r w:rsidR="00E55125" w:rsidRPr="002657D1">
          <w:t>.</w:t>
        </w:r>
        <w:r w:rsidRPr="002657D1">
          <w:t xml:space="preserve"> </w:t>
        </w:r>
        <w:r w:rsidR="00E55125" w:rsidRPr="002657D1">
          <w:t>Rate performance of the NCM811/LZC-10TF/Li cell (</w:t>
        </w:r>
        <w:r w:rsidR="009D049B" w:rsidRPr="002657D1">
          <w:rPr>
            <w:rFonts w:hint="eastAsia"/>
          </w:rPr>
          <w:t>NCM811</w:t>
        </w:r>
        <w:r w:rsidR="00E55125" w:rsidRPr="002657D1">
          <w:t xml:space="preserve"> loading: 8.9 mg cm</w:t>
        </w:r>
        <w:bookmarkStart w:id="23" w:name="OLE_LINK53"/>
        <w:r w:rsidR="00E55125" w:rsidRPr="002657D1">
          <w:t>⁻</w:t>
        </w:r>
        <w:r w:rsidR="00E55125" w:rsidRPr="002657D1">
          <w:rPr>
            <w:vertAlign w:val="superscript"/>
          </w:rPr>
          <w:t>2</w:t>
        </w:r>
        <w:bookmarkEnd w:id="23"/>
        <w:r w:rsidR="00E55125" w:rsidRPr="002657D1">
          <w:t>, 25 ℃).</w:t>
        </w:r>
        <w:r w:rsidRPr="002657D1">
          <w:rPr>
            <w:noProof/>
            <w:webHidden/>
          </w:rPr>
          <w:tab/>
        </w:r>
        <w:r w:rsidR="00234065" w:rsidRPr="002657D1">
          <w:rPr>
            <w:rFonts w:hint="eastAsia"/>
            <w:noProof/>
            <w:webHidden/>
          </w:rPr>
          <w:t>5</w:t>
        </w:r>
        <w:r w:rsidR="00AF1674" w:rsidRPr="002657D1">
          <w:rPr>
            <w:rFonts w:hint="eastAsia"/>
            <w:noProof/>
            <w:webHidden/>
          </w:rPr>
          <w:t>4</w:t>
        </w:r>
      </w:hyperlink>
    </w:p>
    <w:p w14:paraId="748D1355" w14:textId="1B3E7B1C" w:rsidR="00DF556D" w:rsidRPr="002657D1" w:rsidRDefault="00DF556D" w:rsidP="00583E16">
      <w:pPr>
        <w:pStyle w:val="TOC1"/>
        <w:rPr>
          <w:noProof/>
        </w:rPr>
      </w:pPr>
      <w:hyperlink w:anchor="_Toc212046303" w:history="1">
        <w:r w:rsidRPr="002657D1">
          <w:t xml:space="preserve">Supplementary Fig. </w:t>
        </w:r>
        <w:r w:rsidR="006563E6" w:rsidRPr="002657D1">
          <w:t>3</w:t>
        </w:r>
        <w:r w:rsidR="006563E6" w:rsidRPr="002657D1">
          <w:rPr>
            <w:rFonts w:hint="eastAsia"/>
          </w:rPr>
          <w:t>9</w:t>
        </w:r>
        <w:r w:rsidR="00E55125" w:rsidRPr="002657D1">
          <w:t>.</w:t>
        </w:r>
        <w:r w:rsidRPr="002657D1">
          <w:t xml:space="preserve"> </w:t>
        </w:r>
        <w:r w:rsidR="00E55125" w:rsidRPr="002657D1">
          <w:t>Impedance plots of the NCM811/LZC-10TF/Li cell recorded at different cycles (</w:t>
        </w:r>
        <w:r w:rsidR="009D049B" w:rsidRPr="002657D1">
          <w:rPr>
            <w:rFonts w:hint="eastAsia"/>
          </w:rPr>
          <w:t>NCM811</w:t>
        </w:r>
        <w:r w:rsidR="00E55125" w:rsidRPr="002657D1">
          <w:t xml:space="preserve"> loading: 8.9 mg cm</w:t>
        </w:r>
        <w:r w:rsidR="001F64BF" w:rsidRPr="002657D1">
          <w:t>⁻</w:t>
        </w:r>
        <w:r w:rsidR="001F64BF" w:rsidRPr="002657D1">
          <w:rPr>
            <w:vertAlign w:val="superscript"/>
          </w:rPr>
          <w:t>2</w:t>
        </w:r>
        <w:r w:rsidR="00E55125" w:rsidRPr="002657D1">
          <w:t>, 1.0 C, 25 ℃).</w:t>
        </w:r>
        <w:r w:rsidRPr="002657D1">
          <w:tab/>
        </w:r>
        <w:r w:rsidR="001F64BF" w:rsidRPr="002657D1">
          <w:rPr>
            <w:rFonts w:hint="eastAsia"/>
          </w:rPr>
          <w:t>5</w:t>
        </w:r>
        <w:r w:rsidR="00AF1674" w:rsidRPr="002657D1">
          <w:rPr>
            <w:rFonts w:hint="eastAsia"/>
          </w:rPr>
          <w:t>5</w:t>
        </w:r>
      </w:hyperlink>
    </w:p>
    <w:p w14:paraId="7E3A2672" w14:textId="3450BADA" w:rsidR="00DF556D" w:rsidRPr="002657D1" w:rsidRDefault="00DF556D" w:rsidP="00583E16">
      <w:pPr>
        <w:pStyle w:val="TOC1"/>
        <w:rPr>
          <w:noProof/>
        </w:rPr>
      </w:pPr>
      <w:hyperlink w:anchor="_Toc212046303" w:history="1">
        <w:r w:rsidRPr="002657D1">
          <w:t xml:space="preserve">Supplementary Fig. </w:t>
        </w:r>
        <w:r w:rsidR="006563E6" w:rsidRPr="002657D1">
          <w:rPr>
            <w:rFonts w:hint="eastAsia"/>
          </w:rPr>
          <w:t>40</w:t>
        </w:r>
        <w:r w:rsidR="00E55125" w:rsidRPr="002657D1">
          <w:t>.</w:t>
        </w:r>
        <w:r w:rsidRPr="002657D1">
          <w:t xml:space="preserve"> </w:t>
        </w:r>
        <w:r w:rsidR="00E55125" w:rsidRPr="002657D1">
          <w:t>a-e Li 1s (a), Zr 3d (b), Cl 2p (c), Ti 2p (d), and F 1s (e) XPS spectra of the NCM811/LZC-10TF composite cathode before and after cycling at 1.0 C for 1000 cycles.</w:t>
        </w:r>
        <w:r w:rsidRPr="002657D1">
          <w:rPr>
            <w:noProof/>
            <w:webHidden/>
          </w:rPr>
          <w:tab/>
        </w:r>
        <w:r w:rsidR="001F64BF" w:rsidRPr="002657D1">
          <w:rPr>
            <w:rFonts w:hint="eastAsia"/>
            <w:noProof/>
            <w:webHidden/>
          </w:rPr>
          <w:t>5</w:t>
        </w:r>
        <w:r w:rsidR="00AF1674" w:rsidRPr="002657D1">
          <w:rPr>
            <w:rFonts w:hint="eastAsia"/>
            <w:noProof/>
            <w:webHidden/>
          </w:rPr>
          <w:t>6</w:t>
        </w:r>
      </w:hyperlink>
    </w:p>
    <w:p w14:paraId="17E1CFB0" w14:textId="26E09E26" w:rsidR="00DF556D" w:rsidRPr="002657D1" w:rsidRDefault="00DF556D" w:rsidP="00583E16">
      <w:pPr>
        <w:pStyle w:val="TOC1"/>
        <w:rPr>
          <w:noProof/>
        </w:rPr>
      </w:pPr>
      <w:hyperlink w:anchor="_Toc212046303" w:history="1">
        <w:r w:rsidRPr="002657D1">
          <w:t xml:space="preserve">Supplementary Fig. </w:t>
        </w:r>
        <w:r w:rsidR="006563E6" w:rsidRPr="002657D1">
          <w:rPr>
            <w:rFonts w:hint="eastAsia"/>
          </w:rPr>
          <w:t>41</w:t>
        </w:r>
        <w:r w:rsidR="00E55125" w:rsidRPr="002657D1">
          <w:t>.</w:t>
        </w:r>
        <w:r w:rsidRPr="002657D1">
          <w:t xml:space="preserve"> </w:t>
        </w:r>
        <w:r w:rsidR="00E55125" w:rsidRPr="002657D1">
          <w:t>Conductivity of NCM811 composite cathode. a A current vs. time curve of the NCM811 composite cathode by DC polarization method with ionic blocking cells SS/NCM811 cathode/SS (SS refers to stainless steel) with a constant voltage of 400 mV. b Nyquist plot of the NCM811 composite cathode.</w:t>
        </w:r>
        <w:r w:rsidRPr="002657D1">
          <w:tab/>
        </w:r>
        <w:r w:rsidR="001F64BF" w:rsidRPr="002657D1">
          <w:rPr>
            <w:rFonts w:hint="eastAsia"/>
          </w:rPr>
          <w:t>5</w:t>
        </w:r>
        <w:r w:rsidR="00AF1674" w:rsidRPr="002657D1">
          <w:rPr>
            <w:rFonts w:hint="eastAsia"/>
          </w:rPr>
          <w:t>7</w:t>
        </w:r>
      </w:hyperlink>
    </w:p>
    <w:p w14:paraId="254C124C" w14:textId="3A78CF0F" w:rsidR="00DF556D" w:rsidRPr="002657D1" w:rsidRDefault="00DF556D" w:rsidP="00583E16">
      <w:pPr>
        <w:pStyle w:val="TOC1"/>
        <w:rPr>
          <w:noProof/>
        </w:rPr>
      </w:pPr>
      <w:hyperlink w:anchor="_Toc212046303" w:history="1">
        <w:r w:rsidRPr="002657D1">
          <w:t xml:space="preserve">Supplementary Fig. </w:t>
        </w:r>
        <w:r w:rsidR="006563E6" w:rsidRPr="002657D1">
          <w:rPr>
            <w:rFonts w:hint="eastAsia"/>
          </w:rPr>
          <w:t>42</w:t>
        </w:r>
        <w:r w:rsidR="00E55125" w:rsidRPr="002657D1">
          <w:t>.</w:t>
        </w:r>
        <w:r w:rsidRPr="002657D1">
          <w:t xml:space="preserve"> </w:t>
        </w:r>
        <w:proofErr w:type="gramStart"/>
        <w:r w:rsidR="00E55125" w:rsidRPr="002657D1">
          <w:t>a,b</w:t>
        </w:r>
        <w:proofErr w:type="gramEnd"/>
        <w:r w:rsidR="00E55125" w:rsidRPr="002657D1">
          <w:t xml:space="preserve"> Typical cross-sectional SEM images and elemental analysis of the pristine (a) and cycled (b) NCM811 cathode/LZC-10TF electrolyte interfaces in NCM811/LZC-10TF/Li cells (</w:t>
        </w:r>
        <w:r w:rsidR="009D049B" w:rsidRPr="002657D1">
          <w:rPr>
            <w:rFonts w:hint="eastAsia"/>
          </w:rPr>
          <w:t>NCM811</w:t>
        </w:r>
        <w:r w:rsidR="00E55125" w:rsidRPr="002657D1">
          <w:t xml:space="preserve"> loading: 8.9 mg cm</w:t>
        </w:r>
        <w:r w:rsidR="000400DA" w:rsidRPr="002657D1">
          <w:t>⁻</w:t>
        </w:r>
        <w:r w:rsidR="000400DA" w:rsidRPr="002657D1">
          <w:rPr>
            <w:vertAlign w:val="superscript"/>
          </w:rPr>
          <w:t>2</w:t>
        </w:r>
        <w:r w:rsidR="00E55125" w:rsidRPr="002657D1">
          <w:t>).</w:t>
        </w:r>
        <w:r w:rsidRPr="002657D1">
          <w:rPr>
            <w:noProof/>
            <w:webHidden/>
          </w:rPr>
          <w:tab/>
        </w:r>
        <w:r w:rsidR="001F64BF" w:rsidRPr="002657D1">
          <w:rPr>
            <w:rFonts w:hint="eastAsia"/>
            <w:noProof/>
            <w:webHidden/>
          </w:rPr>
          <w:t>5</w:t>
        </w:r>
        <w:r w:rsidR="00AF1674" w:rsidRPr="002657D1">
          <w:rPr>
            <w:rFonts w:hint="eastAsia"/>
            <w:noProof/>
            <w:webHidden/>
          </w:rPr>
          <w:t>8</w:t>
        </w:r>
      </w:hyperlink>
    </w:p>
    <w:p w14:paraId="7266A49B" w14:textId="5048262E" w:rsidR="00DF556D" w:rsidRPr="002657D1" w:rsidRDefault="00DF556D" w:rsidP="00583E16">
      <w:pPr>
        <w:pStyle w:val="TOC1"/>
        <w:rPr>
          <w:noProof/>
        </w:rPr>
      </w:pPr>
      <w:hyperlink w:anchor="_Toc212046303" w:history="1">
        <w:r w:rsidRPr="002657D1">
          <w:t xml:space="preserve">Supplementary Fig. </w:t>
        </w:r>
        <w:r w:rsidR="006563E6" w:rsidRPr="002657D1">
          <w:t>4</w:t>
        </w:r>
        <w:r w:rsidR="006563E6" w:rsidRPr="002657D1">
          <w:rPr>
            <w:rFonts w:hint="eastAsia"/>
          </w:rPr>
          <w:t>3</w:t>
        </w:r>
        <w:r w:rsidR="00E55125" w:rsidRPr="002657D1">
          <w:t>.</w:t>
        </w:r>
        <w:r w:rsidRPr="002657D1">
          <w:t xml:space="preserve"> </w:t>
        </w:r>
        <w:r w:rsidR="00E55125" w:rsidRPr="002657D1">
          <w:t xml:space="preserve">Charge-discharge curves (a) and cycling performances of the high </w:t>
        </w:r>
        <w:r w:rsidR="009D049B" w:rsidRPr="002657D1">
          <w:rPr>
            <w:rFonts w:hint="eastAsia"/>
          </w:rPr>
          <w:t>NCM811</w:t>
        </w:r>
        <w:r w:rsidR="00E55125" w:rsidRPr="002657D1">
          <w:t xml:space="preserve"> loading (18.7 mg cm</w:t>
        </w:r>
        <w:r w:rsidR="000400DA" w:rsidRPr="002657D1">
          <w:t>⁻</w:t>
        </w:r>
        <w:r w:rsidR="000400DA" w:rsidRPr="002657D1">
          <w:rPr>
            <w:vertAlign w:val="superscript"/>
          </w:rPr>
          <w:t>2</w:t>
        </w:r>
        <w:r w:rsidR="00E55125" w:rsidRPr="002657D1">
          <w:t>) NCM811/LZC-10TF/Li cell at 0.2 C and 25 ℃.</w:t>
        </w:r>
        <w:r w:rsidRPr="002657D1">
          <w:tab/>
        </w:r>
        <w:r w:rsidR="001F64BF" w:rsidRPr="002657D1">
          <w:rPr>
            <w:rFonts w:hint="eastAsia"/>
          </w:rPr>
          <w:t>5</w:t>
        </w:r>
        <w:r w:rsidR="00AF1674" w:rsidRPr="002657D1">
          <w:rPr>
            <w:rFonts w:hint="eastAsia"/>
          </w:rPr>
          <w:t>9</w:t>
        </w:r>
      </w:hyperlink>
    </w:p>
    <w:p w14:paraId="36D74771" w14:textId="2EF01AF3" w:rsidR="00E55125" w:rsidRPr="002657D1" w:rsidRDefault="00E55125" w:rsidP="00583E16">
      <w:pPr>
        <w:pStyle w:val="TOC1"/>
        <w:rPr>
          <w:noProof/>
        </w:rPr>
      </w:pPr>
      <w:hyperlink w:anchor="_Toc212046303" w:history="1">
        <w:r w:rsidRPr="002657D1">
          <w:t xml:space="preserve">Supplementary Fig. </w:t>
        </w:r>
        <w:r w:rsidR="006563E6" w:rsidRPr="002657D1">
          <w:t>4</w:t>
        </w:r>
        <w:r w:rsidR="006563E6" w:rsidRPr="002657D1">
          <w:rPr>
            <w:rFonts w:hint="eastAsia"/>
          </w:rPr>
          <w:t>4</w:t>
        </w:r>
        <w:r w:rsidRPr="002657D1">
          <w:t xml:space="preserve">. a-c Optical images of the freestanding dry films: NCM811 cathode (a), LZC-10TF electrolyte (b), and Li anode (c). </w:t>
        </w:r>
        <w:proofErr w:type="gramStart"/>
        <w:r w:rsidRPr="002657D1">
          <w:t>d,e</w:t>
        </w:r>
        <w:proofErr w:type="gramEnd"/>
        <w:r w:rsidRPr="002657D1">
          <w:t xml:space="preserve"> images of the assembled dry-film based pouch cell with the configuration NCM811/LZC-10TF/Li before cycling.</w:t>
        </w:r>
        <w:r w:rsidRPr="002657D1">
          <w:tab/>
        </w:r>
        <w:r w:rsidR="00AF1674" w:rsidRPr="002657D1">
          <w:rPr>
            <w:rFonts w:hint="eastAsia"/>
          </w:rPr>
          <w:t>60</w:t>
        </w:r>
      </w:hyperlink>
    </w:p>
    <w:p w14:paraId="7BDC819B" w14:textId="4A999BDF" w:rsidR="00E55125" w:rsidRPr="002657D1" w:rsidRDefault="00E55125" w:rsidP="00583E16">
      <w:pPr>
        <w:pStyle w:val="TOC1"/>
        <w:rPr>
          <w:noProof/>
        </w:rPr>
      </w:pPr>
      <w:hyperlink w:anchor="_Toc212046303" w:history="1">
        <w:r w:rsidRPr="002657D1">
          <w:rPr>
            <w:bCs/>
          </w:rPr>
          <w:t xml:space="preserve">Supplementary Fig. </w:t>
        </w:r>
        <w:r w:rsidR="006563E6" w:rsidRPr="002657D1">
          <w:rPr>
            <w:bCs/>
          </w:rPr>
          <w:t>4</w:t>
        </w:r>
        <w:r w:rsidR="006563E6" w:rsidRPr="002657D1">
          <w:rPr>
            <w:rFonts w:hint="eastAsia"/>
            <w:bCs/>
          </w:rPr>
          <w:t>5</w:t>
        </w:r>
        <w:r w:rsidRPr="002657D1">
          <w:rPr>
            <w:bCs/>
          </w:rPr>
          <w:t xml:space="preserve">. </w:t>
        </w:r>
        <w:r w:rsidRPr="002657D1">
          <w:t xml:space="preserve">Humidity tolerance of LZC-xTF. a-e XRD patterns of LZC </w:t>
        </w:r>
        <w:r w:rsidRPr="002657D1">
          <w:rPr>
            <w:kern w:val="24"/>
          </w:rPr>
          <w:t>(a)</w:t>
        </w:r>
        <w:r w:rsidRPr="002657D1">
          <w:t xml:space="preserve">, LZC-10TF </w:t>
        </w:r>
        <w:r w:rsidRPr="002657D1">
          <w:rPr>
            <w:kern w:val="24"/>
          </w:rPr>
          <w:t>(b)</w:t>
        </w:r>
        <w:r w:rsidRPr="002657D1">
          <w:t xml:space="preserve">, </w:t>
        </w:r>
        <w:r w:rsidRPr="002657D1">
          <w:rPr>
            <w:kern w:val="24"/>
          </w:rPr>
          <w:t>LZC-20TF</w:t>
        </w:r>
        <w:r w:rsidRPr="002657D1">
          <w:t xml:space="preserve"> </w:t>
        </w:r>
        <w:r w:rsidRPr="002657D1">
          <w:rPr>
            <w:kern w:val="24"/>
          </w:rPr>
          <w:t>(c), LZC-30TF (d), and LZC-40TF</w:t>
        </w:r>
        <w:r w:rsidRPr="002657D1">
          <w:t xml:space="preserve"> </w:t>
        </w:r>
        <w:r w:rsidRPr="002657D1">
          <w:rPr>
            <w:kern w:val="24"/>
          </w:rPr>
          <w:t xml:space="preserve">(e) </w:t>
        </w:r>
        <w:r w:rsidRPr="002657D1">
          <w:t>before and after being exposed to the atmosphere with 5% RH.</w:t>
        </w:r>
        <w:r w:rsidRPr="002657D1">
          <w:rPr>
            <w:noProof/>
            <w:webHidden/>
          </w:rPr>
          <w:tab/>
        </w:r>
        <w:r w:rsidR="00CD7A73" w:rsidRPr="002657D1">
          <w:rPr>
            <w:rFonts w:hint="eastAsia"/>
            <w:noProof/>
            <w:webHidden/>
          </w:rPr>
          <w:t>6</w:t>
        </w:r>
        <w:r w:rsidR="00AF1674" w:rsidRPr="002657D1">
          <w:rPr>
            <w:rFonts w:hint="eastAsia"/>
            <w:noProof/>
            <w:webHidden/>
          </w:rPr>
          <w:t>1</w:t>
        </w:r>
      </w:hyperlink>
    </w:p>
    <w:p w14:paraId="5565030E" w14:textId="72D3CC0D" w:rsidR="00E55125" w:rsidRPr="002657D1" w:rsidRDefault="00E55125" w:rsidP="00583E16">
      <w:pPr>
        <w:pStyle w:val="TOC1"/>
        <w:rPr>
          <w:noProof/>
        </w:rPr>
      </w:pPr>
      <w:hyperlink w:anchor="_Toc212046303" w:history="1">
        <w:r w:rsidRPr="002657D1">
          <w:t xml:space="preserve">Supplementary Fig. </w:t>
        </w:r>
        <w:r w:rsidR="006563E6" w:rsidRPr="002657D1">
          <w:t>4</w:t>
        </w:r>
        <w:r w:rsidR="006563E6" w:rsidRPr="002657D1">
          <w:rPr>
            <w:rFonts w:hint="eastAsia"/>
          </w:rPr>
          <w:t>6</w:t>
        </w:r>
        <w:r w:rsidRPr="002657D1">
          <w:t xml:space="preserve">. Humidity tolerance of LZC-10TF. </w:t>
        </w:r>
        <w:proofErr w:type="gramStart"/>
        <w:r w:rsidRPr="002657D1">
          <w:t>a,b</w:t>
        </w:r>
        <w:proofErr w:type="gramEnd"/>
        <w:r w:rsidRPr="002657D1">
          <w:t xml:space="preserve"> Zr 3d (a) and Cl 2p (b) XPS of the LZC-10TF before and after being exposed to the atmosphere with 5% RH. c-e XANES of Zr K-edge (c), Ti K-edge (d), and Cl K-edge (e) of the LZC-10TF before and after being exposed to the atmosphere with 5% RH. f Arrhenius plots of the LZC-10TF before and after being exposed to the atmosphere with 5% RH. g Initial voltage profiles of NCM811/LZC-10TF/Li ASSLMBs with LZC-10TF before and after air exposure to 5% RH for 12 h. h Cycling performance of the NCM811/LZC-10TF/Li battery at 0.1C with LZC-10TF after air exposure (5% RH).</w:t>
        </w:r>
        <w:r w:rsidRPr="002657D1">
          <w:tab/>
        </w:r>
        <w:r w:rsidR="00234065" w:rsidRPr="002657D1">
          <w:rPr>
            <w:rFonts w:hint="eastAsia"/>
          </w:rPr>
          <w:t>6</w:t>
        </w:r>
        <w:r w:rsidR="00AF1674" w:rsidRPr="002657D1">
          <w:rPr>
            <w:rFonts w:hint="eastAsia"/>
          </w:rPr>
          <w:t>2</w:t>
        </w:r>
      </w:hyperlink>
    </w:p>
    <w:bookmarkStart w:id="24" w:name="OLE_LINK44"/>
    <w:p w14:paraId="750FD6A7" w14:textId="4420AAC0" w:rsidR="00DF556D" w:rsidRPr="002657D1" w:rsidRDefault="00916185" w:rsidP="00583E16">
      <w:pPr>
        <w:pStyle w:val="TOC1"/>
        <w:rPr>
          <w:noProof/>
        </w:rPr>
      </w:pPr>
      <w:r w:rsidRPr="002657D1">
        <w:fldChar w:fldCharType="begin"/>
      </w:r>
      <w:r w:rsidRPr="002657D1">
        <w:instrText>HYPERLINK \l "_Toc212046303"</w:instrText>
      </w:r>
      <w:r w:rsidRPr="002657D1">
        <w:fldChar w:fldCharType="separate"/>
      </w:r>
      <w:r w:rsidR="00183E54" w:rsidRPr="002657D1">
        <w:rPr>
          <w:noProof/>
          <w:webHidden/>
        </w:rPr>
        <w:t xml:space="preserve">Supplementary Fig. </w:t>
      </w:r>
      <w:r w:rsidR="006563E6" w:rsidRPr="002657D1">
        <w:rPr>
          <w:noProof/>
          <w:webHidden/>
        </w:rPr>
        <w:t>4</w:t>
      </w:r>
      <w:r w:rsidR="006563E6" w:rsidRPr="002657D1">
        <w:rPr>
          <w:rFonts w:hint="eastAsia"/>
          <w:noProof/>
          <w:webHidden/>
        </w:rPr>
        <w:t>7</w:t>
      </w:r>
      <w:r w:rsidR="00183E54" w:rsidRPr="002657D1">
        <w:rPr>
          <w:noProof/>
          <w:webHidden/>
        </w:rPr>
        <w:t>. Comprehensive comparative analysis of cost, ionic conductivity, and Li-metal stability (evaluated by cumulative plating capacity) between LZC-10TF and currently typical HSEs.</w:t>
      </w:r>
      <w:r w:rsidR="00183E54" w:rsidRPr="002657D1">
        <w:rPr>
          <w:noProof/>
          <w:webHidden/>
        </w:rPr>
        <w:tab/>
        <w:t>6</w:t>
      </w:r>
      <w:r w:rsidR="00AF1674" w:rsidRPr="002657D1">
        <w:rPr>
          <w:rFonts w:hint="eastAsia"/>
          <w:noProof/>
          <w:webHidden/>
        </w:rPr>
        <w:t>4</w:t>
      </w:r>
      <w:r w:rsidRPr="002657D1">
        <w:fldChar w:fldCharType="end"/>
      </w:r>
    </w:p>
    <w:bookmarkEnd w:id="24"/>
    <w:p w14:paraId="67C3C24C" w14:textId="39DCB9E2" w:rsidR="00E55125" w:rsidRPr="002657D1" w:rsidRDefault="00207BD1" w:rsidP="009515C1">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b/>
          <w:bCs/>
          <w:color w:val="000000" w:themeColor="text1"/>
        </w:rPr>
        <w:br w:type="page"/>
      </w:r>
      <w:r w:rsidR="00E55125" w:rsidRPr="002657D1">
        <w:rPr>
          <w:rFonts w:ascii="Calibri" w:eastAsia="Arial Unicode MS" w:hAnsi="Calibri" w:cs="Calibri"/>
          <w:b/>
          <w:bCs/>
          <w:i/>
          <w:iCs/>
          <w:color w:val="000000" w:themeColor="text1"/>
          <w:sz w:val="28"/>
          <w:szCs w:val="28"/>
        </w:rPr>
        <w:lastRenderedPageBreak/>
        <w:t xml:space="preserve">List of </w:t>
      </w:r>
      <w:r w:rsidR="00E55125" w:rsidRPr="002657D1">
        <w:rPr>
          <w:rFonts w:ascii="Calibri" w:eastAsia="Arial Unicode MS" w:hAnsi="Calibri" w:cs="Calibri" w:hint="eastAsia"/>
          <w:b/>
          <w:bCs/>
          <w:i/>
          <w:iCs/>
          <w:color w:val="000000" w:themeColor="text1"/>
          <w:sz w:val="28"/>
          <w:szCs w:val="28"/>
        </w:rPr>
        <w:t>Supplementary Tables</w:t>
      </w:r>
    </w:p>
    <w:bookmarkStart w:id="25" w:name="OLE_LINK47"/>
    <w:p w14:paraId="07D9A41E" w14:textId="3764E068" w:rsidR="005A11E7" w:rsidRPr="002657D1" w:rsidRDefault="00234065" w:rsidP="00583E16">
      <w:pPr>
        <w:pStyle w:val="TOC1"/>
      </w:pPr>
      <w:r w:rsidRPr="002657D1">
        <w:fldChar w:fldCharType="begin"/>
      </w:r>
      <w:r w:rsidRPr="002657D1">
        <w:instrText>HYPERLINK \l "_Toc212046303"</w:instrText>
      </w:r>
      <w:r w:rsidRPr="002657D1">
        <w:fldChar w:fldCharType="separate"/>
      </w:r>
      <w:r w:rsidRPr="002657D1">
        <w:rPr>
          <w:rFonts w:hint="eastAsia"/>
        </w:rPr>
        <w:t>Supplementary Table 1. Comparison of the ionic conductivity of the prepared LZC-10TF electrolyte with previous HSEs.</w:t>
      </w:r>
      <w:r w:rsidRPr="002657D1">
        <w:rPr>
          <w:rFonts w:hint="eastAsia"/>
        </w:rPr>
        <w:tab/>
        <w:t>6</w:t>
      </w:r>
      <w:r w:rsidR="00AF1674" w:rsidRPr="002657D1">
        <w:rPr>
          <w:rFonts w:hint="eastAsia"/>
        </w:rPr>
        <w:t>6</w:t>
      </w:r>
      <w:r w:rsidRPr="002657D1">
        <w:fldChar w:fldCharType="end"/>
      </w:r>
    </w:p>
    <w:p w14:paraId="5B17263F" w14:textId="20CBB0CE" w:rsidR="005A11E7" w:rsidRPr="002657D1" w:rsidRDefault="00234065" w:rsidP="00583E16">
      <w:pPr>
        <w:pStyle w:val="TOC1"/>
      </w:pPr>
      <w:hyperlink w:anchor="_Toc212046303" w:history="1">
        <w:r w:rsidRPr="002657D1">
          <w:rPr>
            <w:rFonts w:hint="eastAsia"/>
          </w:rPr>
          <w:t xml:space="preserve">Supplementary Table 2. </w:t>
        </w:r>
        <w:r w:rsidRPr="002657D1">
          <w:t>Rietveld refinement results from the XRD pattern of LZC-10TF.</w:t>
        </w:r>
        <w:r w:rsidRPr="002657D1">
          <w:rPr>
            <w:rFonts w:hint="eastAsia"/>
          </w:rPr>
          <w:tab/>
          <w:t>6</w:t>
        </w:r>
        <w:r w:rsidR="00AF1674" w:rsidRPr="002657D1">
          <w:rPr>
            <w:rFonts w:hint="eastAsia"/>
          </w:rPr>
          <w:t>9</w:t>
        </w:r>
      </w:hyperlink>
    </w:p>
    <w:p w14:paraId="48C75D36" w14:textId="62FF81E7" w:rsidR="005A11E7" w:rsidRPr="002657D1" w:rsidRDefault="00234065" w:rsidP="00583E16">
      <w:pPr>
        <w:pStyle w:val="TOC1"/>
      </w:pPr>
      <w:hyperlink w:anchor="_Toc212046303" w:history="1">
        <w:r w:rsidRPr="002657D1">
          <w:rPr>
            <w:rFonts w:hint="eastAsia"/>
          </w:rPr>
          <w:t xml:space="preserve">Supplementary Table 3. </w:t>
        </w:r>
        <w:r w:rsidRPr="002657D1">
          <w:t>Rietveld refinement results from the XRD pattern of LZC.</w:t>
        </w:r>
        <w:r w:rsidRPr="002657D1">
          <w:rPr>
            <w:rFonts w:hint="eastAsia"/>
          </w:rPr>
          <w:tab/>
        </w:r>
        <w:r w:rsidR="00AF1674" w:rsidRPr="002657D1">
          <w:rPr>
            <w:rFonts w:hint="eastAsia"/>
          </w:rPr>
          <w:t>70</w:t>
        </w:r>
      </w:hyperlink>
    </w:p>
    <w:bookmarkStart w:id="26" w:name="OLE_LINK46"/>
    <w:p w14:paraId="234FB1C4" w14:textId="43CD7120" w:rsidR="005A11E7" w:rsidRPr="002657D1" w:rsidRDefault="00234065" w:rsidP="00583E16">
      <w:pPr>
        <w:pStyle w:val="TOC1"/>
      </w:pPr>
      <w:r w:rsidRPr="002657D1">
        <w:fldChar w:fldCharType="begin"/>
      </w:r>
      <w:r w:rsidRPr="002657D1">
        <w:instrText>HYPERLINK \l "_Toc212046303"</w:instrText>
      </w:r>
      <w:r w:rsidRPr="002657D1">
        <w:fldChar w:fldCharType="separate"/>
      </w:r>
      <w:r w:rsidRPr="002657D1">
        <w:rPr>
          <w:rFonts w:hint="eastAsia"/>
        </w:rPr>
        <w:t xml:space="preserve">Supplementary Table 4. </w:t>
      </w:r>
      <w:r w:rsidRPr="002657D1">
        <w:t>EXAFS data fitting results of the samples.</w:t>
      </w:r>
      <w:r w:rsidRPr="002657D1">
        <w:rPr>
          <w:rFonts w:hint="eastAsia"/>
        </w:rPr>
        <w:tab/>
      </w:r>
      <w:r w:rsidR="00AF1674" w:rsidRPr="002657D1">
        <w:rPr>
          <w:rFonts w:hint="eastAsia"/>
        </w:rPr>
        <w:t>71</w:t>
      </w:r>
      <w:r w:rsidRPr="002657D1">
        <w:fldChar w:fldCharType="end"/>
      </w:r>
    </w:p>
    <w:bookmarkEnd w:id="25"/>
    <w:bookmarkEnd w:id="26"/>
    <w:p w14:paraId="2C804D3C" w14:textId="6F92BB73" w:rsidR="003B28CE" w:rsidRPr="002657D1" w:rsidRDefault="00234065" w:rsidP="00583E16">
      <w:pPr>
        <w:pStyle w:val="TOC1"/>
      </w:pPr>
      <w:r w:rsidRPr="002657D1">
        <w:fldChar w:fldCharType="begin"/>
      </w:r>
      <w:r w:rsidRPr="002657D1">
        <w:instrText>HYPERLINK "file:///E:\\</w:instrText>
      </w:r>
      <w:r w:rsidRPr="002657D1">
        <w:rPr>
          <w:rFonts w:hint="eastAsia"/>
        </w:rPr>
        <w:instrText>投稿工作</w:instrText>
      </w:r>
      <w:r w:rsidRPr="002657D1">
        <w:instrText>\\5.%20</w:instrText>
      </w:r>
      <w:r w:rsidRPr="002657D1">
        <w:rPr>
          <w:rFonts w:hint="eastAsia"/>
        </w:rPr>
        <w:instrText>第五篇文章准备</w:instrText>
      </w:r>
      <w:r w:rsidRPr="002657D1">
        <w:instrText>\\20251103\\Supplementary%20materials-20251103.docx" \l "_Toc212046303"</w:instrText>
      </w:r>
      <w:r w:rsidRPr="002657D1">
        <w:fldChar w:fldCharType="separate"/>
      </w:r>
      <w:r w:rsidRPr="002657D1">
        <w:t xml:space="preserve">Supplementary Table </w:t>
      </w:r>
      <w:r w:rsidRPr="002657D1">
        <w:rPr>
          <w:rFonts w:hint="eastAsia"/>
        </w:rPr>
        <w:t>5</w:t>
      </w:r>
      <w:r w:rsidRPr="002657D1">
        <w:t xml:space="preserve">. </w:t>
      </w:r>
      <w:r w:rsidRPr="002657D1">
        <w:rPr>
          <w:rFonts w:eastAsia="宋体"/>
        </w:rPr>
        <w:t>EXAFS data fitting results of Zr K-edge for Zr foil, LZC, and LZC-10TF.</w:t>
      </w:r>
      <w:r w:rsidRPr="002657D1">
        <w:tab/>
      </w:r>
      <w:r w:rsidR="00AF1674" w:rsidRPr="002657D1">
        <w:rPr>
          <w:rFonts w:hint="eastAsia"/>
        </w:rPr>
        <w:t>72</w:t>
      </w:r>
      <w:r w:rsidRPr="002657D1">
        <w:fldChar w:fldCharType="end"/>
      </w:r>
    </w:p>
    <w:p w14:paraId="511FCF23" w14:textId="2F6E900B" w:rsidR="003B28CE" w:rsidRPr="002657D1" w:rsidRDefault="00234065" w:rsidP="00583E16">
      <w:pPr>
        <w:pStyle w:val="TOC1"/>
      </w:pPr>
      <w:hyperlink r:id="rId10" w:anchor="_Toc212046303" w:history="1">
        <w:r w:rsidRPr="002657D1">
          <w:t xml:space="preserve">Supplementary Table </w:t>
        </w:r>
        <w:r w:rsidRPr="002657D1">
          <w:rPr>
            <w:rFonts w:hint="eastAsia"/>
          </w:rPr>
          <w:t>6</w:t>
        </w:r>
        <w:r w:rsidRPr="002657D1">
          <w:t xml:space="preserve">. </w:t>
        </w:r>
        <w:r w:rsidRPr="002657D1">
          <w:rPr>
            <w:rFonts w:hint="eastAsia"/>
          </w:rPr>
          <w:t>Performance comparison of Li symmetric cells with HSEs.</w:t>
        </w:r>
        <w:r w:rsidRPr="002657D1">
          <w:tab/>
        </w:r>
        <w:r w:rsidRPr="002657D1">
          <w:rPr>
            <w:rFonts w:hint="eastAsia"/>
          </w:rPr>
          <w:t>7</w:t>
        </w:r>
        <w:r w:rsidR="00AF1674" w:rsidRPr="002657D1">
          <w:rPr>
            <w:rFonts w:hint="eastAsia"/>
          </w:rPr>
          <w:t>3</w:t>
        </w:r>
      </w:hyperlink>
    </w:p>
    <w:p w14:paraId="4C5A5179" w14:textId="28F80B72" w:rsidR="003B28CE" w:rsidRPr="002657D1" w:rsidRDefault="00234065" w:rsidP="00583E16">
      <w:pPr>
        <w:pStyle w:val="TOC1"/>
      </w:pPr>
      <w:hyperlink r:id="rId11" w:anchor="_Toc212046303" w:history="1">
        <w:r w:rsidRPr="002657D1">
          <w:t xml:space="preserve">Supplementary Table </w:t>
        </w:r>
        <w:r w:rsidRPr="002657D1">
          <w:rPr>
            <w:rFonts w:hint="eastAsia"/>
          </w:rPr>
          <w:t>7</w:t>
        </w:r>
        <w:r w:rsidRPr="002657D1">
          <w:t xml:space="preserve">. </w:t>
        </w:r>
        <w:r w:rsidRPr="002657D1">
          <w:rPr>
            <w:rFonts w:hint="eastAsia"/>
          </w:rPr>
          <w:t xml:space="preserve">Comparison of </w:t>
        </w:r>
        <w:r w:rsidR="009D049B" w:rsidRPr="002657D1">
          <w:rPr>
            <w:rFonts w:hint="eastAsia"/>
          </w:rPr>
          <w:t>cathode active material</w:t>
        </w:r>
        <w:r w:rsidRPr="002657D1">
          <w:rPr>
            <w:rFonts w:hint="eastAsia"/>
          </w:rPr>
          <w:t xml:space="preserve"> loading and areal capacity in ASSLMBs using Li metal and HSEs.</w:t>
        </w:r>
        <w:r w:rsidRPr="002657D1">
          <w:tab/>
        </w:r>
        <w:r w:rsidRPr="002657D1">
          <w:rPr>
            <w:rFonts w:hint="eastAsia"/>
          </w:rPr>
          <w:t>7</w:t>
        </w:r>
        <w:r w:rsidR="00AF1674" w:rsidRPr="002657D1">
          <w:rPr>
            <w:rFonts w:hint="eastAsia"/>
          </w:rPr>
          <w:t>5</w:t>
        </w:r>
      </w:hyperlink>
    </w:p>
    <w:p w14:paraId="6D02782C" w14:textId="556BB0AD" w:rsidR="005A11E7" w:rsidRPr="002657D1" w:rsidRDefault="00234065" w:rsidP="00583E16">
      <w:pPr>
        <w:pStyle w:val="TOC1"/>
      </w:pPr>
      <w:hyperlink r:id="rId12" w:anchor="_Toc212046303" w:history="1">
        <w:r w:rsidRPr="002657D1">
          <w:t xml:space="preserve">Supplementary Table </w:t>
        </w:r>
        <w:r w:rsidRPr="002657D1">
          <w:rPr>
            <w:rFonts w:hint="eastAsia"/>
          </w:rPr>
          <w:t>8</w:t>
        </w:r>
        <w:r w:rsidRPr="002657D1">
          <w:t xml:space="preserve">. </w:t>
        </w:r>
        <w:r w:rsidRPr="002657D1">
          <w:rPr>
            <w:rFonts w:hint="eastAsia"/>
          </w:rPr>
          <w:t xml:space="preserve">Comparison of </w:t>
        </w:r>
        <w:r w:rsidR="009D049B" w:rsidRPr="002657D1">
          <w:rPr>
            <w:rFonts w:hint="eastAsia"/>
          </w:rPr>
          <w:t>cathode active material</w:t>
        </w:r>
        <w:r w:rsidRPr="002657D1">
          <w:rPr>
            <w:rFonts w:hint="eastAsia"/>
          </w:rPr>
          <w:t xml:space="preserve"> loading and areal capacity in ASSLMBs using Li metal and sulfide electrolyte.</w:t>
        </w:r>
        <w:r w:rsidRPr="002657D1">
          <w:tab/>
        </w:r>
        <w:r w:rsidRPr="002657D1">
          <w:rPr>
            <w:rFonts w:hint="eastAsia"/>
          </w:rPr>
          <w:t>7</w:t>
        </w:r>
        <w:r w:rsidR="00AF1674" w:rsidRPr="002657D1">
          <w:rPr>
            <w:rFonts w:hint="eastAsia"/>
          </w:rPr>
          <w:t>6</w:t>
        </w:r>
      </w:hyperlink>
    </w:p>
    <w:p w14:paraId="11D5233F" w14:textId="2177303B" w:rsidR="003B28CE" w:rsidRPr="002657D1" w:rsidRDefault="003B28CE" w:rsidP="00583E16">
      <w:pPr>
        <w:pStyle w:val="TOC1"/>
      </w:pPr>
      <w:r w:rsidRPr="002657D1">
        <w:rPr>
          <w:rFonts w:hint="eastAsia"/>
        </w:rPr>
        <w:t xml:space="preserve">Supplementary Table 9. Comparison of </w:t>
      </w:r>
      <w:r w:rsidR="009D049B" w:rsidRPr="002657D1">
        <w:rPr>
          <w:rFonts w:hint="eastAsia"/>
        </w:rPr>
        <w:t>cathode active material</w:t>
      </w:r>
      <w:r w:rsidRPr="002657D1">
        <w:rPr>
          <w:rFonts w:hint="eastAsia"/>
        </w:rPr>
        <w:t xml:space="preserve"> loading and areal capacity in ASSLMBs using Li metal and oxide electrolyte.</w:t>
      </w:r>
      <w:r w:rsidR="001F64BF" w:rsidRPr="002657D1">
        <w:rPr>
          <w:rFonts w:hint="eastAsia"/>
        </w:rPr>
        <w:tab/>
      </w:r>
      <w:r w:rsidR="00234065" w:rsidRPr="002657D1">
        <w:rPr>
          <w:rFonts w:hint="eastAsia"/>
        </w:rPr>
        <w:t>7</w:t>
      </w:r>
      <w:r w:rsidR="00AF1674" w:rsidRPr="002657D1">
        <w:rPr>
          <w:rFonts w:hint="eastAsia"/>
        </w:rPr>
        <w:t>8</w:t>
      </w:r>
    </w:p>
    <w:p w14:paraId="1BF98308" w14:textId="2AB47DB4" w:rsidR="003B28CE" w:rsidRPr="002657D1" w:rsidRDefault="00234065" w:rsidP="00583E16">
      <w:pPr>
        <w:pStyle w:val="TOC1"/>
      </w:pPr>
      <w:hyperlink r:id="rId13" w:anchor="_Toc212046303" w:history="1">
        <w:r w:rsidRPr="002657D1">
          <w:t xml:space="preserve">Supplementary Table </w:t>
        </w:r>
        <w:r w:rsidRPr="002657D1">
          <w:rPr>
            <w:rFonts w:hint="eastAsia"/>
          </w:rPr>
          <w:t>10</w:t>
        </w:r>
        <w:r w:rsidRPr="002657D1">
          <w:t xml:space="preserve">. </w:t>
        </w:r>
        <w:r w:rsidRPr="002657D1">
          <w:rPr>
            <w:rFonts w:hint="eastAsia"/>
          </w:rPr>
          <w:t xml:space="preserve">The cost of elements in HSEs and conventional </w:t>
        </w:r>
        <w:r w:rsidR="009D049B" w:rsidRPr="002657D1">
          <w:rPr>
            <w:rFonts w:hint="eastAsia"/>
          </w:rPr>
          <w:t>cathode active materials</w:t>
        </w:r>
        <w:r w:rsidR="002657D1" w:rsidRPr="002657D1">
          <w:rPr>
            <w:rFonts w:hint="eastAsia"/>
          </w:rPr>
          <w:t>.</w:t>
        </w:r>
        <w:r w:rsidRPr="002657D1">
          <w:tab/>
        </w:r>
        <w:r w:rsidR="00AF1674" w:rsidRPr="002657D1">
          <w:rPr>
            <w:rFonts w:hint="eastAsia"/>
          </w:rPr>
          <w:t>80</w:t>
        </w:r>
      </w:hyperlink>
    </w:p>
    <w:p w14:paraId="703B031E" w14:textId="36C42C38" w:rsidR="003B28CE" w:rsidRPr="002657D1" w:rsidRDefault="00234065" w:rsidP="00583E16">
      <w:pPr>
        <w:pStyle w:val="TOC1"/>
      </w:pPr>
      <w:hyperlink r:id="rId14" w:anchor="_Toc212046303" w:history="1">
        <w:r w:rsidRPr="002657D1">
          <w:t>Supplementary Table 11. Comprehensive comparative analysis of cost, ionic conductivity, and Li-metal stability (evaluated by cumulative plating capacity) between LZC-10TF and currently typical HSEs.</w:t>
        </w:r>
        <w:r w:rsidRPr="002657D1">
          <w:tab/>
        </w:r>
        <w:r w:rsidR="00AF1674" w:rsidRPr="002657D1">
          <w:rPr>
            <w:rFonts w:hint="eastAsia"/>
          </w:rPr>
          <w:t>81</w:t>
        </w:r>
      </w:hyperlink>
    </w:p>
    <w:p w14:paraId="52263BF1" w14:textId="03E044B7" w:rsidR="00E55125" w:rsidRPr="002657D1" w:rsidRDefault="00E55125">
      <w:pPr>
        <w:widowControl/>
        <w:jc w:val="left"/>
        <w:rPr>
          <w:rFonts w:ascii="Times New Roman" w:hAnsi="Times New Roman" w:cs="Times New Roman"/>
          <w:b/>
          <w:bCs/>
          <w:color w:val="000000" w:themeColor="text1"/>
        </w:rPr>
      </w:pPr>
      <w:r w:rsidRPr="002657D1">
        <w:rPr>
          <w:rFonts w:ascii="Times New Roman" w:hAnsi="Times New Roman" w:cs="Times New Roman"/>
          <w:b/>
          <w:bCs/>
          <w:color w:val="000000" w:themeColor="text1"/>
        </w:rPr>
        <w:br w:type="page"/>
      </w:r>
    </w:p>
    <w:p w14:paraId="3F5E3138" w14:textId="7E5D08C4" w:rsidR="004513A7" w:rsidRPr="002657D1" w:rsidRDefault="00CD3D3D" w:rsidP="00946A9F">
      <w:pPr>
        <w:spacing w:before="120" w:afterLines="50" w:after="156" w:line="360" w:lineRule="auto"/>
        <w:outlineLvl w:val="0"/>
        <w:rPr>
          <w:rFonts w:ascii="Calibri" w:hAnsi="Calibri" w:cs="Calibri"/>
          <w:b/>
          <w:bCs/>
          <w:color w:val="000000" w:themeColor="text1"/>
          <w:sz w:val="28"/>
          <w:szCs w:val="28"/>
        </w:rPr>
      </w:pPr>
      <w:bookmarkStart w:id="27" w:name="_Toc217638241"/>
      <w:bookmarkEnd w:id="9"/>
      <w:r w:rsidRPr="002657D1">
        <w:rPr>
          <w:rFonts w:ascii="Calibri" w:hAnsi="Calibri" w:cs="Calibri" w:hint="eastAsia"/>
          <w:b/>
          <w:bCs/>
          <w:color w:val="000000" w:themeColor="text1"/>
          <w:sz w:val="28"/>
          <w:szCs w:val="28"/>
        </w:rPr>
        <w:lastRenderedPageBreak/>
        <w:t xml:space="preserve">1. </w:t>
      </w:r>
      <w:r w:rsidR="004513A7" w:rsidRPr="002657D1">
        <w:rPr>
          <w:rFonts w:ascii="Calibri" w:hAnsi="Calibri" w:cs="Calibri"/>
          <w:b/>
          <w:bCs/>
          <w:color w:val="000000" w:themeColor="text1"/>
          <w:sz w:val="28"/>
          <w:szCs w:val="28"/>
        </w:rPr>
        <w:t>Methods</w:t>
      </w:r>
      <w:bookmarkEnd w:id="10"/>
      <w:bookmarkEnd w:id="11"/>
      <w:bookmarkEnd w:id="27"/>
    </w:p>
    <w:p w14:paraId="1B930A23" w14:textId="32A4B4FB" w:rsidR="004513A7" w:rsidRPr="002657D1" w:rsidRDefault="00CD3D3D" w:rsidP="00946A9F">
      <w:pPr>
        <w:spacing w:before="120" w:afterLines="50" w:after="156" w:line="360" w:lineRule="auto"/>
        <w:outlineLvl w:val="1"/>
        <w:rPr>
          <w:rFonts w:ascii="Calibri" w:hAnsi="Calibri" w:cs="Calibri"/>
          <w:b/>
          <w:bCs/>
          <w:color w:val="000000" w:themeColor="text1"/>
          <w:sz w:val="24"/>
          <w:szCs w:val="24"/>
        </w:rPr>
      </w:pPr>
      <w:bookmarkStart w:id="28" w:name="_Toc206419549"/>
      <w:bookmarkStart w:id="29" w:name="_Toc206419599"/>
      <w:bookmarkStart w:id="30" w:name="_Toc217638242"/>
      <w:r w:rsidRPr="002657D1">
        <w:rPr>
          <w:rFonts w:ascii="Calibri" w:hAnsi="Calibri" w:cs="Calibri" w:hint="eastAsia"/>
          <w:b/>
          <w:bCs/>
          <w:color w:val="000000" w:themeColor="text1"/>
          <w:sz w:val="24"/>
          <w:szCs w:val="24"/>
        </w:rPr>
        <w:t xml:space="preserve">1.1 </w:t>
      </w:r>
      <w:r w:rsidR="004513A7" w:rsidRPr="002657D1">
        <w:rPr>
          <w:rFonts w:ascii="Calibri" w:hAnsi="Calibri" w:cs="Calibri"/>
          <w:b/>
          <w:bCs/>
          <w:color w:val="000000" w:themeColor="text1"/>
          <w:sz w:val="24"/>
          <w:szCs w:val="24"/>
        </w:rPr>
        <w:t>Materials synthesis</w:t>
      </w:r>
      <w:bookmarkEnd w:id="28"/>
      <w:bookmarkEnd w:id="29"/>
      <w:bookmarkEnd w:id="30"/>
    </w:p>
    <w:p w14:paraId="72F89D8E" w14:textId="45F1CA42" w:rsidR="004513A7" w:rsidRPr="002657D1" w:rsidRDefault="004513A7" w:rsidP="0065352F">
      <w:pPr>
        <w:spacing w:before="120" w:afterLines="50" w:after="156" w:line="360" w:lineRule="auto"/>
        <w:rPr>
          <w:rFonts w:ascii="Times New Roman" w:hAnsi="Times New Roman" w:cs="Times New Roman"/>
          <w:bCs/>
          <w:color w:val="000000" w:themeColor="text1"/>
          <w:sz w:val="24"/>
          <w:szCs w:val="24"/>
        </w:rPr>
      </w:pPr>
      <w:r w:rsidRPr="002657D1">
        <w:rPr>
          <w:rFonts w:ascii="Times New Roman" w:hAnsi="Times New Roman" w:cs="Times New Roman" w:hint="eastAsia"/>
          <w:bCs/>
          <w:color w:val="000000" w:themeColor="text1"/>
          <w:sz w:val="24"/>
          <w:szCs w:val="24"/>
        </w:rPr>
        <w:t>LZC-</w:t>
      </w:r>
      <w:proofErr w:type="spellStart"/>
      <w:r w:rsidRPr="002657D1">
        <w:rPr>
          <w:rFonts w:ascii="Times New Roman" w:hAnsi="Times New Roman" w:cs="Times New Roman" w:hint="eastAsia"/>
          <w:bCs/>
          <w:color w:val="000000" w:themeColor="text1"/>
          <w:sz w:val="24"/>
          <w:szCs w:val="24"/>
        </w:rPr>
        <w:t>xTF</w:t>
      </w:r>
      <w:proofErr w:type="spellEnd"/>
      <w:r w:rsidRPr="002657D1">
        <w:rPr>
          <w:rFonts w:ascii="Times New Roman" w:hAnsi="Times New Roman" w:cs="Times New Roman" w:hint="eastAsia"/>
          <w:bCs/>
          <w:color w:val="000000" w:themeColor="text1"/>
          <w:sz w:val="24"/>
          <w:szCs w:val="24"/>
        </w:rPr>
        <w:t xml:space="preserve"> (</w:t>
      </w:r>
      <w:r w:rsidRPr="002657D1">
        <w:rPr>
          <w:rFonts w:ascii="Times New Roman" w:hAnsi="Times New Roman" w:cs="Times New Roman"/>
          <w:color w:val="000000" w:themeColor="text1"/>
          <w:sz w:val="24"/>
          <w:szCs w:val="24"/>
        </w:rPr>
        <w:t>0 ≤ x ≤ 40</w:t>
      </w:r>
      <w:r w:rsidRPr="002657D1">
        <w:rPr>
          <w:rFonts w:ascii="Times New Roman" w:hAnsi="Times New Roman" w:cs="Times New Roman" w:hint="eastAsia"/>
          <w:bCs/>
          <w:color w:val="000000" w:themeColor="text1"/>
          <w:sz w:val="24"/>
          <w:szCs w:val="24"/>
        </w:rPr>
        <w:t>) halide solid electrolytes (HSEs) were synthesized via mechanochemical milling using stoichiometric amounts of ZrCl</w:t>
      </w:r>
      <w:r w:rsidRPr="002657D1">
        <w:rPr>
          <w:rFonts w:ascii="Times New Roman" w:hAnsi="Times New Roman" w:cs="Times New Roman" w:hint="eastAsia"/>
          <w:bCs/>
          <w:color w:val="000000" w:themeColor="text1"/>
          <w:sz w:val="24"/>
          <w:szCs w:val="24"/>
          <w:vertAlign w:val="subscript"/>
        </w:rPr>
        <w:t>4</w:t>
      </w:r>
      <w:r w:rsidRPr="002657D1">
        <w:rPr>
          <w:rFonts w:ascii="Times New Roman" w:hAnsi="Times New Roman" w:cs="Times New Roman" w:hint="eastAsia"/>
          <w:bCs/>
          <w:color w:val="000000" w:themeColor="text1"/>
          <w:sz w:val="24"/>
          <w:szCs w:val="24"/>
        </w:rPr>
        <w:t xml:space="preserve"> (99.9%, Aldrich), LiCl (99.9%, Alfa </w:t>
      </w:r>
      <w:proofErr w:type="spellStart"/>
      <w:r w:rsidRPr="002657D1">
        <w:rPr>
          <w:rFonts w:ascii="Times New Roman" w:hAnsi="Times New Roman" w:cs="Times New Roman" w:hint="eastAsia"/>
          <w:bCs/>
          <w:color w:val="000000" w:themeColor="text1"/>
          <w:sz w:val="24"/>
          <w:szCs w:val="24"/>
        </w:rPr>
        <w:t>Aesar</w:t>
      </w:r>
      <w:proofErr w:type="spellEnd"/>
      <w:r w:rsidRPr="002657D1">
        <w:rPr>
          <w:rFonts w:ascii="Times New Roman" w:hAnsi="Times New Roman" w:cs="Times New Roman" w:hint="eastAsia"/>
          <w:bCs/>
          <w:color w:val="000000" w:themeColor="text1"/>
          <w:sz w:val="24"/>
          <w:szCs w:val="24"/>
        </w:rPr>
        <w:t>), and TiF</w:t>
      </w:r>
      <w:r w:rsidRPr="002657D1">
        <w:rPr>
          <w:rFonts w:ascii="Times New Roman" w:hAnsi="Times New Roman" w:cs="Times New Roman" w:hint="eastAsia"/>
          <w:bCs/>
          <w:color w:val="000000" w:themeColor="text1"/>
          <w:sz w:val="24"/>
          <w:szCs w:val="24"/>
          <w:vertAlign w:val="subscript"/>
        </w:rPr>
        <w:t>3</w:t>
      </w:r>
      <w:r w:rsidRPr="002657D1">
        <w:rPr>
          <w:rFonts w:ascii="Times New Roman" w:hAnsi="Times New Roman" w:cs="Times New Roman" w:hint="eastAsia"/>
          <w:bCs/>
          <w:color w:val="000000" w:themeColor="text1"/>
          <w:sz w:val="24"/>
          <w:szCs w:val="24"/>
        </w:rPr>
        <w:t xml:space="preserve"> (99.9%, Aldrich). </w:t>
      </w:r>
      <w:bookmarkStart w:id="31" w:name="OLE_LINK4"/>
      <w:r w:rsidRPr="002657D1">
        <w:rPr>
          <w:rFonts w:ascii="Times New Roman" w:hAnsi="Times New Roman" w:cs="Times New Roman" w:hint="eastAsia"/>
          <w:bCs/>
          <w:color w:val="000000" w:themeColor="text1"/>
          <w:sz w:val="24"/>
          <w:szCs w:val="24"/>
        </w:rPr>
        <w:t>All reagents were dried at 100</w:t>
      </w:r>
      <w:r w:rsidR="009F1053" w:rsidRPr="002657D1">
        <w:rPr>
          <w:rFonts w:ascii="Times New Roman" w:hAnsi="Times New Roman" w:cs="Times New Roman" w:hint="eastAsia"/>
          <w:bCs/>
          <w:color w:val="000000" w:themeColor="text1"/>
          <w:sz w:val="24"/>
          <w:szCs w:val="24"/>
        </w:rPr>
        <w:t xml:space="preserve"> </w:t>
      </w:r>
      <w:r w:rsidRPr="002657D1">
        <w:rPr>
          <w:rFonts w:ascii="Times New Roman" w:hAnsi="Times New Roman" w:cs="Times New Roman" w:hint="eastAsia"/>
          <w:bCs/>
          <w:color w:val="000000" w:themeColor="text1"/>
          <w:sz w:val="24"/>
          <w:szCs w:val="24"/>
        </w:rPr>
        <w:t>°</w:t>
      </w:r>
      <w:r w:rsidRPr="002657D1">
        <w:rPr>
          <w:rFonts w:ascii="Times New Roman" w:hAnsi="Times New Roman" w:cs="Times New Roman" w:hint="eastAsia"/>
          <w:bCs/>
          <w:color w:val="000000" w:themeColor="text1"/>
          <w:sz w:val="24"/>
          <w:szCs w:val="24"/>
        </w:rPr>
        <w:t xml:space="preserve">C in a vacuum oven and subsequently handled in an </w:t>
      </w:r>
      <w:proofErr w:type="spellStart"/>
      <w:r w:rsidRPr="002657D1">
        <w:rPr>
          <w:rFonts w:ascii="Times New Roman" w:hAnsi="Times New Roman" w:cs="Times New Roman" w:hint="eastAsia"/>
          <w:bCs/>
          <w:color w:val="000000" w:themeColor="text1"/>
          <w:sz w:val="24"/>
          <w:szCs w:val="24"/>
        </w:rPr>
        <w:t>Ar</w:t>
      </w:r>
      <w:proofErr w:type="spellEnd"/>
      <w:r w:rsidRPr="002657D1">
        <w:rPr>
          <w:rFonts w:ascii="Times New Roman" w:hAnsi="Times New Roman" w:cs="Times New Roman" w:hint="eastAsia"/>
          <w:bCs/>
          <w:color w:val="000000" w:themeColor="text1"/>
          <w:sz w:val="24"/>
          <w:szCs w:val="24"/>
        </w:rPr>
        <w:t xml:space="preserve"> atmosphere within a glovebox. The precursors were initially mixed at 200 rpm for 3 h to ensure homogeneity</w:t>
      </w:r>
      <w:bookmarkEnd w:id="31"/>
      <w:r w:rsidRPr="002657D1">
        <w:rPr>
          <w:rFonts w:ascii="Times New Roman" w:hAnsi="Times New Roman" w:cs="Times New Roman" w:hint="eastAsia"/>
          <w:bCs/>
          <w:color w:val="000000" w:themeColor="text1"/>
          <w:sz w:val="24"/>
          <w:szCs w:val="24"/>
        </w:rPr>
        <w:t xml:space="preserve">, followed by high-energy milling at </w:t>
      </w:r>
      <w:r w:rsidR="00285CB3" w:rsidRPr="002657D1">
        <w:rPr>
          <w:rFonts w:ascii="Times New Roman" w:hAnsi="Times New Roman" w:cs="Times New Roman" w:hint="eastAsia"/>
          <w:bCs/>
          <w:color w:val="000000" w:themeColor="text1"/>
          <w:sz w:val="24"/>
          <w:szCs w:val="24"/>
        </w:rPr>
        <w:t xml:space="preserve">1000 </w:t>
      </w:r>
      <w:r w:rsidRPr="002657D1">
        <w:rPr>
          <w:rFonts w:ascii="Times New Roman" w:hAnsi="Times New Roman" w:cs="Times New Roman" w:hint="eastAsia"/>
          <w:bCs/>
          <w:color w:val="000000" w:themeColor="text1"/>
          <w:sz w:val="24"/>
          <w:szCs w:val="24"/>
        </w:rPr>
        <w:t>rpm for 10 h to produce LZC-</w:t>
      </w:r>
      <w:proofErr w:type="spellStart"/>
      <w:r w:rsidRPr="002657D1">
        <w:rPr>
          <w:rFonts w:ascii="Times New Roman" w:hAnsi="Times New Roman" w:cs="Times New Roman" w:hint="eastAsia"/>
          <w:bCs/>
          <w:color w:val="000000" w:themeColor="text1"/>
          <w:sz w:val="24"/>
          <w:szCs w:val="24"/>
        </w:rPr>
        <w:t>xTF</w:t>
      </w:r>
      <w:proofErr w:type="spellEnd"/>
      <w:r w:rsidRPr="002657D1">
        <w:rPr>
          <w:rFonts w:ascii="Times New Roman" w:hAnsi="Times New Roman" w:cs="Times New Roman" w:hint="eastAsia"/>
          <w:bCs/>
          <w:color w:val="000000" w:themeColor="text1"/>
          <w:sz w:val="24"/>
          <w:szCs w:val="24"/>
        </w:rPr>
        <w:t>.</w:t>
      </w:r>
      <w:r w:rsidRPr="002657D1">
        <w:rPr>
          <w:rFonts w:hint="eastAsia"/>
          <w:color w:val="000000" w:themeColor="text1"/>
          <w:sz w:val="24"/>
          <w:szCs w:val="24"/>
        </w:rPr>
        <w:t xml:space="preserve"> </w:t>
      </w:r>
      <w:r w:rsidRPr="002657D1">
        <w:rPr>
          <w:rFonts w:ascii="Times New Roman" w:hAnsi="Times New Roman" w:cs="Times New Roman" w:hint="eastAsia"/>
          <w:bCs/>
          <w:color w:val="000000" w:themeColor="text1"/>
          <w:sz w:val="24"/>
          <w:szCs w:val="24"/>
        </w:rPr>
        <w:t>LZC-</w:t>
      </w:r>
      <w:proofErr w:type="spellStart"/>
      <w:r w:rsidRPr="002657D1">
        <w:rPr>
          <w:rFonts w:ascii="Times New Roman" w:hAnsi="Times New Roman" w:cs="Times New Roman" w:hint="eastAsia"/>
          <w:bCs/>
          <w:color w:val="000000" w:themeColor="text1"/>
          <w:sz w:val="24"/>
          <w:szCs w:val="24"/>
        </w:rPr>
        <w:t>xAF</w:t>
      </w:r>
      <w:proofErr w:type="spellEnd"/>
      <w:r w:rsidRPr="002657D1">
        <w:rPr>
          <w:rFonts w:ascii="Times New Roman" w:hAnsi="Times New Roman" w:cs="Times New Roman" w:hint="eastAsia"/>
          <w:bCs/>
          <w:color w:val="000000" w:themeColor="text1"/>
          <w:sz w:val="24"/>
          <w:szCs w:val="24"/>
        </w:rPr>
        <w:t xml:space="preserve"> (</w:t>
      </w:r>
      <w:r w:rsidRPr="002657D1">
        <w:rPr>
          <w:rFonts w:ascii="Times New Roman" w:hAnsi="Times New Roman" w:cs="Times New Roman"/>
          <w:color w:val="000000" w:themeColor="text1"/>
          <w:sz w:val="24"/>
          <w:szCs w:val="24"/>
        </w:rPr>
        <w:t>0 ≤ x ≤ 40</w:t>
      </w:r>
      <w:r w:rsidRPr="002657D1">
        <w:rPr>
          <w:rFonts w:ascii="Times New Roman" w:hAnsi="Times New Roman" w:cs="Times New Roman" w:hint="eastAsia"/>
          <w:bCs/>
          <w:color w:val="000000" w:themeColor="text1"/>
          <w:sz w:val="24"/>
          <w:szCs w:val="24"/>
        </w:rPr>
        <w:t>) and LZC-</w:t>
      </w:r>
      <w:proofErr w:type="spellStart"/>
      <w:r w:rsidRPr="002657D1">
        <w:rPr>
          <w:rFonts w:ascii="Times New Roman" w:hAnsi="Times New Roman" w:cs="Times New Roman" w:hint="eastAsia"/>
          <w:bCs/>
          <w:color w:val="000000" w:themeColor="text1"/>
          <w:sz w:val="24"/>
          <w:szCs w:val="24"/>
        </w:rPr>
        <w:t>xPF</w:t>
      </w:r>
      <w:proofErr w:type="spellEnd"/>
      <w:r w:rsidRPr="002657D1">
        <w:rPr>
          <w:rFonts w:ascii="Times New Roman" w:hAnsi="Times New Roman" w:cs="Times New Roman" w:hint="eastAsia"/>
          <w:bCs/>
          <w:color w:val="000000" w:themeColor="text1"/>
          <w:sz w:val="24"/>
          <w:szCs w:val="24"/>
        </w:rPr>
        <w:t xml:space="preserve"> (</w:t>
      </w:r>
      <w:r w:rsidRPr="002657D1">
        <w:rPr>
          <w:rFonts w:ascii="Times New Roman" w:hAnsi="Times New Roman" w:cs="Times New Roman"/>
          <w:color w:val="000000" w:themeColor="text1"/>
          <w:sz w:val="24"/>
          <w:szCs w:val="24"/>
        </w:rPr>
        <w:t>0 ≤ x ≤ 40</w:t>
      </w:r>
      <w:r w:rsidRPr="002657D1">
        <w:rPr>
          <w:rFonts w:ascii="Times New Roman" w:hAnsi="Times New Roman" w:cs="Times New Roman" w:hint="eastAsia"/>
          <w:bCs/>
          <w:color w:val="000000" w:themeColor="text1"/>
          <w:sz w:val="24"/>
          <w:szCs w:val="24"/>
        </w:rPr>
        <w:t>) were synthesized using the procedure described above for LZC-</w:t>
      </w:r>
      <w:proofErr w:type="spellStart"/>
      <w:r w:rsidRPr="002657D1">
        <w:rPr>
          <w:rFonts w:ascii="Times New Roman" w:hAnsi="Times New Roman" w:cs="Times New Roman" w:hint="eastAsia"/>
          <w:bCs/>
          <w:color w:val="000000" w:themeColor="text1"/>
          <w:sz w:val="24"/>
          <w:szCs w:val="24"/>
        </w:rPr>
        <w:t>xTF</w:t>
      </w:r>
      <w:proofErr w:type="spellEnd"/>
      <w:r w:rsidRPr="002657D1">
        <w:rPr>
          <w:rFonts w:ascii="Times New Roman" w:hAnsi="Times New Roman" w:cs="Times New Roman" w:hint="eastAsia"/>
          <w:bCs/>
          <w:color w:val="000000" w:themeColor="text1"/>
          <w:sz w:val="24"/>
          <w:szCs w:val="24"/>
        </w:rPr>
        <w:t>.</w:t>
      </w:r>
    </w:p>
    <w:p w14:paraId="46C13D4F" w14:textId="4AC53DEE" w:rsidR="004513A7" w:rsidRPr="002657D1" w:rsidRDefault="00CD3D3D" w:rsidP="00946A9F">
      <w:pPr>
        <w:spacing w:before="120" w:afterLines="50" w:after="156" w:line="360" w:lineRule="auto"/>
        <w:outlineLvl w:val="1"/>
        <w:rPr>
          <w:rFonts w:ascii="Calibri" w:hAnsi="Calibri" w:cs="Calibri"/>
          <w:b/>
          <w:bCs/>
          <w:color w:val="000000" w:themeColor="text1"/>
          <w:sz w:val="24"/>
          <w:szCs w:val="24"/>
        </w:rPr>
      </w:pPr>
      <w:bookmarkStart w:id="32" w:name="_Toc206419550"/>
      <w:bookmarkStart w:id="33" w:name="_Toc206419600"/>
      <w:bookmarkStart w:id="34" w:name="_Toc217638243"/>
      <w:r w:rsidRPr="002657D1">
        <w:rPr>
          <w:rFonts w:ascii="Calibri" w:hAnsi="Calibri" w:cs="Calibri" w:hint="eastAsia"/>
          <w:b/>
          <w:bCs/>
          <w:color w:val="000000" w:themeColor="text1"/>
          <w:sz w:val="24"/>
          <w:szCs w:val="24"/>
        </w:rPr>
        <w:t xml:space="preserve">1.2 </w:t>
      </w:r>
      <w:r w:rsidR="004513A7" w:rsidRPr="002657D1">
        <w:rPr>
          <w:rFonts w:ascii="Calibri" w:hAnsi="Calibri" w:cs="Calibri"/>
          <w:b/>
          <w:bCs/>
          <w:color w:val="000000" w:themeColor="text1"/>
          <w:sz w:val="24"/>
          <w:szCs w:val="24"/>
        </w:rPr>
        <w:t>Material characterizations</w:t>
      </w:r>
      <w:bookmarkEnd w:id="32"/>
      <w:bookmarkEnd w:id="33"/>
      <w:bookmarkEnd w:id="34"/>
    </w:p>
    <w:p w14:paraId="7E59C8C0" w14:textId="77777777" w:rsidR="004513A7" w:rsidRPr="002657D1" w:rsidRDefault="004513A7" w:rsidP="0065352F">
      <w:pPr>
        <w:spacing w:before="120" w:afterLines="50" w:after="156" w:line="360" w:lineRule="auto"/>
        <w:rPr>
          <w:rFonts w:ascii="Times New Roman" w:hAnsi="Times New Roman" w:cs="Times New Roman"/>
          <w:bCs/>
          <w:color w:val="000000" w:themeColor="text1"/>
          <w:sz w:val="24"/>
          <w:szCs w:val="24"/>
        </w:rPr>
      </w:pPr>
      <w:r w:rsidRPr="002657D1">
        <w:rPr>
          <w:rFonts w:ascii="Times New Roman" w:hAnsi="Times New Roman" w:cs="Times New Roman" w:hint="eastAsia"/>
          <w:bCs/>
          <w:color w:val="000000" w:themeColor="text1"/>
          <w:sz w:val="24"/>
          <w:szCs w:val="24"/>
        </w:rPr>
        <w:t>X-ray diffraction (XRD) patterns of the synthesized materials were collected on a Rigaku D/MAX-RB diffractometer using Cu K</w:t>
      </w:r>
      <w:r w:rsidRPr="002657D1">
        <w:rPr>
          <w:rFonts w:ascii="Times New Roman" w:hAnsi="Times New Roman" w:cs="Times New Roman"/>
          <w:bCs/>
          <w:color w:val="000000" w:themeColor="text1"/>
          <w:sz w:val="24"/>
          <w:szCs w:val="24"/>
        </w:rPr>
        <w:t>α</w:t>
      </w:r>
      <w:r w:rsidRPr="002657D1">
        <w:rPr>
          <w:rFonts w:ascii="Times New Roman" w:hAnsi="Times New Roman" w:cs="Times New Roman" w:hint="eastAsia"/>
          <w:bCs/>
          <w:color w:val="000000" w:themeColor="text1"/>
          <w:sz w:val="24"/>
          <w:szCs w:val="24"/>
        </w:rPr>
        <w:t xml:space="preserve"> radiation (</w:t>
      </w:r>
      <w:r w:rsidRPr="002657D1">
        <w:rPr>
          <w:rFonts w:ascii="Times New Roman" w:hAnsi="Times New Roman" w:cs="Times New Roman" w:hint="eastAsia"/>
          <w:bCs/>
          <w:color w:val="000000" w:themeColor="text1"/>
          <w:sz w:val="24"/>
          <w:szCs w:val="24"/>
        </w:rPr>
        <w:t>λ</w:t>
      </w:r>
      <w:r w:rsidRPr="002657D1">
        <w:rPr>
          <w:rFonts w:ascii="Times New Roman" w:hAnsi="Times New Roman" w:cs="Times New Roman" w:hint="eastAsia"/>
          <w:bCs/>
          <w:color w:val="000000" w:themeColor="text1"/>
          <w:sz w:val="24"/>
          <w:szCs w:val="24"/>
        </w:rPr>
        <w:t xml:space="preserve"> = 1.54178 Å). To prevent exposure to air, the samples were encapsulated in polyimide film. The XRD Rietveld refinement was performed using GSAS-II. X-ray photoelectron spectroscopy (XPS) was recorded on a </w:t>
      </w:r>
      <w:proofErr w:type="spellStart"/>
      <w:r w:rsidRPr="002657D1">
        <w:rPr>
          <w:rFonts w:ascii="Times New Roman" w:hAnsi="Times New Roman" w:cs="Times New Roman" w:hint="eastAsia"/>
          <w:bCs/>
          <w:color w:val="000000" w:themeColor="text1"/>
          <w:sz w:val="24"/>
          <w:szCs w:val="24"/>
        </w:rPr>
        <w:t>Thermo</w:t>
      </w:r>
      <w:proofErr w:type="spellEnd"/>
      <w:r w:rsidRPr="002657D1">
        <w:rPr>
          <w:rFonts w:ascii="Times New Roman" w:hAnsi="Times New Roman" w:cs="Times New Roman" w:hint="eastAsia"/>
          <w:bCs/>
          <w:color w:val="000000" w:themeColor="text1"/>
          <w:sz w:val="24"/>
          <w:szCs w:val="24"/>
        </w:rPr>
        <w:t xml:space="preserve"> Fisher ESCALAB 250Xi spectrometer to analyze the chemical states of the materials. The morphology and elemental distribution were characterized using scanning electron microscopy (SEM, JSM-7001F, JEOL) at 5.0 kV, coupled with energy dispersive X-ray spectroscopy (EDS, Oxford). </w:t>
      </w:r>
      <w:r w:rsidRPr="002657D1">
        <w:rPr>
          <w:rFonts w:ascii="Times New Roman" w:hAnsi="Times New Roman" w:cs="Times New Roman" w:hint="eastAsia"/>
          <w:color w:val="000000" w:themeColor="text1"/>
          <w:sz w:val="24"/>
          <w:szCs w:val="24"/>
        </w:rPr>
        <w:t>Solid-state nuclear magnetic resonance (</w:t>
      </w:r>
      <w:proofErr w:type="spellStart"/>
      <w:r w:rsidRPr="002657D1">
        <w:rPr>
          <w:rFonts w:ascii="Times New Roman" w:hAnsi="Times New Roman" w:cs="Times New Roman" w:hint="eastAsia"/>
          <w:color w:val="000000" w:themeColor="text1"/>
          <w:sz w:val="24"/>
          <w:szCs w:val="24"/>
        </w:rPr>
        <w:t>ssNMR</w:t>
      </w:r>
      <w:proofErr w:type="spellEnd"/>
      <w:r w:rsidRPr="002657D1">
        <w:rPr>
          <w:rFonts w:ascii="Times New Roman" w:hAnsi="Times New Roman" w:cs="Times New Roman" w:hint="eastAsia"/>
          <w:color w:val="000000" w:themeColor="text1"/>
          <w:sz w:val="24"/>
          <w:szCs w:val="24"/>
        </w:rPr>
        <w:t xml:space="preserve">) measurements were conducted using a Bruker 400 MHz NMR spectrometer. The Larmor frequency for </w:t>
      </w:r>
      <w:r w:rsidRPr="002657D1">
        <w:rPr>
          <w:rFonts w:ascii="Times New Roman" w:hAnsi="Times New Roman" w:cs="Times New Roman" w:hint="eastAsia"/>
          <w:color w:val="000000" w:themeColor="text1"/>
          <w:sz w:val="24"/>
          <w:szCs w:val="24"/>
          <w:vertAlign w:val="superscript"/>
        </w:rPr>
        <w:t>7</w:t>
      </w:r>
      <w:r w:rsidRPr="002657D1">
        <w:rPr>
          <w:rFonts w:ascii="Times New Roman" w:hAnsi="Times New Roman" w:cs="Times New Roman" w:hint="eastAsia"/>
          <w:color w:val="000000" w:themeColor="text1"/>
          <w:sz w:val="24"/>
          <w:szCs w:val="24"/>
        </w:rPr>
        <w:t xml:space="preserve">Li is 155.3 </w:t>
      </w:r>
      <w:proofErr w:type="spellStart"/>
      <w:r w:rsidRPr="002657D1">
        <w:rPr>
          <w:rFonts w:ascii="Times New Roman" w:hAnsi="Times New Roman" w:cs="Times New Roman" w:hint="eastAsia"/>
          <w:color w:val="000000" w:themeColor="text1"/>
          <w:sz w:val="24"/>
          <w:szCs w:val="24"/>
        </w:rPr>
        <w:t>MHz.</w:t>
      </w:r>
      <w:proofErr w:type="spellEnd"/>
      <w:r w:rsidRPr="002657D1">
        <w:rPr>
          <w:rFonts w:ascii="Times New Roman" w:hAnsi="Times New Roman" w:cs="Times New Roman" w:hint="eastAsia"/>
          <w:color w:val="000000" w:themeColor="text1"/>
          <w:sz w:val="24"/>
          <w:szCs w:val="24"/>
        </w:rPr>
        <w:t xml:space="preserve"> All samples were filled into 3.2 mm rotors, and all operations were performed within an argon-filled glovebox. The </w:t>
      </w:r>
      <w:r w:rsidRPr="002657D1">
        <w:rPr>
          <w:rFonts w:ascii="Times New Roman" w:hAnsi="Times New Roman" w:cs="Times New Roman" w:hint="eastAsia"/>
          <w:color w:val="000000" w:themeColor="text1"/>
          <w:sz w:val="24"/>
          <w:szCs w:val="24"/>
          <w:vertAlign w:val="superscript"/>
        </w:rPr>
        <w:t>7</w:t>
      </w:r>
      <w:r w:rsidRPr="002657D1">
        <w:rPr>
          <w:rFonts w:ascii="Times New Roman" w:hAnsi="Times New Roman" w:cs="Times New Roman" w:hint="eastAsia"/>
          <w:color w:val="000000" w:themeColor="text1"/>
          <w:sz w:val="24"/>
          <w:szCs w:val="24"/>
        </w:rPr>
        <w:t>Li NMR spectra were recorded using a Hahn-echo pulse sequence with magic angle spinning (MAS) at 14 kHz. Chemical shifts were referenced to a 1M LiCl solution at 0 ppm.</w:t>
      </w:r>
      <w:r w:rsidRPr="002657D1">
        <w:rPr>
          <w:rFonts w:ascii="Times New Roman" w:hAnsi="Times New Roman" w:cs="Times New Roman" w:hint="eastAsia"/>
          <w:bCs/>
          <w:color w:val="000000" w:themeColor="text1"/>
          <w:sz w:val="24"/>
          <w:szCs w:val="24"/>
        </w:rPr>
        <w:t xml:space="preserve"> X-ray absorption spectroscopy (XAS) was performed at the BL13SSW beamline of the Shanghai Synchrotron Radiation Facility, with spectra acquired in fluorescence mode. The resulting data were analyzed using the Demeter </w:t>
      </w:r>
      <w:r w:rsidRPr="002657D1">
        <w:rPr>
          <w:rFonts w:ascii="Times New Roman" w:hAnsi="Times New Roman" w:cs="Times New Roman" w:hint="eastAsia"/>
          <w:bCs/>
          <w:color w:val="000000" w:themeColor="text1"/>
          <w:sz w:val="24"/>
          <w:szCs w:val="24"/>
        </w:rPr>
        <w:lastRenderedPageBreak/>
        <w:t>software package.</w:t>
      </w:r>
    </w:p>
    <w:p w14:paraId="557771C6" w14:textId="06951B9B" w:rsidR="004513A7" w:rsidRPr="002657D1" w:rsidRDefault="00CD3D3D" w:rsidP="00946A9F">
      <w:pPr>
        <w:spacing w:before="120" w:afterLines="50" w:after="156" w:line="360" w:lineRule="auto"/>
        <w:outlineLvl w:val="1"/>
        <w:rPr>
          <w:rFonts w:ascii="Calibri" w:hAnsi="Calibri" w:cs="Calibri"/>
          <w:b/>
          <w:bCs/>
          <w:color w:val="000000" w:themeColor="text1"/>
          <w:sz w:val="24"/>
          <w:szCs w:val="24"/>
        </w:rPr>
      </w:pPr>
      <w:bookmarkStart w:id="35" w:name="_Toc206419551"/>
      <w:bookmarkStart w:id="36" w:name="_Toc206419601"/>
      <w:bookmarkStart w:id="37" w:name="_Toc217638244"/>
      <w:r w:rsidRPr="002657D1">
        <w:rPr>
          <w:rFonts w:ascii="Calibri" w:hAnsi="Calibri" w:cs="Calibri" w:hint="eastAsia"/>
          <w:b/>
          <w:bCs/>
          <w:color w:val="000000" w:themeColor="text1"/>
          <w:sz w:val="24"/>
          <w:szCs w:val="24"/>
        </w:rPr>
        <w:t xml:space="preserve">1.3 </w:t>
      </w:r>
      <w:r w:rsidR="004513A7" w:rsidRPr="002657D1">
        <w:rPr>
          <w:rFonts w:ascii="Calibri" w:hAnsi="Calibri" w:cs="Calibri"/>
          <w:b/>
          <w:bCs/>
          <w:color w:val="000000" w:themeColor="text1"/>
          <w:sz w:val="24"/>
          <w:szCs w:val="24"/>
        </w:rPr>
        <w:t>Electrochemical measurements</w:t>
      </w:r>
      <w:bookmarkEnd w:id="35"/>
      <w:bookmarkEnd w:id="36"/>
      <w:bookmarkEnd w:id="37"/>
    </w:p>
    <w:p w14:paraId="625494DD" w14:textId="77777777" w:rsidR="004513A7" w:rsidRPr="002657D1" w:rsidRDefault="004513A7" w:rsidP="0065352F">
      <w:pPr>
        <w:spacing w:before="120" w:afterLines="50" w:after="156" w:line="360" w:lineRule="auto"/>
        <w:rPr>
          <w:rFonts w:ascii="Times New Roman" w:hAnsi="Times New Roman" w:cs="Times New Roman"/>
          <w:bCs/>
          <w:color w:val="000000" w:themeColor="text1"/>
          <w:sz w:val="24"/>
          <w:szCs w:val="24"/>
        </w:rPr>
      </w:pPr>
      <w:r w:rsidRPr="002657D1">
        <w:rPr>
          <w:rFonts w:ascii="Times New Roman" w:hAnsi="Times New Roman" w:cs="Times New Roman"/>
          <w:bCs/>
          <w:color w:val="000000" w:themeColor="text1"/>
          <w:sz w:val="24"/>
          <w:szCs w:val="24"/>
        </w:rPr>
        <w:t xml:space="preserve">Ionic conductivities of the synthesized materials were measured using electrochemical impedance spectroscopy (EIS) with a </w:t>
      </w:r>
      <w:proofErr w:type="spellStart"/>
      <w:r w:rsidRPr="002657D1">
        <w:rPr>
          <w:rFonts w:ascii="Times New Roman" w:hAnsi="Times New Roman" w:cs="Times New Roman"/>
          <w:bCs/>
          <w:color w:val="000000" w:themeColor="text1"/>
          <w:sz w:val="24"/>
          <w:szCs w:val="24"/>
        </w:rPr>
        <w:t>Solartron</w:t>
      </w:r>
      <w:proofErr w:type="spellEnd"/>
      <w:r w:rsidRPr="002657D1">
        <w:rPr>
          <w:rFonts w:ascii="Times New Roman" w:hAnsi="Times New Roman" w:cs="Times New Roman"/>
          <w:bCs/>
          <w:color w:val="000000" w:themeColor="text1"/>
          <w:sz w:val="24"/>
          <w:szCs w:val="24"/>
        </w:rPr>
        <w:t xml:space="preserve"> 1260+1287 workstation. Impedance spectra were recorded over the temperature range of 25 to 80 °C, using stainless-steel (SS) disks as blocking electrodes, and a frequency range of 10</w:t>
      </w:r>
      <w:r w:rsidRPr="002657D1">
        <w:rPr>
          <w:rFonts w:ascii="Times New Roman" w:hAnsi="Times New Roman" w:cs="Times New Roman"/>
          <w:bCs/>
          <w:color w:val="000000" w:themeColor="text1"/>
          <w:sz w:val="24"/>
          <w:szCs w:val="24"/>
          <w:vertAlign w:val="superscript"/>
        </w:rPr>
        <w:t>6</w:t>
      </w:r>
      <w:r w:rsidRPr="002657D1">
        <w:rPr>
          <w:rFonts w:ascii="Times New Roman" w:hAnsi="Times New Roman" w:cs="Times New Roman"/>
          <w:bCs/>
          <w:color w:val="000000" w:themeColor="text1"/>
          <w:sz w:val="24"/>
          <w:szCs w:val="24"/>
        </w:rPr>
        <w:t>-0.1 Hz with an alternating current (AC) amplitude of 10 mV. Activation energies (</w:t>
      </w:r>
      <w:proofErr w:type="spellStart"/>
      <w:r w:rsidRPr="002657D1">
        <w:rPr>
          <w:rFonts w:ascii="Times New Roman" w:hAnsi="Times New Roman" w:cs="Times New Roman"/>
          <w:i/>
          <w:iCs/>
          <w:color w:val="000000" w:themeColor="text1"/>
          <w:sz w:val="24"/>
          <w:szCs w:val="24"/>
        </w:rPr>
        <w:t>E</w:t>
      </w:r>
      <w:r w:rsidRPr="002657D1">
        <w:rPr>
          <w:rFonts w:ascii="Times New Roman" w:hAnsi="Times New Roman" w:cs="Times New Roman"/>
          <w:i/>
          <w:iCs/>
          <w:color w:val="000000" w:themeColor="text1"/>
          <w:sz w:val="24"/>
          <w:szCs w:val="24"/>
          <w:vertAlign w:val="subscript"/>
        </w:rPr>
        <w:t>a</w:t>
      </w:r>
      <w:proofErr w:type="spellEnd"/>
      <w:r w:rsidRPr="002657D1">
        <w:rPr>
          <w:rFonts w:ascii="Times New Roman" w:hAnsi="Times New Roman" w:cs="Times New Roman"/>
          <w:bCs/>
          <w:color w:val="000000" w:themeColor="text1"/>
          <w:sz w:val="24"/>
          <w:szCs w:val="24"/>
        </w:rPr>
        <w:t xml:space="preserve">) for ionic conduction were derived from Arrhenius plots, correlating ionic conductivity with temperature. To assess electronic conductivity, direct current (DC) polarization experiments were conducted on symmetric SS cells at varying constant voltages (0.2-1 V, with 0.2 V steps) for 40 min each. Electrochemical stability was assessed through </w:t>
      </w:r>
      <w:r w:rsidRPr="002657D1">
        <w:rPr>
          <w:rFonts w:ascii="Times New Roman" w:hAnsi="Times New Roman" w:cs="Times New Roman"/>
          <w:color w:val="000000" w:themeColor="text1"/>
          <w:sz w:val="24"/>
          <w:szCs w:val="24"/>
        </w:rPr>
        <w:t>linear sweep voltammetry</w:t>
      </w:r>
      <w:r w:rsidRPr="002657D1">
        <w:rPr>
          <w:rFonts w:ascii="Times New Roman" w:hAnsi="Times New Roman" w:cs="Times New Roman"/>
          <w:bCs/>
          <w:color w:val="000000" w:themeColor="text1"/>
          <w:sz w:val="24"/>
          <w:szCs w:val="24"/>
        </w:rPr>
        <w:t xml:space="preserve"> (LSV) using a CHI660B workstation. Measurements were conducted in a Li/HSE/HSE-VGCF (vapor-grown carbon fibers) cell configuration within a 0 to 5 V range (vs. Li/Li</w:t>
      </w:r>
      <w:r w:rsidRPr="002657D1">
        <w:rPr>
          <w:rFonts w:ascii="Times New Roman" w:hAnsi="Times New Roman" w:cs="Times New Roman"/>
          <w:bCs/>
          <w:color w:val="000000" w:themeColor="text1"/>
          <w:sz w:val="24"/>
          <w:szCs w:val="24"/>
          <w:vertAlign w:val="superscript"/>
        </w:rPr>
        <w:t>+</w:t>
      </w:r>
      <w:r w:rsidRPr="002657D1">
        <w:rPr>
          <w:rFonts w:ascii="Times New Roman" w:hAnsi="Times New Roman" w:cs="Times New Roman"/>
          <w:bCs/>
          <w:color w:val="000000" w:themeColor="text1"/>
          <w:sz w:val="24"/>
          <w:szCs w:val="24"/>
        </w:rPr>
        <w:t>) at a scan rate of 0.1 mV s</w:t>
      </w:r>
      <w:r w:rsidRPr="002657D1">
        <w:rPr>
          <w:rFonts w:ascii="Times New Roman" w:hAnsi="Times New Roman" w:cs="Times New Roman"/>
          <w:color w:val="000000" w:themeColor="text1"/>
          <w:sz w:val="24"/>
          <w:szCs w:val="24"/>
        </w:rPr>
        <w:t>⁻</w:t>
      </w:r>
      <w:r w:rsidRPr="002657D1">
        <w:rPr>
          <w:rFonts w:ascii="Times New Roman" w:hAnsi="Times New Roman" w:cs="Times New Roman"/>
          <w:bCs/>
          <w:color w:val="000000" w:themeColor="text1"/>
          <w:sz w:val="24"/>
          <w:szCs w:val="24"/>
          <w:vertAlign w:val="superscript"/>
        </w:rPr>
        <w:t>1</w:t>
      </w:r>
      <w:r w:rsidRPr="002657D1">
        <w:rPr>
          <w:rFonts w:ascii="Times New Roman" w:hAnsi="Times New Roman" w:cs="Times New Roman"/>
          <w:bCs/>
          <w:color w:val="000000" w:themeColor="text1"/>
          <w:sz w:val="24"/>
          <w:szCs w:val="24"/>
        </w:rPr>
        <w:t>. The mass ratio of HSEs to VGCF was maintained at 9:1, with an approximate hybrid mass loading of 10 mg. Critical current density and long-duration Li plating and stripping cycles at different current densities were performed on Li symmetric cells at 25 °C.</w:t>
      </w:r>
    </w:p>
    <w:p w14:paraId="61DFDD9E" w14:textId="3BC91898" w:rsidR="004513A7" w:rsidRPr="002657D1" w:rsidRDefault="00CD3D3D" w:rsidP="00946A9F">
      <w:pPr>
        <w:spacing w:before="120" w:afterLines="50" w:after="156" w:line="360" w:lineRule="auto"/>
        <w:outlineLvl w:val="1"/>
        <w:rPr>
          <w:rFonts w:ascii="Calibri" w:hAnsi="Calibri" w:cs="Calibri"/>
          <w:b/>
          <w:bCs/>
          <w:color w:val="000000" w:themeColor="text1"/>
          <w:sz w:val="24"/>
          <w:szCs w:val="24"/>
        </w:rPr>
      </w:pPr>
      <w:bookmarkStart w:id="38" w:name="_Toc206419552"/>
      <w:bookmarkStart w:id="39" w:name="_Toc206419602"/>
      <w:bookmarkStart w:id="40" w:name="_Toc217638245"/>
      <w:r w:rsidRPr="002657D1">
        <w:rPr>
          <w:rFonts w:ascii="Calibri" w:hAnsi="Calibri" w:cs="Calibri" w:hint="eastAsia"/>
          <w:b/>
          <w:bCs/>
          <w:color w:val="000000" w:themeColor="text1"/>
          <w:sz w:val="24"/>
          <w:szCs w:val="24"/>
        </w:rPr>
        <w:t xml:space="preserve">1.4 </w:t>
      </w:r>
      <w:r w:rsidR="004820FF" w:rsidRPr="002657D1">
        <w:rPr>
          <w:rFonts w:ascii="Calibri" w:hAnsi="Calibri" w:cs="Calibri" w:hint="eastAsia"/>
          <w:b/>
          <w:bCs/>
          <w:color w:val="000000" w:themeColor="text1"/>
          <w:sz w:val="24"/>
          <w:szCs w:val="24"/>
        </w:rPr>
        <w:t>Mold-</w:t>
      </w:r>
      <w:r w:rsidR="004513A7" w:rsidRPr="002657D1">
        <w:rPr>
          <w:rFonts w:ascii="Calibri" w:hAnsi="Calibri" w:cs="Calibri" w:hint="eastAsia"/>
          <w:b/>
          <w:bCs/>
          <w:color w:val="000000" w:themeColor="text1"/>
          <w:sz w:val="24"/>
          <w:szCs w:val="24"/>
        </w:rPr>
        <w:t>type ASSLMBs assembly and measurements</w:t>
      </w:r>
      <w:bookmarkEnd w:id="38"/>
      <w:bookmarkEnd w:id="39"/>
      <w:bookmarkEnd w:id="40"/>
    </w:p>
    <w:p w14:paraId="467057F4" w14:textId="06CAC5A1" w:rsidR="00E01A9B" w:rsidRPr="002657D1" w:rsidRDefault="00E01A9B" w:rsidP="0065352F">
      <w:pPr>
        <w:spacing w:before="120" w:afterLines="50" w:after="156" w:line="360" w:lineRule="auto"/>
        <w:rPr>
          <w:rFonts w:ascii="Times New Roman" w:hAnsi="Times New Roman" w:cs="Times New Roman"/>
          <w:bCs/>
          <w:color w:val="000000" w:themeColor="text1"/>
          <w:sz w:val="24"/>
          <w:szCs w:val="24"/>
        </w:rPr>
      </w:pPr>
      <w:r w:rsidRPr="002657D1">
        <w:rPr>
          <w:rFonts w:ascii="Times New Roman" w:hAnsi="Times New Roman" w:cs="Times New Roman"/>
          <w:bCs/>
          <w:color w:val="000000" w:themeColor="text1"/>
          <w:sz w:val="24"/>
          <w:szCs w:val="24"/>
        </w:rPr>
        <w:t>Single-crystal LiNi</w:t>
      </w:r>
      <w:r w:rsidRPr="002657D1">
        <w:rPr>
          <w:rFonts w:ascii="Times New Roman" w:hAnsi="Times New Roman" w:cs="Times New Roman"/>
          <w:bCs/>
          <w:color w:val="000000" w:themeColor="text1"/>
          <w:sz w:val="24"/>
          <w:szCs w:val="24"/>
          <w:vertAlign w:val="subscript"/>
        </w:rPr>
        <w:t>0.8</w:t>
      </w:r>
      <w:r w:rsidRPr="002657D1">
        <w:rPr>
          <w:rFonts w:ascii="Times New Roman" w:hAnsi="Times New Roman" w:cs="Times New Roman"/>
          <w:bCs/>
          <w:color w:val="000000" w:themeColor="text1"/>
          <w:sz w:val="24"/>
          <w:szCs w:val="24"/>
        </w:rPr>
        <w:t>Mn</w:t>
      </w:r>
      <w:r w:rsidRPr="002657D1">
        <w:rPr>
          <w:rFonts w:ascii="Times New Roman" w:hAnsi="Times New Roman" w:cs="Times New Roman"/>
          <w:bCs/>
          <w:color w:val="000000" w:themeColor="text1"/>
          <w:sz w:val="24"/>
          <w:szCs w:val="24"/>
          <w:vertAlign w:val="subscript"/>
        </w:rPr>
        <w:t>0.1</w:t>
      </w:r>
      <w:r w:rsidRPr="002657D1">
        <w:rPr>
          <w:rFonts w:ascii="Times New Roman" w:hAnsi="Times New Roman" w:cs="Times New Roman"/>
          <w:bCs/>
          <w:color w:val="000000" w:themeColor="text1"/>
          <w:sz w:val="24"/>
          <w:szCs w:val="24"/>
        </w:rPr>
        <w:t>Co</w:t>
      </w:r>
      <w:r w:rsidRPr="002657D1">
        <w:rPr>
          <w:rFonts w:ascii="Times New Roman" w:hAnsi="Times New Roman" w:cs="Times New Roman"/>
          <w:bCs/>
          <w:color w:val="000000" w:themeColor="text1"/>
          <w:sz w:val="24"/>
          <w:szCs w:val="24"/>
          <w:vertAlign w:val="subscript"/>
        </w:rPr>
        <w:t>0.1</w:t>
      </w:r>
      <w:r w:rsidRPr="002657D1">
        <w:rPr>
          <w:rFonts w:ascii="Times New Roman" w:hAnsi="Times New Roman" w:cs="Times New Roman"/>
          <w:bCs/>
          <w:color w:val="000000" w:themeColor="text1"/>
          <w:sz w:val="24"/>
          <w:szCs w:val="24"/>
        </w:rPr>
        <w:t>O</w:t>
      </w:r>
      <w:r w:rsidRPr="002657D1">
        <w:rPr>
          <w:rFonts w:ascii="Times New Roman" w:hAnsi="Times New Roman" w:cs="Times New Roman"/>
          <w:bCs/>
          <w:color w:val="000000" w:themeColor="text1"/>
          <w:sz w:val="24"/>
          <w:szCs w:val="24"/>
          <w:vertAlign w:val="subscript"/>
        </w:rPr>
        <w:t>2</w:t>
      </w:r>
      <w:r w:rsidRPr="002657D1">
        <w:rPr>
          <w:rFonts w:ascii="Times New Roman" w:hAnsi="Times New Roman" w:cs="Times New Roman"/>
          <w:bCs/>
          <w:color w:val="000000" w:themeColor="text1"/>
          <w:sz w:val="24"/>
          <w:szCs w:val="24"/>
        </w:rPr>
        <w:t xml:space="preserve"> (NCM811, Hefei </w:t>
      </w:r>
      <w:proofErr w:type="spellStart"/>
      <w:r w:rsidRPr="002657D1">
        <w:rPr>
          <w:rFonts w:ascii="Times New Roman" w:hAnsi="Times New Roman" w:cs="Times New Roman"/>
          <w:bCs/>
          <w:color w:val="000000" w:themeColor="text1"/>
          <w:sz w:val="24"/>
          <w:szCs w:val="24"/>
        </w:rPr>
        <w:t>Gotion</w:t>
      </w:r>
      <w:proofErr w:type="spellEnd"/>
      <w:r w:rsidRPr="002657D1">
        <w:rPr>
          <w:rFonts w:ascii="Times New Roman" w:hAnsi="Times New Roman" w:cs="Times New Roman"/>
          <w:bCs/>
          <w:color w:val="000000" w:themeColor="text1"/>
          <w:sz w:val="24"/>
          <w:szCs w:val="24"/>
        </w:rPr>
        <w:t xml:space="preserve"> High-Tech Co. Ltd.) was dried at 100 °C under vacuum for 12 h before use. For the cathode composite preparation, NCM811 (70 wt%), LZC-</w:t>
      </w:r>
      <w:r w:rsidRPr="002657D1">
        <w:rPr>
          <w:rFonts w:ascii="Times New Roman" w:hAnsi="Times New Roman" w:cs="Times New Roman" w:hint="eastAsia"/>
          <w:bCs/>
          <w:color w:val="000000" w:themeColor="text1"/>
          <w:sz w:val="24"/>
          <w:szCs w:val="24"/>
        </w:rPr>
        <w:t>10</w:t>
      </w:r>
      <w:r w:rsidRPr="002657D1">
        <w:rPr>
          <w:rFonts w:ascii="Times New Roman" w:hAnsi="Times New Roman" w:cs="Times New Roman"/>
          <w:bCs/>
          <w:color w:val="000000" w:themeColor="text1"/>
          <w:sz w:val="24"/>
          <w:szCs w:val="24"/>
        </w:rPr>
        <w:t>TF (2</w:t>
      </w:r>
      <w:r w:rsidRPr="002657D1">
        <w:rPr>
          <w:rFonts w:ascii="Times New Roman" w:hAnsi="Times New Roman" w:cs="Times New Roman" w:hint="eastAsia"/>
          <w:bCs/>
          <w:color w:val="000000" w:themeColor="text1"/>
          <w:sz w:val="24"/>
          <w:szCs w:val="24"/>
        </w:rPr>
        <w:t>8</w:t>
      </w:r>
      <w:r w:rsidRPr="002657D1">
        <w:rPr>
          <w:rFonts w:ascii="Times New Roman" w:hAnsi="Times New Roman" w:cs="Times New Roman"/>
          <w:bCs/>
          <w:color w:val="000000" w:themeColor="text1"/>
          <w:sz w:val="24"/>
          <w:szCs w:val="24"/>
        </w:rPr>
        <w:t xml:space="preserve"> wt%), and VGCF (</w:t>
      </w:r>
      <w:r w:rsidRPr="002657D1">
        <w:rPr>
          <w:rFonts w:ascii="Times New Roman" w:hAnsi="Times New Roman" w:cs="Times New Roman" w:hint="eastAsia"/>
          <w:bCs/>
          <w:color w:val="000000" w:themeColor="text1"/>
          <w:sz w:val="24"/>
          <w:szCs w:val="24"/>
        </w:rPr>
        <w:t>2</w:t>
      </w:r>
      <w:r w:rsidRPr="002657D1">
        <w:rPr>
          <w:rFonts w:ascii="Times New Roman" w:hAnsi="Times New Roman" w:cs="Times New Roman"/>
          <w:bCs/>
          <w:color w:val="000000" w:themeColor="text1"/>
          <w:sz w:val="24"/>
          <w:szCs w:val="24"/>
        </w:rPr>
        <w:t xml:space="preserve"> wt%) were mixed using a vortex mixer (Haimen Kylin-Bell Lab Instruments, QL-866) at 1500 rpm for 20 min. The assembly of </w:t>
      </w:r>
      <w:r w:rsidRPr="002657D1">
        <w:rPr>
          <w:rFonts w:ascii="Times New Roman" w:hAnsi="Times New Roman" w:cs="Times New Roman" w:hint="eastAsia"/>
          <w:color w:val="000000" w:themeColor="text1"/>
          <w:sz w:val="24"/>
          <w:szCs w:val="24"/>
        </w:rPr>
        <w:t>a</w:t>
      </w:r>
      <w:r w:rsidRPr="002657D1">
        <w:rPr>
          <w:rFonts w:ascii="Times New Roman" w:hAnsi="Times New Roman" w:cs="Times New Roman"/>
          <w:color w:val="000000" w:themeColor="text1"/>
          <w:sz w:val="24"/>
          <w:szCs w:val="24"/>
        </w:rPr>
        <w:t xml:space="preserve">ll-solid-state </w:t>
      </w:r>
      <w:r w:rsidRPr="002657D1">
        <w:rPr>
          <w:rFonts w:ascii="Times New Roman" w:hAnsi="Times New Roman" w:cs="Times New Roman" w:hint="eastAsia"/>
          <w:color w:val="000000" w:themeColor="text1"/>
          <w:sz w:val="24"/>
          <w:szCs w:val="24"/>
        </w:rPr>
        <w:t>Li</w:t>
      </w:r>
      <w:r w:rsidRPr="002657D1">
        <w:rPr>
          <w:rFonts w:ascii="Times New Roman" w:hAnsi="Times New Roman" w:cs="Times New Roman"/>
          <w:color w:val="000000" w:themeColor="text1"/>
          <w:sz w:val="24"/>
          <w:szCs w:val="24"/>
        </w:rPr>
        <w:t xml:space="preserve"> metal batteries (ASSLMBs)</w:t>
      </w:r>
      <w:r w:rsidRPr="002657D1">
        <w:rPr>
          <w:rFonts w:ascii="Times New Roman" w:hAnsi="Times New Roman" w:cs="Times New Roman"/>
          <w:bCs/>
          <w:color w:val="000000" w:themeColor="text1"/>
          <w:sz w:val="24"/>
          <w:szCs w:val="24"/>
        </w:rPr>
        <w:t xml:space="preserve"> followed this procedure: 80 mg of LZC-</w:t>
      </w:r>
      <w:r w:rsidR="00157A8C" w:rsidRPr="002657D1">
        <w:rPr>
          <w:rFonts w:ascii="Times New Roman" w:hAnsi="Times New Roman" w:cs="Times New Roman" w:hint="eastAsia"/>
          <w:bCs/>
          <w:color w:val="000000" w:themeColor="text1"/>
          <w:sz w:val="24"/>
          <w:szCs w:val="24"/>
        </w:rPr>
        <w:t>10</w:t>
      </w:r>
      <w:r w:rsidRPr="002657D1">
        <w:rPr>
          <w:rFonts w:ascii="Times New Roman" w:hAnsi="Times New Roman" w:cs="Times New Roman"/>
          <w:bCs/>
          <w:color w:val="000000" w:themeColor="text1"/>
          <w:sz w:val="24"/>
          <w:szCs w:val="24"/>
        </w:rPr>
        <w:t>TF powder was placed in a polytetrafluoroethylene (PTFE) tube (10 mm inner diameter) and compacted at 300 MPa. Composite cathode powders were then spread on one side of the LZC-</w:t>
      </w:r>
      <w:r w:rsidRPr="002657D1">
        <w:rPr>
          <w:rFonts w:ascii="Times New Roman" w:hAnsi="Times New Roman" w:cs="Times New Roman" w:hint="eastAsia"/>
          <w:bCs/>
          <w:color w:val="000000" w:themeColor="text1"/>
          <w:sz w:val="24"/>
          <w:szCs w:val="24"/>
        </w:rPr>
        <w:t>10</w:t>
      </w:r>
      <w:r w:rsidRPr="002657D1">
        <w:rPr>
          <w:rFonts w:ascii="Times New Roman" w:hAnsi="Times New Roman" w:cs="Times New Roman"/>
          <w:bCs/>
          <w:color w:val="000000" w:themeColor="text1"/>
          <w:sz w:val="24"/>
          <w:szCs w:val="24"/>
        </w:rPr>
        <w:t xml:space="preserve">TF </w:t>
      </w:r>
      <w:r w:rsidRPr="002657D1">
        <w:rPr>
          <w:rFonts w:ascii="Times New Roman" w:hAnsi="Times New Roman" w:cs="Times New Roman" w:hint="eastAsia"/>
          <w:bCs/>
          <w:color w:val="000000" w:themeColor="text1"/>
          <w:sz w:val="24"/>
          <w:szCs w:val="24"/>
        </w:rPr>
        <w:t>pellet</w:t>
      </w:r>
      <w:r w:rsidRPr="002657D1">
        <w:rPr>
          <w:rFonts w:ascii="Times New Roman" w:hAnsi="Times New Roman" w:cs="Times New Roman"/>
          <w:bCs/>
          <w:color w:val="000000" w:themeColor="text1"/>
          <w:sz w:val="24"/>
          <w:szCs w:val="24"/>
        </w:rPr>
        <w:t xml:space="preserve"> and compressed at 400 MPa. A fresh Li metal foil (Φ </w:t>
      </w:r>
      <w:r w:rsidRPr="002657D1">
        <w:rPr>
          <w:rFonts w:ascii="Times New Roman" w:hAnsi="Times New Roman" w:cs="Times New Roman" w:hint="eastAsia"/>
          <w:bCs/>
          <w:color w:val="000000" w:themeColor="text1"/>
          <w:sz w:val="24"/>
          <w:szCs w:val="24"/>
        </w:rPr>
        <w:t>10</w:t>
      </w:r>
      <w:r w:rsidRPr="002657D1">
        <w:rPr>
          <w:rFonts w:ascii="Times New Roman" w:hAnsi="Times New Roman" w:cs="Times New Roman"/>
          <w:bCs/>
          <w:color w:val="000000" w:themeColor="text1"/>
          <w:sz w:val="24"/>
          <w:szCs w:val="24"/>
        </w:rPr>
        <w:t xml:space="preserve"> mm, thickness ~100 </w:t>
      </w:r>
      <w:proofErr w:type="spellStart"/>
      <w:r w:rsidRPr="002657D1">
        <w:rPr>
          <w:rFonts w:ascii="Times New Roman" w:hAnsi="Times New Roman" w:cs="Times New Roman"/>
          <w:bCs/>
          <w:color w:val="000000" w:themeColor="text1"/>
          <w:sz w:val="24"/>
          <w:szCs w:val="24"/>
        </w:rPr>
        <w:t>μm</w:t>
      </w:r>
      <w:proofErr w:type="spellEnd"/>
      <w:r w:rsidRPr="002657D1">
        <w:rPr>
          <w:rFonts w:ascii="Times New Roman" w:hAnsi="Times New Roman" w:cs="Times New Roman"/>
          <w:bCs/>
          <w:color w:val="000000" w:themeColor="text1"/>
          <w:sz w:val="24"/>
          <w:szCs w:val="24"/>
        </w:rPr>
        <w:t>) adhered to an SS spacer was placed on the opposite side of the LZC-</w:t>
      </w:r>
      <w:r w:rsidRPr="002657D1">
        <w:rPr>
          <w:rFonts w:ascii="Times New Roman" w:hAnsi="Times New Roman" w:cs="Times New Roman" w:hint="eastAsia"/>
          <w:bCs/>
          <w:color w:val="000000" w:themeColor="text1"/>
          <w:sz w:val="24"/>
          <w:szCs w:val="24"/>
        </w:rPr>
        <w:t>10</w:t>
      </w:r>
      <w:r w:rsidRPr="002657D1">
        <w:rPr>
          <w:rFonts w:ascii="Times New Roman" w:hAnsi="Times New Roman" w:cs="Times New Roman"/>
          <w:bCs/>
          <w:color w:val="000000" w:themeColor="text1"/>
          <w:sz w:val="24"/>
          <w:szCs w:val="24"/>
        </w:rPr>
        <w:t>TF pellet, completing the NCM811/LZC-</w:t>
      </w:r>
      <w:r w:rsidRPr="002657D1">
        <w:rPr>
          <w:rFonts w:ascii="Times New Roman" w:hAnsi="Times New Roman" w:cs="Times New Roman" w:hint="eastAsia"/>
          <w:bCs/>
          <w:color w:val="000000" w:themeColor="text1"/>
          <w:sz w:val="24"/>
          <w:szCs w:val="24"/>
        </w:rPr>
        <w:t>10</w:t>
      </w:r>
      <w:r w:rsidRPr="002657D1">
        <w:rPr>
          <w:rFonts w:ascii="Times New Roman" w:hAnsi="Times New Roman" w:cs="Times New Roman"/>
          <w:bCs/>
          <w:color w:val="000000" w:themeColor="text1"/>
          <w:sz w:val="24"/>
          <w:szCs w:val="24"/>
        </w:rPr>
        <w:t xml:space="preserve">TF/Li </w:t>
      </w:r>
      <w:r w:rsidRPr="002657D1">
        <w:rPr>
          <w:rFonts w:ascii="Times New Roman" w:hAnsi="Times New Roman" w:cs="Times New Roman"/>
          <w:bCs/>
          <w:color w:val="000000" w:themeColor="text1"/>
          <w:sz w:val="24"/>
          <w:szCs w:val="24"/>
        </w:rPr>
        <w:lastRenderedPageBreak/>
        <w:t xml:space="preserve">full cell assembly. A </w:t>
      </w:r>
      <w:r w:rsidRPr="002657D1">
        <w:rPr>
          <w:rFonts w:ascii="Times New Roman" w:hAnsi="Times New Roman" w:cs="Times New Roman" w:hint="eastAsia"/>
          <w:bCs/>
          <w:color w:val="000000" w:themeColor="text1"/>
          <w:sz w:val="24"/>
          <w:szCs w:val="24"/>
        </w:rPr>
        <w:t>40 MPa pressure was externally applied throughout cycling to ma</w:t>
      </w:r>
      <w:r w:rsidRPr="002657D1">
        <w:rPr>
          <w:rFonts w:ascii="Times New Roman" w:hAnsi="Times New Roman" w:cs="Times New Roman"/>
          <w:bCs/>
          <w:color w:val="000000" w:themeColor="text1"/>
          <w:sz w:val="24"/>
          <w:szCs w:val="24"/>
        </w:rPr>
        <w:t>in</w:t>
      </w:r>
      <w:r w:rsidRPr="002657D1">
        <w:rPr>
          <w:rFonts w:ascii="Times New Roman" w:hAnsi="Times New Roman" w:cs="Times New Roman" w:hint="eastAsia"/>
          <w:bCs/>
          <w:color w:val="000000" w:themeColor="text1"/>
          <w:sz w:val="24"/>
          <w:szCs w:val="24"/>
        </w:rPr>
        <w:t xml:space="preserve">tain optimal interfacial contact. </w:t>
      </w:r>
      <w:r w:rsidRPr="002657D1">
        <w:rPr>
          <w:rFonts w:ascii="Times New Roman" w:hAnsi="Times New Roman" w:cs="Times New Roman"/>
          <w:bCs/>
          <w:color w:val="000000" w:themeColor="text1"/>
          <w:sz w:val="24"/>
          <w:szCs w:val="24"/>
        </w:rPr>
        <w:t>Galvanostatic charge/discharge cycling was conducted within a voltage range of 2.8-4.3 V</w:t>
      </w:r>
      <w:r w:rsidRPr="002657D1">
        <w:rPr>
          <w:rFonts w:ascii="Times New Roman" w:hAnsi="Times New Roman" w:cs="Times New Roman" w:hint="eastAsia"/>
          <w:bCs/>
          <w:color w:val="000000" w:themeColor="text1"/>
          <w:sz w:val="24"/>
          <w:szCs w:val="24"/>
        </w:rPr>
        <w:t xml:space="preserve"> (vs. Li/Li</w:t>
      </w:r>
      <w:r w:rsidRPr="002657D1">
        <w:rPr>
          <w:rFonts w:ascii="Times New Roman" w:hAnsi="Times New Roman" w:cs="Times New Roman" w:hint="eastAsia"/>
          <w:bCs/>
          <w:color w:val="000000" w:themeColor="text1"/>
          <w:sz w:val="24"/>
          <w:szCs w:val="24"/>
          <w:vertAlign w:val="superscript"/>
        </w:rPr>
        <w:t>+</w:t>
      </w:r>
      <w:r w:rsidRPr="002657D1">
        <w:rPr>
          <w:rFonts w:ascii="Times New Roman" w:hAnsi="Times New Roman" w:cs="Times New Roman" w:hint="eastAsia"/>
          <w:bCs/>
          <w:color w:val="000000" w:themeColor="text1"/>
          <w:sz w:val="24"/>
          <w:szCs w:val="24"/>
        </w:rPr>
        <w:t xml:space="preserve">) for the NCM811 cell (1 C = 180 </w:t>
      </w:r>
      <w:r w:rsidRPr="002657D1">
        <w:rPr>
          <w:rFonts w:ascii="Times New Roman" w:hAnsi="Times New Roman" w:cs="Times New Roman"/>
          <w:color w:val="000000" w:themeColor="text1"/>
          <w:sz w:val="24"/>
          <w:szCs w:val="24"/>
        </w:rPr>
        <w:t>mA</w:t>
      </w:r>
      <w:r w:rsidRPr="002657D1">
        <w:rPr>
          <w:rFonts w:ascii="Times New Roman" w:hAnsi="Times New Roman" w:cs="Times New Roman" w:hint="eastAsia"/>
          <w:color w:val="000000" w:themeColor="text1"/>
          <w:sz w:val="24"/>
          <w:szCs w:val="24"/>
        </w:rPr>
        <w:t xml:space="preserve"> </w:t>
      </w:r>
      <w:r w:rsidRPr="002657D1">
        <w:rPr>
          <w:rFonts w:ascii="Times New Roman" w:hAnsi="Times New Roman" w:cs="Times New Roman"/>
          <w:color w:val="000000" w:themeColor="text1"/>
          <w:sz w:val="24"/>
          <w:szCs w:val="24"/>
        </w:rPr>
        <w:t>g⁻</w:t>
      </w:r>
      <w:r w:rsidRPr="002657D1">
        <w:rPr>
          <w:rFonts w:ascii="Times New Roman" w:hAnsi="Times New Roman" w:cs="Times New Roman"/>
          <w:color w:val="000000" w:themeColor="text1"/>
          <w:sz w:val="24"/>
          <w:szCs w:val="24"/>
          <w:vertAlign w:val="superscript"/>
        </w:rPr>
        <w:t>1</w:t>
      </w:r>
      <w:r w:rsidRPr="002657D1">
        <w:rPr>
          <w:rFonts w:ascii="Times New Roman" w:hAnsi="Times New Roman" w:cs="Times New Roman" w:hint="eastAsia"/>
          <w:bCs/>
          <w:color w:val="000000" w:themeColor="text1"/>
          <w:sz w:val="24"/>
          <w:szCs w:val="24"/>
        </w:rPr>
        <w:t>)</w:t>
      </w:r>
      <w:r w:rsidRPr="002657D1">
        <w:rPr>
          <w:rFonts w:ascii="Times New Roman" w:hAnsi="Times New Roman" w:cs="Times New Roman"/>
          <w:bCs/>
          <w:color w:val="000000" w:themeColor="text1"/>
          <w:sz w:val="24"/>
          <w:szCs w:val="24"/>
        </w:rPr>
        <w:t>. All cell assembly and evaluations were carried out in an argon-filled glovebox (H</w:t>
      </w:r>
      <w:r w:rsidRPr="002657D1">
        <w:rPr>
          <w:rFonts w:ascii="Times New Roman" w:hAnsi="Times New Roman" w:cs="Times New Roman"/>
          <w:bCs/>
          <w:color w:val="000000" w:themeColor="text1"/>
          <w:sz w:val="24"/>
          <w:szCs w:val="24"/>
          <w:vertAlign w:val="subscript"/>
        </w:rPr>
        <w:t>2</w:t>
      </w:r>
      <w:r w:rsidRPr="002657D1">
        <w:rPr>
          <w:rFonts w:ascii="Times New Roman" w:hAnsi="Times New Roman" w:cs="Times New Roman"/>
          <w:bCs/>
          <w:color w:val="000000" w:themeColor="text1"/>
          <w:sz w:val="24"/>
          <w:szCs w:val="24"/>
        </w:rPr>
        <w:t>O &lt; 0.1 ppm, O</w:t>
      </w:r>
      <w:r w:rsidRPr="002657D1">
        <w:rPr>
          <w:rFonts w:ascii="Times New Roman" w:hAnsi="Times New Roman" w:cs="Times New Roman"/>
          <w:bCs/>
          <w:color w:val="000000" w:themeColor="text1"/>
          <w:sz w:val="24"/>
          <w:szCs w:val="24"/>
          <w:vertAlign w:val="subscript"/>
        </w:rPr>
        <w:t>2</w:t>
      </w:r>
      <w:r w:rsidRPr="002657D1">
        <w:rPr>
          <w:rFonts w:ascii="Times New Roman" w:hAnsi="Times New Roman" w:cs="Times New Roman"/>
          <w:bCs/>
          <w:color w:val="000000" w:themeColor="text1"/>
          <w:sz w:val="24"/>
          <w:szCs w:val="24"/>
        </w:rPr>
        <w:t xml:space="preserve"> &lt; 0.1 ppm), with testing performed at 25</w:t>
      </w:r>
      <w:r w:rsidR="009F1053" w:rsidRPr="002657D1">
        <w:rPr>
          <w:rFonts w:ascii="Times New Roman" w:hAnsi="Times New Roman" w:cs="Times New Roman" w:hint="eastAsia"/>
          <w:bCs/>
          <w:color w:val="000000" w:themeColor="text1"/>
          <w:sz w:val="24"/>
          <w:szCs w:val="24"/>
        </w:rPr>
        <w:t xml:space="preserve"> </w:t>
      </w:r>
      <w:r w:rsidRPr="002657D1">
        <w:rPr>
          <w:rFonts w:ascii="Times New Roman" w:hAnsi="Times New Roman" w:cs="Times New Roman"/>
          <w:bCs/>
          <w:color w:val="000000" w:themeColor="text1"/>
          <w:sz w:val="24"/>
          <w:szCs w:val="24"/>
        </w:rPr>
        <w:t xml:space="preserve">°C using a LAND CT2001A system (Wuhan </w:t>
      </w:r>
      <w:proofErr w:type="spellStart"/>
      <w:r w:rsidRPr="002657D1">
        <w:rPr>
          <w:rFonts w:ascii="Times New Roman" w:hAnsi="Times New Roman" w:cs="Times New Roman"/>
          <w:bCs/>
          <w:color w:val="000000" w:themeColor="text1"/>
          <w:sz w:val="24"/>
          <w:szCs w:val="24"/>
        </w:rPr>
        <w:t>Jinnuo</w:t>
      </w:r>
      <w:proofErr w:type="spellEnd"/>
      <w:r w:rsidRPr="002657D1">
        <w:rPr>
          <w:rFonts w:ascii="Times New Roman" w:hAnsi="Times New Roman" w:cs="Times New Roman"/>
          <w:bCs/>
          <w:color w:val="000000" w:themeColor="text1"/>
          <w:sz w:val="24"/>
          <w:szCs w:val="24"/>
        </w:rPr>
        <w:t xml:space="preserve"> Electronics, Ltd.).</w:t>
      </w:r>
    </w:p>
    <w:p w14:paraId="6535C720" w14:textId="575624E7" w:rsidR="004513A7" w:rsidRPr="002657D1" w:rsidRDefault="00CD3D3D" w:rsidP="00946A9F">
      <w:pPr>
        <w:spacing w:before="120" w:afterLines="50" w:after="156" w:line="360" w:lineRule="auto"/>
        <w:outlineLvl w:val="1"/>
        <w:rPr>
          <w:rFonts w:ascii="Calibri" w:hAnsi="Calibri" w:cs="Calibri"/>
          <w:b/>
          <w:bCs/>
          <w:color w:val="000000" w:themeColor="text1"/>
          <w:sz w:val="24"/>
          <w:szCs w:val="24"/>
        </w:rPr>
      </w:pPr>
      <w:bookmarkStart w:id="41" w:name="_Toc206419553"/>
      <w:bookmarkStart w:id="42" w:name="_Toc206419603"/>
      <w:bookmarkStart w:id="43" w:name="_Toc217638246"/>
      <w:r w:rsidRPr="002657D1">
        <w:rPr>
          <w:rFonts w:ascii="Calibri" w:hAnsi="Calibri" w:cs="Calibri" w:hint="eastAsia"/>
          <w:b/>
          <w:bCs/>
          <w:color w:val="000000" w:themeColor="text1"/>
          <w:sz w:val="24"/>
          <w:szCs w:val="24"/>
        </w:rPr>
        <w:t xml:space="preserve">1.5 </w:t>
      </w:r>
      <w:r w:rsidR="004513A7" w:rsidRPr="002657D1">
        <w:rPr>
          <w:rFonts w:ascii="Calibri" w:hAnsi="Calibri" w:cs="Calibri" w:hint="eastAsia"/>
          <w:b/>
          <w:bCs/>
          <w:color w:val="000000" w:themeColor="text1"/>
          <w:sz w:val="24"/>
          <w:szCs w:val="24"/>
        </w:rPr>
        <w:t>Pouch-type ASSLMBs assembly and measurements</w:t>
      </w:r>
      <w:bookmarkEnd w:id="41"/>
      <w:bookmarkEnd w:id="42"/>
      <w:bookmarkEnd w:id="43"/>
    </w:p>
    <w:p w14:paraId="6BC2B98F" w14:textId="01422A15" w:rsidR="0065352F" w:rsidRPr="002657D1" w:rsidRDefault="0065352F" w:rsidP="0065352F">
      <w:pPr>
        <w:spacing w:line="360" w:lineRule="auto"/>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 xml:space="preserve">Pouch cell preparation procedures were conducted in an </w:t>
      </w:r>
      <w:proofErr w:type="spellStart"/>
      <w:r w:rsidRPr="002657D1">
        <w:rPr>
          <w:rFonts w:ascii="Times New Roman" w:hAnsi="Times New Roman" w:cs="Times New Roman"/>
          <w:color w:val="000000" w:themeColor="text1"/>
          <w:sz w:val="24"/>
          <w:szCs w:val="24"/>
        </w:rPr>
        <w:t>Ar</w:t>
      </w:r>
      <w:proofErr w:type="spellEnd"/>
      <w:r w:rsidRPr="002657D1">
        <w:rPr>
          <w:rFonts w:ascii="Times New Roman" w:hAnsi="Times New Roman" w:cs="Times New Roman"/>
          <w:color w:val="000000" w:themeColor="text1"/>
          <w:sz w:val="24"/>
          <w:szCs w:val="24"/>
        </w:rPr>
        <w:t xml:space="preserve">-filled glovebox. Dry-film processing methods were used to fabricate NCM811 cathode and LZC-10TF electrolyte films. Mechanical mixing combined 99.5 wt% </w:t>
      </w:r>
      <w:r w:rsidR="00692E7A" w:rsidRPr="002657D1">
        <w:rPr>
          <w:rFonts w:ascii="Times New Roman" w:hAnsi="Times New Roman" w:cs="Times New Roman" w:hint="eastAsia"/>
          <w:color w:val="000000" w:themeColor="text1"/>
          <w:sz w:val="24"/>
          <w:szCs w:val="24"/>
        </w:rPr>
        <w:t>H</w:t>
      </w:r>
      <w:r w:rsidRPr="002657D1">
        <w:rPr>
          <w:rFonts w:ascii="Times New Roman" w:hAnsi="Times New Roman" w:cs="Times New Roman"/>
          <w:color w:val="000000" w:themeColor="text1"/>
          <w:sz w:val="24"/>
          <w:szCs w:val="24"/>
        </w:rPr>
        <w:t>SEs (or cathode composites in ‘</w:t>
      </w:r>
      <w:r w:rsidR="004820FF" w:rsidRPr="002657D1">
        <w:rPr>
          <w:rFonts w:ascii="Times New Roman" w:hAnsi="Times New Roman" w:cs="Times New Roman" w:hint="eastAsia"/>
          <w:color w:val="000000" w:themeColor="text1"/>
          <w:sz w:val="24"/>
          <w:szCs w:val="24"/>
        </w:rPr>
        <w:t>Mold-type</w:t>
      </w:r>
      <w:r w:rsidRPr="002657D1">
        <w:rPr>
          <w:rFonts w:ascii="Times New Roman" w:hAnsi="Times New Roman" w:cs="Times New Roman"/>
          <w:color w:val="000000" w:themeColor="text1"/>
          <w:sz w:val="24"/>
          <w:szCs w:val="24"/>
        </w:rPr>
        <w:t xml:space="preserve"> ASSLMBs assembly and measurements’ section) with 0.5 wt% PTFE in an agate mortar at 80</w:t>
      </w:r>
      <w:r w:rsidR="009F1053" w:rsidRPr="002657D1">
        <w:rPr>
          <w:rFonts w:ascii="Times New Roman" w:hAnsi="Times New Roman" w:cs="Times New Roman" w:hint="eastAsia"/>
          <w:color w:val="000000" w:themeColor="text1"/>
          <w:sz w:val="24"/>
          <w:szCs w:val="24"/>
        </w:rPr>
        <w:t xml:space="preserve"> </w:t>
      </w:r>
      <w:r w:rsidRPr="002657D1">
        <w:rPr>
          <w:rFonts w:ascii="Times New Roman" w:hAnsi="Times New Roman" w:cs="Times New Roman"/>
          <w:color w:val="000000" w:themeColor="text1"/>
          <w:sz w:val="24"/>
          <w:szCs w:val="24"/>
        </w:rPr>
        <w:t>°C until forming a cohesive dough. Then, the dough was sandwiched between preheated (100</w:t>
      </w:r>
      <w:r w:rsidR="009F1053" w:rsidRPr="002657D1">
        <w:rPr>
          <w:rFonts w:ascii="Times New Roman" w:hAnsi="Times New Roman" w:cs="Times New Roman" w:hint="eastAsia"/>
          <w:color w:val="000000" w:themeColor="text1"/>
          <w:sz w:val="24"/>
          <w:szCs w:val="24"/>
        </w:rPr>
        <w:t xml:space="preserve"> </w:t>
      </w:r>
      <w:r w:rsidRPr="002657D1">
        <w:rPr>
          <w:rFonts w:ascii="Times New Roman" w:hAnsi="Times New Roman" w:cs="Times New Roman"/>
          <w:color w:val="000000" w:themeColor="text1"/>
          <w:sz w:val="24"/>
          <w:szCs w:val="24"/>
        </w:rPr>
        <w:t xml:space="preserve">°C) SS foils and </w:t>
      </w:r>
      <w:proofErr w:type="spellStart"/>
      <w:r w:rsidRPr="002657D1">
        <w:rPr>
          <w:rFonts w:ascii="Times New Roman" w:hAnsi="Times New Roman" w:cs="Times New Roman"/>
          <w:color w:val="000000" w:themeColor="text1"/>
          <w:sz w:val="24"/>
          <w:szCs w:val="24"/>
        </w:rPr>
        <w:t>calendered</w:t>
      </w:r>
      <w:proofErr w:type="spellEnd"/>
      <w:r w:rsidRPr="002657D1">
        <w:rPr>
          <w:rFonts w:ascii="Times New Roman" w:hAnsi="Times New Roman" w:cs="Times New Roman"/>
          <w:color w:val="000000" w:themeColor="text1"/>
          <w:sz w:val="24"/>
          <w:szCs w:val="24"/>
        </w:rPr>
        <w:t xml:space="preserve"> to the target thickness, then tailored for cell assembly. Finally, NCM811 film, </w:t>
      </w:r>
      <w:bookmarkStart w:id="44" w:name="OLE_LINK2"/>
      <w:r w:rsidRPr="002657D1">
        <w:rPr>
          <w:rFonts w:ascii="Times New Roman" w:hAnsi="Times New Roman" w:cs="Times New Roman"/>
          <w:color w:val="000000" w:themeColor="text1"/>
          <w:sz w:val="24"/>
          <w:szCs w:val="24"/>
        </w:rPr>
        <w:t>LZC-10TF</w:t>
      </w:r>
      <w:bookmarkEnd w:id="44"/>
      <w:r w:rsidRPr="002657D1">
        <w:rPr>
          <w:rFonts w:ascii="Times New Roman" w:hAnsi="Times New Roman" w:cs="Times New Roman"/>
          <w:color w:val="000000" w:themeColor="text1"/>
          <w:sz w:val="24"/>
          <w:szCs w:val="24"/>
        </w:rPr>
        <w:t xml:space="preserve"> film, and Li foil were stacked together to form pouch-type cells, sealed with aluminum bags under vacuum. An external pressure of 40 MPa was applied to the pouch cells during cycling at 25</w:t>
      </w:r>
      <w:r w:rsidR="009F1053" w:rsidRPr="002657D1">
        <w:rPr>
          <w:rFonts w:ascii="Times New Roman" w:hAnsi="Times New Roman" w:cs="Times New Roman" w:hint="eastAsia"/>
          <w:color w:val="000000" w:themeColor="text1"/>
          <w:sz w:val="24"/>
          <w:szCs w:val="24"/>
        </w:rPr>
        <w:t xml:space="preserve"> </w:t>
      </w:r>
      <w:r w:rsidRPr="002657D1">
        <w:rPr>
          <w:rFonts w:ascii="Times New Roman" w:hAnsi="Times New Roman" w:cs="Times New Roman"/>
          <w:color w:val="000000" w:themeColor="text1"/>
          <w:sz w:val="24"/>
          <w:szCs w:val="24"/>
        </w:rPr>
        <w:t>°C to ensure stable interfacial contact across the cathode, SSE, and Li foil layers.</w:t>
      </w:r>
    </w:p>
    <w:p w14:paraId="3385D2C4" w14:textId="17C56F24" w:rsidR="004513A7" w:rsidRPr="002657D1" w:rsidRDefault="00CD3D3D" w:rsidP="00946A9F">
      <w:pPr>
        <w:spacing w:before="120" w:afterLines="50" w:after="156" w:line="360" w:lineRule="auto"/>
        <w:outlineLvl w:val="1"/>
        <w:rPr>
          <w:rFonts w:ascii="Calibri" w:hAnsi="Calibri" w:cs="Calibri"/>
          <w:b/>
          <w:bCs/>
          <w:color w:val="000000" w:themeColor="text1"/>
          <w:sz w:val="24"/>
          <w:szCs w:val="24"/>
        </w:rPr>
      </w:pPr>
      <w:bookmarkStart w:id="45" w:name="_Toc206419554"/>
      <w:bookmarkStart w:id="46" w:name="_Toc206419604"/>
      <w:bookmarkStart w:id="47" w:name="_Toc217638247"/>
      <w:r w:rsidRPr="002657D1">
        <w:rPr>
          <w:rFonts w:ascii="Calibri" w:hAnsi="Calibri" w:cs="Calibri" w:hint="eastAsia"/>
          <w:b/>
          <w:bCs/>
          <w:color w:val="000000" w:themeColor="text1"/>
          <w:sz w:val="24"/>
          <w:szCs w:val="24"/>
        </w:rPr>
        <w:t xml:space="preserve">1.6 </w:t>
      </w:r>
      <w:r w:rsidR="004513A7" w:rsidRPr="002657D1">
        <w:rPr>
          <w:rFonts w:ascii="Calibri" w:hAnsi="Calibri" w:cs="Calibri"/>
          <w:b/>
          <w:bCs/>
          <w:color w:val="000000" w:themeColor="text1"/>
          <w:sz w:val="24"/>
          <w:szCs w:val="24"/>
        </w:rPr>
        <w:t>Humidity tolerance test</w:t>
      </w:r>
      <w:bookmarkEnd w:id="45"/>
      <w:bookmarkEnd w:id="46"/>
      <w:bookmarkEnd w:id="47"/>
    </w:p>
    <w:p w14:paraId="2FF371CF" w14:textId="77777777" w:rsidR="004513A7" w:rsidRPr="002657D1" w:rsidRDefault="004513A7" w:rsidP="0065352F">
      <w:pPr>
        <w:spacing w:before="120" w:afterLines="50" w:after="156" w:line="360" w:lineRule="auto"/>
        <w:rPr>
          <w:rFonts w:ascii="Times New Roman" w:hAnsi="Times New Roman" w:cs="Times New Roman"/>
          <w:bCs/>
          <w:color w:val="000000" w:themeColor="text1"/>
          <w:sz w:val="24"/>
          <w:szCs w:val="24"/>
        </w:rPr>
      </w:pPr>
      <w:r w:rsidRPr="002657D1">
        <w:rPr>
          <w:rFonts w:ascii="Times New Roman" w:hAnsi="Times New Roman" w:cs="Times New Roman" w:hint="eastAsia"/>
          <w:color w:val="000000" w:themeColor="text1"/>
          <w:sz w:val="24"/>
          <w:szCs w:val="24"/>
        </w:rPr>
        <w:t xml:space="preserve">HSE </w:t>
      </w:r>
      <w:r w:rsidRPr="002657D1">
        <w:rPr>
          <w:rFonts w:ascii="Times New Roman" w:hAnsi="Times New Roman" w:cs="Times New Roman" w:hint="eastAsia"/>
          <w:bCs/>
          <w:color w:val="000000" w:themeColor="text1"/>
          <w:sz w:val="24"/>
          <w:szCs w:val="24"/>
        </w:rPr>
        <w:t>pellets (150 mg) were placed in a sealed vessel (3600 cm</w:t>
      </w:r>
      <w:r w:rsidRPr="002657D1">
        <w:rPr>
          <w:rFonts w:ascii="Times New Roman" w:hAnsi="Times New Roman" w:cs="Times New Roman" w:hint="eastAsia"/>
          <w:bCs/>
          <w:color w:val="000000" w:themeColor="text1"/>
          <w:sz w:val="24"/>
          <w:szCs w:val="24"/>
          <w:vertAlign w:val="superscript"/>
        </w:rPr>
        <w:t>3</w:t>
      </w:r>
      <w:r w:rsidRPr="002657D1">
        <w:rPr>
          <w:rFonts w:ascii="Times New Roman" w:hAnsi="Times New Roman" w:cs="Times New Roman" w:hint="eastAsia"/>
          <w:bCs/>
          <w:color w:val="000000" w:themeColor="text1"/>
          <w:sz w:val="24"/>
          <w:szCs w:val="24"/>
        </w:rPr>
        <w:t>) containing air at various relative humidities. Following exposure, the humidity tolerance of the samples was assessed through XRD, EIS, XPS, and XAS analyses.</w:t>
      </w:r>
    </w:p>
    <w:p w14:paraId="476F0DC3" w14:textId="77777777" w:rsidR="008048A4" w:rsidRPr="002657D1" w:rsidRDefault="008048A4" w:rsidP="00946A9F">
      <w:pPr>
        <w:spacing w:before="120" w:afterLines="50" w:after="156" w:line="360" w:lineRule="auto"/>
        <w:outlineLvl w:val="1"/>
        <w:rPr>
          <w:rFonts w:ascii="Calibri" w:hAnsi="Calibri" w:cs="Calibri"/>
          <w:b/>
          <w:bCs/>
          <w:color w:val="000000" w:themeColor="text1"/>
          <w:sz w:val="24"/>
          <w:szCs w:val="24"/>
        </w:rPr>
      </w:pPr>
      <w:bookmarkStart w:id="48" w:name="_Toc217638248"/>
      <w:bookmarkStart w:id="49" w:name="_Toc206419556"/>
      <w:bookmarkStart w:id="50" w:name="_Toc206419606"/>
      <w:r w:rsidRPr="002657D1">
        <w:rPr>
          <w:rFonts w:ascii="Calibri" w:hAnsi="Calibri" w:cs="Calibri" w:hint="eastAsia"/>
          <w:b/>
          <w:bCs/>
          <w:color w:val="000000" w:themeColor="text1"/>
          <w:sz w:val="24"/>
          <w:szCs w:val="24"/>
        </w:rPr>
        <w:t xml:space="preserve">1.7 </w:t>
      </w:r>
      <w:r w:rsidRPr="002657D1">
        <w:rPr>
          <w:rFonts w:ascii="Calibri" w:hAnsi="Calibri" w:cs="Calibri"/>
          <w:b/>
          <w:bCs/>
          <w:color w:val="000000" w:themeColor="text1"/>
          <w:sz w:val="24"/>
          <w:szCs w:val="24"/>
        </w:rPr>
        <w:t>Density functional theory calculations</w:t>
      </w:r>
      <w:bookmarkEnd w:id="48"/>
      <w:r w:rsidRPr="002657D1">
        <w:rPr>
          <w:rFonts w:ascii="Calibri" w:hAnsi="Calibri" w:cs="Calibri" w:hint="eastAsia"/>
          <w:b/>
          <w:bCs/>
          <w:color w:val="000000" w:themeColor="text1"/>
          <w:sz w:val="24"/>
          <w:szCs w:val="24"/>
        </w:rPr>
        <w:t xml:space="preserve"> </w:t>
      </w:r>
    </w:p>
    <w:p w14:paraId="0A6FC5EA" w14:textId="77777777" w:rsidR="008048A4" w:rsidRPr="002657D1" w:rsidRDefault="008048A4" w:rsidP="008048A4">
      <w:pPr>
        <w:spacing w:before="120" w:afterLines="50" w:after="156" w:line="360" w:lineRule="auto"/>
        <w:rPr>
          <w:rFonts w:ascii="Times New Roman" w:hAnsi="Times New Roman" w:cs="Times New Roman"/>
          <w:b/>
          <w:color w:val="000000" w:themeColor="text1"/>
          <w:sz w:val="24"/>
          <w:szCs w:val="24"/>
        </w:rPr>
      </w:pPr>
      <w:r w:rsidRPr="002657D1">
        <w:rPr>
          <w:rFonts w:ascii="Times New Roman" w:hAnsi="Times New Roman" w:cs="Times New Roman" w:hint="eastAsia"/>
          <w:color w:val="000000" w:themeColor="text1"/>
          <w:sz w:val="24"/>
          <w:szCs w:val="24"/>
        </w:rPr>
        <w:t>D</w:t>
      </w:r>
      <w:r w:rsidRPr="002657D1">
        <w:rPr>
          <w:rFonts w:ascii="Times New Roman" w:hAnsi="Times New Roman" w:cs="Times New Roman"/>
          <w:color w:val="000000" w:themeColor="text1"/>
          <w:sz w:val="24"/>
          <w:szCs w:val="24"/>
        </w:rPr>
        <w:t>ensity functional theory (DFT) computations were executed utilizing the Vienna Ab initio Simulation Package (VASP), with the projector augmented-wave (PAW) approach implemented. The exchange-correlation energy, EXC, was estimated using the Perdew-Burke-</w:t>
      </w:r>
      <w:proofErr w:type="spellStart"/>
      <w:r w:rsidRPr="002657D1">
        <w:rPr>
          <w:rFonts w:ascii="Times New Roman" w:hAnsi="Times New Roman" w:cs="Times New Roman"/>
          <w:color w:val="000000" w:themeColor="text1"/>
          <w:sz w:val="24"/>
          <w:szCs w:val="24"/>
        </w:rPr>
        <w:t>Ernzerhof</w:t>
      </w:r>
      <w:proofErr w:type="spellEnd"/>
      <w:r w:rsidRPr="002657D1">
        <w:rPr>
          <w:rFonts w:ascii="Times New Roman" w:hAnsi="Times New Roman" w:cs="Times New Roman"/>
          <w:color w:val="000000" w:themeColor="text1"/>
          <w:sz w:val="24"/>
          <w:szCs w:val="24"/>
        </w:rPr>
        <w:t xml:space="preserve"> (PBE) generalized gradient approximation. For all geometric optimizations and energy computations, a plane-wave cutoff energy of 500 eV was employed. A 2×2×2 k-point mesh was utilized for the calculations. </w:t>
      </w:r>
      <w:r w:rsidRPr="002657D1">
        <w:rPr>
          <w:rFonts w:ascii="Times New Roman" w:hAnsi="Times New Roman" w:cs="Times New Roman"/>
          <w:color w:val="000000" w:themeColor="text1"/>
          <w:sz w:val="24"/>
          <w:szCs w:val="24"/>
        </w:rPr>
        <w:lastRenderedPageBreak/>
        <w:t>Convergence criteria for energy and force were set at 10⁻</w:t>
      </w:r>
      <w:r w:rsidRPr="002657D1">
        <w:rPr>
          <w:rFonts w:ascii="Times New Roman" w:hAnsi="Times New Roman" w:cs="Times New Roman"/>
          <w:color w:val="000000" w:themeColor="text1"/>
          <w:sz w:val="24"/>
          <w:szCs w:val="24"/>
          <w:vertAlign w:val="superscript"/>
        </w:rPr>
        <w:t>5</w:t>
      </w:r>
      <w:r w:rsidRPr="002657D1">
        <w:rPr>
          <w:rFonts w:ascii="Times New Roman" w:hAnsi="Times New Roman" w:cs="Times New Roman"/>
          <w:color w:val="000000" w:themeColor="text1"/>
          <w:sz w:val="24"/>
          <w:szCs w:val="24"/>
        </w:rPr>
        <w:t xml:space="preserve"> eV and 0.02 eV Å⁻</w:t>
      </w:r>
      <w:r w:rsidRPr="002657D1">
        <w:rPr>
          <w:rFonts w:ascii="Times New Roman" w:hAnsi="Times New Roman" w:cs="Times New Roman"/>
          <w:color w:val="000000" w:themeColor="text1"/>
          <w:sz w:val="24"/>
          <w:szCs w:val="24"/>
          <w:vertAlign w:val="superscript"/>
        </w:rPr>
        <w:t>1</w:t>
      </w:r>
      <w:r w:rsidRPr="002657D1">
        <w:rPr>
          <w:rFonts w:ascii="Times New Roman" w:hAnsi="Times New Roman" w:cs="Times New Roman"/>
          <w:color w:val="000000" w:themeColor="text1"/>
          <w:sz w:val="24"/>
          <w:szCs w:val="24"/>
        </w:rPr>
        <w:t>, respectively.</w:t>
      </w:r>
    </w:p>
    <w:p w14:paraId="13D0542F" w14:textId="2FC96598" w:rsidR="004513A7" w:rsidRPr="002657D1" w:rsidRDefault="00CD3D3D" w:rsidP="00946A9F">
      <w:pPr>
        <w:spacing w:before="120" w:afterLines="50" w:after="156" w:line="360" w:lineRule="auto"/>
        <w:outlineLvl w:val="1"/>
        <w:rPr>
          <w:rFonts w:ascii="Calibri" w:hAnsi="Calibri" w:cs="Calibri"/>
          <w:b/>
          <w:bCs/>
          <w:color w:val="000000" w:themeColor="text1"/>
          <w:sz w:val="24"/>
          <w:szCs w:val="24"/>
        </w:rPr>
      </w:pPr>
      <w:bookmarkStart w:id="51" w:name="_Toc217638249"/>
      <w:r w:rsidRPr="002657D1">
        <w:rPr>
          <w:rFonts w:ascii="Calibri" w:hAnsi="Calibri" w:cs="Calibri" w:hint="eastAsia"/>
          <w:b/>
          <w:bCs/>
          <w:color w:val="000000" w:themeColor="text1"/>
          <w:sz w:val="24"/>
          <w:szCs w:val="24"/>
        </w:rPr>
        <w:t xml:space="preserve">1.8 </w:t>
      </w:r>
      <w:r w:rsidR="004513A7" w:rsidRPr="002657D1">
        <w:rPr>
          <w:rFonts w:ascii="Calibri" w:hAnsi="Calibri" w:cs="Calibri"/>
          <w:b/>
          <w:bCs/>
          <w:color w:val="000000" w:themeColor="text1"/>
          <w:sz w:val="24"/>
          <w:szCs w:val="24"/>
        </w:rPr>
        <w:t>Ab initio molecular dynamics simulations</w:t>
      </w:r>
      <w:bookmarkEnd w:id="49"/>
      <w:bookmarkEnd w:id="50"/>
      <w:bookmarkEnd w:id="51"/>
    </w:p>
    <w:p w14:paraId="3A3A38CF" w14:textId="6E53D199" w:rsidR="004513A7" w:rsidRPr="002657D1" w:rsidRDefault="004513A7" w:rsidP="0065352F">
      <w:pPr>
        <w:spacing w:before="120" w:afterLines="50" w:after="156" w:line="360" w:lineRule="auto"/>
        <w:rPr>
          <w:rFonts w:ascii="Times New Roman" w:hAnsi="Times New Roman" w:cs="Times New Roman"/>
          <w:b/>
          <w:color w:val="000000" w:themeColor="text1"/>
          <w:sz w:val="24"/>
          <w:szCs w:val="24"/>
        </w:rPr>
      </w:pPr>
      <w:bookmarkStart w:id="52" w:name="OLE_LINK1"/>
      <w:r w:rsidRPr="002657D1">
        <w:rPr>
          <w:rFonts w:ascii="Times New Roman" w:hAnsi="Times New Roman" w:cs="Times New Roman"/>
          <w:bCs/>
          <w:color w:val="000000" w:themeColor="text1"/>
          <w:sz w:val="24"/>
          <w:szCs w:val="24"/>
        </w:rPr>
        <w:t>The crystal structure of pristine Li</w:t>
      </w:r>
      <w:r w:rsidRPr="002657D1">
        <w:rPr>
          <w:rFonts w:ascii="Times New Roman" w:hAnsi="Times New Roman" w:cs="Times New Roman"/>
          <w:bCs/>
          <w:color w:val="000000" w:themeColor="text1"/>
          <w:sz w:val="24"/>
          <w:szCs w:val="24"/>
          <w:vertAlign w:val="subscript"/>
        </w:rPr>
        <w:t>2</w:t>
      </w:r>
      <w:r w:rsidRPr="002657D1">
        <w:rPr>
          <w:rFonts w:ascii="Times New Roman" w:hAnsi="Times New Roman" w:cs="Times New Roman"/>
          <w:bCs/>
          <w:color w:val="000000" w:themeColor="text1"/>
          <w:sz w:val="24"/>
          <w:szCs w:val="24"/>
        </w:rPr>
        <w:t>ZrCl</w:t>
      </w:r>
      <w:r w:rsidRPr="002657D1">
        <w:rPr>
          <w:rFonts w:ascii="Times New Roman" w:hAnsi="Times New Roman" w:cs="Times New Roman"/>
          <w:bCs/>
          <w:color w:val="000000" w:themeColor="text1"/>
          <w:sz w:val="24"/>
          <w:szCs w:val="24"/>
          <w:vertAlign w:val="subscript"/>
        </w:rPr>
        <w:t>6</w:t>
      </w:r>
      <w:r w:rsidRPr="002657D1">
        <w:rPr>
          <w:rFonts w:ascii="Times New Roman" w:hAnsi="Times New Roman" w:cs="Times New Roman"/>
          <w:bCs/>
          <w:color w:val="000000" w:themeColor="text1"/>
          <w:sz w:val="24"/>
          <w:szCs w:val="24"/>
        </w:rPr>
        <w:t xml:space="preserve"> </w:t>
      </w:r>
      <w:r w:rsidRPr="002657D1">
        <w:rPr>
          <w:rFonts w:ascii="Times New Roman" w:hAnsi="Times New Roman" w:cs="Times New Roman" w:hint="eastAsia"/>
          <w:bCs/>
          <w:color w:val="000000" w:themeColor="text1"/>
          <w:sz w:val="24"/>
          <w:szCs w:val="24"/>
        </w:rPr>
        <w:t>(LZC)</w:t>
      </w:r>
      <w:r w:rsidRPr="002657D1">
        <w:rPr>
          <w:rFonts w:ascii="Times New Roman" w:hAnsi="Times New Roman" w:cs="Times New Roman"/>
          <w:bCs/>
          <w:color w:val="000000" w:themeColor="text1"/>
          <w:sz w:val="24"/>
          <w:szCs w:val="24"/>
        </w:rPr>
        <w:t xml:space="preserve"> was derived from the Li</w:t>
      </w:r>
      <w:r w:rsidRPr="002657D1">
        <w:rPr>
          <w:rFonts w:ascii="Times New Roman" w:hAnsi="Times New Roman" w:cs="Times New Roman"/>
          <w:bCs/>
          <w:color w:val="000000" w:themeColor="text1"/>
          <w:sz w:val="24"/>
          <w:szCs w:val="24"/>
          <w:vertAlign w:val="subscript"/>
        </w:rPr>
        <w:t>3</w:t>
      </w:r>
      <w:r w:rsidRPr="002657D1">
        <w:rPr>
          <w:rFonts w:ascii="Times New Roman" w:hAnsi="Times New Roman" w:cs="Times New Roman"/>
          <w:bCs/>
          <w:color w:val="000000" w:themeColor="text1"/>
          <w:sz w:val="24"/>
          <w:szCs w:val="24"/>
        </w:rPr>
        <w:t>YCl</w:t>
      </w:r>
      <w:r w:rsidRPr="002657D1">
        <w:rPr>
          <w:rFonts w:ascii="Times New Roman" w:hAnsi="Times New Roman" w:cs="Times New Roman"/>
          <w:bCs/>
          <w:color w:val="000000" w:themeColor="text1"/>
          <w:sz w:val="24"/>
          <w:szCs w:val="24"/>
          <w:vertAlign w:val="subscript"/>
        </w:rPr>
        <w:t>6</w:t>
      </w:r>
      <w:r w:rsidRPr="002657D1">
        <w:rPr>
          <w:rFonts w:ascii="Times New Roman" w:hAnsi="Times New Roman" w:cs="Times New Roman"/>
          <w:bCs/>
          <w:color w:val="000000" w:themeColor="text1"/>
          <w:sz w:val="24"/>
          <w:szCs w:val="24"/>
        </w:rPr>
        <w:t xml:space="preserve"> structure, </w:t>
      </w:r>
      <w:r w:rsidR="00285CB3" w:rsidRPr="002657D1">
        <w:rPr>
          <w:rFonts w:ascii="Times New Roman" w:hAnsi="Times New Roman" w:cs="Times New Roman" w:hint="eastAsia"/>
          <w:bCs/>
          <w:color w:val="000000" w:themeColor="text1"/>
          <w:sz w:val="24"/>
          <w:szCs w:val="24"/>
        </w:rPr>
        <w:t>as reported previously</w:t>
      </w:r>
      <w:bookmarkEnd w:id="52"/>
      <w:r w:rsidR="00285CB3" w:rsidRPr="002657D1">
        <w:rPr>
          <w:rFonts w:ascii="Times New Roman" w:hAnsi="Times New Roman" w:cs="Times New Roman"/>
          <w:bCs/>
          <w:color w:val="000000" w:themeColor="text1"/>
          <w:sz w:val="24"/>
          <w:szCs w:val="24"/>
        </w:rPr>
        <w:fldChar w:fldCharType="begin"/>
      </w:r>
      <w:r w:rsidR="00285CB3" w:rsidRPr="002657D1">
        <w:rPr>
          <w:rFonts w:ascii="Times New Roman" w:hAnsi="Times New Roman" w:cs="Times New Roman"/>
          <w:bCs/>
          <w:color w:val="000000" w:themeColor="text1"/>
          <w:sz w:val="24"/>
          <w:szCs w:val="24"/>
        </w:rPr>
        <w:instrText xml:space="preserve"> ADDIN ZOTERO_ITEM CSL_CITATION {"citationID":"a2if8kdf4co","properties":{"formattedCitation":"\\super 1\\nosupersub{}","plainCitation":"1","noteIndex":0},"citationItems":[{"id":29,"uris":["http://zotero.org/users/local/J1vikkcu/items/3R2LFZWA"],"itemData":{"id":29,"type":"article-journal","abstract":"Abstract\n            \n              Li-ion-conducting chloride solid electrolytes receive considerable attention due to their physicochemical characteristics such as high ionic conductivity, deformability and oxidative stability. However, the raw materials are expensive, and large-scale use of this class of inorganic superionic conductors seems unlikely. Here, a cost-effective chloride solid electrolyte, Li\n              2\n              ZrCl\n              6\n              , is reported. Its raw materials are several orders of magnitude cheaper than those for the state-of-the-art chloride solid electrolytes, but high ionic conductivity (0.81 mS cm\n              –1\n              at room temperature), deformability, and compatibility with 4V-class cathodes are still simultaneously achieved in Li\n              2\n              ZrCl\n              6\n              . Moreover, Li\n              2\n              ZrCl\n              6\n              demonstrates a humidity tolerance with no sign of moisture uptake or conductivity degradation after exposure to an atmosphere with 5% relative humidity. By combining Li\n              2\n              ZrCl\n              6\n              with the Li-In anode and the single-crystal LiNi\n              0.8\n              Mn\n              0.1\n              Co\n              0.1\n              O\n              2\n              cathode, we report a room-temperature all-solid-state cell with a stable specific capacity of about 150 mAh g\n              –1\n              for 200 cycles at 200 mA g\n              –1\n              .","container-title":"Nature Communications","DOI":"10.1038/s41467-021-24697-2","ISSN":"2041-1723","issue":"1","journalAbbreviation":"Nat Commun","language":"en","page":"4410","source":"DOI.org (Crossref)","title":"A cost-effective and humidity-tolerant chloride solid electrolyte for lithium batteries","volume":"12","author":[{"family":"Wang","given":"Kai"},{"family":"Ren","given":"Qingyong"},{"family":"Gu","given":"Zhenqi"},{"family":"Duan","given":"Chaomin"},{"family":"Wang","given":"Jinzhu"},{"family":"Zhu","given":"Feng"},{"family":"Fu","given":"Yuanyuan"},{"family":"Hao","given":"Jipeng"},{"family":"Zhu","given":"Jinfeng"},{"family":"He","given":"Lunhua"},{"family":"Wang","given":"Chin-Wei"},{"family":"Lu","given":"Yingying"},{"family":"Ma","given":"Jie"},{"family":"Ma","given":"Cheng"}],"issued":{"date-parts":[["2021",7,20]]}}}],"schema":"https://github.com/citation-style-language/schema/raw/master/csl-citation.json"} </w:instrText>
      </w:r>
      <w:r w:rsidR="00285CB3" w:rsidRPr="002657D1">
        <w:rPr>
          <w:rFonts w:ascii="Times New Roman" w:hAnsi="Times New Roman" w:cs="Times New Roman"/>
          <w:bCs/>
          <w:color w:val="000000" w:themeColor="text1"/>
          <w:sz w:val="24"/>
          <w:szCs w:val="24"/>
        </w:rPr>
        <w:fldChar w:fldCharType="separate"/>
      </w:r>
      <w:r w:rsidR="00285CB3" w:rsidRPr="002657D1">
        <w:rPr>
          <w:rFonts w:ascii="Times New Roman" w:hAnsi="Times New Roman" w:cs="Times New Roman"/>
          <w:color w:val="000000" w:themeColor="text1"/>
          <w:kern w:val="0"/>
          <w:sz w:val="24"/>
          <w:szCs w:val="24"/>
          <w:vertAlign w:val="superscript"/>
        </w:rPr>
        <w:t>1</w:t>
      </w:r>
      <w:r w:rsidR="00285CB3" w:rsidRPr="002657D1">
        <w:rPr>
          <w:rFonts w:ascii="Times New Roman" w:hAnsi="Times New Roman" w:cs="Times New Roman"/>
          <w:bCs/>
          <w:color w:val="000000" w:themeColor="text1"/>
          <w:sz w:val="24"/>
          <w:szCs w:val="24"/>
        </w:rPr>
        <w:fldChar w:fldCharType="end"/>
      </w:r>
      <w:r w:rsidR="00285CB3" w:rsidRPr="002657D1">
        <w:rPr>
          <w:rFonts w:ascii="Times New Roman" w:hAnsi="Times New Roman" w:cs="Times New Roman" w:hint="eastAsia"/>
          <w:bCs/>
          <w:color w:val="000000" w:themeColor="text1"/>
          <w:sz w:val="24"/>
          <w:szCs w:val="24"/>
        </w:rPr>
        <w:t>.</w:t>
      </w:r>
      <w:r w:rsidRPr="002657D1">
        <w:rPr>
          <w:rFonts w:ascii="Times New Roman" w:hAnsi="Times New Roman" w:cs="Times New Roman"/>
          <w:bCs/>
          <w:color w:val="000000" w:themeColor="text1"/>
          <w:sz w:val="24"/>
          <w:szCs w:val="24"/>
        </w:rPr>
        <w:t xml:space="preserve"> We employed a 1×1×3 supercell variant of LZC, comprising 9 formula units and a total of 81 atoms, with lattice parameters a = 11.20927 Å, b = 11.20927 Å, and c = 18.11472 Å. Ab initio molecular dynamics simulations (AIMD) were performed on this structure using a reduced cutoff energy of 400 eV and a minimal Γ-centered 1×1×1 k-points mesh, necessitated by the high computational requirements. The simulations were initiated at 100 K and were gradually heated to the target temperatures (spanning from 600 to 1100 K) throughout 2 </w:t>
      </w:r>
      <w:proofErr w:type="spellStart"/>
      <w:r w:rsidRPr="002657D1">
        <w:rPr>
          <w:rFonts w:ascii="Times New Roman" w:hAnsi="Times New Roman" w:cs="Times New Roman"/>
          <w:bCs/>
          <w:color w:val="000000" w:themeColor="text1"/>
          <w:sz w:val="24"/>
          <w:szCs w:val="24"/>
        </w:rPr>
        <w:t>ps</w:t>
      </w:r>
      <w:proofErr w:type="spellEnd"/>
      <w:r w:rsidRPr="002657D1">
        <w:rPr>
          <w:rFonts w:ascii="Times New Roman" w:hAnsi="Times New Roman" w:cs="Times New Roman"/>
          <w:bCs/>
          <w:color w:val="000000" w:themeColor="text1"/>
          <w:sz w:val="24"/>
          <w:szCs w:val="24"/>
        </w:rPr>
        <w:t xml:space="preserve">, followed by an equilibration phase of 260 </w:t>
      </w:r>
      <w:proofErr w:type="spellStart"/>
      <w:r w:rsidRPr="002657D1">
        <w:rPr>
          <w:rFonts w:ascii="Times New Roman" w:hAnsi="Times New Roman" w:cs="Times New Roman"/>
          <w:bCs/>
          <w:color w:val="000000" w:themeColor="text1"/>
          <w:sz w:val="24"/>
          <w:szCs w:val="24"/>
        </w:rPr>
        <w:t>ps</w:t>
      </w:r>
      <w:proofErr w:type="spellEnd"/>
      <w:r w:rsidRPr="002657D1">
        <w:rPr>
          <w:rFonts w:ascii="Times New Roman" w:hAnsi="Times New Roman" w:cs="Times New Roman"/>
          <w:bCs/>
          <w:color w:val="000000" w:themeColor="text1"/>
          <w:sz w:val="24"/>
          <w:szCs w:val="24"/>
        </w:rPr>
        <w:t xml:space="preserve"> with a time step of 2 fs throughout the AIMD. Temperature regulation was achieved with the Nose-Hoover thermostat, and velocity integration was conducted using the velocity-</w:t>
      </w:r>
      <w:proofErr w:type="spellStart"/>
      <w:r w:rsidRPr="002657D1">
        <w:rPr>
          <w:rFonts w:ascii="Times New Roman" w:hAnsi="Times New Roman" w:cs="Times New Roman"/>
          <w:bCs/>
          <w:color w:val="000000" w:themeColor="text1"/>
          <w:sz w:val="24"/>
          <w:szCs w:val="24"/>
        </w:rPr>
        <w:t>Verlet</w:t>
      </w:r>
      <w:proofErr w:type="spellEnd"/>
      <w:r w:rsidRPr="002657D1">
        <w:rPr>
          <w:rFonts w:ascii="Times New Roman" w:hAnsi="Times New Roman" w:cs="Times New Roman"/>
          <w:bCs/>
          <w:color w:val="000000" w:themeColor="text1"/>
          <w:sz w:val="24"/>
          <w:szCs w:val="24"/>
        </w:rPr>
        <w:t xml:space="preserve"> algorithm. The NVT ensemble was employed to characterize the equilibrium state.</w:t>
      </w:r>
      <w:r w:rsidRPr="002657D1">
        <w:rPr>
          <w:rFonts w:ascii="Times New Roman" w:hAnsi="Times New Roman" w:cs="Times New Roman" w:hint="eastAsia"/>
          <w:b/>
          <w:color w:val="000000" w:themeColor="text1"/>
          <w:sz w:val="24"/>
          <w:szCs w:val="24"/>
        </w:rPr>
        <w:t xml:space="preserve"> </w:t>
      </w:r>
      <w:r w:rsidRPr="002657D1">
        <w:rPr>
          <w:rFonts w:ascii="Times New Roman" w:hAnsi="Times New Roman" w:cs="Times New Roman"/>
          <w:bCs/>
          <w:color w:val="000000" w:themeColor="text1"/>
          <w:sz w:val="24"/>
          <w:szCs w:val="24"/>
        </w:rPr>
        <w:t xml:space="preserve">To reduce statistical fluctuations in diffusivity measurements, the relative standard deviation of diffusivity (RSD) was evaluated using an empirical formula proposed by </w:t>
      </w:r>
      <w:proofErr w:type="spellStart"/>
      <w:r w:rsidRPr="002657D1">
        <w:rPr>
          <w:rFonts w:ascii="Times New Roman" w:hAnsi="Times New Roman" w:cs="Times New Roman"/>
          <w:bCs/>
          <w:color w:val="000000" w:themeColor="text1"/>
          <w:sz w:val="24"/>
          <w:szCs w:val="24"/>
        </w:rPr>
        <w:t>He</w:t>
      </w:r>
      <w:proofErr w:type="spellEnd"/>
      <w:r w:rsidRPr="002657D1">
        <w:rPr>
          <w:rFonts w:ascii="Times New Roman" w:hAnsi="Times New Roman" w:cs="Times New Roman"/>
          <w:bCs/>
          <w:color w:val="000000" w:themeColor="text1"/>
          <w:sz w:val="24"/>
          <w:szCs w:val="24"/>
        </w:rPr>
        <w:t xml:space="preserve"> et al.</w:t>
      </w:r>
      <w:r w:rsidR="00285CB3" w:rsidRPr="002657D1">
        <w:rPr>
          <w:rFonts w:ascii="Times New Roman" w:hAnsi="Times New Roman" w:cs="Times New Roman"/>
          <w:bCs/>
          <w:color w:val="000000" w:themeColor="text1"/>
          <w:sz w:val="24"/>
          <w:szCs w:val="24"/>
        </w:rPr>
        <w:fldChar w:fldCharType="begin"/>
      </w:r>
      <w:r w:rsidR="00285CB3" w:rsidRPr="002657D1">
        <w:rPr>
          <w:rFonts w:ascii="Times New Roman" w:hAnsi="Times New Roman" w:cs="Times New Roman"/>
          <w:bCs/>
          <w:color w:val="000000" w:themeColor="text1"/>
          <w:sz w:val="24"/>
          <w:szCs w:val="24"/>
        </w:rPr>
        <w:instrText xml:space="preserve"> ADDIN ZOTERO_ITEM CSL_CITATION {"citationID":"a1r0gt34slr","properties":{"formattedCitation":"\\super 2\\nosupersub{}","plainCitation":"2","noteIndex":0},"citationItems":[{"id":1365,"uris":["http://zotero.org/users/local/J1vikkcu/items/MBK6IG4F"],"itemData":{"id":1365,"type":"article-journal","abstract":"Abstract\n            Ab initio molecular dynamics (AIMD) simulation is widely employed in studying diffusion mechanisms and in quantifying diffusional properties of materials. However, AIMD simulations are often limited to a few hundred atoms and a short, sub-nanosecond physical timescale, which leads to models that include only a limited number of diffusion events. As a result, the diffusional properties obtained from AIMD simulations are often plagued by poor statistics. In this paper, we re-examine the process to estimate diffusivity and ionic conductivity from the AIMD simulations and establish the procedure to minimize the fitting errors. In addition, we propose methods for quantifying the statistical variance of the diffusivity and ionic conductivity from the number of diffusion events observed during the AIMD simulation. Since an adequate number of diffusion events must be sampled, AIMD simulations should be sufficiently long and can only be performed on materials with reasonably fast diffusion. We chart the ranges of materials and physical conditions that can be accessible by AIMD simulations in studying diffusional properties. Our work provides the foundation for quantifying the statistical confidence levels of diffusion results from AIMD simulations and for correctly employing this powerful technique.","container-title":"npj Computational Materials","DOI":"10.1038/s41524-018-0074-y","ISSN":"2057-3960","issue":"1","journalAbbreviation":"npj Comput Mater","language":"en","page":"18","source":"DOI.org (Crossref)","title":"Statistical variances of diffusional properties from ab initio molecular dynamics simulations","volume":"4","author":[{"family":"He","given":"Xingfeng"},{"family":"Zhu","given":"Yizhou"},{"family":"Epstein","given":"Alexander"},{"family":"Mo","given":"Yifei"}],"issued":{"date-parts":[["2018",4,3]]}}}],"schema":"https://github.com/citation-style-language/schema/raw/master/csl-citation.json"} </w:instrText>
      </w:r>
      <w:r w:rsidR="00285CB3" w:rsidRPr="002657D1">
        <w:rPr>
          <w:rFonts w:ascii="Times New Roman" w:hAnsi="Times New Roman" w:cs="Times New Roman"/>
          <w:bCs/>
          <w:color w:val="000000" w:themeColor="text1"/>
          <w:sz w:val="24"/>
          <w:szCs w:val="24"/>
        </w:rPr>
        <w:fldChar w:fldCharType="separate"/>
      </w:r>
      <w:r w:rsidR="00285CB3" w:rsidRPr="002657D1">
        <w:rPr>
          <w:rFonts w:ascii="Times New Roman" w:hAnsi="Times New Roman" w:cs="Times New Roman"/>
          <w:color w:val="000000" w:themeColor="text1"/>
          <w:kern w:val="0"/>
          <w:sz w:val="24"/>
          <w:szCs w:val="24"/>
          <w:vertAlign w:val="superscript"/>
        </w:rPr>
        <w:t>2</w:t>
      </w:r>
      <w:r w:rsidR="00285CB3" w:rsidRPr="002657D1">
        <w:rPr>
          <w:rFonts w:ascii="Times New Roman" w:hAnsi="Times New Roman" w:cs="Times New Roman"/>
          <w:bCs/>
          <w:color w:val="000000" w:themeColor="text1"/>
          <w:sz w:val="24"/>
          <w:szCs w:val="24"/>
        </w:rPr>
        <w:fldChar w:fldCharType="end"/>
      </w:r>
      <w:r w:rsidR="00285CB3" w:rsidRPr="002657D1">
        <w:rPr>
          <w:rFonts w:ascii="Times New Roman" w:hAnsi="Times New Roman" w:cs="Times New Roman"/>
          <w:bCs/>
          <w:color w:val="000000" w:themeColor="text1"/>
          <w:sz w:val="24"/>
          <w:szCs w:val="24"/>
        </w:rPr>
        <w:t>,</w:t>
      </w:r>
      <w:r w:rsidRPr="002657D1">
        <w:rPr>
          <w:rFonts w:ascii="Times New Roman" w:hAnsi="Times New Roman" w:cs="Times New Roman"/>
          <w:bCs/>
          <w:color w:val="000000" w:themeColor="text1"/>
          <w:sz w:val="24"/>
          <w:szCs w:val="24"/>
        </w:rPr>
        <w:t xml:space="preserve"> which relies on the total mean-squared displacement (TMSD). AIMD simulations at various temperatures yielded TMSD values ranging from 7380 to 47700 Å</w:t>
      </w:r>
      <w:r w:rsidRPr="002657D1">
        <w:rPr>
          <w:rFonts w:ascii="Times New Roman" w:hAnsi="Times New Roman" w:cs="Times New Roman" w:hint="eastAsia"/>
          <w:bCs/>
          <w:color w:val="000000" w:themeColor="text1"/>
          <w:sz w:val="24"/>
          <w:szCs w:val="24"/>
          <w:vertAlign w:val="superscript"/>
        </w:rPr>
        <w:t>2</w:t>
      </w:r>
      <w:r w:rsidRPr="002657D1">
        <w:rPr>
          <w:rFonts w:ascii="Times New Roman" w:hAnsi="Times New Roman" w:cs="Times New Roman"/>
          <w:bCs/>
          <w:color w:val="000000" w:themeColor="text1"/>
          <w:sz w:val="24"/>
          <w:szCs w:val="24"/>
        </w:rPr>
        <w:t xml:space="preserve">, with corresponding RSDs falling within a satisfactory range of 9%-18%. This indicates that the simulations captured an adequate number of diffusion events, and the sampling method was appropriate. For shorter AIMD runs, a 2×2×2 supercell was employed while ensuring that all other simulation parameters matched those of the extended simulations. The system was heated from 100 K to 1100 K </w:t>
      </w:r>
      <w:r w:rsidR="002657D1" w:rsidRPr="002657D1">
        <w:rPr>
          <w:rFonts w:ascii="Times New Roman" w:hAnsi="Times New Roman" w:cs="Times New Roman" w:hint="eastAsia"/>
          <w:bCs/>
          <w:color w:val="000000" w:themeColor="text1"/>
          <w:sz w:val="24"/>
          <w:szCs w:val="24"/>
        </w:rPr>
        <w:t>over</w:t>
      </w:r>
      <w:r w:rsidRPr="002657D1">
        <w:rPr>
          <w:rFonts w:ascii="Times New Roman" w:hAnsi="Times New Roman" w:cs="Times New Roman"/>
          <w:bCs/>
          <w:color w:val="000000" w:themeColor="text1"/>
          <w:sz w:val="24"/>
          <w:szCs w:val="24"/>
        </w:rPr>
        <w:t xml:space="preserve"> 2 </w:t>
      </w:r>
      <w:proofErr w:type="spellStart"/>
      <w:r w:rsidRPr="002657D1">
        <w:rPr>
          <w:rFonts w:ascii="Times New Roman" w:hAnsi="Times New Roman" w:cs="Times New Roman"/>
          <w:bCs/>
          <w:color w:val="000000" w:themeColor="text1"/>
          <w:sz w:val="24"/>
          <w:szCs w:val="24"/>
        </w:rPr>
        <w:t>ps</w:t>
      </w:r>
      <w:proofErr w:type="spellEnd"/>
      <w:r w:rsidRPr="002657D1">
        <w:rPr>
          <w:rFonts w:ascii="Times New Roman" w:hAnsi="Times New Roman" w:cs="Times New Roman"/>
          <w:bCs/>
          <w:color w:val="000000" w:themeColor="text1"/>
          <w:sz w:val="24"/>
          <w:szCs w:val="24"/>
        </w:rPr>
        <w:t xml:space="preserve">, followed by a 20-ps period at a constant temperature of 1100 K. The </w:t>
      </w:r>
      <w:r w:rsidRPr="002657D1">
        <w:rPr>
          <w:rFonts w:ascii="Times New Roman" w:hAnsi="Times New Roman" w:cs="Times New Roman" w:hint="eastAsia"/>
          <w:bCs/>
          <w:color w:val="000000" w:themeColor="text1"/>
          <w:sz w:val="24"/>
          <w:szCs w:val="24"/>
        </w:rPr>
        <w:t>Li</w:t>
      </w:r>
      <w:r w:rsidRPr="002657D1">
        <w:rPr>
          <w:rFonts w:ascii="Times New Roman" w:hAnsi="Times New Roman" w:cs="Times New Roman" w:hint="eastAsia"/>
          <w:bCs/>
          <w:color w:val="000000" w:themeColor="text1"/>
          <w:sz w:val="24"/>
          <w:szCs w:val="24"/>
          <w:vertAlign w:val="superscript"/>
        </w:rPr>
        <w:t>+</w:t>
      </w:r>
      <w:r w:rsidRPr="002657D1">
        <w:rPr>
          <w:rFonts w:ascii="Times New Roman" w:hAnsi="Times New Roman" w:cs="Times New Roman" w:hint="eastAsia"/>
          <w:bCs/>
          <w:color w:val="000000" w:themeColor="text1"/>
          <w:sz w:val="24"/>
          <w:szCs w:val="24"/>
        </w:rPr>
        <w:t xml:space="preserve"> </w:t>
      </w:r>
      <w:r w:rsidRPr="002657D1">
        <w:rPr>
          <w:rFonts w:ascii="Times New Roman" w:hAnsi="Times New Roman" w:cs="Times New Roman"/>
          <w:bCs/>
          <w:color w:val="000000" w:themeColor="text1"/>
          <w:sz w:val="24"/>
          <w:szCs w:val="24"/>
        </w:rPr>
        <w:t>diffusion coefficient</w:t>
      </w:r>
      <w:r w:rsidRPr="002657D1">
        <w:rPr>
          <w:rFonts w:ascii="Times New Roman" w:hAnsi="Times New Roman" w:cs="Times New Roman" w:hint="eastAsia"/>
          <w:bCs/>
          <w:color w:val="000000" w:themeColor="text1"/>
          <w:sz w:val="24"/>
          <w:szCs w:val="24"/>
        </w:rPr>
        <w:t xml:space="preserve"> </w:t>
      </w:r>
      <w:r w:rsidRPr="002657D1">
        <w:rPr>
          <w:rFonts w:ascii="Times New Roman" w:hAnsi="Times New Roman" w:cs="Times New Roman"/>
          <w:bCs/>
          <w:color w:val="000000" w:themeColor="text1"/>
          <w:sz w:val="24"/>
          <w:szCs w:val="24"/>
        </w:rPr>
        <w:t>was determined from the mean squared displacement (MSD) over time intervals, employing the Einstein relation, and the ionic conductivity was calculated using the Nernst-Einstein equation. The iso</w:t>
      </w:r>
      <w:r w:rsidRPr="002657D1">
        <w:rPr>
          <w:rFonts w:ascii="Times New Roman" w:hAnsi="Times New Roman" w:cs="Times New Roman" w:hint="eastAsia"/>
          <w:bCs/>
          <w:color w:val="000000" w:themeColor="text1"/>
          <w:sz w:val="24"/>
          <w:szCs w:val="24"/>
        </w:rPr>
        <w:t>-</w:t>
      </w:r>
      <w:r w:rsidRPr="002657D1">
        <w:rPr>
          <w:rFonts w:ascii="Times New Roman" w:hAnsi="Times New Roman" w:cs="Times New Roman"/>
          <w:bCs/>
          <w:color w:val="000000" w:themeColor="text1"/>
          <w:sz w:val="24"/>
          <w:szCs w:val="24"/>
        </w:rPr>
        <w:t>surface values for all probability density maps were set at P</w:t>
      </w:r>
      <w:r w:rsidRPr="002657D1">
        <w:rPr>
          <w:rFonts w:ascii="Times New Roman" w:hAnsi="Times New Roman" w:cs="Times New Roman"/>
          <w:bCs/>
          <w:color w:val="000000" w:themeColor="text1"/>
          <w:sz w:val="24"/>
          <w:szCs w:val="24"/>
          <w:vertAlign w:val="subscript"/>
        </w:rPr>
        <w:t>max</w:t>
      </w:r>
      <w:r w:rsidRPr="002657D1">
        <w:rPr>
          <w:rFonts w:ascii="Times New Roman" w:hAnsi="Times New Roman" w:cs="Times New Roman"/>
          <w:bCs/>
          <w:color w:val="000000" w:themeColor="text1"/>
          <w:sz w:val="24"/>
          <w:szCs w:val="24"/>
        </w:rPr>
        <w:t>/50.</w:t>
      </w:r>
    </w:p>
    <w:p w14:paraId="66A23DB4" w14:textId="57588BDD" w:rsidR="004513A7" w:rsidRPr="002657D1" w:rsidRDefault="00CD3D3D" w:rsidP="00946A9F">
      <w:pPr>
        <w:spacing w:before="120" w:afterLines="50" w:after="156" w:line="360" w:lineRule="auto"/>
        <w:outlineLvl w:val="1"/>
        <w:rPr>
          <w:rFonts w:ascii="Calibri" w:hAnsi="Calibri" w:cs="Calibri"/>
          <w:b/>
          <w:bCs/>
          <w:color w:val="000000" w:themeColor="text1"/>
          <w:sz w:val="24"/>
          <w:szCs w:val="24"/>
        </w:rPr>
      </w:pPr>
      <w:bookmarkStart w:id="53" w:name="_Toc206419557"/>
      <w:bookmarkStart w:id="54" w:name="_Toc206419607"/>
      <w:bookmarkStart w:id="55" w:name="_Toc217638250"/>
      <w:r w:rsidRPr="002657D1">
        <w:rPr>
          <w:rFonts w:ascii="Calibri" w:hAnsi="Calibri" w:cs="Calibri" w:hint="eastAsia"/>
          <w:b/>
          <w:bCs/>
          <w:color w:val="000000" w:themeColor="text1"/>
          <w:sz w:val="24"/>
          <w:szCs w:val="24"/>
        </w:rPr>
        <w:t xml:space="preserve">1.9 </w:t>
      </w:r>
      <w:r w:rsidR="004513A7" w:rsidRPr="002657D1">
        <w:rPr>
          <w:rFonts w:ascii="Calibri" w:hAnsi="Calibri" w:cs="Calibri"/>
          <w:b/>
          <w:bCs/>
          <w:color w:val="000000" w:themeColor="text1"/>
          <w:sz w:val="24"/>
          <w:szCs w:val="24"/>
        </w:rPr>
        <w:t>Nudged elastic band calculations</w:t>
      </w:r>
      <w:bookmarkEnd w:id="53"/>
      <w:bookmarkEnd w:id="54"/>
      <w:bookmarkEnd w:id="55"/>
      <w:r w:rsidR="004513A7" w:rsidRPr="002657D1">
        <w:rPr>
          <w:rFonts w:ascii="Calibri" w:hAnsi="Calibri" w:cs="Calibri" w:hint="eastAsia"/>
          <w:b/>
          <w:bCs/>
          <w:color w:val="000000" w:themeColor="text1"/>
          <w:sz w:val="24"/>
          <w:szCs w:val="24"/>
        </w:rPr>
        <w:t xml:space="preserve"> </w:t>
      </w:r>
    </w:p>
    <w:p w14:paraId="792620CB" w14:textId="77777777" w:rsidR="004513A7" w:rsidRPr="002657D1" w:rsidRDefault="004513A7" w:rsidP="0065352F">
      <w:pPr>
        <w:spacing w:before="120" w:afterLines="50" w:after="156" w:line="360" w:lineRule="auto"/>
        <w:rPr>
          <w:rFonts w:ascii="Times New Roman" w:hAnsi="Times New Roman" w:cs="Times New Roman"/>
          <w:b/>
          <w:color w:val="000000" w:themeColor="text1"/>
          <w:sz w:val="24"/>
          <w:szCs w:val="24"/>
        </w:rPr>
      </w:pPr>
      <w:r w:rsidRPr="002657D1">
        <w:rPr>
          <w:rFonts w:ascii="Times New Roman" w:hAnsi="Times New Roman" w:cs="Times New Roman"/>
          <w:color w:val="000000" w:themeColor="text1"/>
          <w:sz w:val="24"/>
          <w:szCs w:val="24"/>
        </w:rPr>
        <w:lastRenderedPageBreak/>
        <w:t xml:space="preserve">The energy profiles along the </w:t>
      </w:r>
      <w:r w:rsidRPr="002657D1">
        <w:rPr>
          <w:rFonts w:ascii="Times New Roman" w:hAnsi="Times New Roman" w:cs="Times New Roman" w:hint="eastAsia"/>
          <w:color w:val="000000" w:themeColor="text1"/>
          <w:sz w:val="24"/>
          <w:szCs w:val="24"/>
        </w:rPr>
        <w:t>Li</w:t>
      </w:r>
      <w:r w:rsidRPr="002657D1">
        <w:rPr>
          <w:rFonts w:ascii="Times New Roman" w:hAnsi="Times New Roman" w:cs="Times New Roman" w:hint="eastAsia"/>
          <w:color w:val="000000" w:themeColor="text1"/>
          <w:sz w:val="24"/>
          <w:szCs w:val="24"/>
          <w:vertAlign w:val="superscript"/>
        </w:rPr>
        <w:t>+</w:t>
      </w:r>
      <w:r w:rsidRPr="002657D1">
        <w:rPr>
          <w:rFonts w:ascii="Times New Roman" w:hAnsi="Times New Roman" w:cs="Times New Roman"/>
          <w:color w:val="000000" w:themeColor="text1"/>
          <w:sz w:val="24"/>
          <w:szCs w:val="24"/>
        </w:rPr>
        <w:t xml:space="preserve"> migration pathways in both pristine</w:t>
      </w:r>
      <w:r w:rsidRPr="002657D1">
        <w:rPr>
          <w:rFonts w:ascii="Times New Roman" w:hAnsi="Times New Roman" w:cs="Times New Roman" w:hint="eastAsia"/>
          <w:color w:val="000000" w:themeColor="text1"/>
          <w:sz w:val="24"/>
          <w:szCs w:val="24"/>
        </w:rPr>
        <w:t xml:space="preserve"> </w:t>
      </w:r>
      <w:r w:rsidRPr="002657D1">
        <w:rPr>
          <w:rFonts w:ascii="Times New Roman" w:hAnsi="Times New Roman" w:cs="Times New Roman"/>
          <w:color w:val="000000" w:themeColor="text1"/>
          <w:sz w:val="24"/>
          <w:szCs w:val="24"/>
        </w:rPr>
        <w:t xml:space="preserve">LZC and </w:t>
      </w:r>
      <w:r w:rsidRPr="002657D1">
        <w:rPr>
          <w:rFonts w:ascii="Times New Roman" w:hAnsi="Times New Roman" w:cs="Times New Roman" w:hint="eastAsia"/>
          <w:color w:val="000000" w:themeColor="text1"/>
          <w:sz w:val="24"/>
          <w:szCs w:val="24"/>
        </w:rPr>
        <w:t>the</w:t>
      </w:r>
      <w:r w:rsidRPr="002657D1">
        <w:rPr>
          <w:rFonts w:ascii="Times New Roman" w:hAnsi="Times New Roman" w:cs="Times New Roman"/>
          <w:color w:val="000000" w:themeColor="text1"/>
          <w:sz w:val="24"/>
          <w:szCs w:val="24"/>
        </w:rPr>
        <w:t xml:space="preserve"> LZC</w:t>
      </w:r>
      <w:r w:rsidRPr="002657D1">
        <w:rPr>
          <w:rFonts w:ascii="Times New Roman" w:hAnsi="Times New Roman" w:cs="Times New Roman" w:hint="eastAsia"/>
          <w:color w:val="000000" w:themeColor="text1"/>
          <w:sz w:val="24"/>
          <w:szCs w:val="24"/>
        </w:rPr>
        <w:t>-10</w:t>
      </w:r>
      <w:r w:rsidRPr="002657D1">
        <w:rPr>
          <w:rFonts w:ascii="Times New Roman" w:hAnsi="Times New Roman" w:cs="Times New Roman"/>
          <w:color w:val="000000" w:themeColor="text1"/>
          <w:sz w:val="24"/>
          <w:szCs w:val="24"/>
        </w:rPr>
        <w:t>TF</w:t>
      </w:r>
      <w:r w:rsidRPr="002657D1">
        <w:rPr>
          <w:rFonts w:ascii="Times New Roman" w:hAnsi="Times New Roman" w:cs="Times New Roman" w:hint="eastAsia"/>
          <w:color w:val="000000" w:themeColor="text1"/>
          <w:sz w:val="24"/>
          <w:szCs w:val="24"/>
        </w:rPr>
        <w:t xml:space="preserve"> </w:t>
      </w:r>
      <w:r w:rsidRPr="002657D1">
        <w:rPr>
          <w:rFonts w:ascii="Times New Roman" w:hAnsi="Times New Roman" w:cs="Times New Roman"/>
          <w:color w:val="000000" w:themeColor="text1"/>
          <w:sz w:val="24"/>
          <w:szCs w:val="24"/>
        </w:rPr>
        <w:t xml:space="preserve">were determined using the climbing-image nudged elastic band (CINEB) method. For pristine LZC, three distinct pathways within a 1×1×3 supercell model were initially analyzed to characterize the energy landscape along the </w:t>
      </w:r>
      <w:r w:rsidRPr="002657D1">
        <w:rPr>
          <w:rFonts w:ascii="Times New Roman" w:hAnsi="Times New Roman" w:cs="Times New Roman"/>
          <w:i/>
          <w:iCs/>
          <w:color w:val="000000" w:themeColor="text1"/>
          <w:sz w:val="24"/>
          <w:szCs w:val="24"/>
        </w:rPr>
        <w:t>a</w:t>
      </w:r>
      <w:r w:rsidRPr="002657D1">
        <w:rPr>
          <w:rFonts w:ascii="Times New Roman" w:hAnsi="Times New Roman" w:cs="Times New Roman"/>
          <w:color w:val="000000" w:themeColor="text1"/>
          <w:sz w:val="24"/>
          <w:szCs w:val="24"/>
        </w:rPr>
        <w:t xml:space="preserve">, </w:t>
      </w:r>
      <w:r w:rsidRPr="002657D1">
        <w:rPr>
          <w:rFonts w:ascii="Times New Roman" w:hAnsi="Times New Roman" w:cs="Times New Roman"/>
          <w:i/>
          <w:iCs/>
          <w:color w:val="000000" w:themeColor="text1"/>
          <w:sz w:val="24"/>
          <w:szCs w:val="24"/>
        </w:rPr>
        <w:t>b</w:t>
      </w:r>
      <w:r w:rsidRPr="002657D1">
        <w:rPr>
          <w:rFonts w:ascii="Times New Roman" w:hAnsi="Times New Roman" w:cs="Times New Roman"/>
          <w:color w:val="000000" w:themeColor="text1"/>
          <w:sz w:val="24"/>
          <w:szCs w:val="24"/>
        </w:rPr>
        <w:t xml:space="preserve">, and </w:t>
      </w:r>
      <w:r w:rsidRPr="002657D1">
        <w:rPr>
          <w:rFonts w:ascii="Times New Roman" w:hAnsi="Times New Roman" w:cs="Times New Roman"/>
          <w:i/>
          <w:iCs/>
          <w:color w:val="000000" w:themeColor="text1"/>
          <w:sz w:val="24"/>
          <w:szCs w:val="24"/>
        </w:rPr>
        <w:t>c</w:t>
      </w:r>
      <w:r w:rsidRPr="002657D1">
        <w:rPr>
          <w:rFonts w:ascii="Times New Roman" w:hAnsi="Times New Roman" w:cs="Times New Roman"/>
          <w:color w:val="000000" w:themeColor="text1"/>
          <w:sz w:val="24"/>
          <w:szCs w:val="24"/>
        </w:rPr>
        <w:t xml:space="preserve"> axes. This analysis was based on the probability density maps generated from AIMD simulations.</w:t>
      </w:r>
      <w:r w:rsidRPr="002657D1">
        <w:rPr>
          <w:rFonts w:ascii="Times New Roman" w:hAnsi="Times New Roman" w:cs="Times New Roman" w:hint="eastAsia"/>
          <w:color w:val="000000" w:themeColor="text1"/>
          <w:sz w:val="24"/>
          <w:szCs w:val="24"/>
        </w:rPr>
        <w:t xml:space="preserve"> </w:t>
      </w:r>
      <w:r w:rsidRPr="002657D1">
        <w:rPr>
          <w:rFonts w:ascii="Times New Roman" w:hAnsi="Times New Roman" w:cs="Times New Roman"/>
          <w:color w:val="000000" w:themeColor="text1"/>
          <w:sz w:val="24"/>
          <w:szCs w:val="24"/>
        </w:rPr>
        <w:t>To get a comparative assessment of the energy landscapes between pristine LZC and doped LZC</w:t>
      </w:r>
      <w:r w:rsidRPr="002657D1">
        <w:rPr>
          <w:rFonts w:ascii="Times New Roman" w:hAnsi="Times New Roman" w:cs="Times New Roman" w:hint="eastAsia"/>
          <w:color w:val="000000" w:themeColor="text1"/>
          <w:sz w:val="24"/>
          <w:szCs w:val="24"/>
        </w:rPr>
        <w:t>-10</w:t>
      </w:r>
      <w:r w:rsidRPr="002657D1">
        <w:rPr>
          <w:rFonts w:ascii="Times New Roman" w:hAnsi="Times New Roman" w:cs="Times New Roman"/>
          <w:color w:val="000000" w:themeColor="text1"/>
          <w:sz w:val="24"/>
          <w:szCs w:val="24"/>
        </w:rPr>
        <w:t>TF, larger 2×2×2 supercell models were employed. In the CINEB calculations, the presence of excess electrons was counterbalanced by incorporating background charges, ensuring an accurate representation of the electronic environment within the supercells.</w:t>
      </w:r>
    </w:p>
    <w:p w14:paraId="46C4F5FF" w14:textId="38DF065C" w:rsidR="004513A7" w:rsidRPr="002657D1" w:rsidRDefault="00CD3D3D" w:rsidP="00946A9F">
      <w:pPr>
        <w:spacing w:before="120" w:afterLines="50" w:after="156" w:line="360" w:lineRule="auto"/>
        <w:outlineLvl w:val="1"/>
        <w:rPr>
          <w:rFonts w:ascii="Calibri" w:hAnsi="Calibri" w:cs="Calibri"/>
          <w:b/>
          <w:bCs/>
          <w:color w:val="000000" w:themeColor="text1"/>
          <w:sz w:val="24"/>
          <w:szCs w:val="24"/>
        </w:rPr>
      </w:pPr>
      <w:bookmarkStart w:id="56" w:name="_Toc206419558"/>
      <w:bookmarkStart w:id="57" w:name="_Toc206419608"/>
      <w:bookmarkStart w:id="58" w:name="_Toc217638251"/>
      <w:r w:rsidRPr="002657D1">
        <w:rPr>
          <w:rFonts w:ascii="Calibri" w:hAnsi="Calibri" w:cs="Calibri" w:hint="eastAsia"/>
          <w:b/>
          <w:bCs/>
          <w:color w:val="000000" w:themeColor="text1"/>
          <w:sz w:val="24"/>
          <w:szCs w:val="24"/>
        </w:rPr>
        <w:t xml:space="preserve">1.10 </w:t>
      </w:r>
      <w:r w:rsidR="004513A7" w:rsidRPr="002657D1">
        <w:rPr>
          <w:rFonts w:ascii="Calibri" w:hAnsi="Calibri" w:cs="Calibri"/>
          <w:b/>
          <w:bCs/>
          <w:color w:val="000000" w:themeColor="text1"/>
          <w:sz w:val="24"/>
          <w:szCs w:val="24"/>
        </w:rPr>
        <w:t>Site ordering of LZC</w:t>
      </w:r>
      <w:r w:rsidR="004513A7" w:rsidRPr="002657D1">
        <w:rPr>
          <w:rFonts w:ascii="Calibri" w:hAnsi="Calibri" w:cs="Calibri" w:hint="eastAsia"/>
          <w:b/>
          <w:bCs/>
          <w:color w:val="000000" w:themeColor="text1"/>
          <w:sz w:val="24"/>
          <w:szCs w:val="24"/>
        </w:rPr>
        <w:t>-10</w:t>
      </w:r>
      <w:r w:rsidR="004513A7" w:rsidRPr="002657D1">
        <w:rPr>
          <w:rFonts w:ascii="Calibri" w:hAnsi="Calibri" w:cs="Calibri"/>
          <w:b/>
          <w:bCs/>
          <w:color w:val="000000" w:themeColor="text1"/>
          <w:sz w:val="24"/>
          <w:szCs w:val="24"/>
        </w:rPr>
        <w:t>TF</w:t>
      </w:r>
      <w:bookmarkEnd w:id="56"/>
      <w:bookmarkEnd w:id="57"/>
      <w:bookmarkEnd w:id="58"/>
    </w:p>
    <w:p w14:paraId="0D1E00FF" w14:textId="77777777" w:rsidR="004513A7" w:rsidRPr="002657D1" w:rsidRDefault="004513A7" w:rsidP="0065352F">
      <w:pPr>
        <w:spacing w:before="120" w:afterLines="50" w:after="156" w:line="360" w:lineRule="auto"/>
        <w:rPr>
          <w:rFonts w:ascii="Times New Roman" w:hAnsi="Times New Roman" w:cs="Times New Roman"/>
          <w:b/>
          <w:color w:val="000000" w:themeColor="text1"/>
          <w:sz w:val="24"/>
          <w:szCs w:val="24"/>
        </w:rPr>
      </w:pPr>
      <w:r w:rsidRPr="002657D1">
        <w:rPr>
          <w:rFonts w:ascii="Times New Roman" w:hAnsi="Times New Roman" w:cs="Times New Roman"/>
          <w:color w:val="000000" w:themeColor="text1"/>
          <w:sz w:val="24"/>
          <w:szCs w:val="24"/>
        </w:rPr>
        <w:t>The synchrotron Rietveld refinement of XRD revealed that Ti occupies Zr sites, and F occupies Cl sites within the structure. To replicate the chemical formula observed experimentally (Li</w:t>
      </w:r>
      <w:r w:rsidRPr="002657D1">
        <w:rPr>
          <w:rFonts w:ascii="Times New Roman" w:hAnsi="Times New Roman" w:cs="Times New Roman"/>
          <w:color w:val="000000" w:themeColor="text1"/>
          <w:sz w:val="24"/>
          <w:szCs w:val="24"/>
          <w:vertAlign w:val="subscript"/>
        </w:rPr>
        <w:t>2.1</w:t>
      </w:r>
      <w:r w:rsidRPr="002657D1">
        <w:rPr>
          <w:rFonts w:ascii="Times New Roman" w:hAnsi="Times New Roman" w:cs="Times New Roman"/>
          <w:color w:val="000000" w:themeColor="text1"/>
          <w:sz w:val="24"/>
          <w:szCs w:val="24"/>
        </w:rPr>
        <w:t>Zr</w:t>
      </w:r>
      <w:r w:rsidRPr="002657D1">
        <w:rPr>
          <w:rFonts w:ascii="Times New Roman" w:hAnsi="Times New Roman" w:cs="Times New Roman"/>
          <w:color w:val="000000" w:themeColor="text1"/>
          <w:sz w:val="24"/>
          <w:szCs w:val="24"/>
          <w:vertAlign w:val="subscript"/>
        </w:rPr>
        <w:t>0.9</w:t>
      </w:r>
      <w:r w:rsidRPr="002657D1">
        <w:rPr>
          <w:rFonts w:ascii="Times New Roman" w:hAnsi="Times New Roman" w:cs="Times New Roman"/>
          <w:color w:val="000000" w:themeColor="text1"/>
          <w:sz w:val="24"/>
          <w:szCs w:val="24"/>
        </w:rPr>
        <w:t>Cl</w:t>
      </w:r>
      <w:r w:rsidRPr="002657D1">
        <w:rPr>
          <w:rFonts w:ascii="Times New Roman" w:hAnsi="Times New Roman" w:cs="Times New Roman"/>
          <w:color w:val="000000" w:themeColor="text1"/>
          <w:sz w:val="24"/>
          <w:szCs w:val="24"/>
          <w:vertAlign w:val="subscript"/>
        </w:rPr>
        <w:t>5.7</w:t>
      </w:r>
      <w:r w:rsidRPr="002657D1">
        <w:rPr>
          <w:rFonts w:ascii="Times New Roman" w:hAnsi="Times New Roman" w:cs="Times New Roman"/>
          <w:color w:val="000000" w:themeColor="text1"/>
          <w:sz w:val="24"/>
          <w:szCs w:val="24"/>
        </w:rPr>
        <w:t>Ti</w:t>
      </w:r>
      <w:r w:rsidRPr="002657D1">
        <w:rPr>
          <w:rFonts w:ascii="Times New Roman" w:hAnsi="Times New Roman" w:cs="Times New Roman"/>
          <w:color w:val="000000" w:themeColor="text1"/>
          <w:sz w:val="24"/>
          <w:szCs w:val="24"/>
          <w:vertAlign w:val="subscript"/>
        </w:rPr>
        <w:t>0.1</w:t>
      </w:r>
      <w:r w:rsidRPr="002657D1">
        <w:rPr>
          <w:rFonts w:ascii="Times New Roman" w:hAnsi="Times New Roman" w:cs="Times New Roman"/>
          <w:color w:val="000000" w:themeColor="text1"/>
          <w:sz w:val="24"/>
          <w:szCs w:val="24"/>
        </w:rPr>
        <w:t>F</w:t>
      </w:r>
      <w:r w:rsidRPr="002657D1">
        <w:rPr>
          <w:rFonts w:ascii="Times New Roman" w:hAnsi="Times New Roman" w:cs="Times New Roman"/>
          <w:color w:val="000000" w:themeColor="text1"/>
          <w:sz w:val="24"/>
          <w:szCs w:val="24"/>
          <w:vertAlign w:val="subscript"/>
        </w:rPr>
        <w:t>0.3</w:t>
      </w:r>
      <w:r w:rsidRPr="002657D1">
        <w:rPr>
          <w:rFonts w:ascii="Times New Roman" w:hAnsi="Times New Roman" w:cs="Times New Roman"/>
          <w:color w:val="000000" w:themeColor="text1"/>
          <w:sz w:val="24"/>
          <w:szCs w:val="24"/>
        </w:rPr>
        <w:t xml:space="preserve">), a 2×2×1 supercell was created, comprising 25 Li atoms, 11 Zr atoms, 69 Cl atoms, 1 Ti atom, and 3 F atoms. The Ti atom was substituted for Zr at the 1a and 2d crystallographic sites (with </w:t>
      </w:r>
      <m:oMath>
        <m:sSubSup>
          <m:sSubSupPr>
            <m:ctrlPr>
              <w:rPr>
                <w:rFonts w:ascii="Cambria Math" w:hAnsi="Cambria Math" w:cs="Times New Roman"/>
                <w:color w:val="000000" w:themeColor="text1"/>
                <w:sz w:val="24"/>
                <w:szCs w:val="24"/>
              </w:rPr>
            </m:ctrlPr>
          </m:sSubSupPr>
          <m:e>
            <m:r>
              <w:rPr>
                <w:rFonts w:ascii="Cambria Math" w:hAnsi="Cambria Math" w:cs="Times New Roman"/>
                <w:color w:val="000000" w:themeColor="text1"/>
                <w:sz w:val="24"/>
                <w:szCs w:val="24"/>
              </w:rPr>
              <m:t>C</m:t>
            </m:r>
          </m:e>
          <m:sub>
            <m:r>
              <w:rPr>
                <w:rFonts w:ascii="Cambria Math" w:hAnsi="Cambria Math" w:cs="Times New Roman"/>
                <w:color w:val="000000" w:themeColor="text1"/>
                <w:sz w:val="24"/>
                <w:szCs w:val="24"/>
              </w:rPr>
              <m:t>12</m:t>
            </m:r>
          </m:sub>
          <m:sup>
            <m:r>
              <w:rPr>
                <w:rFonts w:ascii="Cambria Math" w:hAnsi="Cambria Math" w:cs="Times New Roman"/>
                <w:color w:val="000000" w:themeColor="text1"/>
                <w:sz w:val="24"/>
                <w:szCs w:val="24"/>
              </w:rPr>
              <m:t>1</m:t>
            </m:r>
          </m:sup>
        </m:sSubSup>
      </m:oMath>
      <w:r w:rsidRPr="002657D1">
        <w:rPr>
          <w:rFonts w:ascii="Times New Roman" w:hAnsi="Times New Roman" w:cs="Times New Roman"/>
          <w:color w:val="000000" w:themeColor="text1"/>
          <w:sz w:val="24"/>
          <w:szCs w:val="24"/>
        </w:rPr>
        <w:t xml:space="preserve"> symmetry), while the F atoms replaced Cl at the 6i site (with </w:t>
      </w:r>
      <m:oMath>
        <m:sSubSup>
          <m:sSubSupPr>
            <m:ctrlPr>
              <w:rPr>
                <w:rFonts w:ascii="Cambria Math" w:hAnsi="Cambria Math" w:cs="Times New Roman"/>
                <w:color w:val="000000" w:themeColor="text1"/>
                <w:sz w:val="24"/>
                <w:szCs w:val="24"/>
              </w:rPr>
            </m:ctrlPr>
          </m:sSubSupPr>
          <m:e>
            <m:r>
              <w:rPr>
                <w:rFonts w:ascii="Cambria Math" w:hAnsi="Cambria Math" w:cs="Times New Roman"/>
                <w:color w:val="000000" w:themeColor="text1"/>
                <w:sz w:val="24"/>
                <w:szCs w:val="24"/>
              </w:rPr>
              <m:t>C</m:t>
            </m:r>
          </m:e>
          <m:sub>
            <m:r>
              <w:rPr>
                <w:rFonts w:ascii="Cambria Math" w:hAnsi="Cambria Math" w:cs="Times New Roman"/>
                <w:color w:val="000000" w:themeColor="text1"/>
                <w:sz w:val="24"/>
                <w:szCs w:val="24"/>
              </w:rPr>
              <m:t>72</m:t>
            </m:r>
          </m:sub>
          <m:sup>
            <m:r>
              <w:rPr>
                <w:rFonts w:ascii="Cambria Math" w:hAnsi="Cambria Math" w:cs="Times New Roman"/>
                <w:color w:val="000000" w:themeColor="text1"/>
                <w:sz w:val="24"/>
                <w:szCs w:val="24"/>
              </w:rPr>
              <m:t>3</m:t>
            </m:r>
          </m:sup>
        </m:sSubSup>
      </m:oMath>
      <w:r w:rsidRPr="002657D1">
        <w:rPr>
          <w:rFonts w:ascii="Times New Roman" w:hAnsi="Times New Roman" w:cs="Times New Roman"/>
          <w:color w:val="000000" w:themeColor="text1"/>
          <w:sz w:val="24"/>
          <w:szCs w:val="24"/>
        </w:rPr>
        <w:t xml:space="preserve"> symmetry). To maintain charge neutrality, additional Li atoms were placed at the 6h site (with </w:t>
      </w:r>
      <m:oMath>
        <m:sSubSup>
          <m:sSubSupPr>
            <m:ctrlPr>
              <w:rPr>
                <w:rFonts w:ascii="Cambria Math" w:hAnsi="Cambria Math" w:cs="Times New Roman"/>
                <w:color w:val="000000" w:themeColor="text1"/>
                <w:sz w:val="24"/>
                <w:szCs w:val="24"/>
              </w:rPr>
            </m:ctrlPr>
          </m:sSubSupPr>
          <m:e>
            <m:r>
              <w:rPr>
                <w:rFonts w:ascii="Cambria Math" w:hAnsi="Cambria Math" w:cs="Times New Roman"/>
                <w:color w:val="000000" w:themeColor="text1"/>
                <w:sz w:val="24"/>
                <w:szCs w:val="24"/>
              </w:rPr>
              <m:t>C</m:t>
            </m:r>
          </m:e>
          <m:sub>
            <m:r>
              <w:rPr>
                <w:rFonts w:ascii="Cambria Math" w:hAnsi="Cambria Math" w:cs="Times New Roman"/>
                <w:color w:val="000000" w:themeColor="text1"/>
                <w:sz w:val="24"/>
                <w:szCs w:val="24"/>
              </w:rPr>
              <m:t>36</m:t>
            </m:r>
          </m:sub>
          <m:sup>
            <m:r>
              <w:rPr>
                <w:rFonts w:ascii="Cambria Math" w:hAnsi="Cambria Math" w:cs="Times New Roman"/>
                <w:color w:val="000000" w:themeColor="text1"/>
                <w:sz w:val="24"/>
                <w:szCs w:val="24"/>
              </w:rPr>
              <m:t>1</m:t>
            </m:r>
          </m:sup>
        </m:sSubSup>
      </m:oMath>
      <w:r w:rsidRPr="002657D1">
        <w:rPr>
          <w:rFonts w:ascii="Times New Roman" w:hAnsi="Times New Roman" w:cs="Times New Roman"/>
          <w:color w:val="000000" w:themeColor="text1"/>
          <w:sz w:val="24"/>
          <w:szCs w:val="24"/>
        </w:rPr>
        <w:t xml:space="preserve"> symmetry). Considering the intricate nature of potential atomic configurations, a total of approximately 25,764,480 arrangements were possible. Initially, all unique, symmetry-independent structures were generated and then sorted based on their electrostatic energy via pymatgen. The structure with the lowest energy and the highest symmetry was chosen for further computational analysis.</w:t>
      </w:r>
    </w:p>
    <w:p w14:paraId="5318E371" w14:textId="7812BFFF" w:rsidR="004513A7" w:rsidRPr="002657D1" w:rsidRDefault="00CD3D3D" w:rsidP="00946A9F">
      <w:pPr>
        <w:spacing w:before="120" w:afterLines="50" w:after="156" w:line="360" w:lineRule="auto"/>
        <w:outlineLvl w:val="1"/>
        <w:rPr>
          <w:rFonts w:ascii="Calibri" w:hAnsi="Calibri" w:cs="Calibri"/>
          <w:b/>
          <w:bCs/>
          <w:color w:val="000000" w:themeColor="text1"/>
          <w:sz w:val="24"/>
          <w:szCs w:val="24"/>
        </w:rPr>
      </w:pPr>
      <w:bookmarkStart w:id="59" w:name="_Toc206419559"/>
      <w:bookmarkStart w:id="60" w:name="_Toc206419609"/>
      <w:bookmarkStart w:id="61" w:name="_Toc217638252"/>
      <w:r w:rsidRPr="002657D1">
        <w:rPr>
          <w:rFonts w:ascii="Calibri" w:hAnsi="Calibri" w:cs="Calibri" w:hint="eastAsia"/>
          <w:b/>
          <w:bCs/>
          <w:color w:val="000000" w:themeColor="text1"/>
          <w:sz w:val="24"/>
          <w:szCs w:val="24"/>
        </w:rPr>
        <w:t xml:space="preserve">1.11 </w:t>
      </w:r>
      <w:r w:rsidR="004513A7" w:rsidRPr="002657D1">
        <w:rPr>
          <w:rFonts w:ascii="Calibri" w:hAnsi="Calibri" w:cs="Calibri"/>
          <w:b/>
          <w:bCs/>
          <w:color w:val="000000" w:themeColor="text1"/>
          <w:sz w:val="24"/>
          <w:szCs w:val="24"/>
        </w:rPr>
        <w:t>Charge density difference and electron localization function calculations</w:t>
      </w:r>
      <w:bookmarkEnd w:id="59"/>
      <w:bookmarkEnd w:id="60"/>
      <w:bookmarkEnd w:id="61"/>
    </w:p>
    <w:p w14:paraId="7CDA57B7" w14:textId="197BA532" w:rsidR="004513A7" w:rsidRPr="002657D1" w:rsidRDefault="004513A7" w:rsidP="0065352F">
      <w:pPr>
        <w:spacing w:before="120" w:afterLines="50" w:after="156" w:line="360" w:lineRule="auto"/>
        <w:rPr>
          <w:rFonts w:ascii="Times New Roman" w:hAnsi="Times New Roman" w:cs="Times New Roman"/>
          <w:b/>
          <w:color w:val="000000" w:themeColor="text1"/>
          <w:sz w:val="24"/>
          <w:szCs w:val="24"/>
        </w:rPr>
      </w:pPr>
      <w:r w:rsidRPr="002657D1">
        <w:rPr>
          <w:rFonts w:ascii="Times New Roman" w:hAnsi="Times New Roman" w:cs="Times New Roman"/>
          <w:color w:val="000000" w:themeColor="text1"/>
          <w:sz w:val="24"/>
          <w:szCs w:val="24"/>
        </w:rPr>
        <w:t xml:space="preserve">To investigate the diminished energy barriers within the </w:t>
      </w:r>
      <w:r w:rsidRPr="002657D1">
        <w:rPr>
          <w:rFonts w:ascii="Times New Roman" w:hAnsi="Times New Roman" w:cs="Times New Roman"/>
          <w:i/>
          <w:iCs/>
          <w:color w:val="000000" w:themeColor="text1"/>
          <w:sz w:val="24"/>
          <w:szCs w:val="24"/>
        </w:rPr>
        <w:t>a-b</w:t>
      </w:r>
      <w:r w:rsidRPr="002657D1">
        <w:rPr>
          <w:rFonts w:ascii="Times New Roman" w:hAnsi="Times New Roman" w:cs="Times New Roman"/>
          <w:color w:val="000000" w:themeColor="text1"/>
          <w:sz w:val="24"/>
          <w:szCs w:val="24"/>
        </w:rPr>
        <w:t xml:space="preserve"> plane, we examined the structural configurations at the extreme points of the migration trajectories. Calculations of charge density, </w:t>
      </w:r>
      <w:r w:rsidR="000D0292" w:rsidRPr="002657D1">
        <w:rPr>
          <w:rFonts w:ascii="Times New Roman" w:hAnsi="Times New Roman" w:cs="Times New Roman" w:hint="eastAsia"/>
          <w:color w:val="000000" w:themeColor="text1"/>
          <w:sz w:val="24"/>
          <w:szCs w:val="24"/>
        </w:rPr>
        <w:t>c</w:t>
      </w:r>
      <w:r w:rsidR="000D0292" w:rsidRPr="002657D1">
        <w:rPr>
          <w:rFonts w:ascii="Times New Roman" w:hAnsi="Times New Roman" w:cs="Times New Roman"/>
          <w:color w:val="000000" w:themeColor="text1"/>
          <w:sz w:val="24"/>
          <w:szCs w:val="24"/>
        </w:rPr>
        <w:t xml:space="preserve">harge </w:t>
      </w:r>
      <w:r w:rsidR="000D0292" w:rsidRPr="002657D1">
        <w:rPr>
          <w:rFonts w:ascii="Times New Roman" w:hAnsi="Times New Roman" w:cs="Times New Roman" w:hint="eastAsia"/>
          <w:color w:val="000000" w:themeColor="text1"/>
          <w:sz w:val="24"/>
          <w:szCs w:val="24"/>
        </w:rPr>
        <w:t>d</w:t>
      </w:r>
      <w:r w:rsidR="000D0292" w:rsidRPr="002657D1">
        <w:rPr>
          <w:rFonts w:ascii="Times New Roman" w:hAnsi="Times New Roman" w:cs="Times New Roman"/>
          <w:color w:val="000000" w:themeColor="text1"/>
          <w:sz w:val="24"/>
          <w:szCs w:val="24"/>
        </w:rPr>
        <w:t xml:space="preserve">ensity </w:t>
      </w:r>
      <w:r w:rsidR="000D0292" w:rsidRPr="002657D1">
        <w:rPr>
          <w:rFonts w:ascii="Times New Roman" w:hAnsi="Times New Roman" w:cs="Times New Roman" w:hint="eastAsia"/>
          <w:color w:val="000000" w:themeColor="text1"/>
          <w:sz w:val="24"/>
          <w:szCs w:val="24"/>
        </w:rPr>
        <w:t>d</w:t>
      </w:r>
      <w:r w:rsidR="000D0292" w:rsidRPr="002657D1">
        <w:rPr>
          <w:rFonts w:ascii="Times New Roman" w:hAnsi="Times New Roman" w:cs="Times New Roman"/>
          <w:color w:val="000000" w:themeColor="text1"/>
          <w:sz w:val="24"/>
          <w:szCs w:val="24"/>
        </w:rPr>
        <w:t xml:space="preserve">ifference </w:t>
      </w:r>
      <w:r w:rsidRPr="002657D1">
        <w:rPr>
          <w:rFonts w:ascii="Times New Roman" w:hAnsi="Times New Roman" w:cs="Times New Roman"/>
          <w:color w:val="000000" w:themeColor="text1"/>
          <w:sz w:val="24"/>
          <w:szCs w:val="24"/>
        </w:rPr>
        <w:t xml:space="preserve">(CDD), and </w:t>
      </w:r>
      <w:r w:rsidR="000D0292" w:rsidRPr="002657D1">
        <w:rPr>
          <w:rFonts w:ascii="Times New Roman" w:hAnsi="Times New Roman" w:cs="Times New Roman" w:hint="eastAsia"/>
          <w:color w:val="000000" w:themeColor="text1"/>
          <w:sz w:val="24"/>
          <w:szCs w:val="24"/>
        </w:rPr>
        <w:t>e</w:t>
      </w:r>
      <w:r w:rsidR="000D0292" w:rsidRPr="002657D1">
        <w:rPr>
          <w:rFonts w:ascii="Times New Roman" w:hAnsi="Times New Roman" w:cs="Times New Roman"/>
          <w:color w:val="000000" w:themeColor="text1"/>
          <w:sz w:val="24"/>
          <w:szCs w:val="24"/>
        </w:rPr>
        <w:t xml:space="preserve">lectron </w:t>
      </w:r>
      <w:r w:rsidR="000D0292" w:rsidRPr="002657D1">
        <w:rPr>
          <w:rFonts w:ascii="Times New Roman" w:hAnsi="Times New Roman" w:cs="Times New Roman" w:hint="eastAsia"/>
          <w:color w:val="000000" w:themeColor="text1"/>
          <w:sz w:val="24"/>
          <w:szCs w:val="24"/>
        </w:rPr>
        <w:t>l</w:t>
      </w:r>
      <w:r w:rsidR="000D0292" w:rsidRPr="002657D1">
        <w:rPr>
          <w:rFonts w:ascii="Times New Roman" w:hAnsi="Times New Roman" w:cs="Times New Roman"/>
          <w:color w:val="000000" w:themeColor="text1"/>
          <w:sz w:val="24"/>
          <w:szCs w:val="24"/>
        </w:rPr>
        <w:t xml:space="preserve">ocalization </w:t>
      </w:r>
      <w:r w:rsidR="000D0292" w:rsidRPr="002657D1">
        <w:rPr>
          <w:rFonts w:ascii="Times New Roman" w:hAnsi="Times New Roman" w:cs="Times New Roman" w:hint="eastAsia"/>
          <w:color w:val="000000" w:themeColor="text1"/>
          <w:sz w:val="24"/>
          <w:szCs w:val="24"/>
        </w:rPr>
        <w:t>f</w:t>
      </w:r>
      <w:r w:rsidR="000D0292" w:rsidRPr="002657D1">
        <w:rPr>
          <w:rFonts w:ascii="Times New Roman" w:hAnsi="Times New Roman" w:cs="Times New Roman"/>
          <w:color w:val="000000" w:themeColor="text1"/>
          <w:sz w:val="24"/>
          <w:szCs w:val="24"/>
        </w:rPr>
        <w:t xml:space="preserve">unction </w:t>
      </w:r>
      <w:r w:rsidRPr="002657D1">
        <w:rPr>
          <w:rFonts w:ascii="Times New Roman" w:hAnsi="Times New Roman" w:cs="Times New Roman"/>
          <w:color w:val="000000" w:themeColor="text1"/>
          <w:sz w:val="24"/>
          <w:szCs w:val="24"/>
        </w:rPr>
        <w:t xml:space="preserve">(ELF) were performed to facilitate a visual representation of the </w:t>
      </w:r>
      <w:r w:rsidRPr="002657D1">
        <w:rPr>
          <w:rFonts w:ascii="Times New Roman" w:hAnsi="Times New Roman" w:cs="Times New Roman"/>
          <w:color w:val="000000" w:themeColor="text1"/>
          <w:sz w:val="24"/>
          <w:szCs w:val="24"/>
        </w:rPr>
        <w:lastRenderedPageBreak/>
        <w:t>electronic structure modifications. The rendering of CDD and ELF plots was aided by the VESTA software, which enabled a nuanced interpretation of the electronic transitions associated with the observed reduction in energy barriers along the migration pathways.</w:t>
      </w:r>
    </w:p>
    <w:p w14:paraId="5F63F65F" w14:textId="79051BCA" w:rsidR="004513A7" w:rsidRPr="002657D1" w:rsidRDefault="00CD3D3D" w:rsidP="00946A9F">
      <w:pPr>
        <w:spacing w:before="120" w:afterLines="50" w:after="156" w:line="360" w:lineRule="auto"/>
        <w:outlineLvl w:val="1"/>
        <w:rPr>
          <w:rFonts w:ascii="Calibri" w:hAnsi="Calibri" w:cs="Calibri"/>
          <w:b/>
          <w:bCs/>
          <w:color w:val="000000" w:themeColor="text1"/>
          <w:sz w:val="24"/>
          <w:szCs w:val="24"/>
        </w:rPr>
      </w:pPr>
      <w:bookmarkStart w:id="62" w:name="_Toc206419560"/>
      <w:bookmarkStart w:id="63" w:name="_Toc206419610"/>
      <w:bookmarkStart w:id="64" w:name="_Toc217638253"/>
      <w:r w:rsidRPr="002657D1">
        <w:rPr>
          <w:rFonts w:ascii="Calibri" w:hAnsi="Calibri" w:cs="Calibri" w:hint="eastAsia"/>
          <w:b/>
          <w:bCs/>
          <w:color w:val="000000" w:themeColor="text1"/>
          <w:sz w:val="24"/>
          <w:szCs w:val="24"/>
        </w:rPr>
        <w:t xml:space="preserve">1.12 </w:t>
      </w:r>
      <w:r w:rsidR="004513A7" w:rsidRPr="002657D1">
        <w:rPr>
          <w:rFonts w:ascii="Calibri" w:hAnsi="Calibri" w:cs="Calibri"/>
          <w:b/>
          <w:bCs/>
          <w:color w:val="000000" w:themeColor="text1"/>
          <w:sz w:val="24"/>
          <w:szCs w:val="24"/>
        </w:rPr>
        <w:t>Density of state calculations</w:t>
      </w:r>
      <w:bookmarkEnd w:id="62"/>
      <w:bookmarkEnd w:id="63"/>
      <w:bookmarkEnd w:id="64"/>
      <w:r w:rsidR="004513A7" w:rsidRPr="002657D1">
        <w:rPr>
          <w:rFonts w:ascii="Calibri" w:hAnsi="Calibri" w:cs="Calibri" w:hint="eastAsia"/>
          <w:b/>
          <w:bCs/>
          <w:color w:val="000000" w:themeColor="text1"/>
          <w:sz w:val="24"/>
          <w:szCs w:val="24"/>
        </w:rPr>
        <w:t xml:space="preserve"> </w:t>
      </w:r>
    </w:p>
    <w:p w14:paraId="18EF941F" w14:textId="5B622E77" w:rsidR="004513A7" w:rsidRPr="002657D1" w:rsidRDefault="004513A7" w:rsidP="0065352F">
      <w:pPr>
        <w:spacing w:before="120" w:afterLines="50" w:after="156" w:line="360" w:lineRule="auto"/>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 xml:space="preserve">Density of </w:t>
      </w:r>
      <w:r w:rsidR="000D0292" w:rsidRPr="002657D1">
        <w:rPr>
          <w:rFonts w:ascii="Times New Roman" w:hAnsi="Times New Roman" w:cs="Times New Roman" w:hint="eastAsia"/>
          <w:color w:val="000000" w:themeColor="text1"/>
          <w:sz w:val="24"/>
          <w:szCs w:val="24"/>
        </w:rPr>
        <w:t>s</w:t>
      </w:r>
      <w:r w:rsidR="000D0292" w:rsidRPr="002657D1">
        <w:rPr>
          <w:rFonts w:ascii="Times New Roman" w:hAnsi="Times New Roman" w:cs="Times New Roman"/>
          <w:color w:val="000000" w:themeColor="text1"/>
          <w:sz w:val="24"/>
          <w:szCs w:val="24"/>
        </w:rPr>
        <w:t xml:space="preserve">tates </w:t>
      </w:r>
      <w:r w:rsidRPr="002657D1">
        <w:rPr>
          <w:rFonts w:ascii="Times New Roman" w:hAnsi="Times New Roman" w:cs="Times New Roman"/>
          <w:color w:val="000000" w:themeColor="text1"/>
          <w:sz w:val="24"/>
          <w:szCs w:val="24"/>
        </w:rPr>
        <w:t>(DOS) calculations offer a critical understanding of the interactions between specific atoms, proving especially beneficial for probing conditions along ion migration pathways. We conducted these calculations using the structures obtained at the extreme points of these pathways. This approach enables a rigorous assessment of the atomic interactions that govern ion migration within the material.</w:t>
      </w:r>
    </w:p>
    <w:p w14:paraId="3A123B89" w14:textId="276A528D" w:rsidR="004513A7" w:rsidRPr="002657D1" w:rsidRDefault="00CD3D3D" w:rsidP="00946A9F">
      <w:pPr>
        <w:spacing w:before="120" w:afterLines="50" w:after="156" w:line="360" w:lineRule="auto"/>
        <w:outlineLvl w:val="1"/>
        <w:rPr>
          <w:rFonts w:ascii="Calibri" w:hAnsi="Calibri" w:cs="Calibri"/>
          <w:b/>
          <w:bCs/>
          <w:color w:val="000000" w:themeColor="text1"/>
          <w:sz w:val="24"/>
          <w:szCs w:val="24"/>
        </w:rPr>
      </w:pPr>
      <w:bookmarkStart w:id="65" w:name="_Toc206419561"/>
      <w:bookmarkStart w:id="66" w:name="_Toc206419611"/>
      <w:bookmarkStart w:id="67" w:name="_Toc217638254"/>
      <w:r w:rsidRPr="002657D1">
        <w:rPr>
          <w:rFonts w:ascii="Calibri" w:hAnsi="Calibri" w:cs="Calibri" w:hint="eastAsia"/>
          <w:b/>
          <w:bCs/>
          <w:color w:val="000000" w:themeColor="text1"/>
          <w:sz w:val="24"/>
          <w:szCs w:val="24"/>
        </w:rPr>
        <w:t xml:space="preserve">1.13 </w:t>
      </w:r>
      <w:r w:rsidR="004513A7" w:rsidRPr="002657D1">
        <w:rPr>
          <w:rFonts w:ascii="Calibri" w:hAnsi="Calibri" w:cs="Calibri"/>
          <w:b/>
          <w:bCs/>
          <w:color w:val="000000" w:themeColor="text1"/>
          <w:sz w:val="24"/>
          <w:szCs w:val="24"/>
        </w:rPr>
        <w:t>Bond-valence site energy calculations</w:t>
      </w:r>
      <w:bookmarkEnd w:id="65"/>
      <w:bookmarkEnd w:id="66"/>
      <w:bookmarkEnd w:id="67"/>
    </w:p>
    <w:p w14:paraId="460E708E" w14:textId="147D6675" w:rsidR="004513A7" w:rsidRPr="002657D1" w:rsidRDefault="004513A7" w:rsidP="0065352F">
      <w:pPr>
        <w:spacing w:before="120" w:afterLines="50" w:after="156" w:line="360" w:lineRule="auto"/>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Bond-</w:t>
      </w:r>
      <w:r w:rsidR="000D0292" w:rsidRPr="002657D1">
        <w:rPr>
          <w:rFonts w:ascii="Times New Roman" w:hAnsi="Times New Roman" w:cs="Times New Roman" w:hint="eastAsia"/>
          <w:color w:val="000000" w:themeColor="text1"/>
          <w:sz w:val="24"/>
          <w:szCs w:val="24"/>
        </w:rPr>
        <w:t>v</w:t>
      </w:r>
      <w:r w:rsidR="000D0292" w:rsidRPr="002657D1">
        <w:rPr>
          <w:rFonts w:ascii="Times New Roman" w:hAnsi="Times New Roman" w:cs="Times New Roman"/>
          <w:color w:val="000000" w:themeColor="text1"/>
          <w:sz w:val="24"/>
          <w:szCs w:val="24"/>
        </w:rPr>
        <w:t xml:space="preserve">alence </w:t>
      </w:r>
      <w:r w:rsidR="000D0292" w:rsidRPr="002657D1">
        <w:rPr>
          <w:rFonts w:ascii="Times New Roman" w:hAnsi="Times New Roman" w:cs="Times New Roman" w:hint="eastAsia"/>
          <w:color w:val="000000" w:themeColor="text1"/>
          <w:sz w:val="24"/>
          <w:szCs w:val="24"/>
        </w:rPr>
        <w:t>s</w:t>
      </w:r>
      <w:r w:rsidR="000D0292" w:rsidRPr="002657D1">
        <w:rPr>
          <w:rFonts w:ascii="Times New Roman" w:hAnsi="Times New Roman" w:cs="Times New Roman"/>
          <w:color w:val="000000" w:themeColor="text1"/>
          <w:sz w:val="24"/>
          <w:szCs w:val="24"/>
        </w:rPr>
        <w:t xml:space="preserve">ite </w:t>
      </w:r>
      <w:r w:rsidR="000D0292" w:rsidRPr="002657D1">
        <w:rPr>
          <w:rFonts w:ascii="Times New Roman" w:hAnsi="Times New Roman" w:cs="Times New Roman" w:hint="eastAsia"/>
          <w:color w:val="000000" w:themeColor="text1"/>
          <w:sz w:val="24"/>
          <w:szCs w:val="24"/>
        </w:rPr>
        <w:t>e</w:t>
      </w:r>
      <w:r w:rsidR="000D0292" w:rsidRPr="002657D1">
        <w:rPr>
          <w:rFonts w:ascii="Times New Roman" w:hAnsi="Times New Roman" w:cs="Times New Roman"/>
          <w:color w:val="000000" w:themeColor="text1"/>
          <w:sz w:val="24"/>
          <w:szCs w:val="24"/>
        </w:rPr>
        <w:t xml:space="preserve">nergy </w:t>
      </w:r>
      <w:r w:rsidRPr="002657D1">
        <w:rPr>
          <w:rFonts w:ascii="Times New Roman" w:hAnsi="Times New Roman" w:cs="Times New Roman"/>
          <w:color w:val="000000" w:themeColor="text1"/>
          <w:sz w:val="24"/>
          <w:szCs w:val="24"/>
        </w:rPr>
        <w:t xml:space="preserve">(BVSE) analyses were carried out on the fractionally occupied structures resolved by XRD. These computations targeted both the unaltered </w:t>
      </w:r>
      <w:r w:rsidRPr="002657D1">
        <w:rPr>
          <w:rFonts w:ascii="Times New Roman" w:hAnsi="Times New Roman" w:cs="Times New Roman" w:hint="eastAsia"/>
          <w:color w:val="000000" w:themeColor="text1"/>
          <w:sz w:val="24"/>
          <w:szCs w:val="24"/>
        </w:rPr>
        <w:t xml:space="preserve">LZC </w:t>
      </w:r>
      <w:r w:rsidRPr="002657D1">
        <w:rPr>
          <w:rFonts w:ascii="Times New Roman" w:hAnsi="Times New Roman" w:cs="Times New Roman"/>
          <w:color w:val="000000" w:themeColor="text1"/>
          <w:sz w:val="24"/>
          <w:szCs w:val="24"/>
        </w:rPr>
        <w:t xml:space="preserve">and the modified LZC-10TF to delineate their distinctive ion migration pathways. The BVSE calculations were performed using the </w:t>
      </w:r>
      <w:proofErr w:type="spellStart"/>
      <w:r w:rsidRPr="002657D1">
        <w:rPr>
          <w:rFonts w:ascii="Times New Roman" w:hAnsi="Times New Roman" w:cs="Times New Roman"/>
          <w:color w:val="000000" w:themeColor="text1"/>
          <w:sz w:val="24"/>
          <w:szCs w:val="24"/>
        </w:rPr>
        <w:t>softBV</w:t>
      </w:r>
      <w:proofErr w:type="spellEnd"/>
      <w:r w:rsidRPr="002657D1">
        <w:rPr>
          <w:rFonts w:ascii="Times New Roman" w:hAnsi="Times New Roman" w:cs="Times New Roman"/>
          <w:color w:val="000000" w:themeColor="text1"/>
          <w:sz w:val="24"/>
          <w:szCs w:val="24"/>
        </w:rPr>
        <w:t xml:space="preserve"> software. To facilitate detailed visualization and meticulous analysis, a resolution of 0.1 Å was chosen, and energy iso</w:t>
      </w:r>
      <w:r w:rsidRPr="002657D1">
        <w:rPr>
          <w:rFonts w:ascii="Times New Roman" w:hAnsi="Times New Roman" w:cs="Times New Roman" w:hint="eastAsia"/>
          <w:color w:val="000000" w:themeColor="text1"/>
          <w:sz w:val="24"/>
          <w:szCs w:val="24"/>
        </w:rPr>
        <w:t>-</w:t>
      </w:r>
      <w:r w:rsidRPr="002657D1">
        <w:rPr>
          <w:rFonts w:ascii="Times New Roman" w:hAnsi="Times New Roman" w:cs="Times New Roman"/>
          <w:color w:val="000000" w:themeColor="text1"/>
          <w:sz w:val="24"/>
          <w:szCs w:val="24"/>
        </w:rPr>
        <w:t>surfaces were constructed to depict the potential energy landscapes traversed during ion migration.</w:t>
      </w:r>
      <w:r w:rsidRPr="002657D1">
        <w:rPr>
          <w:rFonts w:ascii="Times New Roman" w:hAnsi="Times New Roman" w:cs="Times New Roman"/>
          <w:color w:val="000000" w:themeColor="text1"/>
          <w:sz w:val="24"/>
          <w:szCs w:val="24"/>
        </w:rPr>
        <w:br w:type="page"/>
      </w:r>
    </w:p>
    <w:p w14:paraId="38E2AEBF" w14:textId="3EE18CA3" w:rsidR="00756D1B" w:rsidRPr="002657D1" w:rsidRDefault="00E94EDB" w:rsidP="00946A9F">
      <w:pPr>
        <w:spacing w:before="120" w:afterLines="50" w:after="156" w:line="360" w:lineRule="auto"/>
        <w:outlineLvl w:val="0"/>
        <w:rPr>
          <w:rFonts w:ascii="Calibri" w:hAnsi="Calibri" w:cs="Calibri"/>
          <w:b/>
          <w:bCs/>
          <w:color w:val="000000" w:themeColor="text1"/>
          <w:sz w:val="24"/>
          <w:szCs w:val="24"/>
        </w:rPr>
      </w:pPr>
      <w:bookmarkStart w:id="68" w:name="_Toc206419562"/>
      <w:bookmarkStart w:id="69" w:name="_Toc206419612"/>
      <w:bookmarkStart w:id="70" w:name="_Toc217638255"/>
      <w:r w:rsidRPr="002657D1">
        <w:rPr>
          <w:rFonts w:ascii="Calibri" w:hAnsi="Calibri" w:cs="Calibri" w:hint="eastAsia"/>
          <w:b/>
          <w:bCs/>
          <w:color w:val="000000" w:themeColor="text1"/>
          <w:sz w:val="28"/>
          <w:szCs w:val="28"/>
        </w:rPr>
        <w:lastRenderedPageBreak/>
        <w:t xml:space="preserve">2. </w:t>
      </w:r>
      <w:r w:rsidR="00C4196E" w:rsidRPr="002657D1">
        <w:rPr>
          <w:rFonts w:ascii="Calibri" w:hAnsi="Calibri" w:cs="Calibri"/>
          <w:b/>
          <w:bCs/>
          <w:color w:val="000000" w:themeColor="text1"/>
          <w:sz w:val="28"/>
          <w:szCs w:val="28"/>
        </w:rPr>
        <w:t>Supplementary Figures</w:t>
      </w:r>
      <w:bookmarkEnd w:id="68"/>
      <w:bookmarkEnd w:id="69"/>
      <w:bookmarkEnd w:id="70"/>
    </w:p>
    <w:p w14:paraId="3B4F393B" w14:textId="59FE4ECE" w:rsidR="00D051F3" w:rsidRPr="002657D1" w:rsidRDefault="00AE49B8" w:rsidP="00920B56">
      <w:pPr>
        <w:widowControl/>
        <w:spacing w:before="120" w:afterLines="50" w:after="156" w:line="360" w:lineRule="auto"/>
        <w:jc w:val="center"/>
        <w:rPr>
          <w:rFonts w:ascii="Times New Roman" w:hAnsi="Times New Roman" w:cs="Times New Roman"/>
          <w:color w:val="000000" w:themeColor="text1"/>
        </w:rPr>
      </w:pPr>
      <w:r w:rsidRPr="002657D1">
        <w:rPr>
          <w:rFonts w:ascii="Times New Roman" w:hAnsi="Times New Roman" w:cs="Times New Roman"/>
          <w:noProof/>
          <w:color w:val="000000" w:themeColor="text1"/>
        </w:rPr>
        <w:drawing>
          <wp:inline distT="0" distB="0" distL="0" distR="0" wp14:anchorId="0C221725" wp14:editId="340AE821">
            <wp:extent cx="5274310" cy="2961640"/>
            <wp:effectExtent l="0" t="0" r="0" b="0"/>
            <wp:docPr id="1379089615" name="图片 5" descr="图形用户界面, 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089615" name="图片 5" descr="图形用户界面, 图表&#10;&#10;AI 生成的内容可能不正确。"/>
                    <pic:cNvPicPr/>
                  </pic:nvPicPr>
                  <pic:blipFill>
                    <a:blip r:embed="rId15"/>
                    <a:stretch>
                      <a:fillRect/>
                    </a:stretch>
                  </pic:blipFill>
                  <pic:spPr>
                    <a:xfrm>
                      <a:off x="0" y="0"/>
                      <a:ext cx="5274310" cy="2961640"/>
                    </a:xfrm>
                    <a:prstGeom prst="rect">
                      <a:avLst/>
                    </a:prstGeom>
                  </pic:spPr>
                </pic:pic>
              </a:graphicData>
            </a:graphic>
          </wp:inline>
        </w:drawing>
      </w:r>
    </w:p>
    <w:p w14:paraId="573E0143" w14:textId="1BC6AA6C" w:rsidR="006B5771" w:rsidRPr="002657D1" w:rsidRDefault="00D051F3" w:rsidP="00D051F3">
      <w:pPr>
        <w:widowControl/>
        <w:spacing w:before="120" w:afterLines="50" w:after="156" w:line="360" w:lineRule="auto"/>
        <w:rPr>
          <w:rFonts w:ascii="Times New Roman" w:hAnsi="Times New Roman" w:cs="Times New Roman"/>
          <w:color w:val="000000" w:themeColor="text1"/>
          <w:sz w:val="24"/>
          <w:szCs w:val="24"/>
        </w:rPr>
      </w:pPr>
      <w:r w:rsidRPr="002657D1">
        <w:rPr>
          <w:rFonts w:ascii="Times New Roman" w:hAnsi="Times New Roman" w:cs="Times New Roman"/>
          <w:b/>
          <w:bCs/>
          <w:color w:val="000000" w:themeColor="text1"/>
          <w:sz w:val="24"/>
          <w:szCs w:val="24"/>
        </w:rPr>
        <w:t xml:space="preserve">Supplementary Fig. </w:t>
      </w:r>
      <w:r w:rsidR="00C6394B" w:rsidRPr="002657D1">
        <w:rPr>
          <w:rFonts w:ascii="Times New Roman" w:hAnsi="Times New Roman" w:cs="Times New Roman"/>
          <w:b/>
          <w:bCs/>
          <w:color w:val="000000" w:themeColor="text1"/>
          <w:sz w:val="24"/>
          <w:szCs w:val="24"/>
        </w:rPr>
        <w:t xml:space="preserve">1 </w:t>
      </w:r>
      <w:r w:rsidR="00731E74" w:rsidRPr="002657D1">
        <w:rPr>
          <w:rFonts w:ascii="Times New Roman" w:eastAsia="等线" w:hAnsi="Times New Roman" w:cs="Times New Roman"/>
          <w:b/>
          <w:bCs/>
          <w:color w:val="000000" w:themeColor="text1"/>
          <w:sz w:val="24"/>
          <w:szCs w:val="24"/>
        </w:rPr>
        <w:t>|</w:t>
      </w:r>
      <w:r w:rsidRPr="002657D1">
        <w:rPr>
          <w:rFonts w:ascii="Times New Roman" w:hAnsi="Times New Roman" w:cs="Times New Roman"/>
          <w:color w:val="000000" w:themeColor="text1"/>
          <w:sz w:val="24"/>
          <w:szCs w:val="24"/>
        </w:rPr>
        <w:t xml:space="preserve"> </w:t>
      </w:r>
      <w:proofErr w:type="spellStart"/>
      <w:proofErr w:type="gramStart"/>
      <w:r w:rsidRPr="002657D1">
        <w:rPr>
          <w:rFonts w:ascii="Times New Roman" w:hAnsi="Times New Roman" w:cs="Times New Roman"/>
          <w:b/>
          <w:bCs/>
          <w:color w:val="000000" w:themeColor="text1"/>
          <w:sz w:val="24"/>
          <w:szCs w:val="24"/>
        </w:rPr>
        <w:t>a</w:t>
      </w:r>
      <w:r w:rsidRPr="002657D1">
        <w:rPr>
          <w:rFonts w:ascii="Times New Roman" w:hAnsi="Times New Roman" w:cs="Times New Roman"/>
          <w:color w:val="000000" w:themeColor="text1"/>
          <w:sz w:val="24"/>
          <w:szCs w:val="24"/>
        </w:rPr>
        <w:t>,</w:t>
      </w:r>
      <w:r w:rsidRPr="002657D1">
        <w:rPr>
          <w:rFonts w:ascii="Times New Roman" w:hAnsi="Times New Roman" w:cs="Times New Roman"/>
          <w:b/>
          <w:bCs/>
          <w:color w:val="000000" w:themeColor="text1"/>
          <w:sz w:val="24"/>
          <w:szCs w:val="24"/>
        </w:rPr>
        <w:t>b</w:t>
      </w:r>
      <w:proofErr w:type="spellEnd"/>
      <w:proofErr w:type="gramEnd"/>
      <w:r w:rsidRPr="002657D1">
        <w:rPr>
          <w:rFonts w:ascii="Times New Roman" w:hAnsi="Times New Roman" w:cs="Times New Roman"/>
          <w:color w:val="000000" w:themeColor="text1"/>
          <w:sz w:val="24"/>
          <w:szCs w:val="24"/>
        </w:rPr>
        <w:t xml:space="preserve"> Nyquist plots of the LZC (</w:t>
      </w:r>
      <w:r w:rsidRPr="002657D1">
        <w:rPr>
          <w:rFonts w:ascii="Times New Roman" w:hAnsi="Times New Roman" w:cs="Times New Roman"/>
          <w:b/>
          <w:bCs/>
          <w:color w:val="000000" w:themeColor="text1"/>
          <w:sz w:val="24"/>
          <w:szCs w:val="24"/>
        </w:rPr>
        <w:t>a</w:t>
      </w:r>
      <w:r w:rsidRPr="002657D1">
        <w:rPr>
          <w:rFonts w:ascii="Times New Roman" w:hAnsi="Times New Roman" w:cs="Times New Roman"/>
          <w:color w:val="000000" w:themeColor="text1"/>
          <w:sz w:val="24"/>
          <w:szCs w:val="24"/>
        </w:rPr>
        <w:t>) and 450 °C-annealed LZC (</w:t>
      </w:r>
      <w:r w:rsidRPr="002657D1">
        <w:rPr>
          <w:rFonts w:ascii="Times New Roman" w:hAnsi="Times New Roman" w:cs="Times New Roman"/>
          <w:b/>
          <w:bCs/>
          <w:color w:val="000000" w:themeColor="text1"/>
          <w:sz w:val="24"/>
          <w:szCs w:val="24"/>
        </w:rPr>
        <w:t>b</w:t>
      </w:r>
      <w:r w:rsidRPr="002657D1">
        <w:rPr>
          <w:rFonts w:ascii="Times New Roman" w:hAnsi="Times New Roman" w:cs="Times New Roman"/>
          <w:color w:val="000000" w:themeColor="text1"/>
          <w:sz w:val="24"/>
          <w:szCs w:val="24"/>
        </w:rPr>
        <w:t xml:space="preserve">). </w:t>
      </w:r>
      <w:r w:rsidRPr="002657D1">
        <w:rPr>
          <w:rFonts w:ascii="Times New Roman" w:hAnsi="Times New Roman" w:cs="Times New Roman"/>
          <w:b/>
          <w:bCs/>
          <w:color w:val="000000" w:themeColor="text1"/>
          <w:sz w:val="24"/>
          <w:szCs w:val="24"/>
        </w:rPr>
        <w:t>c</w:t>
      </w:r>
      <w:r w:rsidRPr="002657D1">
        <w:rPr>
          <w:rFonts w:ascii="Times New Roman" w:hAnsi="Times New Roman" w:cs="Times New Roman"/>
          <w:color w:val="000000" w:themeColor="text1"/>
          <w:sz w:val="24"/>
          <w:szCs w:val="24"/>
        </w:rPr>
        <w:t xml:space="preserve"> Arrhenius plots of the LZC and 450 °C-annealed LZC.</w:t>
      </w:r>
      <w:r w:rsidR="006B5771" w:rsidRPr="002657D1">
        <w:rPr>
          <w:rFonts w:ascii="Times New Roman" w:hAnsi="Times New Roman" w:cs="Times New Roman"/>
          <w:color w:val="000000" w:themeColor="text1"/>
          <w:sz w:val="24"/>
          <w:szCs w:val="24"/>
        </w:rPr>
        <w:t xml:space="preserve"> </w:t>
      </w:r>
      <w:r w:rsidR="006B5771" w:rsidRPr="002657D1">
        <w:rPr>
          <w:rFonts w:ascii="Times New Roman" w:hAnsi="Times New Roman" w:cs="Times New Roman"/>
          <w:b/>
          <w:bCs/>
          <w:color w:val="000000" w:themeColor="text1"/>
          <w:sz w:val="24"/>
          <w:szCs w:val="24"/>
        </w:rPr>
        <w:t>d</w:t>
      </w:r>
      <w:r w:rsidR="006B5771" w:rsidRPr="002657D1">
        <w:rPr>
          <w:rFonts w:ascii="Times New Roman" w:hAnsi="Times New Roman" w:cs="Times New Roman"/>
          <w:color w:val="000000" w:themeColor="text1"/>
          <w:sz w:val="24"/>
          <w:szCs w:val="24"/>
        </w:rPr>
        <w:t xml:space="preserve"> XRD patterns of the LZC and 450 °C-annealed LZC.</w:t>
      </w:r>
    </w:p>
    <w:p w14:paraId="14B59388" w14:textId="62B2AAE9" w:rsidR="005A4AE9" w:rsidRPr="002657D1" w:rsidRDefault="006B5771" w:rsidP="006B5771">
      <w:pPr>
        <w:spacing w:before="120" w:afterLines="50" w:after="156" w:line="360" w:lineRule="auto"/>
        <w:rPr>
          <w:rFonts w:ascii="Times New Roman" w:hAnsi="Times New Roman" w:cs="Times New Roman"/>
          <w:color w:val="000000" w:themeColor="text1"/>
          <w:sz w:val="24"/>
          <w:szCs w:val="24"/>
        </w:rPr>
      </w:pPr>
      <w:r w:rsidRPr="002657D1">
        <w:rPr>
          <w:rFonts w:ascii="Times New Roman" w:hAnsi="Times New Roman" w:cs="Times New Roman"/>
          <w:b/>
          <w:bCs/>
          <w:color w:val="000000" w:themeColor="text1"/>
          <w:sz w:val="24"/>
          <w:szCs w:val="24"/>
        </w:rPr>
        <w:t>Discussion:</w:t>
      </w:r>
      <w:r w:rsidRPr="002657D1">
        <w:rPr>
          <w:rFonts w:ascii="Times New Roman" w:hAnsi="Times New Roman" w:cs="Times New Roman"/>
          <w:color w:val="000000" w:themeColor="text1"/>
          <w:sz w:val="24"/>
          <w:szCs w:val="24"/>
        </w:rPr>
        <w:t xml:space="preserve"> </w:t>
      </w:r>
      <w:r w:rsidR="00907B95" w:rsidRPr="002657D1">
        <w:rPr>
          <w:rFonts w:ascii="Times New Roman" w:hAnsi="Times New Roman" w:cs="Times New Roman"/>
          <w:color w:val="000000" w:themeColor="text1"/>
          <w:sz w:val="24"/>
          <w:szCs w:val="24"/>
        </w:rPr>
        <w:t>The base material, LZC, was synthesized by ball-milling a stoichiometric mixture of LiCl and ZrCl</w:t>
      </w:r>
      <w:r w:rsidR="00907B95" w:rsidRPr="002657D1">
        <w:rPr>
          <w:rFonts w:ascii="Times New Roman" w:hAnsi="Times New Roman" w:cs="Times New Roman"/>
          <w:color w:val="000000" w:themeColor="text1"/>
          <w:sz w:val="24"/>
          <w:szCs w:val="24"/>
          <w:vertAlign w:val="subscript"/>
        </w:rPr>
        <w:t>4</w:t>
      </w:r>
      <w:r w:rsidR="00907B95" w:rsidRPr="002657D1">
        <w:rPr>
          <w:rFonts w:ascii="Times New Roman" w:hAnsi="Times New Roman" w:cs="Times New Roman"/>
          <w:color w:val="000000" w:themeColor="text1"/>
          <w:sz w:val="24"/>
          <w:szCs w:val="24"/>
        </w:rPr>
        <w:t xml:space="preserve">. The as-milled LZC </w:t>
      </w:r>
      <w:r w:rsidR="00B707D7" w:rsidRPr="002657D1">
        <w:rPr>
          <w:rFonts w:ascii="Times New Roman" w:hAnsi="Times New Roman" w:cs="Times New Roman"/>
          <w:color w:val="000000" w:themeColor="text1"/>
          <w:sz w:val="24"/>
          <w:szCs w:val="24"/>
        </w:rPr>
        <w:t xml:space="preserve">displays </w:t>
      </w:r>
      <w:r w:rsidR="00907B95" w:rsidRPr="002657D1">
        <w:rPr>
          <w:rFonts w:ascii="Times New Roman" w:hAnsi="Times New Roman" w:cs="Times New Roman"/>
          <w:color w:val="000000" w:themeColor="text1"/>
          <w:sz w:val="24"/>
          <w:szCs w:val="24"/>
        </w:rPr>
        <w:t>a markedly different ionic conductivity at room temperature compared to that of the annealed material at elevated temperatures. As evidenced by EIS measurements (</w:t>
      </w:r>
      <w:r w:rsidR="00907B95" w:rsidRPr="002657D1">
        <w:rPr>
          <w:rFonts w:ascii="Times New Roman" w:hAnsi="Times New Roman" w:cs="Times New Roman"/>
          <w:b/>
          <w:bCs/>
          <w:color w:val="000000" w:themeColor="text1"/>
          <w:sz w:val="24"/>
          <w:szCs w:val="24"/>
        </w:rPr>
        <w:t xml:space="preserve">Supplementary Fig. </w:t>
      </w:r>
      <w:r w:rsidR="00C6394B" w:rsidRPr="002657D1">
        <w:rPr>
          <w:rFonts w:ascii="Times New Roman" w:hAnsi="Times New Roman" w:cs="Times New Roman"/>
          <w:b/>
          <w:bCs/>
          <w:color w:val="000000" w:themeColor="text1"/>
          <w:sz w:val="24"/>
          <w:szCs w:val="24"/>
        </w:rPr>
        <w:t>1a</w:t>
      </w:r>
      <w:r w:rsidR="00907B95" w:rsidRPr="002657D1">
        <w:rPr>
          <w:rFonts w:ascii="Times New Roman" w:hAnsi="Times New Roman" w:cs="Times New Roman"/>
          <w:b/>
          <w:bCs/>
          <w:color w:val="000000" w:themeColor="text1"/>
          <w:sz w:val="24"/>
          <w:szCs w:val="24"/>
        </w:rPr>
        <w:t>)</w:t>
      </w:r>
      <w:r w:rsidR="00907B95" w:rsidRPr="002657D1">
        <w:rPr>
          <w:rFonts w:ascii="Times New Roman" w:hAnsi="Times New Roman" w:cs="Times New Roman"/>
          <w:color w:val="000000" w:themeColor="text1"/>
          <w:sz w:val="24"/>
          <w:szCs w:val="24"/>
        </w:rPr>
        <w:t xml:space="preserve">, the as-milled LZC exhibits a high ionic conductivity of </w:t>
      </w:r>
      <w:r w:rsidR="00AE49B8" w:rsidRPr="002657D1">
        <w:rPr>
          <w:rFonts w:ascii="Times New Roman" w:hAnsi="Times New Roman" w:cs="Times New Roman"/>
          <w:color w:val="000000" w:themeColor="text1"/>
          <w:sz w:val="24"/>
          <w:szCs w:val="24"/>
        </w:rPr>
        <w:t>0.6</w:t>
      </w:r>
      <w:r w:rsidR="00907B95" w:rsidRPr="002657D1">
        <w:rPr>
          <w:rFonts w:ascii="Times New Roman" w:hAnsi="Times New Roman" w:cs="Times New Roman"/>
          <w:color w:val="000000" w:themeColor="text1"/>
          <w:sz w:val="24"/>
          <w:szCs w:val="24"/>
        </w:rPr>
        <w:t xml:space="preserve"> mS cm</w:t>
      </w:r>
      <w:r w:rsidR="00907B95" w:rsidRPr="002657D1">
        <w:rPr>
          <w:rFonts w:ascii="Times New Roman" w:hAnsi="Times New Roman" w:cs="Times New Roman"/>
          <w:color w:val="000000" w:themeColor="text1"/>
          <w:sz w:val="24"/>
          <w:szCs w:val="24"/>
          <w:vertAlign w:val="superscript"/>
        </w:rPr>
        <w:t>−1</w:t>
      </w:r>
      <w:r w:rsidR="00907B95" w:rsidRPr="002657D1">
        <w:rPr>
          <w:rFonts w:ascii="Times New Roman" w:hAnsi="Times New Roman" w:cs="Times New Roman"/>
          <w:color w:val="000000" w:themeColor="text1"/>
          <w:sz w:val="24"/>
          <w:szCs w:val="24"/>
        </w:rPr>
        <w:t xml:space="preserve"> at room temperature. Conversely, annealing the LZC at 450 °C for 5 h significantly reduces the ionic conductivity at room temperature by two orders of magnitude, as illustrated in </w:t>
      </w:r>
      <w:r w:rsidR="00907B95" w:rsidRPr="002657D1">
        <w:rPr>
          <w:rFonts w:ascii="Times New Roman" w:hAnsi="Times New Roman" w:cs="Times New Roman"/>
          <w:b/>
          <w:bCs/>
          <w:color w:val="000000" w:themeColor="text1"/>
          <w:sz w:val="24"/>
          <w:szCs w:val="24"/>
        </w:rPr>
        <w:t xml:space="preserve">Supplementary Fig. </w:t>
      </w:r>
      <w:r w:rsidR="00C6394B" w:rsidRPr="002657D1">
        <w:rPr>
          <w:rFonts w:ascii="Times New Roman" w:hAnsi="Times New Roman" w:cs="Times New Roman"/>
          <w:b/>
          <w:bCs/>
          <w:color w:val="000000" w:themeColor="text1"/>
          <w:sz w:val="24"/>
          <w:szCs w:val="24"/>
        </w:rPr>
        <w:t>1</w:t>
      </w:r>
      <w:proofErr w:type="gramStart"/>
      <w:r w:rsidR="00C6394B" w:rsidRPr="002657D1">
        <w:rPr>
          <w:rFonts w:ascii="Times New Roman" w:hAnsi="Times New Roman" w:cs="Times New Roman"/>
          <w:b/>
          <w:bCs/>
          <w:color w:val="000000" w:themeColor="text1"/>
          <w:sz w:val="24"/>
          <w:szCs w:val="24"/>
        </w:rPr>
        <w:t>b</w:t>
      </w:r>
      <w:r w:rsidR="00907B95" w:rsidRPr="002657D1">
        <w:rPr>
          <w:rFonts w:ascii="Times New Roman" w:hAnsi="Times New Roman" w:cs="Times New Roman"/>
          <w:b/>
          <w:bCs/>
          <w:color w:val="000000" w:themeColor="text1"/>
          <w:sz w:val="24"/>
          <w:szCs w:val="24"/>
        </w:rPr>
        <w:t>,c</w:t>
      </w:r>
      <w:proofErr w:type="gramEnd"/>
      <w:r w:rsidR="00907B95" w:rsidRPr="002657D1">
        <w:rPr>
          <w:rFonts w:ascii="Times New Roman" w:hAnsi="Times New Roman" w:cs="Times New Roman"/>
          <w:color w:val="000000" w:themeColor="text1"/>
          <w:sz w:val="24"/>
          <w:szCs w:val="24"/>
        </w:rPr>
        <w:t>, where the ionic conductivity is observed to be 1.2 × 10</w:t>
      </w:r>
      <w:r w:rsidR="00907B95" w:rsidRPr="002657D1">
        <w:rPr>
          <w:rFonts w:ascii="Times New Roman" w:hAnsi="Times New Roman" w:cs="Times New Roman"/>
          <w:color w:val="000000" w:themeColor="text1"/>
          <w:sz w:val="24"/>
          <w:szCs w:val="24"/>
          <w:vertAlign w:val="superscript"/>
        </w:rPr>
        <w:t>−3</w:t>
      </w:r>
      <w:r w:rsidR="00907B95" w:rsidRPr="002657D1">
        <w:rPr>
          <w:rFonts w:ascii="Times New Roman" w:hAnsi="Times New Roman" w:cs="Times New Roman"/>
          <w:color w:val="000000" w:themeColor="text1"/>
          <w:sz w:val="24"/>
          <w:szCs w:val="24"/>
        </w:rPr>
        <w:t xml:space="preserve"> mS cm</w:t>
      </w:r>
      <w:r w:rsidR="00907B95" w:rsidRPr="002657D1">
        <w:rPr>
          <w:rFonts w:ascii="Times New Roman" w:hAnsi="Times New Roman" w:cs="Times New Roman"/>
          <w:color w:val="000000" w:themeColor="text1"/>
          <w:sz w:val="24"/>
          <w:szCs w:val="24"/>
          <w:vertAlign w:val="superscript"/>
        </w:rPr>
        <w:t>−1</w:t>
      </w:r>
      <w:r w:rsidR="00907B95" w:rsidRPr="002657D1">
        <w:rPr>
          <w:rFonts w:ascii="Times New Roman" w:hAnsi="Times New Roman" w:cs="Times New Roman"/>
          <w:color w:val="000000" w:themeColor="text1"/>
          <w:sz w:val="24"/>
          <w:szCs w:val="24"/>
        </w:rPr>
        <w:t xml:space="preserve">. The XRD patterns of the as-milled and 450 °C-annealed LZC are displayed in </w:t>
      </w:r>
      <w:r w:rsidR="00907B95" w:rsidRPr="002657D1">
        <w:rPr>
          <w:rFonts w:ascii="Times New Roman" w:hAnsi="Times New Roman" w:cs="Times New Roman"/>
          <w:b/>
          <w:bCs/>
          <w:color w:val="000000" w:themeColor="text1"/>
          <w:sz w:val="24"/>
          <w:szCs w:val="24"/>
        </w:rPr>
        <w:t xml:space="preserve">Supplementary Fig. </w:t>
      </w:r>
      <w:r w:rsidR="00C6394B" w:rsidRPr="002657D1">
        <w:rPr>
          <w:rFonts w:ascii="Times New Roman" w:hAnsi="Times New Roman" w:cs="Times New Roman"/>
          <w:b/>
          <w:bCs/>
          <w:color w:val="000000" w:themeColor="text1"/>
          <w:sz w:val="24"/>
          <w:szCs w:val="24"/>
        </w:rPr>
        <w:t>1d</w:t>
      </w:r>
      <w:r w:rsidR="00907B95" w:rsidRPr="002657D1">
        <w:rPr>
          <w:rFonts w:ascii="Times New Roman" w:hAnsi="Times New Roman" w:cs="Times New Roman"/>
          <w:b/>
          <w:bCs/>
          <w:color w:val="000000" w:themeColor="text1"/>
          <w:sz w:val="24"/>
          <w:szCs w:val="24"/>
        </w:rPr>
        <w:t>.</w:t>
      </w:r>
      <w:r w:rsidR="00907B95" w:rsidRPr="002657D1">
        <w:rPr>
          <w:rFonts w:ascii="Times New Roman" w:hAnsi="Times New Roman" w:cs="Times New Roman"/>
          <w:color w:val="000000" w:themeColor="text1"/>
          <w:sz w:val="24"/>
          <w:szCs w:val="24"/>
        </w:rPr>
        <w:t xml:space="preserve"> The as-milled LZC displays weak and diffuse reflections, indicating that the intense planetary milling process has led to a low degree of crystallinity. The main peaks of the as-milled LZC align with those of trigonal Li</w:t>
      </w:r>
      <w:r w:rsidR="00907B95" w:rsidRPr="002657D1">
        <w:rPr>
          <w:rFonts w:ascii="Times New Roman" w:hAnsi="Times New Roman" w:cs="Times New Roman"/>
          <w:color w:val="000000" w:themeColor="text1"/>
          <w:sz w:val="24"/>
          <w:szCs w:val="24"/>
          <w:vertAlign w:val="subscript"/>
        </w:rPr>
        <w:t>3</w:t>
      </w:r>
      <w:r w:rsidR="00907B95" w:rsidRPr="002657D1">
        <w:rPr>
          <w:rFonts w:ascii="Times New Roman" w:hAnsi="Times New Roman" w:cs="Times New Roman"/>
          <w:color w:val="000000" w:themeColor="text1"/>
          <w:sz w:val="24"/>
          <w:szCs w:val="24"/>
        </w:rPr>
        <w:t>YCl</w:t>
      </w:r>
      <w:r w:rsidR="00907B95" w:rsidRPr="002657D1">
        <w:rPr>
          <w:rFonts w:ascii="Times New Roman" w:hAnsi="Times New Roman" w:cs="Times New Roman"/>
          <w:color w:val="000000" w:themeColor="text1"/>
          <w:sz w:val="24"/>
          <w:szCs w:val="24"/>
          <w:vertAlign w:val="subscript"/>
        </w:rPr>
        <w:t>6</w:t>
      </w:r>
      <w:r w:rsidR="00907B95" w:rsidRPr="002657D1">
        <w:rPr>
          <w:rFonts w:ascii="Times New Roman" w:hAnsi="Times New Roman" w:cs="Times New Roman"/>
          <w:color w:val="000000" w:themeColor="text1"/>
          <w:sz w:val="24"/>
          <w:szCs w:val="24"/>
        </w:rPr>
        <w:t xml:space="preserve">, which crystallizes with the </w:t>
      </w:r>
      <m:oMath>
        <m:r>
          <m:rPr>
            <m:nor/>
          </m:rPr>
          <w:rPr>
            <w:rFonts w:ascii="Times New Roman" w:hAnsi="Times New Roman" w:cs="Times New Roman"/>
            <w:i/>
            <w:iCs/>
            <w:color w:val="000000" w:themeColor="text1"/>
            <w:sz w:val="24"/>
            <w:szCs w:val="24"/>
          </w:rPr>
          <m:t>P</m:t>
        </m:r>
        <m:acc>
          <m:accPr>
            <m:chr m:val="̅"/>
            <m:ctrlPr>
              <w:rPr>
                <w:rFonts w:ascii="Cambria Math" w:hAnsi="Cambria Math" w:cs="Times New Roman"/>
                <w:i/>
                <w:iCs/>
                <w:color w:val="000000" w:themeColor="text1"/>
                <w:sz w:val="24"/>
                <w:szCs w:val="24"/>
              </w:rPr>
            </m:ctrlPr>
          </m:accPr>
          <m:e>
            <m:r>
              <m:rPr>
                <m:nor/>
              </m:rPr>
              <w:rPr>
                <w:rFonts w:ascii="Times New Roman" w:hAnsi="Times New Roman" w:cs="Times New Roman"/>
                <w:i/>
                <w:iCs/>
                <w:color w:val="000000" w:themeColor="text1"/>
                <w:sz w:val="24"/>
                <w:szCs w:val="24"/>
              </w:rPr>
              <m:t>3</m:t>
            </m:r>
          </m:e>
        </m:acc>
        <m:r>
          <m:rPr>
            <m:nor/>
          </m:rPr>
          <w:rPr>
            <w:rFonts w:ascii="Times New Roman" w:hAnsi="Times New Roman" w:cs="Times New Roman"/>
            <w:i/>
            <w:iCs/>
            <w:color w:val="000000" w:themeColor="text1"/>
            <w:sz w:val="24"/>
            <w:szCs w:val="24"/>
          </w:rPr>
          <m:t>m1</m:t>
        </m:r>
      </m:oMath>
      <w:r w:rsidR="00907B95" w:rsidRPr="002657D1">
        <w:rPr>
          <w:rFonts w:ascii="Times New Roman" w:hAnsi="Times New Roman" w:cs="Times New Roman"/>
          <w:color w:val="000000" w:themeColor="text1"/>
          <w:sz w:val="24"/>
          <w:szCs w:val="24"/>
        </w:rPr>
        <w:t xml:space="preserve"> symmetry. In contrast, the 450 °C-annealed LZC not only demonstrates enhanced crystallinity and sharper reflections but also exhibits a </w:t>
      </w:r>
      <w:r w:rsidR="00907B95" w:rsidRPr="002657D1">
        <w:rPr>
          <w:rFonts w:ascii="Times New Roman" w:hAnsi="Times New Roman" w:cs="Times New Roman"/>
          <w:color w:val="000000" w:themeColor="text1"/>
          <w:sz w:val="24"/>
          <w:szCs w:val="24"/>
        </w:rPr>
        <w:lastRenderedPageBreak/>
        <w:t>different crystal structure. The reflections closely correspond to those of monoclinic Li</w:t>
      </w:r>
      <w:r w:rsidR="00907B95" w:rsidRPr="002657D1">
        <w:rPr>
          <w:rFonts w:ascii="Times New Roman" w:hAnsi="Times New Roman" w:cs="Times New Roman"/>
          <w:color w:val="000000" w:themeColor="text1"/>
          <w:sz w:val="24"/>
          <w:szCs w:val="24"/>
          <w:vertAlign w:val="subscript"/>
        </w:rPr>
        <w:t>3</w:t>
      </w:r>
      <w:r w:rsidR="00907B95" w:rsidRPr="002657D1">
        <w:rPr>
          <w:rFonts w:ascii="Times New Roman" w:hAnsi="Times New Roman" w:cs="Times New Roman"/>
          <w:color w:val="000000" w:themeColor="text1"/>
          <w:sz w:val="24"/>
          <w:szCs w:val="24"/>
        </w:rPr>
        <w:t>InCl</w:t>
      </w:r>
      <w:r w:rsidR="00907B95" w:rsidRPr="002657D1">
        <w:rPr>
          <w:rFonts w:ascii="Times New Roman" w:hAnsi="Times New Roman" w:cs="Times New Roman"/>
          <w:color w:val="000000" w:themeColor="text1"/>
          <w:sz w:val="24"/>
          <w:szCs w:val="24"/>
          <w:vertAlign w:val="subscript"/>
        </w:rPr>
        <w:t>6</w:t>
      </w:r>
      <w:r w:rsidR="008A488D" w:rsidRPr="002657D1">
        <w:rPr>
          <w:rFonts w:ascii="Times New Roman" w:hAnsi="Times New Roman" w:cs="Times New Roman"/>
          <w:color w:val="000000" w:themeColor="text1"/>
          <w:sz w:val="24"/>
          <w:szCs w:val="24"/>
        </w:rPr>
        <w:t xml:space="preserve"> (</w:t>
      </w:r>
      <m:oMath>
        <m:r>
          <m:rPr>
            <m:nor/>
          </m:rPr>
          <w:rPr>
            <w:rFonts w:ascii="Times New Roman" w:hAnsi="Times New Roman" w:cs="Times New Roman"/>
            <w:i/>
            <w:color w:val="000000" w:themeColor="text1"/>
            <w:sz w:val="24"/>
            <w:szCs w:val="24"/>
          </w:rPr>
          <m:t>C2/m</m:t>
        </m:r>
      </m:oMath>
      <w:r w:rsidR="008A488D" w:rsidRPr="002657D1">
        <w:rPr>
          <w:rFonts w:ascii="Times New Roman" w:hAnsi="Times New Roman" w:cs="Times New Roman"/>
          <w:color w:val="000000" w:themeColor="text1"/>
          <w:sz w:val="24"/>
          <w:szCs w:val="24"/>
        </w:rPr>
        <w:t xml:space="preserve"> space group)</w:t>
      </w:r>
      <w:r w:rsidR="00907B95" w:rsidRPr="002657D1">
        <w:rPr>
          <w:rFonts w:ascii="Times New Roman" w:hAnsi="Times New Roman" w:cs="Times New Roman"/>
          <w:color w:val="000000" w:themeColor="text1"/>
          <w:sz w:val="24"/>
          <w:szCs w:val="24"/>
        </w:rPr>
        <w:t>. It is evident that, unlike other HSEs, LZC transforms both crystallinity and crystal structure upon annealing at high temperatures.</w:t>
      </w:r>
      <w:r w:rsidR="005A4AE9" w:rsidRPr="002657D1">
        <w:rPr>
          <w:rFonts w:ascii="Times New Roman" w:hAnsi="Times New Roman" w:cs="Times New Roman"/>
          <w:color w:val="000000" w:themeColor="text1"/>
          <w:sz w:val="24"/>
          <w:szCs w:val="24"/>
        </w:rPr>
        <w:br w:type="page"/>
      </w:r>
    </w:p>
    <w:p w14:paraId="30F4828F" w14:textId="795E9499" w:rsidR="00E46018" w:rsidRPr="002657D1" w:rsidRDefault="00E46018" w:rsidP="00751A49">
      <w:pPr>
        <w:spacing w:before="120" w:afterLines="50" w:after="156" w:line="360" w:lineRule="auto"/>
        <w:jc w:val="center"/>
        <w:rPr>
          <w:rFonts w:ascii="Times New Roman" w:hAnsi="Times New Roman" w:cs="Times New Roman"/>
          <w:color w:val="000000" w:themeColor="text1"/>
        </w:rPr>
      </w:pPr>
      <w:r w:rsidRPr="002657D1">
        <w:rPr>
          <w:rFonts w:ascii="Times New Roman" w:hAnsi="Times New Roman" w:cs="Times New Roman"/>
          <w:noProof/>
          <w:color w:val="000000" w:themeColor="text1"/>
        </w:rPr>
        <w:lastRenderedPageBreak/>
        <w:drawing>
          <wp:inline distT="0" distB="0" distL="0" distR="0" wp14:anchorId="3C77B2D5" wp14:editId="3C42AA2A">
            <wp:extent cx="4320000" cy="1353110"/>
            <wp:effectExtent l="0" t="0" r="4445" b="0"/>
            <wp:docPr id="20219963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996357" name="图片 2021996357"/>
                    <pic:cNvPicPr/>
                  </pic:nvPicPr>
                  <pic:blipFill>
                    <a:blip r:embed="rId16"/>
                    <a:stretch>
                      <a:fillRect/>
                    </a:stretch>
                  </pic:blipFill>
                  <pic:spPr>
                    <a:xfrm>
                      <a:off x="0" y="0"/>
                      <a:ext cx="4320000" cy="1353110"/>
                    </a:xfrm>
                    <a:prstGeom prst="rect">
                      <a:avLst/>
                    </a:prstGeom>
                  </pic:spPr>
                </pic:pic>
              </a:graphicData>
            </a:graphic>
          </wp:inline>
        </w:drawing>
      </w:r>
    </w:p>
    <w:p w14:paraId="36EB8A7A" w14:textId="7DF35E62" w:rsidR="00E46018" w:rsidRPr="002657D1" w:rsidRDefault="007E58F4" w:rsidP="00751A49">
      <w:pPr>
        <w:pStyle w:val="ac"/>
        <w:spacing w:before="0" w:beforeAutospacing="0" w:after="0" w:afterAutospacing="0" w:line="360" w:lineRule="auto"/>
        <w:jc w:val="both"/>
        <w:rPr>
          <w:rFonts w:ascii="Times New Roman" w:hAnsi="Times New Roman" w:cs="Times New Roman"/>
          <w:b/>
          <w:bCs/>
          <w:color w:val="000000" w:themeColor="text1"/>
          <w:kern w:val="24"/>
          <w:sz w:val="32"/>
          <w:szCs w:val="32"/>
        </w:rPr>
      </w:pPr>
      <w:r w:rsidRPr="002657D1">
        <w:rPr>
          <w:rFonts w:ascii="Times New Roman" w:eastAsiaTheme="minorEastAsia" w:hAnsi="Times New Roman" w:cs="Times New Roman"/>
          <w:b/>
          <w:bCs/>
          <w:color w:val="000000" w:themeColor="text1"/>
          <w:kern w:val="24"/>
        </w:rPr>
        <w:t>Supplementary Fig. 2 |</w:t>
      </w:r>
      <w:r w:rsidRPr="002657D1">
        <w:rPr>
          <w:rFonts w:ascii="Times New Roman" w:eastAsiaTheme="minorEastAsia" w:hAnsi="Times New Roman" w:cs="Times New Roman"/>
          <w:color w:val="000000" w:themeColor="text1"/>
          <w:kern w:val="24"/>
        </w:rPr>
        <w:t xml:space="preserve"> </w:t>
      </w:r>
      <w:r w:rsidRPr="002657D1">
        <w:rPr>
          <w:rFonts w:ascii="Times New Roman" w:eastAsiaTheme="minorEastAsia" w:hAnsi="Times New Roman" w:cs="Times New Roman"/>
          <w:b/>
          <w:bCs/>
          <w:color w:val="000000" w:themeColor="text1"/>
          <w:kern w:val="24"/>
        </w:rPr>
        <w:t>a</w:t>
      </w:r>
      <w:r w:rsidRPr="002657D1">
        <w:rPr>
          <w:rFonts w:ascii="Times New Roman" w:eastAsiaTheme="minorEastAsia" w:hAnsi="Times New Roman" w:cs="Times New Roman"/>
          <w:color w:val="000000" w:themeColor="text1"/>
          <w:kern w:val="24"/>
        </w:rPr>
        <w:t xml:space="preserve"> </w:t>
      </w:r>
      <w:proofErr w:type="spellStart"/>
      <w:r w:rsidRPr="002657D1">
        <w:rPr>
          <w:rFonts w:ascii="Times New Roman" w:eastAsiaTheme="minorEastAsia" w:hAnsi="Times New Roman" w:cs="Times New Roman"/>
          <w:color w:val="000000" w:themeColor="text1"/>
          <w:kern w:val="24"/>
        </w:rPr>
        <w:t>A</w:t>
      </w:r>
      <w:proofErr w:type="spellEnd"/>
      <w:r w:rsidRPr="002657D1">
        <w:rPr>
          <w:rFonts w:ascii="Times New Roman" w:eastAsiaTheme="minorEastAsia" w:hAnsi="Times New Roman" w:cs="Times New Roman"/>
          <w:color w:val="000000" w:themeColor="text1"/>
          <w:kern w:val="24"/>
        </w:rPr>
        <w:t xml:space="preserve"> top view of the ZrCl</w:t>
      </w:r>
      <w:r w:rsidRPr="002657D1">
        <w:rPr>
          <w:rFonts w:ascii="Times New Roman" w:eastAsiaTheme="minorEastAsia" w:hAnsi="Times New Roman" w:cs="Times New Roman"/>
          <w:color w:val="000000" w:themeColor="text1"/>
          <w:kern w:val="24"/>
          <w:vertAlign w:val="subscript"/>
        </w:rPr>
        <w:t>6</w:t>
      </w:r>
      <w:r w:rsidRPr="002657D1">
        <w:rPr>
          <w:rFonts w:ascii="Times New Roman" w:eastAsiaTheme="minorEastAsia" w:hAnsi="Times New Roman" w:cs="Times New Roman"/>
          <w:color w:val="000000" w:themeColor="text1"/>
          <w:kern w:val="24"/>
        </w:rPr>
        <w:t xml:space="preserve"> lattice along the </w:t>
      </w:r>
      <w:r w:rsidRPr="002657D1">
        <w:rPr>
          <w:rFonts w:ascii="Times New Roman" w:eastAsiaTheme="minorEastAsia" w:hAnsi="Times New Roman" w:cs="Times New Roman"/>
          <w:i/>
          <w:iCs/>
          <w:color w:val="000000" w:themeColor="text1"/>
          <w:kern w:val="24"/>
        </w:rPr>
        <w:t>c</w:t>
      </w:r>
      <w:r w:rsidRPr="002657D1">
        <w:rPr>
          <w:rFonts w:ascii="Times New Roman" w:eastAsiaTheme="minorEastAsia" w:hAnsi="Times New Roman" w:cs="Times New Roman"/>
          <w:color w:val="000000" w:themeColor="text1"/>
          <w:kern w:val="24"/>
        </w:rPr>
        <w:t xml:space="preserve">-axis is presented, with the unit cell outlined by the lines. The structure features intrinsically preexisting channels along the </w:t>
      </w:r>
      <w:r w:rsidRPr="002657D1">
        <w:rPr>
          <w:rFonts w:ascii="Times New Roman" w:eastAsiaTheme="minorEastAsia" w:hAnsi="Times New Roman" w:cs="Times New Roman"/>
          <w:i/>
          <w:iCs/>
          <w:color w:val="000000" w:themeColor="text1"/>
          <w:kern w:val="24"/>
        </w:rPr>
        <w:t>c</w:t>
      </w:r>
      <w:r w:rsidRPr="002657D1">
        <w:rPr>
          <w:rFonts w:ascii="Times New Roman" w:eastAsiaTheme="minorEastAsia" w:hAnsi="Times New Roman" w:cs="Times New Roman"/>
          <w:color w:val="000000" w:themeColor="text1"/>
          <w:kern w:val="24"/>
        </w:rPr>
        <w:t xml:space="preserve">-axis, with an inner diameter of 5.1 Å. </w:t>
      </w:r>
      <w:r w:rsidRPr="002657D1">
        <w:rPr>
          <w:rFonts w:ascii="Times New Roman" w:eastAsiaTheme="minorEastAsia" w:hAnsi="Times New Roman" w:cs="Times New Roman"/>
          <w:b/>
          <w:bCs/>
          <w:color w:val="000000" w:themeColor="text1"/>
          <w:kern w:val="24"/>
        </w:rPr>
        <w:t>b</w:t>
      </w:r>
      <w:r w:rsidRPr="002657D1">
        <w:rPr>
          <w:rFonts w:ascii="Times New Roman" w:eastAsiaTheme="minorEastAsia" w:hAnsi="Times New Roman" w:cs="Times New Roman"/>
          <w:color w:val="000000" w:themeColor="text1"/>
          <w:kern w:val="24"/>
        </w:rPr>
        <w:t xml:space="preserve"> A side view of the ZrCl</w:t>
      </w:r>
      <w:r w:rsidRPr="002657D1">
        <w:rPr>
          <w:rFonts w:ascii="Times New Roman" w:eastAsiaTheme="minorEastAsia" w:hAnsi="Times New Roman" w:cs="Times New Roman"/>
          <w:color w:val="000000" w:themeColor="text1"/>
          <w:kern w:val="24"/>
          <w:vertAlign w:val="subscript"/>
        </w:rPr>
        <w:t>6</w:t>
      </w:r>
      <w:r w:rsidRPr="002657D1">
        <w:rPr>
          <w:rFonts w:ascii="Times New Roman" w:eastAsiaTheme="minorEastAsia" w:hAnsi="Times New Roman" w:cs="Times New Roman"/>
          <w:color w:val="000000" w:themeColor="text1"/>
          <w:kern w:val="24"/>
        </w:rPr>
        <w:t xml:space="preserve"> lattice reveals the Zr </w:t>
      </w:r>
      <w:proofErr w:type="spellStart"/>
      <w:r w:rsidRPr="002657D1">
        <w:rPr>
          <w:rFonts w:ascii="Times New Roman" w:eastAsiaTheme="minorEastAsia" w:hAnsi="Times New Roman" w:cs="Times New Roman"/>
          <w:color w:val="000000" w:themeColor="text1"/>
          <w:kern w:val="24"/>
        </w:rPr>
        <w:t>polyhedra</w:t>
      </w:r>
      <w:proofErr w:type="spellEnd"/>
      <w:r w:rsidRPr="002657D1">
        <w:rPr>
          <w:rFonts w:ascii="Times New Roman" w:eastAsiaTheme="minorEastAsia" w:hAnsi="Times New Roman" w:cs="Times New Roman"/>
          <w:color w:val="000000" w:themeColor="text1"/>
          <w:kern w:val="24"/>
        </w:rPr>
        <w:t xml:space="preserve"> arranged in an ABA stacking configuration, providing sufficient interlayer space for in-plane Li⁺ migration. The presence of Li ions within the lattice suggests migration both along the </w:t>
      </w:r>
      <w:r w:rsidRPr="002657D1">
        <w:rPr>
          <w:rFonts w:ascii="Times New Roman" w:eastAsiaTheme="minorEastAsia" w:hAnsi="Times New Roman" w:cs="Times New Roman"/>
          <w:i/>
          <w:iCs/>
          <w:color w:val="000000" w:themeColor="text1"/>
          <w:kern w:val="24"/>
        </w:rPr>
        <w:t>c</w:t>
      </w:r>
      <w:r w:rsidRPr="002657D1">
        <w:rPr>
          <w:rFonts w:ascii="Times New Roman" w:eastAsiaTheme="minorEastAsia" w:hAnsi="Times New Roman" w:cs="Times New Roman"/>
          <w:color w:val="000000" w:themeColor="text1"/>
          <w:kern w:val="24"/>
        </w:rPr>
        <w:t>-axis and in the plane.</w:t>
      </w:r>
    </w:p>
    <w:p w14:paraId="66A23766" w14:textId="01835558" w:rsidR="00E46018" w:rsidRPr="002657D1" w:rsidRDefault="007E58F4" w:rsidP="00751A49">
      <w:pPr>
        <w:spacing w:before="120" w:afterLines="50" w:after="156" w:line="360" w:lineRule="auto"/>
        <w:rPr>
          <w:rFonts w:ascii="Times New Roman" w:hAnsi="Times New Roman" w:cs="Times New Roman"/>
          <w:color w:val="000000" w:themeColor="text1"/>
        </w:rPr>
      </w:pPr>
      <w:r w:rsidRPr="002657D1">
        <w:rPr>
          <w:rFonts w:ascii="Times New Roman" w:hAnsi="Times New Roman" w:cs="Times New Roman"/>
          <w:b/>
          <w:bCs/>
          <w:color w:val="000000" w:themeColor="text1"/>
          <w:sz w:val="24"/>
          <w:szCs w:val="24"/>
        </w:rPr>
        <w:t>Discussion:</w:t>
      </w:r>
      <w:r w:rsidRPr="002657D1">
        <w:rPr>
          <w:rFonts w:ascii="Times New Roman" w:hAnsi="Times New Roman" w:cs="Times New Roman"/>
          <w:color w:val="000000" w:themeColor="text1"/>
          <w:sz w:val="24"/>
          <w:szCs w:val="24"/>
        </w:rPr>
        <w:t xml:space="preserve"> </w:t>
      </w:r>
      <w:r w:rsidRPr="002657D1">
        <w:rPr>
          <w:rFonts w:ascii="Times New Roman" w:hAnsi="Times New Roman" w:cs="Times New Roman"/>
          <w:b/>
          <w:bCs/>
          <w:color w:val="000000" w:themeColor="text1"/>
          <w:sz w:val="24"/>
          <w:szCs w:val="24"/>
        </w:rPr>
        <w:t xml:space="preserve">Supplementary Fig. </w:t>
      </w:r>
      <w:r w:rsidRPr="002657D1">
        <w:rPr>
          <w:rFonts w:ascii="Times New Roman" w:hAnsi="Times New Roman" w:cs="Times New Roman" w:hint="eastAsia"/>
          <w:b/>
          <w:bCs/>
          <w:color w:val="000000" w:themeColor="text1"/>
          <w:sz w:val="24"/>
          <w:szCs w:val="24"/>
        </w:rPr>
        <w:t>2</w:t>
      </w:r>
      <w:r w:rsidRPr="002657D1">
        <w:rPr>
          <w:rFonts w:ascii="Times New Roman" w:hAnsi="Times New Roman" w:cs="Times New Roman"/>
          <w:color w:val="000000" w:themeColor="text1"/>
          <w:sz w:val="24"/>
          <w:szCs w:val="24"/>
        </w:rPr>
        <w:t xml:space="preserve"> illustrates the trigonal-phase LZC lattice, which features an extensive network of one-dimensional (1D) channels aligned along the </w:t>
      </w:r>
      <w:r w:rsidRPr="002657D1">
        <w:rPr>
          <w:rFonts w:ascii="Times New Roman" w:hAnsi="Times New Roman" w:cs="Times New Roman"/>
          <w:i/>
          <w:iCs/>
          <w:color w:val="000000" w:themeColor="text1"/>
          <w:sz w:val="24"/>
          <w:szCs w:val="24"/>
        </w:rPr>
        <w:t>c</w:t>
      </w:r>
      <w:r w:rsidRPr="002657D1">
        <w:rPr>
          <w:rFonts w:ascii="Times New Roman" w:hAnsi="Times New Roman" w:cs="Times New Roman"/>
          <w:color w:val="000000" w:themeColor="text1"/>
          <w:sz w:val="24"/>
          <w:szCs w:val="24"/>
        </w:rPr>
        <w:t>-axis, each with an inner diameter of 5.1 Å. These channels, formed by [ZrCl</w:t>
      </w:r>
      <w:r w:rsidRPr="002657D1">
        <w:rPr>
          <w:rFonts w:ascii="Times New Roman" w:hAnsi="Times New Roman" w:cs="Times New Roman"/>
          <w:color w:val="000000" w:themeColor="text1"/>
          <w:sz w:val="24"/>
          <w:szCs w:val="24"/>
          <w:vertAlign w:val="subscript"/>
        </w:rPr>
        <w:t>6</w:t>
      </w:r>
      <w:r w:rsidRPr="002657D1">
        <w:rPr>
          <w:rFonts w:ascii="Times New Roman" w:hAnsi="Times New Roman" w:cs="Times New Roman"/>
          <w:color w:val="000000" w:themeColor="text1"/>
          <w:sz w:val="24"/>
          <w:szCs w:val="24"/>
        </w:rPr>
        <w:t>] octahedra in an ABA stacking arrangement, provide abundant sites for Li</w:t>
      </w:r>
      <w:r w:rsidRPr="002657D1">
        <w:rPr>
          <w:rFonts w:ascii="Times New Roman" w:hAnsi="Times New Roman" w:cs="Times New Roman"/>
          <w:color w:val="000000" w:themeColor="text1"/>
          <w:sz w:val="24"/>
          <w:szCs w:val="24"/>
          <w:vertAlign w:val="superscript"/>
        </w:rPr>
        <w:t>+</w:t>
      </w:r>
      <w:r w:rsidRPr="002657D1">
        <w:rPr>
          <w:rFonts w:ascii="Times New Roman" w:hAnsi="Times New Roman" w:cs="Times New Roman"/>
          <w:color w:val="000000" w:themeColor="text1"/>
          <w:sz w:val="24"/>
          <w:szCs w:val="24"/>
        </w:rPr>
        <w:t xml:space="preserve"> migration. Additionally, the interatomic spacing between Zr atoms within the </w:t>
      </w:r>
      <w:r w:rsidRPr="002657D1">
        <w:rPr>
          <w:rFonts w:ascii="Times New Roman" w:hAnsi="Times New Roman" w:cs="Times New Roman"/>
          <w:i/>
          <w:iCs/>
          <w:color w:val="000000" w:themeColor="text1"/>
          <w:sz w:val="24"/>
          <w:szCs w:val="24"/>
        </w:rPr>
        <w:t>a-b</w:t>
      </w:r>
      <w:r w:rsidRPr="002657D1">
        <w:rPr>
          <w:rFonts w:ascii="Times New Roman" w:hAnsi="Times New Roman" w:cs="Times New Roman"/>
          <w:color w:val="000000" w:themeColor="text1"/>
          <w:sz w:val="24"/>
          <w:szCs w:val="24"/>
        </w:rPr>
        <w:t xml:space="preserve"> plane establishes secondary diffusion pathways along both the </w:t>
      </w:r>
      <w:r w:rsidRPr="002657D1">
        <w:rPr>
          <w:rFonts w:ascii="Times New Roman" w:hAnsi="Times New Roman" w:cs="Times New Roman"/>
          <w:i/>
          <w:iCs/>
          <w:color w:val="000000" w:themeColor="text1"/>
          <w:sz w:val="24"/>
          <w:szCs w:val="24"/>
        </w:rPr>
        <w:t>a</w:t>
      </w:r>
      <w:r w:rsidRPr="002657D1">
        <w:rPr>
          <w:rFonts w:ascii="Times New Roman" w:hAnsi="Times New Roman" w:cs="Times New Roman"/>
          <w:color w:val="000000" w:themeColor="text1"/>
          <w:sz w:val="24"/>
          <w:szCs w:val="24"/>
        </w:rPr>
        <w:t xml:space="preserve">- and </w:t>
      </w:r>
      <w:r w:rsidRPr="002657D1">
        <w:rPr>
          <w:rFonts w:ascii="Times New Roman" w:hAnsi="Times New Roman" w:cs="Times New Roman"/>
          <w:i/>
          <w:iCs/>
          <w:color w:val="000000" w:themeColor="text1"/>
          <w:sz w:val="24"/>
          <w:szCs w:val="24"/>
        </w:rPr>
        <w:t>b</w:t>
      </w:r>
      <w:r w:rsidRPr="002657D1">
        <w:rPr>
          <w:rFonts w:ascii="Times New Roman" w:hAnsi="Times New Roman" w:cs="Times New Roman"/>
          <w:color w:val="000000" w:themeColor="text1"/>
          <w:sz w:val="24"/>
          <w:szCs w:val="24"/>
        </w:rPr>
        <w:t>-axes.</w:t>
      </w:r>
      <w:r w:rsidR="00E46018" w:rsidRPr="002657D1">
        <w:rPr>
          <w:rFonts w:ascii="Times New Roman" w:hAnsi="Times New Roman" w:cs="Times New Roman"/>
          <w:color w:val="000000" w:themeColor="text1"/>
        </w:rPr>
        <w:br w:type="page"/>
      </w:r>
    </w:p>
    <w:p w14:paraId="5B47265D" w14:textId="2ED2C793" w:rsidR="00D051F3" w:rsidRPr="002657D1" w:rsidRDefault="00896E26" w:rsidP="006E2D38">
      <w:pPr>
        <w:widowControl/>
        <w:spacing w:before="120" w:afterLines="50" w:after="156" w:line="360" w:lineRule="auto"/>
        <w:rPr>
          <w:rFonts w:ascii="Times New Roman" w:hAnsi="Times New Roman" w:cs="Times New Roman"/>
          <w:color w:val="000000" w:themeColor="text1"/>
        </w:rPr>
      </w:pPr>
      <w:r w:rsidRPr="002657D1">
        <w:rPr>
          <w:rFonts w:ascii="Times New Roman" w:hAnsi="Times New Roman" w:cs="Times New Roman" w:hint="eastAsia"/>
          <w:noProof/>
          <w:color w:val="000000" w:themeColor="text1"/>
        </w:rPr>
        <w:lastRenderedPageBreak/>
        <w:drawing>
          <wp:inline distT="0" distB="0" distL="0" distR="0" wp14:anchorId="3AA7491C" wp14:editId="293B4805">
            <wp:extent cx="5274310" cy="2860040"/>
            <wp:effectExtent l="0" t="0" r="0" b="0"/>
            <wp:docPr id="10506580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658093" name="图片 1050658093"/>
                    <pic:cNvPicPr/>
                  </pic:nvPicPr>
                  <pic:blipFill>
                    <a:blip r:embed="rId17"/>
                    <a:stretch>
                      <a:fillRect/>
                    </a:stretch>
                  </pic:blipFill>
                  <pic:spPr>
                    <a:xfrm>
                      <a:off x="0" y="0"/>
                      <a:ext cx="5274310" cy="2860040"/>
                    </a:xfrm>
                    <a:prstGeom prst="rect">
                      <a:avLst/>
                    </a:prstGeom>
                  </pic:spPr>
                </pic:pic>
              </a:graphicData>
            </a:graphic>
          </wp:inline>
        </w:drawing>
      </w:r>
    </w:p>
    <w:p w14:paraId="1A18A98E" w14:textId="35156402" w:rsidR="004F598C" w:rsidRPr="002657D1" w:rsidRDefault="00993698" w:rsidP="004A3C4C">
      <w:pPr>
        <w:pStyle w:val="ac"/>
        <w:spacing w:before="0" w:beforeAutospacing="0" w:after="0" w:afterAutospacing="0" w:line="360" w:lineRule="auto"/>
        <w:jc w:val="both"/>
        <w:rPr>
          <w:rFonts w:ascii="Times New Roman" w:eastAsia="等线" w:hAnsi="Times New Roman" w:cs="Times New Roman"/>
          <w:color w:val="000000" w:themeColor="text1"/>
          <w:kern w:val="24"/>
        </w:rPr>
      </w:pPr>
      <w:r w:rsidRPr="002657D1">
        <w:rPr>
          <w:rFonts w:ascii="Times New Roman" w:eastAsia="等线" w:hAnsi="Times New Roman" w:cs="Times New Roman"/>
          <w:b/>
          <w:bCs/>
          <w:color w:val="000000" w:themeColor="text1"/>
          <w:kern w:val="24"/>
        </w:rPr>
        <w:t xml:space="preserve">Supplementary Fig. </w:t>
      </w:r>
      <w:r w:rsidR="003C7B87" w:rsidRPr="002657D1">
        <w:rPr>
          <w:rFonts w:ascii="Times New Roman" w:eastAsia="等线" w:hAnsi="Times New Roman" w:cs="Times New Roman" w:hint="eastAsia"/>
          <w:b/>
          <w:bCs/>
          <w:color w:val="000000" w:themeColor="text1"/>
          <w:kern w:val="24"/>
        </w:rPr>
        <w:t>3</w:t>
      </w:r>
      <w:r w:rsidR="003C7B87" w:rsidRPr="002657D1">
        <w:rPr>
          <w:rFonts w:ascii="Times New Roman" w:eastAsia="等线" w:hAnsi="Times New Roman" w:cs="Times New Roman"/>
          <w:b/>
          <w:bCs/>
          <w:color w:val="000000" w:themeColor="text1"/>
          <w:kern w:val="24"/>
        </w:rPr>
        <w:t xml:space="preserve"> </w:t>
      </w:r>
      <w:r w:rsidRPr="002657D1">
        <w:rPr>
          <w:rFonts w:ascii="Times New Roman" w:eastAsia="等线" w:hAnsi="Times New Roman" w:cs="Times New Roman"/>
          <w:b/>
          <w:bCs/>
          <w:color w:val="000000" w:themeColor="text1"/>
          <w:kern w:val="24"/>
        </w:rPr>
        <w:t xml:space="preserve">| </w:t>
      </w:r>
      <w:bookmarkStart w:id="71" w:name="_Hlk217571018"/>
      <w:proofErr w:type="spellStart"/>
      <w:proofErr w:type="gramStart"/>
      <w:r w:rsidRPr="002657D1">
        <w:rPr>
          <w:rFonts w:ascii="Times New Roman" w:eastAsia="等线" w:hAnsi="Times New Roman" w:cs="Times New Roman"/>
          <w:b/>
          <w:bCs/>
          <w:color w:val="000000" w:themeColor="text1"/>
          <w:kern w:val="24"/>
        </w:rPr>
        <w:t>a,b</w:t>
      </w:r>
      <w:proofErr w:type="spellEnd"/>
      <w:proofErr w:type="gramEnd"/>
      <w:r w:rsidRPr="002657D1">
        <w:rPr>
          <w:rFonts w:ascii="Times New Roman" w:eastAsia="等线" w:hAnsi="Times New Roman" w:cs="Times New Roman"/>
          <w:b/>
          <w:bCs/>
          <w:color w:val="000000" w:themeColor="text1"/>
          <w:kern w:val="24"/>
        </w:rPr>
        <w:t xml:space="preserve"> </w:t>
      </w:r>
      <w:r w:rsidRPr="002657D1">
        <w:rPr>
          <w:rFonts w:ascii="Times New Roman" w:eastAsia="等线" w:hAnsi="Times New Roman" w:cs="Times New Roman"/>
          <w:color w:val="000000" w:themeColor="text1"/>
          <w:kern w:val="24"/>
        </w:rPr>
        <w:t xml:space="preserve">Plots of the MSD along each direction for LZC at varying temperatures—600 K (lowest) and 1100 K (highest)—reveal that the </w:t>
      </w:r>
      <w:r w:rsidRPr="002657D1">
        <w:rPr>
          <w:rFonts w:ascii="Times New Roman" w:eastAsia="等线" w:hAnsi="Times New Roman" w:cs="Times New Roman"/>
          <w:i/>
          <w:iCs/>
          <w:color w:val="000000" w:themeColor="text1"/>
          <w:kern w:val="24"/>
        </w:rPr>
        <w:t>c</w:t>
      </w:r>
      <w:r w:rsidRPr="002657D1">
        <w:rPr>
          <w:rFonts w:ascii="Times New Roman" w:eastAsia="等线" w:hAnsi="Times New Roman" w:cs="Times New Roman"/>
          <w:color w:val="000000" w:themeColor="text1"/>
          <w:kern w:val="24"/>
        </w:rPr>
        <w:t xml:space="preserve">-axis diffusion channel plays a predominant role in the overall diffusion process. </w:t>
      </w:r>
      <w:proofErr w:type="spellStart"/>
      <w:proofErr w:type="gramStart"/>
      <w:r w:rsidRPr="002657D1">
        <w:rPr>
          <w:rFonts w:ascii="Times New Roman" w:eastAsia="等线" w:hAnsi="Times New Roman" w:cs="Times New Roman"/>
          <w:b/>
          <w:bCs/>
          <w:color w:val="000000" w:themeColor="text1"/>
          <w:kern w:val="24"/>
        </w:rPr>
        <w:t>c,d</w:t>
      </w:r>
      <w:proofErr w:type="spellEnd"/>
      <w:proofErr w:type="gramEnd"/>
      <w:r w:rsidRPr="002657D1">
        <w:rPr>
          <w:rFonts w:ascii="Times New Roman" w:eastAsia="等线" w:hAnsi="Times New Roman" w:cs="Times New Roman"/>
          <w:b/>
          <w:bCs/>
          <w:color w:val="000000" w:themeColor="text1"/>
          <w:kern w:val="24"/>
        </w:rPr>
        <w:t xml:space="preserve"> </w:t>
      </w:r>
      <w:proofErr w:type="gramStart"/>
      <w:r w:rsidRPr="002657D1">
        <w:rPr>
          <w:rFonts w:ascii="Times New Roman" w:eastAsia="等线" w:hAnsi="Times New Roman" w:cs="Times New Roman"/>
          <w:color w:val="000000" w:themeColor="text1"/>
          <w:kern w:val="24"/>
        </w:rPr>
        <w:t>The</w:t>
      </w:r>
      <w:proofErr w:type="gramEnd"/>
      <w:r w:rsidRPr="002657D1">
        <w:rPr>
          <w:rFonts w:ascii="Times New Roman" w:eastAsia="等线" w:hAnsi="Times New Roman" w:cs="Times New Roman"/>
          <w:color w:val="000000" w:themeColor="text1"/>
          <w:kern w:val="24"/>
        </w:rPr>
        <w:t xml:space="preserve"> structures of LZC after 260 </w:t>
      </w:r>
      <w:proofErr w:type="spellStart"/>
      <w:r w:rsidRPr="002657D1">
        <w:rPr>
          <w:rFonts w:ascii="Times New Roman" w:eastAsia="等线" w:hAnsi="Times New Roman" w:cs="Times New Roman"/>
          <w:color w:val="000000" w:themeColor="text1"/>
          <w:kern w:val="24"/>
        </w:rPr>
        <w:t>ps</w:t>
      </w:r>
      <w:proofErr w:type="spellEnd"/>
      <w:r w:rsidRPr="002657D1">
        <w:rPr>
          <w:rFonts w:ascii="Times New Roman" w:eastAsia="等线" w:hAnsi="Times New Roman" w:cs="Times New Roman"/>
          <w:color w:val="000000" w:themeColor="text1"/>
          <w:kern w:val="24"/>
        </w:rPr>
        <w:t xml:space="preserve"> of AIMD simulations at 600 K and 1100 K show that the positions of Zr remain stable, demonstrating the stability of the </w:t>
      </w:r>
      <w:r w:rsidR="0090707D" w:rsidRPr="002657D1">
        <w:rPr>
          <w:rFonts w:ascii="Times New Roman" w:hAnsi="Times New Roman" w:cs="Times New Roman"/>
          <w:color w:val="000000" w:themeColor="text1"/>
        </w:rPr>
        <w:t>[ZrCl</w:t>
      </w:r>
      <w:r w:rsidR="0090707D" w:rsidRPr="002657D1">
        <w:rPr>
          <w:rFonts w:ascii="Times New Roman" w:hAnsi="Times New Roman" w:cs="Times New Roman"/>
          <w:color w:val="000000" w:themeColor="text1"/>
          <w:vertAlign w:val="subscript"/>
        </w:rPr>
        <w:t>6</w:t>
      </w:r>
      <w:r w:rsidR="0090707D" w:rsidRPr="002657D1">
        <w:rPr>
          <w:rFonts w:ascii="Times New Roman" w:hAnsi="Times New Roman" w:cs="Times New Roman"/>
          <w:color w:val="000000" w:themeColor="text1"/>
        </w:rPr>
        <w:t xml:space="preserve">] </w:t>
      </w:r>
      <w:r w:rsidRPr="002657D1">
        <w:rPr>
          <w:rFonts w:ascii="Times New Roman" w:eastAsia="等线" w:hAnsi="Times New Roman" w:cs="Times New Roman"/>
          <w:color w:val="000000" w:themeColor="text1"/>
          <w:kern w:val="24"/>
        </w:rPr>
        <w:t>framework at high temperatures.</w:t>
      </w:r>
    </w:p>
    <w:bookmarkEnd w:id="71"/>
    <w:p w14:paraId="7033795C" w14:textId="1FAA3EC4" w:rsidR="0051057A" w:rsidRPr="002657D1" w:rsidRDefault="004F598C" w:rsidP="004A3C4C">
      <w:pPr>
        <w:pStyle w:val="ac"/>
        <w:spacing w:before="0" w:beforeAutospacing="0" w:after="0" w:afterAutospacing="0" w:line="360" w:lineRule="auto"/>
        <w:jc w:val="both"/>
        <w:rPr>
          <w:rFonts w:ascii="Times New Roman" w:eastAsia="等线" w:hAnsi="Times New Roman" w:cs="Times New Roman"/>
          <w:color w:val="000000" w:themeColor="text1"/>
          <w:kern w:val="24"/>
        </w:rPr>
      </w:pPr>
      <w:r w:rsidRPr="002657D1">
        <w:rPr>
          <w:rFonts w:ascii="Times New Roman" w:hAnsi="Times New Roman" w:cs="Times New Roman"/>
          <w:b/>
          <w:bCs/>
          <w:color w:val="000000" w:themeColor="text1"/>
        </w:rPr>
        <w:t>Discussion:</w:t>
      </w:r>
      <w:r w:rsidRPr="002657D1">
        <w:rPr>
          <w:rFonts w:ascii="Times New Roman" w:hAnsi="Times New Roman" w:cs="Times New Roman"/>
          <w:color w:val="000000" w:themeColor="text1"/>
        </w:rPr>
        <w:t xml:space="preserve"> Our AIMD simulations demonstrate that the dominant Li⁺ migration occurs along the c-axis 1D channels (</w:t>
      </w:r>
      <w:r w:rsidR="00CF6FD1" w:rsidRPr="002657D1">
        <w:rPr>
          <w:rFonts w:ascii="Times New Roman" w:eastAsiaTheme="minorEastAsia" w:hAnsi="Times New Roman" w:cs="Times New Roman" w:hint="eastAsia"/>
          <w:b/>
          <w:bCs/>
          <w:color w:val="000000" w:themeColor="text1"/>
          <w:kern w:val="24"/>
        </w:rPr>
        <w:t>Fig. 1a</w:t>
      </w:r>
      <w:r w:rsidRPr="002657D1">
        <w:rPr>
          <w:rFonts w:ascii="Times New Roman" w:hAnsi="Times New Roman" w:cs="Times New Roman"/>
          <w:color w:val="000000" w:themeColor="text1"/>
        </w:rPr>
        <w:t>), a conclusion further supported by MSD analysis (</w:t>
      </w:r>
      <w:r w:rsidRPr="002657D1">
        <w:rPr>
          <w:rFonts w:ascii="Times New Roman" w:eastAsiaTheme="minorEastAsia" w:hAnsi="Times New Roman" w:cs="Times New Roman"/>
          <w:b/>
          <w:bCs/>
          <w:color w:val="000000" w:themeColor="text1"/>
          <w:kern w:val="24"/>
        </w:rPr>
        <w:t xml:space="preserve">Supplementary Fig. </w:t>
      </w:r>
      <w:r w:rsidR="00C50A7B" w:rsidRPr="002657D1">
        <w:rPr>
          <w:rFonts w:ascii="Times New Roman" w:eastAsiaTheme="minorEastAsia" w:hAnsi="Times New Roman" w:cs="Times New Roman" w:hint="eastAsia"/>
          <w:b/>
          <w:bCs/>
          <w:color w:val="000000" w:themeColor="text1"/>
          <w:kern w:val="24"/>
        </w:rPr>
        <w:t>3</w:t>
      </w:r>
      <w:r w:rsidRPr="002657D1">
        <w:rPr>
          <w:rFonts w:ascii="Times New Roman" w:hAnsi="Times New Roman" w:cs="Times New Roman"/>
          <w:color w:val="000000" w:themeColor="text1"/>
        </w:rPr>
        <w:t xml:space="preserve">). To optimize bulk Li⁺ transport, it is essential to maximize the number of active diffusion directions and establish a 3D percolating network. However, in the current lattice, the </w:t>
      </w:r>
      <w:r w:rsidRPr="002657D1">
        <w:rPr>
          <w:rFonts w:ascii="Times New Roman" w:hAnsi="Times New Roman" w:cs="Times New Roman"/>
          <w:i/>
          <w:iCs/>
          <w:color w:val="000000" w:themeColor="text1"/>
        </w:rPr>
        <w:t>a-b</w:t>
      </w:r>
      <w:r w:rsidRPr="002657D1">
        <w:rPr>
          <w:rFonts w:ascii="Times New Roman" w:hAnsi="Times New Roman" w:cs="Times New Roman"/>
          <w:color w:val="000000" w:themeColor="text1"/>
        </w:rPr>
        <w:t xml:space="preserve"> plane exhibits limited connectivity—while this minimizes channel blockage</w:t>
      </w:r>
      <w:r w:rsidRPr="002657D1">
        <w:rPr>
          <w:rFonts w:ascii="Times New Roman" w:hAnsi="Times New Roman" w:cs="Times New Roman" w:hint="eastAsia"/>
          <w:color w:val="000000" w:themeColor="text1"/>
        </w:rPr>
        <w:t>, it also restricts in-plane diffusivity, resulting in sluggish migration.</w:t>
      </w:r>
      <w:r w:rsidR="0051057A" w:rsidRPr="002657D1">
        <w:rPr>
          <w:rFonts w:ascii="Times New Roman" w:eastAsia="等线" w:hAnsi="Times New Roman" w:cs="Times New Roman"/>
          <w:color w:val="000000" w:themeColor="text1"/>
          <w:kern w:val="24"/>
        </w:rPr>
        <w:br w:type="page"/>
      </w:r>
    </w:p>
    <w:p w14:paraId="3C9E9440" w14:textId="28F6C270" w:rsidR="004F598C" w:rsidRPr="002657D1" w:rsidRDefault="004F598C" w:rsidP="004F598C">
      <w:pPr>
        <w:spacing w:before="120" w:afterLines="50" w:after="156" w:line="360" w:lineRule="auto"/>
        <w:rPr>
          <w:rFonts w:ascii="Times New Roman" w:hAnsi="Times New Roman" w:cs="Times New Roman"/>
          <w:color w:val="000000" w:themeColor="text1"/>
          <w:sz w:val="24"/>
          <w:szCs w:val="24"/>
        </w:rPr>
      </w:pPr>
      <w:r w:rsidRPr="002657D1">
        <w:rPr>
          <w:rFonts w:ascii="Times New Roman" w:hAnsi="Times New Roman" w:cs="Times New Roman"/>
          <w:noProof/>
          <w:color w:val="000000" w:themeColor="text1"/>
          <w:sz w:val="24"/>
          <w:szCs w:val="24"/>
        </w:rPr>
        <w:lastRenderedPageBreak/>
        <w:drawing>
          <wp:inline distT="0" distB="0" distL="0" distR="0" wp14:anchorId="1D8E1C3B" wp14:editId="50B36C4F">
            <wp:extent cx="5274310" cy="1656715"/>
            <wp:effectExtent l="0" t="0" r="2540" b="0"/>
            <wp:docPr id="110414907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149071" name="图片 1104149071"/>
                    <pic:cNvPicPr/>
                  </pic:nvPicPr>
                  <pic:blipFill>
                    <a:blip r:embed="rId18"/>
                    <a:stretch>
                      <a:fillRect/>
                    </a:stretch>
                  </pic:blipFill>
                  <pic:spPr>
                    <a:xfrm>
                      <a:off x="0" y="0"/>
                      <a:ext cx="5274310" cy="1656715"/>
                    </a:xfrm>
                    <a:prstGeom prst="rect">
                      <a:avLst/>
                    </a:prstGeom>
                  </pic:spPr>
                </pic:pic>
              </a:graphicData>
            </a:graphic>
          </wp:inline>
        </w:drawing>
      </w:r>
    </w:p>
    <w:p w14:paraId="0FCCD28D" w14:textId="7ADD11AD" w:rsidR="003C7B87" w:rsidRPr="002657D1" w:rsidRDefault="004F598C" w:rsidP="003C7B87">
      <w:pPr>
        <w:spacing w:before="120" w:afterLines="50" w:after="156" w:line="360" w:lineRule="auto"/>
        <w:rPr>
          <w:rFonts w:ascii="Times New Roman" w:eastAsia="等线" w:hAnsi="Times New Roman" w:cs="Times New Roman"/>
          <w:color w:val="000000" w:themeColor="text1"/>
          <w:kern w:val="24"/>
          <w:sz w:val="24"/>
          <w:szCs w:val="24"/>
        </w:rPr>
      </w:pPr>
      <w:r w:rsidRPr="002657D1">
        <w:rPr>
          <w:rFonts w:ascii="Times New Roman" w:eastAsia="等线" w:hAnsi="Times New Roman" w:cs="Times New Roman"/>
          <w:b/>
          <w:bCs/>
          <w:color w:val="000000" w:themeColor="text1"/>
          <w:kern w:val="24"/>
          <w:sz w:val="24"/>
          <w:szCs w:val="24"/>
        </w:rPr>
        <w:t xml:space="preserve">Supplementary Fig. </w:t>
      </w:r>
      <w:r w:rsidR="00454F42" w:rsidRPr="002657D1">
        <w:rPr>
          <w:rFonts w:ascii="Times New Roman" w:eastAsia="等线" w:hAnsi="Times New Roman" w:cs="Times New Roman" w:hint="eastAsia"/>
          <w:b/>
          <w:bCs/>
          <w:color w:val="000000" w:themeColor="text1"/>
          <w:kern w:val="24"/>
          <w:sz w:val="24"/>
          <w:szCs w:val="24"/>
        </w:rPr>
        <w:t>4</w:t>
      </w:r>
      <w:r w:rsidR="00454F42" w:rsidRPr="002657D1">
        <w:rPr>
          <w:rFonts w:ascii="Times New Roman" w:eastAsia="等线" w:hAnsi="Times New Roman" w:cs="Times New Roman"/>
          <w:b/>
          <w:bCs/>
          <w:color w:val="000000" w:themeColor="text1"/>
          <w:kern w:val="24"/>
          <w:sz w:val="24"/>
          <w:szCs w:val="24"/>
        </w:rPr>
        <w:t xml:space="preserve"> </w:t>
      </w:r>
      <w:r w:rsidRPr="002657D1">
        <w:rPr>
          <w:rFonts w:ascii="Times New Roman" w:eastAsia="等线" w:hAnsi="Times New Roman" w:cs="Times New Roman"/>
          <w:b/>
          <w:bCs/>
          <w:color w:val="000000" w:themeColor="text1"/>
          <w:kern w:val="24"/>
          <w:sz w:val="24"/>
          <w:szCs w:val="24"/>
        </w:rPr>
        <w:t>|</w:t>
      </w:r>
      <w:r w:rsidR="00B64FB2" w:rsidRPr="002657D1">
        <w:rPr>
          <w:rFonts w:ascii="Times New Roman" w:eastAsia="等线" w:hAnsi="Times New Roman" w:cs="Times New Roman" w:hint="eastAsia"/>
          <w:b/>
          <w:bCs/>
          <w:color w:val="000000" w:themeColor="text1"/>
          <w:kern w:val="24"/>
          <w:sz w:val="24"/>
          <w:szCs w:val="24"/>
        </w:rPr>
        <w:t xml:space="preserve"> </w:t>
      </w:r>
      <w:bookmarkStart w:id="72" w:name="OLE_LINK62"/>
      <w:proofErr w:type="gramStart"/>
      <w:r w:rsidR="00B64FB2" w:rsidRPr="002657D1">
        <w:rPr>
          <w:rFonts w:ascii="Times New Roman" w:eastAsia="等线" w:hAnsi="Times New Roman" w:cs="Times New Roman" w:hint="eastAsia"/>
          <w:b/>
          <w:bCs/>
          <w:color w:val="000000" w:themeColor="text1"/>
          <w:kern w:val="24"/>
          <w:sz w:val="24"/>
          <w:szCs w:val="24"/>
        </w:rPr>
        <w:t>a</w:t>
      </w:r>
      <w:proofErr w:type="gramEnd"/>
      <w:r w:rsidR="00B64FB2" w:rsidRPr="002657D1">
        <w:rPr>
          <w:rFonts w:ascii="Times New Roman" w:eastAsia="等线" w:hAnsi="Times New Roman" w:cs="Times New Roman"/>
          <w:color w:val="000000" w:themeColor="text1"/>
          <w:kern w:val="24"/>
          <w:sz w:val="24"/>
          <w:szCs w:val="24"/>
        </w:rPr>
        <w:t xml:space="preserve"> Arrhenius plot of Li</w:t>
      </w:r>
      <w:r w:rsidR="00B64FB2" w:rsidRPr="002657D1">
        <w:rPr>
          <w:rFonts w:ascii="Times New Roman" w:eastAsia="等线" w:hAnsi="Times New Roman" w:cs="Times New Roman"/>
          <w:color w:val="000000" w:themeColor="text1"/>
          <w:kern w:val="24"/>
          <w:sz w:val="24"/>
          <w:szCs w:val="24"/>
          <w:vertAlign w:val="superscript"/>
        </w:rPr>
        <w:t>+</w:t>
      </w:r>
      <w:r w:rsidR="00B64FB2" w:rsidRPr="002657D1">
        <w:rPr>
          <w:rFonts w:ascii="Times New Roman" w:eastAsia="等线" w:hAnsi="Times New Roman" w:cs="Times New Roman"/>
          <w:color w:val="000000" w:themeColor="text1"/>
          <w:kern w:val="24"/>
          <w:sz w:val="24"/>
          <w:szCs w:val="24"/>
        </w:rPr>
        <w:t xml:space="preserve"> diffusivity in the LZC lattice from AIMD simulations at 1,100, 1,000, 900, 800, 700, and 600 K.</w:t>
      </w:r>
      <w:r w:rsidR="00B64FB2" w:rsidRPr="002657D1">
        <w:rPr>
          <w:rFonts w:ascii="Times New Roman" w:eastAsia="等线" w:hAnsi="Times New Roman" w:cs="Times New Roman" w:hint="eastAsia"/>
          <w:color w:val="000000" w:themeColor="text1"/>
          <w:kern w:val="24"/>
          <w:sz w:val="24"/>
          <w:szCs w:val="24"/>
        </w:rPr>
        <w:t xml:space="preserve"> </w:t>
      </w:r>
      <w:r w:rsidR="00B64FB2" w:rsidRPr="002657D1">
        <w:rPr>
          <w:rFonts w:ascii="Times New Roman" w:eastAsia="等线" w:hAnsi="Times New Roman" w:cs="Times New Roman"/>
          <w:color w:val="000000" w:themeColor="text1"/>
          <w:kern w:val="24"/>
          <w:sz w:val="24"/>
          <w:szCs w:val="24"/>
        </w:rPr>
        <w:t xml:space="preserve">The </w:t>
      </w:r>
      <w:r w:rsidR="00B64FB2" w:rsidRPr="002657D1">
        <w:rPr>
          <w:rFonts w:ascii="Times New Roman" w:eastAsia="等线" w:hAnsi="Times New Roman" w:cs="Times New Roman" w:hint="eastAsia"/>
          <w:color w:val="000000" w:themeColor="text1"/>
          <w:kern w:val="24"/>
          <w:sz w:val="24"/>
          <w:szCs w:val="24"/>
        </w:rPr>
        <w:t>yellow</w:t>
      </w:r>
      <w:r w:rsidR="00B64FB2" w:rsidRPr="002657D1">
        <w:rPr>
          <w:rFonts w:ascii="Times New Roman" w:eastAsia="等线" w:hAnsi="Times New Roman" w:cs="Times New Roman"/>
          <w:color w:val="000000" w:themeColor="text1"/>
          <w:kern w:val="24"/>
          <w:sz w:val="24"/>
          <w:szCs w:val="24"/>
        </w:rPr>
        <w:t xml:space="preserve"> line represents the linear fitting of the Arrhenius plots of Li</w:t>
      </w:r>
      <w:r w:rsidR="00B64FB2" w:rsidRPr="002657D1">
        <w:rPr>
          <w:rFonts w:ascii="Times New Roman" w:eastAsia="等线" w:hAnsi="Times New Roman" w:cs="Times New Roman" w:hint="eastAsia"/>
          <w:color w:val="000000" w:themeColor="text1"/>
          <w:kern w:val="24"/>
          <w:sz w:val="24"/>
          <w:szCs w:val="24"/>
          <w:vertAlign w:val="superscript"/>
        </w:rPr>
        <w:t>+</w:t>
      </w:r>
      <w:r w:rsidR="00B64FB2" w:rsidRPr="002657D1">
        <w:rPr>
          <w:rFonts w:ascii="Times New Roman" w:eastAsia="等线" w:hAnsi="Times New Roman" w:cs="Times New Roman"/>
          <w:color w:val="000000" w:themeColor="text1"/>
          <w:kern w:val="24"/>
          <w:sz w:val="24"/>
          <w:szCs w:val="24"/>
        </w:rPr>
        <w:t xml:space="preserve"> conductivity from AIMD simulations, which is used to extrapolate the</w:t>
      </w:r>
      <w:r w:rsidR="00B64FB2" w:rsidRPr="002657D1">
        <w:rPr>
          <w:rFonts w:ascii="Times New Roman" w:eastAsia="等线" w:hAnsi="Times New Roman" w:cs="Times New Roman" w:hint="eastAsia"/>
          <w:color w:val="000000" w:themeColor="text1"/>
          <w:kern w:val="24"/>
          <w:sz w:val="24"/>
          <w:szCs w:val="24"/>
        </w:rPr>
        <w:t xml:space="preserve"> </w:t>
      </w:r>
      <w:r w:rsidR="00B64FB2" w:rsidRPr="002657D1">
        <w:rPr>
          <w:rFonts w:ascii="Times New Roman" w:eastAsia="等线" w:hAnsi="Times New Roman" w:cs="Times New Roman"/>
          <w:color w:val="000000" w:themeColor="text1"/>
          <w:kern w:val="24"/>
          <w:sz w:val="24"/>
          <w:szCs w:val="24"/>
        </w:rPr>
        <w:t>Li</w:t>
      </w:r>
      <w:r w:rsidR="00B64FB2" w:rsidRPr="002657D1">
        <w:rPr>
          <w:rFonts w:ascii="Times New Roman" w:eastAsia="等线" w:hAnsi="Times New Roman" w:cs="Times New Roman" w:hint="eastAsia"/>
          <w:color w:val="000000" w:themeColor="text1"/>
          <w:kern w:val="24"/>
          <w:sz w:val="24"/>
          <w:szCs w:val="24"/>
          <w:vertAlign w:val="superscript"/>
        </w:rPr>
        <w:t>+</w:t>
      </w:r>
      <w:r w:rsidR="00B64FB2" w:rsidRPr="002657D1">
        <w:rPr>
          <w:rFonts w:ascii="Times New Roman" w:eastAsia="等线" w:hAnsi="Times New Roman" w:cs="Times New Roman"/>
          <w:color w:val="000000" w:themeColor="text1"/>
          <w:kern w:val="24"/>
          <w:sz w:val="24"/>
          <w:szCs w:val="24"/>
        </w:rPr>
        <w:t xml:space="preserve"> conductivity at 300 K to be </w:t>
      </w:r>
      <w:r w:rsidR="00B64FB2" w:rsidRPr="002657D1">
        <w:rPr>
          <w:rFonts w:ascii="Times New Roman" w:hAnsi="Times New Roman" w:cs="Times New Roman"/>
          <w:color w:val="000000" w:themeColor="text1"/>
          <w:sz w:val="24"/>
          <w:szCs w:val="24"/>
        </w:rPr>
        <w:t>6.4630 ± 3.8842 mS cm⁻</w:t>
      </w:r>
      <w:r w:rsidR="00B64FB2" w:rsidRPr="002657D1">
        <w:rPr>
          <w:rFonts w:ascii="Times New Roman" w:hAnsi="Times New Roman" w:cs="Times New Roman"/>
          <w:color w:val="000000" w:themeColor="text1"/>
          <w:sz w:val="24"/>
          <w:szCs w:val="24"/>
          <w:vertAlign w:val="superscript"/>
        </w:rPr>
        <w:t>1</w:t>
      </w:r>
      <w:r w:rsidR="00B64FB2" w:rsidRPr="002657D1">
        <w:rPr>
          <w:rFonts w:ascii="Times New Roman" w:eastAsia="等线" w:hAnsi="Times New Roman" w:cs="Times New Roman"/>
          <w:color w:val="000000" w:themeColor="text1"/>
          <w:kern w:val="24"/>
          <w:sz w:val="24"/>
          <w:szCs w:val="24"/>
        </w:rPr>
        <w:t xml:space="preserve">. </w:t>
      </w:r>
      <w:r w:rsidR="00B64FB2" w:rsidRPr="002657D1">
        <w:rPr>
          <w:rFonts w:ascii="Times New Roman" w:eastAsia="等线" w:hAnsi="Times New Roman" w:cs="Times New Roman" w:hint="eastAsia"/>
          <w:b/>
          <w:bCs/>
          <w:color w:val="000000" w:themeColor="text1"/>
          <w:kern w:val="24"/>
          <w:sz w:val="24"/>
          <w:szCs w:val="24"/>
        </w:rPr>
        <w:t>b</w:t>
      </w:r>
      <w:r w:rsidR="00B64FB2" w:rsidRPr="002657D1">
        <w:rPr>
          <w:rFonts w:ascii="Times New Roman" w:eastAsia="等线" w:hAnsi="Times New Roman" w:cs="Times New Roman"/>
          <w:color w:val="000000" w:themeColor="text1"/>
          <w:kern w:val="24"/>
          <w:sz w:val="24"/>
          <w:szCs w:val="24"/>
        </w:rPr>
        <w:t xml:space="preserve"> </w:t>
      </w:r>
      <w:r w:rsidR="00B64FB2" w:rsidRPr="002657D1">
        <w:rPr>
          <w:rFonts w:ascii="Times New Roman" w:eastAsia="等线" w:hAnsi="Times New Roman" w:cs="Times New Roman" w:hint="eastAsia"/>
          <w:color w:val="000000" w:themeColor="text1"/>
          <w:kern w:val="24"/>
          <w:sz w:val="24"/>
          <w:szCs w:val="24"/>
        </w:rPr>
        <w:t>Li</w:t>
      </w:r>
      <w:r w:rsidR="00B64FB2" w:rsidRPr="002657D1">
        <w:rPr>
          <w:rFonts w:ascii="Times New Roman" w:eastAsia="等线" w:hAnsi="Times New Roman" w:cs="Times New Roman" w:hint="eastAsia"/>
          <w:color w:val="000000" w:themeColor="text1"/>
          <w:kern w:val="24"/>
          <w:sz w:val="24"/>
          <w:szCs w:val="24"/>
          <w:vertAlign w:val="superscript"/>
        </w:rPr>
        <w:t>+</w:t>
      </w:r>
      <w:r w:rsidR="00B64FB2" w:rsidRPr="002657D1">
        <w:rPr>
          <w:rFonts w:ascii="Times New Roman" w:eastAsia="等线" w:hAnsi="Times New Roman" w:cs="Times New Roman" w:hint="eastAsia"/>
          <w:color w:val="000000" w:themeColor="text1"/>
          <w:kern w:val="24"/>
          <w:sz w:val="24"/>
          <w:szCs w:val="24"/>
        </w:rPr>
        <w:t xml:space="preserve"> migration paths in the LZC lattice and corresponding energy barriers with different interlayer distances. The path 1 (red) and path 2 (blue) represent Li</w:t>
      </w:r>
      <w:r w:rsidR="00B64FB2" w:rsidRPr="002657D1">
        <w:rPr>
          <w:rFonts w:ascii="Times New Roman" w:eastAsia="等线" w:hAnsi="Times New Roman" w:cs="Times New Roman"/>
          <w:color w:val="000000" w:themeColor="text1"/>
          <w:kern w:val="24"/>
          <w:sz w:val="24"/>
          <w:szCs w:val="24"/>
          <w:vertAlign w:val="superscript"/>
        </w:rPr>
        <w:t>+</w:t>
      </w:r>
      <w:r w:rsidR="00B64FB2" w:rsidRPr="002657D1">
        <w:rPr>
          <w:rFonts w:ascii="Times New Roman" w:eastAsia="等线" w:hAnsi="Times New Roman" w:cs="Times New Roman" w:hint="eastAsia"/>
          <w:color w:val="000000" w:themeColor="text1"/>
          <w:kern w:val="24"/>
          <w:sz w:val="24"/>
          <w:szCs w:val="24"/>
        </w:rPr>
        <w:t xml:space="preserve"> migration in </w:t>
      </w:r>
      <w:r w:rsidR="00B64FB2" w:rsidRPr="002657D1">
        <w:rPr>
          <w:rFonts w:ascii="Times New Roman" w:eastAsia="等线" w:hAnsi="Times New Roman" w:cs="Times New Roman" w:hint="eastAsia"/>
          <w:i/>
          <w:iCs/>
          <w:color w:val="000000" w:themeColor="text1"/>
          <w:kern w:val="24"/>
          <w:sz w:val="24"/>
          <w:szCs w:val="24"/>
        </w:rPr>
        <w:t>a-b</w:t>
      </w:r>
      <w:r w:rsidR="00B64FB2" w:rsidRPr="002657D1">
        <w:rPr>
          <w:rFonts w:ascii="Times New Roman" w:eastAsia="等线" w:hAnsi="Times New Roman" w:cs="Times New Roman" w:hint="eastAsia"/>
          <w:color w:val="000000" w:themeColor="text1"/>
          <w:kern w:val="24"/>
          <w:sz w:val="24"/>
          <w:szCs w:val="24"/>
        </w:rPr>
        <w:t xml:space="preserve"> plane, while path 3 (green) is the transport of Li</w:t>
      </w:r>
      <w:r w:rsidR="00B64FB2" w:rsidRPr="002657D1">
        <w:rPr>
          <w:rFonts w:ascii="Times New Roman" w:eastAsia="等线" w:hAnsi="Times New Roman" w:cs="Times New Roman" w:hint="eastAsia"/>
          <w:color w:val="000000" w:themeColor="text1"/>
          <w:kern w:val="24"/>
          <w:sz w:val="24"/>
          <w:szCs w:val="24"/>
          <w:vertAlign w:val="superscript"/>
        </w:rPr>
        <w:t>+</w:t>
      </w:r>
      <w:r w:rsidR="00B64FB2" w:rsidRPr="002657D1">
        <w:rPr>
          <w:rFonts w:ascii="Times New Roman" w:eastAsia="等线" w:hAnsi="Times New Roman" w:cs="Times New Roman" w:hint="eastAsia"/>
          <w:color w:val="000000" w:themeColor="text1"/>
          <w:kern w:val="24"/>
          <w:sz w:val="24"/>
          <w:szCs w:val="24"/>
        </w:rPr>
        <w:t xml:space="preserve"> along the </w:t>
      </w:r>
      <w:r w:rsidR="00B64FB2" w:rsidRPr="002657D1">
        <w:rPr>
          <w:rFonts w:ascii="Times New Roman" w:eastAsia="等线" w:hAnsi="Times New Roman" w:cs="Times New Roman" w:hint="eastAsia"/>
          <w:i/>
          <w:iCs/>
          <w:color w:val="000000" w:themeColor="text1"/>
          <w:kern w:val="24"/>
          <w:sz w:val="24"/>
          <w:szCs w:val="24"/>
        </w:rPr>
        <w:t>c</w:t>
      </w:r>
      <w:r w:rsidR="00B64FB2" w:rsidRPr="002657D1">
        <w:rPr>
          <w:rFonts w:ascii="Times New Roman" w:eastAsia="等线" w:hAnsi="Times New Roman" w:cs="Times New Roman" w:hint="eastAsia"/>
          <w:color w:val="000000" w:themeColor="text1"/>
          <w:kern w:val="24"/>
          <w:sz w:val="24"/>
          <w:szCs w:val="24"/>
        </w:rPr>
        <w:t xml:space="preserve"> axis.</w:t>
      </w:r>
    </w:p>
    <w:bookmarkEnd w:id="72"/>
    <w:p w14:paraId="79672DE0" w14:textId="1A189A37" w:rsidR="003C7B87" w:rsidRPr="002657D1" w:rsidRDefault="004F598C" w:rsidP="00953073">
      <w:pPr>
        <w:spacing w:before="120" w:afterLines="50" w:after="156" w:line="360" w:lineRule="auto"/>
        <w:rPr>
          <w:rFonts w:ascii="Times New Roman" w:hAnsi="Times New Roman" w:cs="Times New Roman"/>
          <w:color w:val="000000" w:themeColor="text1"/>
          <w:sz w:val="24"/>
          <w:szCs w:val="24"/>
        </w:rPr>
      </w:pPr>
      <w:r w:rsidRPr="002657D1">
        <w:rPr>
          <w:rFonts w:ascii="Times New Roman" w:hAnsi="Times New Roman" w:cs="Times New Roman"/>
          <w:b/>
          <w:bCs/>
          <w:color w:val="000000" w:themeColor="text1"/>
          <w:sz w:val="24"/>
          <w:szCs w:val="24"/>
        </w:rPr>
        <w:t>Discussion:</w:t>
      </w:r>
      <w:r w:rsidRPr="002657D1">
        <w:rPr>
          <w:rFonts w:ascii="Times New Roman" w:hAnsi="Times New Roman" w:cs="Times New Roman"/>
          <w:color w:val="000000" w:themeColor="text1"/>
          <w:sz w:val="24"/>
          <w:szCs w:val="24"/>
        </w:rPr>
        <w:t xml:space="preserve"> High-temperature AIMD-derived conductivities (</w:t>
      </w:r>
      <w:r w:rsidR="00B64FB2" w:rsidRPr="002657D1">
        <w:rPr>
          <w:rFonts w:ascii="Times New Roman" w:eastAsia="等线" w:hAnsi="Times New Roman" w:cs="Times New Roman"/>
          <w:b/>
          <w:bCs/>
          <w:color w:val="000000" w:themeColor="text1"/>
          <w:kern w:val="24"/>
          <w:sz w:val="24"/>
          <w:szCs w:val="24"/>
        </w:rPr>
        <w:t xml:space="preserve">Supplementary Fig. </w:t>
      </w:r>
      <w:r w:rsidR="00454F42" w:rsidRPr="002657D1">
        <w:rPr>
          <w:rFonts w:ascii="Times New Roman" w:eastAsia="等线" w:hAnsi="Times New Roman" w:cs="Times New Roman" w:hint="eastAsia"/>
          <w:b/>
          <w:bCs/>
          <w:color w:val="000000" w:themeColor="text1"/>
          <w:kern w:val="24"/>
          <w:sz w:val="24"/>
          <w:szCs w:val="24"/>
        </w:rPr>
        <w:t>4a</w:t>
      </w:r>
      <w:r w:rsidRPr="002657D1">
        <w:rPr>
          <w:rFonts w:ascii="Times New Roman" w:hAnsi="Times New Roman" w:cs="Times New Roman"/>
          <w:color w:val="000000" w:themeColor="text1"/>
          <w:sz w:val="24"/>
          <w:szCs w:val="24"/>
        </w:rPr>
        <w:t xml:space="preserve">) yield an extrapolated </w:t>
      </w:r>
      <w:r w:rsidRPr="002657D1">
        <w:rPr>
          <w:rFonts w:ascii="Times New Roman" w:hAnsi="Times New Roman" w:cs="Times New Roman" w:hint="eastAsia"/>
          <w:color w:val="000000" w:themeColor="text1"/>
          <w:sz w:val="24"/>
          <w:szCs w:val="24"/>
        </w:rPr>
        <w:t>ionic conductivity</w:t>
      </w:r>
      <w:r w:rsidRPr="002657D1">
        <w:rPr>
          <w:rFonts w:ascii="Times New Roman" w:hAnsi="Times New Roman" w:cs="Times New Roman"/>
          <w:color w:val="000000" w:themeColor="text1"/>
          <w:sz w:val="24"/>
          <w:szCs w:val="24"/>
        </w:rPr>
        <w:t>,</w:t>
      </w:r>
      <w:r w:rsidRPr="002657D1">
        <w:rPr>
          <w:rFonts w:ascii="Times New Roman" w:hAnsi="Times New Roman" w:cs="Times New Roman" w:hint="eastAsia"/>
          <w:color w:val="000000" w:themeColor="text1"/>
          <w:sz w:val="24"/>
          <w:szCs w:val="24"/>
        </w:rPr>
        <w:t xml:space="preserve"> </w:t>
      </w:r>
      <w:r w:rsidRPr="002657D1">
        <w:rPr>
          <w:rFonts w:ascii="Times New Roman" w:hAnsi="Times New Roman" w:cs="Times New Roman"/>
          <w:color w:val="000000" w:themeColor="text1"/>
          <w:sz w:val="24"/>
          <w:szCs w:val="24"/>
        </w:rPr>
        <w:t>σ (300 K) = 6.46 ± 3.88 mS cm⁻</w:t>
      </w:r>
      <w:r w:rsidRPr="002657D1">
        <w:rPr>
          <w:rFonts w:ascii="Times New Roman" w:hAnsi="Times New Roman" w:cs="Times New Roman" w:hint="eastAsia"/>
          <w:color w:val="000000" w:themeColor="text1"/>
          <w:sz w:val="24"/>
          <w:szCs w:val="24"/>
          <w:vertAlign w:val="superscript"/>
        </w:rPr>
        <w:t>1</w:t>
      </w:r>
      <w:r w:rsidRPr="002657D1">
        <w:rPr>
          <w:rFonts w:ascii="Times New Roman" w:hAnsi="Times New Roman" w:cs="Times New Roman"/>
          <w:color w:val="000000" w:themeColor="text1"/>
          <w:sz w:val="24"/>
          <w:szCs w:val="24"/>
        </w:rPr>
        <w:t xml:space="preserve">, with an activation energy </w:t>
      </w:r>
      <w:r w:rsidRPr="002657D1">
        <w:rPr>
          <w:rFonts w:ascii="Times New Roman" w:hAnsi="Times New Roman" w:cs="Times New Roman"/>
          <w:i/>
          <w:iCs/>
          <w:color w:val="000000" w:themeColor="text1"/>
          <w:sz w:val="24"/>
          <w:szCs w:val="24"/>
        </w:rPr>
        <w:t>Eₐ</w:t>
      </w:r>
      <w:r w:rsidRPr="002657D1">
        <w:rPr>
          <w:rFonts w:ascii="Times New Roman" w:hAnsi="Times New Roman" w:cs="Times New Roman"/>
          <w:color w:val="000000" w:themeColor="text1"/>
          <w:sz w:val="24"/>
          <w:szCs w:val="24"/>
        </w:rPr>
        <w:t xml:space="preserve"> = 0.257 ± 0.015 eV (uncertainties derived from the Arrhenius fit covariance matrix). The single-ion energy</w:t>
      </w:r>
      <w:r w:rsidRPr="002657D1">
        <w:rPr>
          <w:rFonts w:ascii="Times New Roman" w:hAnsi="Times New Roman" w:cs="Times New Roman" w:hint="eastAsia"/>
          <w:color w:val="000000" w:themeColor="text1"/>
          <w:sz w:val="24"/>
          <w:szCs w:val="24"/>
        </w:rPr>
        <w:t xml:space="preserve"> landscape (</w:t>
      </w:r>
      <w:r w:rsidR="00B64FB2" w:rsidRPr="002657D1">
        <w:rPr>
          <w:rFonts w:ascii="Times New Roman" w:eastAsia="等线" w:hAnsi="Times New Roman" w:cs="Times New Roman"/>
          <w:b/>
          <w:bCs/>
          <w:color w:val="000000" w:themeColor="text1"/>
          <w:kern w:val="24"/>
          <w:sz w:val="24"/>
          <w:szCs w:val="24"/>
        </w:rPr>
        <w:t xml:space="preserve">Supplementary Fig. </w:t>
      </w:r>
      <w:r w:rsidR="00454F42" w:rsidRPr="002657D1">
        <w:rPr>
          <w:rFonts w:ascii="Times New Roman" w:eastAsia="等线" w:hAnsi="Times New Roman" w:cs="Times New Roman" w:hint="eastAsia"/>
          <w:b/>
          <w:bCs/>
          <w:color w:val="000000" w:themeColor="text1"/>
          <w:kern w:val="24"/>
          <w:sz w:val="24"/>
          <w:szCs w:val="24"/>
        </w:rPr>
        <w:t>4b</w:t>
      </w:r>
      <w:r w:rsidRPr="002657D1">
        <w:rPr>
          <w:rFonts w:ascii="Times New Roman" w:hAnsi="Times New Roman" w:cs="Times New Roman" w:hint="eastAsia"/>
          <w:color w:val="000000" w:themeColor="text1"/>
          <w:sz w:val="24"/>
          <w:szCs w:val="24"/>
        </w:rPr>
        <w:t xml:space="preserve">) reveals a low barrier of 0.31 eV along the </w:t>
      </w:r>
      <w:r w:rsidRPr="002657D1">
        <w:rPr>
          <w:rFonts w:ascii="Times New Roman" w:hAnsi="Times New Roman" w:cs="Times New Roman" w:hint="eastAsia"/>
          <w:i/>
          <w:iCs/>
          <w:color w:val="000000" w:themeColor="text1"/>
          <w:sz w:val="24"/>
          <w:szCs w:val="24"/>
        </w:rPr>
        <w:t>c</w:t>
      </w:r>
      <w:r w:rsidRPr="002657D1">
        <w:rPr>
          <w:rFonts w:ascii="Times New Roman" w:hAnsi="Times New Roman" w:cs="Times New Roman" w:hint="eastAsia"/>
          <w:color w:val="000000" w:themeColor="text1"/>
          <w:sz w:val="24"/>
          <w:szCs w:val="24"/>
        </w:rPr>
        <w:t>-axis (green path), contrasting sharply with the substantially higher barriers of 1.65 eV (</w:t>
      </w:r>
      <w:r w:rsidRPr="002657D1">
        <w:rPr>
          <w:rFonts w:ascii="Times New Roman" w:hAnsi="Times New Roman" w:cs="Times New Roman" w:hint="eastAsia"/>
          <w:i/>
          <w:iCs/>
          <w:color w:val="000000" w:themeColor="text1"/>
          <w:sz w:val="24"/>
          <w:szCs w:val="24"/>
        </w:rPr>
        <w:t>a</w:t>
      </w:r>
      <w:r w:rsidRPr="002657D1">
        <w:rPr>
          <w:rFonts w:ascii="Times New Roman" w:hAnsi="Times New Roman" w:cs="Times New Roman" w:hint="eastAsia"/>
          <w:color w:val="000000" w:themeColor="text1"/>
          <w:sz w:val="24"/>
          <w:szCs w:val="24"/>
        </w:rPr>
        <w:t>-axis, red path) and 1.78 eV (</w:t>
      </w:r>
      <w:r w:rsidRPr="002657D1">
        <w:rPr>
          <w:rFonts w:ascii="Times New Roman" w:hAnsi="Times New Roman" w:cs="Times New Roman" w:hint="eastAsia"/>
          <w:i/>
          <w:iCs/>
          <w:color w:val="000000" w:themeColor="text1"/>
          <w:sz w:val="24"/>
          <w:szCs w:val="24"/>
        </w:rPr>
        <w:t>b</w:t>
      </w:r>
      <w:r w:rsidRPr="002657D1">
        <w:rPr>
          <w:rFonts w:ascii="Times New Roman" w:hAnsi="Times New Roman" w:cs="Times New Roman" w:hint="eastAsia"/>
          <w:color w:val="000000" w:themeColor="text1"/>
          <w:sz w:val="24"/>
          <w:szCs w:val="24"/>
        </w:rPr>
        <w:t xml:space="preserve">-axis, blue path) within the </w:t>
      </w:r>
      <w:r w:rsidRPr="002657D1">
        <w:rPr>
          <w:rFonts w:ascii="Times New Roman" w:hAnsi="Times New Roman" w:cs="Times New Roman" w:hint="eastAsia"/>
          <w:i/>
          <w:iCs/>
          <w:color w:val="000000" w:themeColor="text1"/>
          <w:sz w:val="24"/>
          <w:szCs w:val="24"/>
        </w:rPr>
        <w:t>a-b</w:t>
      </w:r>
      <w:r w:rsidRPr="002657D1">
        <w:rPr>
          <w:rFonts w:ascii="Times New Roman" w:hAnsi="Times New Roman" w:cs="Times New Roman" w:hint="eastAsia"/>
          <w:color w:val="000000" w:themeColor="text1"/>
          <w:sz w:val="24"/>
          <w:szCs w:val="24"/>
        </w:rPr>
        <w:t xml:space="preserve"> plane. Notably, reducing the interlayer spacing selectively elevates the in-plane barriers while leaving the </w:t>
      </w:r>
      <w:r w:rsidRPr="002657D1">
        <w:rPr>
          <w:rFonts w:ascii="Times New Roman" w:hAnsi="Times New Roman" w:cs="Times New Roman" w:hint="eastAsia"/>
          <w:i/>
          <w:iCs/>
          <w:color w:val="000000" w:themeColor="text1"/>
          <w:sz w:val="24"/>
          <w:szCs w:val="24"/>
        </w:rPr>
        <w:t>c</w:t>
      </w:r>
      <w:r w:rsidRPr="002657D1">
        <w:rPr>
          <w:rFonts w:ascii="Times New Roman" w:hAnsi="Times New Roman" w:cs="Times New Roman" w:hint="eastAsia"/>
          <w:color w:val="000000" w:themeColor="text1"/>
          <w:sz w:val="24"/>
          <w:szCs w:val="24"/>
        </w:rPr>
        <w:t xml:space="preserve">-axis barrier virtually unaffected. This asymmetry likely stems from the fact that layer contraction narrows in-plane migration windows and intensifies short-range repulsion at the </w:t>
      </w:r>
      <w:r w:rsidRPr="002657D1">
        <w:rPr>
          <w:rFonts w:ascii="Times New Roman" w:hAnsi="Times New Roman" w:cs="Times New Roman"/>
          <w:color w:val="000000" w:themeColor="text1"/>
          <w:sz w:val="24"/>
          <w:szCs w:val="24"/>
        </w:rPr>
        <w:t xml:space="preserve">saddle point, whereas the </w:t>
      </w:r>
      <w:r w:rsidRPr="002657D1">
        <w:rPr>
          <w:rFonts w:ascii="Times New Roman" w:hAnsi="Times New Roman" w:cs="Times New Roman"/>
          <w:i/>
          <w:iCs/>
          <w:color w:val="000000" w:themeColor="text1"/>
          <w:sz w:val="24"/>
          <w:szCs w:val="24"/>
        </w:rPr>
        <w:t>c</w:t>
      </w:r>
      <w:r w:rsidRPr="002657D1">
        <w:rPr>
          <w:rFonts w:ascii="Times New Roman" w:hAnsi="Times New Roman" w:cs="Times New Roman"/>
          <w:color w:val="000000" w:themeColor="text1"/>
          <w:sz w:val="24"/>
          <w:szCs w:val="24"/>
        </w:rPr>
        <w:t>-axis pathway traverses a series of polyhedral voids that remain largely insensitive to interlayer distance.</w:t>
      </w:r>
      <w:r w:rsidRPr="002657D1">
        <w:rPr>
          <w:rFonts w:ascii="Times New Roman" w:hAnsi="Times New Roman" w:cs="Times New Roman"/>
          <w:color w:val="000000" w:themeColor="text1"/>
        </w:rPr>
        <w:br w:type="page"/>
      </w:r>
    </w:p>
    <w:p w14:paraId="18FC46C6" w14:textId="7AFC400A" w:rsidR="00382650" w:rsidRPr="002657D1" w:rsidRDefault="00382650" w:rsidP="00382650">
      <w:pPr>
        <w:pStyle w:val="ac"/>
        <w:spacing w:before="0" w:beforeAutospacing="0" w:after="0" w:afterAutospacing="0" w:line="360" w:lineRule="auto"/>
        <w:jc w:val="center"/>
        <w:rPr>
          <w:rFonts w:ascii="Times New Roman" w:eastAsiaTheme="minorEastAsia" w:hAnsi="Times New Roman" w:cs="Times New Roman"/>
          <w:b/>
          <w:bCs/>
          <w:color w:val="000000" w:themeColor="text1"/>
          <w:kern w:val="24"/>
        </w:rPr>
      </w:pPr>
      <w:r w:rsidRPr="002657D1">
        <w:rPr>
          <w:rFonts w:ascii="Times New Roman" w:eastAsiaTheme="minorEastAsia" w:hAnsi="Times New Roman" w:cs="Times New Roman"/>
          <w:b/>
          <w:bCs/>
          <w:noProof/>
          <w:color w:val="000000" w:themeColor="text1"/>
          <w:kern w:val="24"/>
        </w:rPr>
        <w:lastRenderedPageBreak/>
        <w:drawing>
          <wp:inline distT="0" distB="0" distL="0" distR="0" wp14:anchorId="3A31B306" wp14:editId="24E324A1">
            <wp:extent cx="3876502" cy="1111135"/>
            <wp:effectExtent l="0" t="0" r="0" b="0"/>
            <wp:docPr id="127972796"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72796" name="图片 1" descr="图形用户界面, 应用程序&#10;&#10;AI 生成的内容可能不正确。"/>
                    <pic:cNvPicPr/>
                  </pic:nvPicPr>
                  <pic:blipFill>
                    <a:blip r:embed="rId19"/>
                    <a:stretch>
                      <a:fillRect/>
                    </a:stretch>
                  </pic:blipFill>
                  <pic:spPr>
                    <a:xfrm>
                      <a:off x="0" y="0"/>
                      <a:ext cx="3876502" cy="1111135"/>
                    </a:xfrm>
                    <a:prstGeom prst="rect">
                      <a:avLst/>
                    </a:prstGeom>
                  </pic:spPr>
                </pic:pic>
              </a:graphicData>
            </a:graphic>
          </wp:inline>
        </w:drawing>
      </w:r>
    </w:p>
    <w:p w14:paraId="770293BF" w14:textId="09606D66" w:rsidR="003C7B87" w:rsidRPr="002657D1" w:rsidRDefault="003C7B87" w:rsidP="00953073">
      <w:pPr>
        <w:pStyle w:val="ac"/>
        <w:spacing w:before="0" w:beforeAutospacing="0" w:after="0" w:afterAutospacing="0" w:line="360" w:lineRule="auto"/>
        <w:jc w:val="both"/>
        <w:rPr>
          <w:rFonts w:ascii="Times New Roman" w:eastAsiaTheme="minorEastAsia" w:hAnsi="Times New Roman" w:cs="Times New Roman"/>
          <w:color w:val="000000" w:themeColor="text1"/>
          <w:kern w:val="24"/>
        </w:rPr>
      </w:pPr>
      <w:r w:rsidRPr="002657D1">
        <w:rPr>
          <w:rFonts w:ascii="Times New Roman" w:eastAsiaTheme="minorEastAsia" w:hAnsi="Times New Roman" w:cs="Times New Roman"/>
          <w:b/>
          <w:bCs/>
          <w:color w:val="000000" w:themeColor="text1"/>
          <w:kern w:val="24"/>
        </w:rPr>
        <w:t xml:space="preserve">Supplementary Fig. </w:t>
      </w:r>
      <w:r w:rsidR="00454F42" w:rsidRPr="002657D1">
        <w:rPr>
          <w:rFonts w:ascii="Times New Roman" w:eastAsiaTheme="minorEastAsia" w:hAnsi="Times New Roman" w:cs="Times New Roman" w:hint="eastAsia"/>
          <w:b/>
          <w:bCs/>
          <w:color w:val="000000" w:themeColor="text1"/>
          <w:kern w:val="24"/>
        </w:rPr>
        <w:t>5</w:t>
      </w:r>
      <w:r w:rsidRPr="002657D1">
        <w:rPr>
          <w:rFonts w:ascii="Times New Roman" w:eastAsiaTheme="minorEastAsia" w:hAnsi="Times New Roman" w:cs="Times New Roman"/>
          <w:b/>
          <w:bCs/>
          <w:color w:val="000000" w:themeColor="text1"/>
          <w:kern w:val="24"/>
        </w:rPr>
        <w:t xml:space="preserve"> |</w:t>
      </w:r>
      <w:bookmarkStart w:id="73" w:name="OLE_LINK7"/>
      <w:r w:rsidRPr="002657D1">
        <w:rPr>
          <w:rFonts w:ascii="Times New Roman" w:eastAsiaTheme="minorEastAsia" w:hAnsi="Times New Roman" w:cs="Times New Roman"/>
          <w:color w:val="000000" w:themeColor="text1"/>
          <w:kern w:val="24"/>
        </w:rPr>
        <w:t xml:space="preserve"> </w:t>
      </w:r>
      <w:bookmarkStart w:id="74" w:name="OLE_LINK93"/>
      <w:proofErr w:type="spellStart"/>
      <w:proofErr w:type="gramStart"/>
      <w:r w:rsidR="00382650" w:rsidRPr="002657D1">
        <w:rPr>
          <w:rFonts w:ascii="Times New Roman" w:eastAsiaTheme="minorEastAsia" w:hAnsi="Times New Roman" w:cs="Times New Roman" w:hint="eastAsia"/>
          <w:b/>
          <w:bCs/>
          <w:color w:val="000000" w:themeColor="text1"/>
          <w:kern w:val="24"/>
        </w:rPr>
        <w:t>a</w:t>
      </w:r>
      <w:r w:rsidR="00583E16" w:rsidRPr="002657D1">
        <w:rPr>
          <w:rFonts w:ascii="Times New Roman" w:eastAsiaTheme="minorEastAsia" w:hAnsi="Times New Roman" w:cs="Times New Roman" w:hint="eastAsia"/>
          <w:b/>
          <w:bCs/>
          <w:color w:val="000000" w:themeColor="text1"/>
          <w:kern w:val="24"/>
        </w:rPr>
        <w:t>,b</w:t>
      </w:r>
      <w:proofErr w:type="spellEnd"/>
      <w:proofErr w:type="gramEnd"/>
      <w:r w:rsidR="00382650" w:rsidRPr="002657D1">
        <w:rPr>
          <w:rFonts w:ascii="Times New Roman" w:eastAsiaTheme="minorEastAsia" w:hAnsi="Times New Roman" w:cs="Times New Roman" w:hint="eastAsia"/>
          <w:color w:val="000000" w:themeColor="text1"/>
          <w:kern w:val="24"/>
        </w:rPr>
        <w:t xml:space="preserve"> </w:t>
      </w:r>
      <w:r w:rsidR="00382650" w:rsidRPr="002657D1">
        <w:rPr>
          <w:rFonts w:ascii="Times New Roman" w:eastAsiaTheme="minorEastAsia" w:hAnsi="Times New Roman" w:cs="Times New Roman"/>
          <w:color w:val="000000" w:themeColor="text1"/>
          <w:kern w:val="24"/>
        </w:rPr>
        <w:t>Potential doping sites for LZC</w:t>
      </w:r>
      <w:r w:rsidR="00583E16" w:rsidRPr="002657D1">
        <w:rPr>
          <w:rFonts w:ascii="Times New Roman" w:eastAsiaTheme="minorEastAsia" w:hAnsi="Times New Roman" w:cs="Times New Roman" w:hint="eastAsia"/>
          <w:color w:val="000000" w:themeColor="text1"/>
          <w:kern w:val="24"/>
        </w:rPr>
        <w:t xml:space="preserve"> (</w:t>
      </w:r>
      <w:r w:rsidR="00583E16" w:rsidRPr="002657D1">
        <w:rPr>
          <w:rFonts w:ascii="Times New Roman" w:eastAsiaTheme="minorEastAsia" w:hAnsi="Times New Roman" w:cs="Times New Roman" w:hint="eastAsia"/>
          <w:b/>
          <w:bCs/>
          <w:color w:val="000000" w:themeColor="text1"/>
          <w:kern w:val="24"/>
        </w:rPr>
        <w:t>a</w:t>
      </w:r>
      <w:r w:rsidR="00583E16" w:rsidRPr="002657D1">
        <w:rPr>
          <w:rFonts w:ascii="Times New Roman" w:eastAsiaTheme="minorEastAsia" w:hAnsi="Times New Roman" w:cs="Times New Roman" w:hint="eastAsia"/>
          <w:color w:val="000000" w:themeColor="text1"/>
          <w:kern w:val="24"/>
        </w:rPr>
        <w:t>)</w:t>
      </w:r>
      <w:r w:rsidR="00382650" w:rsidRPr="002657D1">
        <w:rPr>
          <w:rFonts w:ascii="Times New Roman" w:eastAsiaTheme="minorEastAsia" w:hAnsi="Times New Roman" w:cs="Times New Roman"/>
          <w:color w:val="000000" w:themeColor="text1"/>
          <w:kern w:val="24"/>
        </w:rPr>
        <w:t xml:space="preserve"> and potential crystal structure</w:t>
      </w:r>
      <w:r w:rsidR="00583E16" w:rsidRPr="002657D1">
        <w:rPr>
          <w:rFonts w:ascii="Times New Roman" w:eastAsiaTheme="minorEastAsia" w:hAnsi="Times New Roman" w:cs="Times New Roman" w:hint="eastAsia"/>
          <w:color w:val="000000" w:themeColor="text1"/>
          <w:kern w:val="24"/>
        </w:rPr>
        <w:t xml:space="preserve"> (</w:t>
      </w:r>
      <w:r w:rsidR="00583E16" w:rsidRPr="002657D1">
        <w:rPr>
          <w:rFonts w:ascii="Times New Roman" w:eastAsiaTheme="minorEastAsia" w:hAnsi="Times New Roman" w:cs="Times New Roman" w:hint="eastAsia"/>
          <w:b/>
          <w:bCs/>
          <w:color w:val="000000" w:themeColor="text1"/>
          <w:kern w:val="24"/>
        </w:rPr>
        <w:t>b</w:t>
      </w:r>
      <w:r w:rsidR="00583E16" w:rsidRPr="002657D1">
        <w:rPr>
          <w:rFonts w:ascii="Times New Roman" w:eastAsiaTheme="minorEastAsia" w:hAnsi="Times New Roman" w:cs="Times New Roman" w:hint="eastAsia"/>
          <w:color w:val="000000" w:themeColor="text1"/>
          <w:kern w:val="24"/>
        </w:rPr>
        <w:t>)</w:t>
      </w:r>
      <w:r w:rsidR="00382650" w:rsidRPr="002657D1">
        <w:rPr>
          <w:rFonts w:ascii="Times New Roman" w:eastAsiaTheme="minorEastAsia" w:hAnsi="Times New Roman" w:cs="Times New Roman"/>
          <w:color w:val="000000" w:themeColor="text1"/>
          <w:kern w:val="24"/>
        </w:rPr>
        <w:t xml:space="preserve">. LZC is a kind of 1D channel material, with the space group of </w:t>
      </w:r>
      <w:proofErr w:type="gramStart"/>
      <m:oMath>
        <m:r>
          <m:rPr>
            <m:nor/>
          </m:rPr>
          <w:rPr>
            <w:rFonts w:ascii="Times New Roman" w:hAnsi="Times New Roman" w:cs="Times New Roman"/>
            <w:i/>
            <w:iCs/>
            <w:color w:val="000000" w:themeColor="text1"/>
          </w:rPr>
          <m:t>P</m:t>
        </m:r>
        <w:proofErr w:type="gramEnd"/>
        <m:acc>
          <m:accPr>
            <m:chr m:val="̅"/>
            <m:ctrlPr>
              <w:rPr>
                <w:rFonts w:ascii="Cambria Math" w:hAnsi="Cambria Math" w:cs="Times New Roman"/>
                <w:i/>
                <w:iCs/>
                <w:color w:val="000000" w:themeColor="text1"/>
              </w:rPr>
            </m:ctrlPr>
          </m:accPr>
          <m:e>
            <m:r>
              <m:rPr>
                <m:nor/>
              </m:rPr>
              <w:rPr>
                <w:rFonts w:ascii="Times New Roman" w:hAnsi="Times New Roman" w:cs="Times New Roman"/>
                <w:i/>
                <w:iCs/>
                <w:color w:val="000000" w:themeColor="text1"/>
              </w:rPr>
              <m:t>3</m:t>
            </m:r>
          </m:e>
        </m:acc>
        <m:r>
          <m:rPr>
            <m:nor/>
          </m:rPr>
          <w:rPr>
            <w:rFonts w:ascii="Times New Roman" w:hAnsi="Times New Roman" w:cs="Times New Roman"/>
            <w:i/>
            <w:iCs/>
            <w:color w:val="000000" w:themeColor="text1"/>
          </w:rPr>
          <m:t>m1</m:t>
        </m:r>
        <m:r>
          <m:rPr>
            <m:nor/>
          </m:rPr>
          <w:rPr>
            <w:rFonts w:ascii="Cambria Math" w:hAnsi="Times New Roman" w:cs="Times New Roman" w:hint="eastAsia"/>
            <w:color w:val="000000" w:themeColor="text1"/>
          </w:rPr>
          <m:t>.</m:t>
        </m:r>
      </m:oMath>
      <w:r w:rsidR="002657D1" w:rsidRPr="002657D1">
        <w:rPr>
          <w:rFonts w:ascii="Times New Roman" w:eastAsiaTheme="minorEastAsia" w:hAnsi="Times New Roman" w:cs="Times New Roman" w:hint="eastAsia"/>
          <w:color w:val="000000" w:themeColor="text1"/>
        </w:rPr>
        <w:t xml:space="preserve"> </w:t>
      </w:r>
      <w:r w:rsidR="00382650" w:rsidRPr="002657D1">
        <w:rPr>
          <w:rFonts w:ascii="Times New Roman" w:eastAsiaTheme="minorEastAsia" w:hAnsi="Times New Roman" w:cs="Times New Roman"/>
          <w:color w:val="000000" w:themeColor="text1"/>
          <w:kern w:val="24"/>
        </w:rPr>
        <w:t>There are only 6i sites available for anion substitution, while there are 1a and 2d sites suitable for cation s</w:t>
      </w:r>
      <w:r w:rsidR="00382650" w:rsidRPr="002657D1">
        <w:rPr>
          <w:rFonts w:ascii="Times New Roman" w:eastAsiaTheme="minorEastAsia" w:hAnsi="Times New Roman" w:cs="Times New Roman" w:hint="eastAsia"/>
          <w:color w:val="000000" w:themeColor="text1"/>
          <w:kern w:val="24"/>
        </w:rPr>
        <w:t>ubstitution.</w:t>
      </w:r>
      <w:bookmarkEnd w:id="73"/>
      <w:bookmarkEnd w:id="74"/>
      <w:r w:rsidRPr="002657D1">
        <w:rPr>
          <w:rFonts w:ascii="Times New Roman" w:hAnsi="Times New Roman" w:cs="Times New Roman"/>
          <w:color w:val="000000" w:themeColor="text1"/>
          <w:sz w:val="32"/>
          <w:szCs w:val="32"/>
        </w:rPr>
        <w:br w:type="page"/>
      </w:r>
    </w:p>
    <w:p w14:paraId="55FFB2A0" w14:textId="758F3667" w:rsidR="0051057A" w:rsidRPr="002657D1" w:rsidRDefault="00920B56" w:rsidP="00920B56">
      <w:pPr>
        <w:pStyle w:val="ac"/>
        <w:spacing w:before="0" w:beforeAutospacing="0" w:after="0" w:afterAutospacing="0" w:line="360" w:lineRule="auto"/>
        <w:rPr>
          <w:rFonts w:ascii="Times New Roman" w:hAnsi="Times New Roman" w:cs="Times New Roman"/>
          <w:color w:val="000000" w:themeColor="text1"/>
          <w:sz w:val="21"/>
          <w:szCs w:val="21"/>
        </w:rPr>
      </w:pPr>
      <w:r w:rsidRPr="002657D1">
        <w:rPr>
          <w:rFonts w:ascii="Times New Roman" w:hAnsi="Times New Roman" w:cs="Times New Roman"/>
          <w:noProof/>
          <w:color w:val="000000" w:themeColor="text1"/>
          <w:sz w:val="21"/>
          <w:szCs w:val="21"/>
        </w:rPr>
        <w:lastRenderedPageBreak/>
        <w:drawing>
          <wp:inline distT="0" distB="0" distL="0" distR="0" wp14:anchorId="1226F4BF" wp14:editId="304221E9">
            <wp:extent cx="5274310" cy="2484755"/>
            <wp:effectExtent l="0" t="0" r="0" b="0"/>
            <wp:docPr id="1857174810" name="图片 2" descr="日程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174810" name="图片 2" descr="日程表&#10;&#10;AI 生成的内容可能不正确。"/>
                    <pic:cNvPicPr/>
                  </pic:nvPicPr>
                  <pic:blipFill>
                    <a:blip r:embed="rId20"/>
                    <a:stretch>
                      <a:fillRect/>
                    </a:stretch>
                  </pic:blipFill>
                  <pic:spPr>
                    <a:xfrm>
                      <a:off x="0" y="0"/>
                      <a:ext cx="5274310" cy="2484755"/>
                    </a:xfrm>
                    <a:prstGeom prst="rect">
                      <a:avLst/>
                    </a:prstGeom>
                  </pic:spPr>
                </pic:pic>
              </a:graphicData>
            </a:graphic>
          </wp:inline>
        </w:drawing>
      </w:r>
    </w:p>
    <w:p w14:paraId="29897222" w14:textId="4D69DA1C" w:rsidR="00D051F3" w:rsidRPr="002657D1" w:rsidRDefault="00DF2180" w:rsidP="00993698">
      <w:pPr>
        <w:pStyle w:val="ac"/>
        <w:spacing w:before="0" w:beforeAutospacing="0" w:after="0" w:afterAutospacing="0" w:line="360" w:lineRule="auto"/>
        <w:jc w:val="both"/>
        <w:rPr>
          <w:rFonts w:ascii="Times New Roman" w:eastAsiaTheme="minorEastAsia" w:hAnsi="Times New Roman" w:cs="Times New Roman"/>
          <w:b/>
          <w:bCs/>
          <w:color w:val="000000" w:themeColor="text1"/>
          <w:kern w:val="24"/>
        </w:rPr>
      </w:pPr>
      <w:r w:rsidRPr="002657D1">
        <w:rPr>
          <w:rFonts w:ascii="Times New Roman" w:eastAsiaTheme="minorEastAsia" w:hAnsi="Times New Roman" w:cs="Times New Roman"/>
          <w:b/>
          <w:bCs/>
          <w:color w:val="000000" w:themeColor="text1"/>
          <w:kern w:val="24"/>
        </w:rPr>
        <w:t xml:space="preserve">Supplementary Fig. </w:t>
      </w:r>
      <w:r w:rsidR="00B64FB2" w:rsidRPr="002657D1">
        <w:rPr>
          <w:rFonts w:ascii="Times New Roman" w:eastAsia="等线" w:hAnsi="Times New Roman" w:cs="Times New Roman" w:hint="eastAsia"/>
          <w:b/>
          <w:bCs/>
          <w:color w:val="000000" w:themeColor="text1"/>
          <w:kern w:val="24"/>
        </w:rPr>
        <w:t>6</w:t>
      </w:r>
      <w:r w:rsidR="00B64FB2" w:rsidRPr="002657D1">
        <w:rPr>
          <w:rFonts w:ascii="Times New Roman" w:eastAsiaTheme="minorEastAsia" w:hAnsi="Times New Roman" w:cs="Times New Roman"/>
          <w:b/>
          <w:bCs/>
          <w:color w:val="000000" w:themeColor="text1"/>
          <w:kern w:val="24"/>
        </w:rPr>
        <w:t xml:space="preserve"> </w:t>
      </w:r>
      <w:r w:rsidRPr="002657D1">
        <w:rPr>
          <w:rFonts w:ascii="Times New Roman" w:eastAsiaTheme="minorEastAsia" w:hAnsi="Times New Roman" w:cs="Times New Roman"/>
          <w:b/>
          <w:bCs/>
          <w:color w:val="000000" w:themeColor="text1"/>
          <w:kern w:val="24"/>
        </w:rPr>
        <w:t xml:space="preserve">| </w:t>
      </w:r>
      <w:r w:rsidR="009855C4" w:rsidRPr="002657D1">
        <w:rPr>
          <w:rFonts w:ascii="Times New Roman" w:hAnsi="Times New Roman" w:cs="Times New Roman"/>
          <w:color w:val="000000" w:themeColor="text1"/>
          <w:kern w:val="24"/>
        </w:rPr>
        <w:t>The heatmaps present the performance rankings of all doping combinations. In the upper panel, the top five combinations—P and F, Al and F, Ti and F,</w:t>
      </w:r>
      <w:r w:rsidR="009855C4" w:rsidRPr="002657D1">
        <w:rPr>
          <w:rFonts w:ascii="Times New Roman" w:hAnsi="Times New Roman" w:cs="Times New Roman" w:hint="eastAsia"/>
          <w:color w:val="000000" w:themeColor="text1"/>
          <w:kern w:val="24"/>
        </w:rPr>
        <w:t xml:space="preserve"> </w:t>
      </w:r>
      <w:r w:rsidR="009855C4" w:rsidRPr="002657D1">
        <w:rPr>
          <w:rFonts w:ascii="Times New Roman" w:hAnsi="Times New Roman" w:cs="Times New Roman"/>
          <w:color w:val="000000" w:themeColor="text1"/>
          <w:kern w:val="24"/>
        </w:rPr>
        <w:t>Mg and F, and V and F—are highlighted with circles. In the lower panel, the top five combinations ranked by a weighted score of performance and cost are P and F, Al and F, Ti and F, Mg and F, and Fe and F. The final top three combinations (P and F, Al and F, Ti and F) were selected for subsequent experimental validation.</w:t>
      </w:r>
      <w:r w:rsidR="00D051F3" w:rsidRPr="002657D1">
        <w:rPr>
          <w:rFonts w:ascii="Times New Roman" w:hAnsi="Times New Roman" w:cs="Times New Roman"/>
          <w:color w:val="000000" w:themeColor="text1"/>
        </w:rPr>
        <w:br w:type="page"/>
      </w:r>
    </w:p>
    <w:p w14:paraId="0C374340" w14:textId="4A038055" w:rsidR="00FF72C6" w:rsidRPr="002657D1" w:rsidRDefault="009F1053" w:rsidP="003A327C">
      <w:pPr>
        <w:widowControl/>
        <w:spacing w:before="120" w:afterLines="50" w:after="156" w:line="360" w:lineRule="auto"/>
        <w:rPr>
          <w:rFonts w:ascii="Times New Roman" w:hAnsi="Times New Roman" w:cs="Times New Roman"/>
          <w:color w:val="000000" w:themeColor="text1"/>
        </w:rPr>
      </w:pPr>
      <w:r w:rsidRPr="002657D1">
        <w:rPr>
          <w:rFonts w:ascii="Times New Roman" w:hAnsi="Times New Roman" w:cs="Times New Roman"/>
          <w:noProof/>
          <w:color w:val="000000" w:themeColor="text1"/>
        </w:rPr>
        <w:lastRenderedPageBreak/>
        <w:drawing>
          <wp:inline distT="0" distB="0" distL="0" distR="0" wp14:anchorId="035F2256" wp14:editId="68E57B6A">
            <wp:extent cx="5274310" cy="1520190"/>
            <wp:effectExtent l="0" t="0" r="0" b="0"/>
            <wp:docPr id="863429555" name="图片 3" descr="黑暗中的灯光&#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429555" name="图片 3" descr="黑暗中的灯光&#10;&#10;AI 生成的内容可能不正确。"/>
                    <pic:cNvPicPr/>
                  </pic:nvPicPr>
                  <pic:blipFill>
                    <a:blip r:embed="rId21"/>
                    <a:stretch>
                      <a:fillRect/>
                    </a:stretch>
                  </pic:blipFill>
                  <pic:spPr>
                    <a:xfrm>
                      <a:off x="0" y="0"/>
                      <a:ext cx="5274310" cy="1520190"/>
                    </a:xfrm>
                    <a:prstGeom prst="rect">
                      <a:avLst/>
                    </a:prstGeom>
                  </pic:spPr>
                </pic:pic>
              </a:graphicData>
            </a:graphic>
          </wp:inline>
        </w:drawing>
      </w:r>
    </w:p>
    <w:p w14:paraId="34CA1D65" w14:textId="4FF27AB1" w:rsidR="006B5771" w:rsidRPr="002657D1" w:rsidRDefault="00993698" w:rsidP="000C1E24">
      <w:pPr>
        <w:pStyle w:val="ac"/>
        <w:spacing w:before="120" w:beforeAutospacing="0" w:afterLines="50" w:after="156" w:afterAutospacing="0" w:line="360" w:lineRule="auto"/>
        <w:jc w:val="both"/>
        <w:rPr>
          <w:rFonts w:ascii="Times New Roman" w:eastAsia="等线" w:hAnsi="Times New Roman" w:cs="Times New Roman"/>
          <w:color w:val="000000" w:themeColor="text1"/>
          <w:sz w:val="32"/>
          <w:szCs w:val="32"/>
        </w:rPr>
      </w:pPr>
      <w:r w:rsidRPr="002657D1">
        <w:rPr>
          <w:rFonts w:ascii="Times New Roman" w:eastAsia="等线" w:hAnsi="Times New Roman" w:cs="Times New Roman"/>
          <w:b/>
          <w:bCs/>
          <w:color w:val="000000" w:themeColor="text1"/>
          <w:kern w:val="2"/>
        </w:rPr>
        <w:t xml:space="preserve">Supplementary Fig. </w:t>
      </w:r>
      <w:r w:rsidR="00B64FB2" w:rsidRPr="002657D1">
        <w:rPr>
          <w:rFonts w:ascii="Times New Roman" w:eastAsia="等线" w:hAnsi="Times New Roman" w:cs="Times New Roman"/>
          <w:b/>
          <w:bCs/>
          <w:color w:val="000000" w:themeColor="text1"/>
          <w:kern w:val="2"/>
        </w:rPr>
        <w:t xml:space="preserve">7 </w:t>
      </w:r>
      <w:r w:rsidRPr="002657D1">
        <w:rPr>
          <w:rFonts w:ascii="Times New Roman" w:eastAsia="等线" w:hAnsi="Times New Roman" w:cs="Times New Roman"/>
          <w:b/>
          <w:bCs/>
          <w:color w:val="000000" w:themeColor="text1"/>
          <w:kern w:val="2"/>
        </w:rPr>
        <w:t>| a</w:t>
      </w:r>
      <w:r w:rsidRPr="002657D1">
        <w:rPr>
          <w:rFonts w:ascii="Times New Roman" w:eastAsia="等线" w:hAnsi="Times New Roman" w:cs="Times New Roman"/>
          <w:color w:val="000000" w:themeColor="text1"/>
          <w:kern w:val="2"/>
        </w:rPr>
        <w:t xml:space="preserve"> </w:t>
      </w:r>
      <w:r w:rsidRPr="002657D1">
        <w:rPr>
          <w:rFonts w:ascii="Times New Roman" w:eastAsia="等线" w:hAnsi="Times New Roman" w:cs="Times New Roman"/>
          <w:color w:val="000000" w:themeColor="text1"/>
          <w:kern w:val="24"/>
        </w:rPr>
        <w:t xml:space="preserve">XRD patterns for a series of </w:t>
      </w:r>
      <w:r w:rsidR="00315339" w:rsidRPr="002657D1">
        <w:rPr>
          <w:rFonts w:ascii="Times New Roman" w:hAnsi="Times New Roman" w:cs="Times New Roman"/>
          <w:color w:val="000000" w:themeColor="text1"/>
        </w:rPr>
        <w:t>Li</w:t>
      </w:r>
      <w:bookmarkStart w:id="75" w:name="_Hlk204248083"/>
      <w:r w:rsidR="00315339" w:rsidRPr="002657D1">
        <w:rPr>
          <w:rFonts w:ascii="Times New Roman" w:hAnsi="Times New Roman" w:cs="Times New Roman"/>
          <w:color w:val="000000" w:themeColor="text1"/>
          <w:vertAlign w:val="subscript"/>
        </w:rPr>
        <w:t>2</w:t>
      </w:r>
      <w:bookmarkEnd w:id="75"/>
      <w:r w:rsidR="00315339" w:rsidRPr="002657D1">
        <w:rPr>
          <w:rFonts w:ascii="Times New Roman" w:hAnsi="Times New Roman" w:cs="Times New Roman"/>
          <w:color w:val="000000" w:themeColor="text1"/>
        </w:rPr>
        <w:t>Zr</w:t>
      </w:r>
      <w:r w:rsidR="00315339" w:rsidRPr="002657D1">
        <w:rPr>
          <w:rFonts w:ascii="Times New Roman" w:hAnsi="Times New Roman" w:cs="Times New Roman"/>
          <w:color w:val="000000" w:themeColor="text1"/>
          <w:vertAlign w:val="subscript"/>
        </w:rPr>
        <w:t>1</w:t>
      </w:r>
      <w:r w:rsidR="002657D1" w:rsidRPr="002657D1">
        <w:rPr>
          <w:rFonts w:ascii="Times New Roman" w:hAnsi="Times New Roman" w:cs="Times New Roman"/>
          <w:color w:val="000000" w:themeColor="text1"/>
          <w:vertAlign w:val="subscript"/>
        </w:rPr>
        <w:t>−</w:t>
      </w:r>
      <w:r w:rsidR="00315339" w:rsidRPr="002657D1">
        <w:rPr>
          <w:rFonts w:ascii="Times New Roman" w:hAnsi="Times New Roman" w:cs="Times New Roman"/>
          <w:color w:val="000000" w:themeColor="text1"/>
          <w:vertAlign w:val="subscript"/>
        </w:rPr>
        <w:t>x</w:t>
      </w:r>
      <w:r w:rsidR="00315339" w:rsidRPr="002657D1">
        <w:rPr>
          <w:rFonts w:ascii="Times New Roman" w:hAnsi="Times New Roman" w:cs="Times New Roman"/>
          <w:color w:val="000000" w:themeColor="text1"/>
        </w:rPr>
        <w:t>Al</w:t>
      </w:r>
      <w:r w:rsidR="00315339" w:rsidRPr="002657D1">
        <w:rPr>
          <w:rFonts w:ascii="Times New Roman" w:hAnsi="Times New Roman" w:cs="Times New Roman"/>
          <w:color w:val="000000" w:themeColor="text1"/>
          <w:vertAlign w:val="subscript"/>
        </w:rPr>
        <w:t>x</w:t>
      </w:r>
      <w:r w:rsidR="00315339" w:rsidRPr="002657D1">
        <w:rPr>
          <w:rFonts w:ascii="Times New Roman" w:hAnsi="Times New Roman" w:cs="Times New Roman"/>
          <w:color w:val="000000" w:themeColor="text1"/>
        </w:rPr>
        <w:t>Cl</w:t>
      </w:r>
      <w:r w:rsidR="00315339" w:rsidRPr="002657D1">
        <w:rPr>
          <w:rFonts w:ascii="Times New Roman" w:hAnsi="Times New Roman" w:cs="Times New Roman"/>
          <w:color w:val="000000" w:themeColor="text1"/>
          <w:vertAlign w:val="subscript"/>
        </w:rPr>
        <w:t>6</w:t>
      </w:r>
      <w:r w:rsidR="002657D1" w:rsidRPr="002657D1">
        <w:rPr>
          <w:rFonts w:ascii="Times New Roman" w:hAnsi="Times New Roman" w:cs="Times New Roman"/>
          <w:color w:val="000000" w:themeColor="text1"/>
          <w:vertAlign w:val="subscript"/>
        </w:rPr>
        <w:t>−</w:t>
      </w:r>
      <w:r w:rsidR="00C84C1C" w:rsidRPr="002657D1">
        <w:rPr>
          <w:rFonts w:ascii="Times New Roman" w:hAnsi="Times New Roman" w:cs="Times New Roman"/>
          <w:color w:val="000000" w:themeColor="text1"/>
          <w:vertAlign w:val="subscript"/>
        </w:rPr>
        <w:t>3x</w:t>
      </w:r>
      <w:r w:rsidR="00C84C1C" w:rsidRPr="002657D1">
        <w:rPr>
          <w:rFonts w:ascii="Times New Roman" w:hAnsi="Times New Roman" w:cs="Times New Roman"/>
          <w:color w:val="000000" w:themeColor="text1"/>
        </w:rPr>
        <w:t>F</w:t>
      </w:r>
      <w:r w:rsidR="00C84C1C" w:rsidRPr="002657D1">
        <w:rPr>
          <w:rFonts w:ascii="Times New Roman" w:hAnsi="Times New Roman" w:cs="Times New Roman"/>
          <w:color w:val="000000" w:themeColor="text1"/>
          <w:vertAlign w:val="subscript"/>
        </w:rPr>
        <w:t>3x</w:t>
      </w:r>
      <w:r w:rsidR="00C84C1C" w:rsidRPr="002657D1">
        <w:rPr>
          <w:rFonts w:ascii="Times New Roman" w:eastAsia="等线" w:hAnsi="Times New Roman" w:cs="Times New Roman"/>
          <w:color w:val="000000" w:themeColor="text1"/>
        </w:rPr>
        <w:t xml:space="preserve"> </w:t>
      </w:r>
      <w:r w:rsidR="00315339" w:rsidRPr="002657D1">
        <w:rPr>
          <w:rFonts w:ascii="Times New Roman" w:eastAsia="等线" w:hAnsi="Times New Roman" w:cs="Times New Roman"/>
          <w:color w:val="000000" w:themeColor="text1"/>
        </w:rPr>
        <w:t>(denoted as LZC-</w:t>
      </w:r>
      <w:proofErr w:type="spellStart"/>
      <w:r w:rsidR="00315339" w:rsidRPr="002657D1">
        <w:rPr>
          <w:rFonts w:ascii="Times New Roman" w:eastAsia="等线" w:hAnsi="Times New Roman" w:cs="Times New Roman"/>
          <w:color w:val="000000" w:themeColor="text1"/>
        </w:rPr>
        <w:t>xAF</w:t>
      </w:r>
      <w:proofErr w:type="spellEnd"/>
      <w:r w:rsidR="00315339" w:rsidRPr="002657D1">
        <w:rPr>
          <w:rFonts w:ascii="Times New Roman" w:eastAsia="等线" w:hAnsi="Times New Roman" w:cs="Times New Roman"/>
          <w:color w:val="000000" w:themeColor="text1"/>
        </w:rPr>
        <w:t>, where x% is the AlF</w:t>
      </w:r>
      <w:r w:rsidR="00315339" w:rsidRPr="002657D1">
        <w:rPr>
          <w:rFonts w:ascii="Times New Roman" w:eastAsia="等线" w:hAnsi="Times New Roman" w:cs="Times New Roman"/>
          <w:color w:val="000000" w:themeColor="text1"/>
          <w:vertAlign w:val="subscript"/>
        </w:rPr>
        <w:t>3</w:t>
      </w:r>
      <w:r w:rsidR="00315339" w:rsidRPr="002657D1">
        <w:rPr>
          <w:rFonts w:ascii="Times New Roman" w:eastAsia="等线" w:hAnsi="Times New Roman" w:cs="Times New Roman"/>
          <w:color w:val="000000" w:themeColor="text1"/>
        </w:rPr>
        <w:t xml:space="preserve"> substitution percentage, </w:t>
      </w:r>
      <w:r w:rsidR="00315339" w:rsidRPr="002657D1">
        <w:rPr>
          <w:rFonts w:ascii="Times New Roman" w:eastAsia="等线" w:hAnsi="Times New Roman" w:cs="Times New Roman"/>
          <w:color w:val="000000" w:themeColor="text1"/>
          <w:kern w:val="24"/>
        </w:rPr>
        <w:t>x = 0, 10, 20, 30, 40</w:t>
      </w:r>
      <w:r w:rsidR="00315339" w:rsidRPr="002657D1">
        <w:rPr>
          <w:rFonts w:ascii="Times New Roman" w:eastAsia="等线" w:hAnsi="Times New Roman" w:cs="Times New Roman"/>
          <w:color w:val="000000" w:themeColor="text1"/>
        </w:rPr>
        <w:t>)</w:t>
      </w:r>
      <w:r w:rsidRPr="002657D1">
        <w:rPr>
          <w:rFonts w:ascii="Times New Roman" w:eastAsia="等线" w:hAnsi="Times New Roman" w:cs="Times New Roman"/>
          <w:color w:val="000000" w:themeColor="text1"/>
          <w:kern w:val="24"/>
        </w:rPr>
        <w:t>.</w:t>
      </w:r>
      <w:r w:rsidR="00367A84" w:rsidRPr="002657D1">
        <w:rPr>
          <w:rFonts w:ascii="Times New Roman" w:eastAsia="等线" w:hAnsi="Times New Roman" w:cs="Times New Roman"/>
          <w:color w:val="000000" w:themeColor="text1"/>
        </w:rPr>
        <w:t xml:space="preserve"> </w:t>
      </w:r>
      <w:r w:rsidR="00367A84" w:rsidRPr="002657D1">
        <w:rPr>
          <w:rFonts w:ascii="Times New Roman" w:eastAsia="等线" w:hAnsi="Times New Roman" w:cs="Times New Roman"/>
          <w:b/>
          <w:bCs/>
          <w:color w:val="000000" w:themeColor="text1"/>
          <w:kern w:val="2"/>
        </w:rPr>
        <w:t>b</w:t>
      </w:r>
      <w:r w:rsidR="00367A84" w:rsidRPr="002657D1">
        <w:rPr>
          <w:rFonts w:ascii="Times New Roman" w:eastAsia="等线" w:hAnsi="Times New Roman" w:cs="Times New Roman"/>
          <w:color w:val="000000" w:themeColor="text1"/>
          <w:kern w:val="2"/>
        </w:rPr>
        <w:t xml:space="preserve"> Arrhenius plots of the prepared LZC-</w:t>
      </w:r>
      <w:proofErr w:type="spellStart"/>
      <w:r w:rsidR="009F1053" w:rsidRPr="002657D1">
        <w:rPr>
          <w:rFonts w:ascii="Times New Roman" w:eastAsia="等线" w:hAnsi="Times New Roman" w:cs="Times New Roman"/>
          <w:color w:val="000000" w:themeColor="text1"/>
          <w:kern w:val="2"/>
        </w:rPr>
        <w:t>xAF</w:t>
      </w:r>
      <w:proofErr w:type="spellEnd"/>
      <w:r w:rsidR="009F1053" w:rsidRPr="002657D1">
        <w:rPr>
          <w:rFonts w:ascii="Times New Roman" w:eastAsia="等线" w:hAnsi="Times New Roman" w:cs="Times New Roman"/>
          <w:color w:val="000000" w:themeColor="text1"/>
          <w:kern w:val="2"/>
        </w:rPr>
        <w:t xml:space="preserve"> </w:t>
      </w:r>
      <w:r w:rsidR="00367A84" w:rsidRPr="002657D1">
        <w:rPr>
          <w:rFonts w:ascii="Times New Roman" w:eastAsia="等线" w:hAnsi="Times New Roman" w:cs="Times New Roman"/>
          <w:color w:val="000000" w:themeColor="text1"/>
          <w:kern w:val="2"/>
        </w:rPr>
        <w:t>electrolytes (x = 0, 10, 20, 30, 40)</w:t>
      </w:r>
      <w:r w:rsidRPr="002657D1">
        <w:rPr>
          <w:rFonts w:ascii="Times New Roman" w:eastAsia="等线" w:hAnsi="Times New Roman" w:cs="Times New Roman"/>
          <w:color w:val="000000" w:themeColor="text1"/>
          <w:kern w:val="2"/>
        </w:rPr>
        <w:t xml:space="preserve"> </w:t>
      </w:r>
      <w:r w:rsidRPr="002657D1">
        <w:rPr>
          <w:rFonts w:ascii="Times New Roman" w:eastAsia="等线" w:hAnsi="Times New Roman" w:cs="Times New Roman"/>
          <w:b/>
          <w:bCs/>
          <w:color w:val="000000" w:themeColor="text1"/>
          <w:kern w:val="2"/>
        </w:rPr>
        <w:t>c</w:t>
      </w:r>
      <w:r w:rsidRPr="002657D1">
        <w:rPr>
          <w:rFonts w:ascii="Times New Roman" w:eastAsia="等线" w:hAnsi="Times New Roman" w:cs="Times New Roman"/>
          <w:color w:val="000000" w:themeColor="text1"/>
          <w:kern w:val="2"/>
        </w:rPr>
        <w:t xml:space="preserve"> Ionic conductivities and activation energy for the prepared LZC-</w:t>
      </w:r>
      <w:proofErr w:type="spellStart"/>
      <w:r w:rsidRPr="002657D1">
        <w:rPr>
          <w:rFonts w:ascii="Times New Roman" w:eastAsia="等线" w:hAnsi="Times New Roman" w:cs="Times New Roman"/>
          <w:color w:val="000000" w:themeColor="text1"/>
          <w:kern w:val="2"/>
        </w:rPr>
        <w:t>xAF</w:t>
      </w:r>
      <w:proofErr w:type="spellEnd"/>
      <w:r w:rsidRPr="002657D1">
        <w:rPr>
          <w:rFonts w:ascii="Times New Roman" w:eastAsia="等线" w:hAnsi="Times New Roman" w:cs="Times New Roman"/>
          <w:color w:val="000000" w:themeColor="text1"/>
          <w:kern w:val="2"/>
        </w:rPr>
        <w:t xml:space="preserve"> electrolytes.</w:t>
      </w:r>
    </w:p>
    <w:p w14:paraId="6D34E331" w14:textId="4B2CA137" w:rsidR="00D051F3" w:rsidRPr="002657D1" w:rsidRDefault="006B5771" w:rsidP="00A927EE">
      <w:pPr>
        <w:pStyle w:val="ac"/>
        <w:spacing w:before="120" w:beforeAutospacing="0" w:afterLines="50" w:after="156" w:afterAutospacing="0" w:line="360" w:lineRule="auto"/>
        <w:jc w:val="both"/>
        <w:rPr>
          <w:rFonts w:ascii="Times New Roman" w:hAnsi="Times New Roman" w:cs="Times New Roman"/>
          <w:color w:val="000000" w:themeColor="text1"/>
          <w:sz w:val="21"/>
          <w:szCs w:val="21"/>
        </w:rPr>
      </w:pPr>
      <w:r w:rsidRPr="002657D1">
        <w:rPr>
          <w:rFonts w:ascii="Times New Roman" w:hAnsi="Times New Roman" w:cs="Times New Roman"/>
          <w:b/>
          <w:bCs/>
          <w:color w:val="000000" w:themeColor="text1"/>
        </w:rPr>
        <w:t>Discussion:</w:t>
      </w:r>
      <w:r w:rsidR="008F1370" w:rsidRPr="002657D1">
        <w:rPr>
          <w:rFonts w:ascii="Times New Roman" w:hAnsi="Times New Roman" w:cs="Times New Roman"/>
          <w:b/>
          <w:bCs/>
          <w:color w:val="000000" w:themeColor="text1"/>
        </w:rPr>
        <w:t xml:space="preserve"> </w:t>
      </w:r>
      <w:r w:rsidR="005D5E46" w:rsidRPr="002657D1">
        <w:rPr>
          <w:rFonts w:ascii="Times New Roman" w:eastAsia="等线" w:hAnsi="Times New Roman" w:cs="Times New Roman"/>
          <w:b/>
          <w:bCs/>
          <w:color w:val="000000" w:themeColor="text1"/>
          <w:kern w:val="2"/>
        </w:rPr>
        <w:t xml:space="preserve">Supplementary Fig. </w:t>
      </w:r>
      <w:r w:rsidR="005234B8" w:rsidRPr="002657D1">
        <w:rPr>
          <w:rFonts w:ascii="Times New Roman" w:eastAsia="等线" w:hAnsi="Times New Roman" w:cs="Times New Roman"/>
          <w:b/>
          <w:bCs/>
          <w:color w:val="000000" w:themeColor="text1"/>
          <w:kern w:val="2"/>
        </w:rPr>
        <w:t>7a</w:t>
      </w:r>
      <w:r w:rsidR="005234B8" w:rsidRPr="002657D1">
        <w:rPr>
          <w:rFonts w:ascii="Times New Roman" w:hAnsi="Times New Roman" w:cs="Times New Roman"/>
          <w:color w:val="000000" w:themeColor="text1"/>
        </w:rPr>
        <w:t xml:space="preserve"> </w:t>
      </w:r>
      <w:r w:rsidR="005D5E46" w:rsidRPr="002657D1">
        <w:rPr>
          <w:rFonts w:ascii="Times New Roman" w:hAnsi="Times New Roman" w:cs="Times New Roman"/>
          <w:color w:val="000000" w:themeColor="text1"/>
        </w:rPr>
        <w:t>presents the XRD patterns of the LZC-</w:t>
      </w:r>
      <w:proofErr w:type="spellStart"/>
      <w:r w:rsidR="005D5E46" w:rsidRPr="002657D1">
        <w:rPr>
          <w:rFonts w:ascii="Times New Roman" w:hAnsi="Times New Roman" w:cs="Times New Roman"/>
          <w:color w:val="000000" w:themeColor="text1"/>
        </w:rPr>
        <w:t>xAF</w:t>
      </w:r>
      <w:proofErr w:type="spellEnd"/>
      <w:r w:rsidR="005D5E46" w:rsidRPr="002657D1">
        <w:rPr>
          <w:rFonts w:ascii="Times New Roman" w:hAnsi="Times New Roman" w:cs="Times New Roman"/>
          <w:color w:val="000000" w:themeColor="text1"/>
        </w:rPr>
        <w:t xml:space="preserve"> (0 ≤ x ≤ 40), which </w:t>
      </w:r>
      <w:r w:rsidR="007D64FC" w:rsidRPr="002657D1">
        <w:rPr>
          <w:rFonts w:ascii="Times New Roman" w:hAnsi="Times New Roman" w:cs="Times New Roman"/>
          <w:color w:val="000000" w:themeColor="text1"/>
        </w:rPr>
        <w:t>align well</w:t>
      </w:r>
      <w:r w:rsidR="005D5E46" w:rsidRPr="002657D1">
        <w:rPr>
          <w:rFonts w:ascii="Times New Roman" w:hAnsi="Times New Roman" w:cs="Times New Roman"/>
          <w:color w:val="000000" w:themeColor="text1"/>
        </w:rPr>
        <w:t xml:space="preserve"> with the pattern of trigonal Li</w:t>
      </w:r>
      <w:r w:rsidR="005D5E46" w:rsidRPr="002657D1">
        <w:rPr>
          <w:rFonts w:ascii="Times New Roman" w:hAnsi="Times New Roman" w:cs="Times New Roman"/>
          <w:color w:val="000000" w:themeColor="text1"/>
          <w:vertAlign w:val="subscript"/>
        </w:rPr>
        <w:t>3</w:t>
      </w:r>
      <w:r w:rsidR="005D5E46" w:rsidRPr="002657D1">
        <w:rPr>
          <w:rFonts w:ascii="Times New Roman" w:hAnsi="Times New Roman" w:cs="Times New Roman"/>
          <w:color w:val="000000" w:themeColor="text1"/>
        </w:rPr>
        <w:t>YCl</w:t>
      </w:r>
      <w:r w:rsidR="005D5E46" w:rsidRPr="002657D1">
        <w:rPr>
          <w:rFonts w:ascii="Times New Roman" w:hAnsi="Times New Roman" w:cs="Times New Roman"/>
          <w:color w:val="000000" w:themeColor="text1"/>
          <w:vertAlign w:val="subscript"/>
        </w:rPr>
        <w:t>6</w:t>
      </w:r>
      <w:r w:rsidR="005D5E46" w:rsidRPr="002657D1">
        <w:rPr>
          <w:rFonts w:ascii="Times New Roman" w:hAnsi="Times New Roman" w:cs="Times New Roman"/>
          <w:color w:val="000000" w:themeColor="text1"/>
        </w:rPr>
        <w:t xml:space="preserve"> with </w:t>
      </w:r>
      <m:oMath>
        <m:r>
          <m:rPr>
            <m:nor/>
          </m:rPr>
          <w:rPr>
            <w:rFonts w:ascii="Times New Roman" w:hAnsi="Times New Roman" w:cs="Times New Roman"/>
            <w:i/>
            <w:iCs/>
            <w:color w:val="000000" w:themeColor="text1"/>
          </w:rPr>
          <m:t>P</m:t>
        </m:r>
        <m:acc>
          <m:accPr>
            <m:chr m:val="̅"/>
            <m:ctrlPr>
              <w:rPr>
                <w:rFonts w:ascii="Cambria Math" w:hAnsi="Cambria Math" w:cs="Times New Roman"/>
                <w:i/>
                <w:iCs/>
                <w:color w:val="000000" w:themeColor="text1"/>
              </w:rPr>
            </m:ctrlPr>
          </m:accPr>
          <m:e>
            <m:r>
              <m:rPr>
                <m:nor/>
              </m:rPr>
              <w:rPr>
                <w:rFonts w:ascii="Times New Roman" w:hAnsi="Times New Roman" w:cs="Times New Roman"/>
                <w:i/>
                <w:iCs/>
                <w:color w:val="000000" w:themeColor="text1"/>
              </w:rPr>
              <m:t>3</m:t>
            </m:r>
          </m:e>
        </m:acc>
        <m:r>
          <m:rPr>
            <m:nor/>
          </m:rPr>
          <w:rPr>
            <w:rFonts w:ascii="Times New Roman" w:hAnsi="Times New Roman" w:cs="Times New Roman"/>
            <w:i/>
            <w:iCs/>
            <w:color w:val="000000" w:themeColor="text1"/>
          </w:rPr>
          <m:t>m1</m:t>
        </m:r>
      </m:oMath>
      <w:r w:rsidR="005D5E46" w:rsidRPr="002657D1">
        <w:rPr>
          <w:rFonts w:ascii="Times New Roman" w:hAnsi="Times New Roman" w:cs="Times New Roman"/>
          <w:color w:val="000000" w:themeColor="text1"/>
        </w:rPr>
        <w:t xml:space="preserve"> space group. </w:t>
      </w:r>
      <w:r w:rsidR="007D64FC" w:rsidRPr="002657D1">
        <w:rPr>
          <w:rFonts w:ascii="Times New Roman" w:hAnsi="Times New Roman" w:cs="Times New Roman"/>
          <w:color w:val="000000" w:themeColor="text1"/>
        </w:rPr>
        <w:t>Peak shifts toward higher angles with increasing AlF</w:t>
      </w:r>
      <w:r w:rsidR="007D64FC" w:rsidRPr="002657D1">
        <w:rPr>
          <w:rFonts w:ascii="Times New Roman" w:hAnsi="Times New Roman" w:cs="Times New Roman"/>
          <w:color w:val="000000" w:themeColor="text1"/>
          <w:vertAlign w:val="subscript"/>
        </w:rPr>
        <w:t>3</w:t>
      </w:r>
      <w:r w:rsidR="007D64FC" w:rsidRPr="002657D1">
        <w:rPr>
          <w:rFonts w:ascii="Times New Roman" w:hAnsi="Times New Roman" w:cs="Times New Roman"/>
          <w:color w:val="000000" w:themeColor="text1"/>
        </w:rPr>
        <w:t xml:space="preserve"> doping indicate progressive unit cell contraction, driven by the smaller ionic radii of Al</w:t>
      </w:r>
      <w:r w:rsidR="007D64FC" w:rsidRPr="002657D1">
        <w:rPr>
          <w:rFonts w:ascii="Times New Roman" w:hAnsi="Times New Roman" w:cs="Times New Roman"/>
          <w:color w:val="000000" w:themeColor="text1"/>
          <w:vertAlign w:val="superscript"/>
        </w:rPr>
        <w:t>3+</w:t>
      </w:r>
      <w:r w:rsidR="007D64FC" w:rsidRPr="002657D1">
        <w:rPr>
          <w:rFonts w:ascii="Times New Roman" w:hAnsi="Times New Roman" w:cs="Times New Roman"/>
          <w:color w:val="000000" w:themeColor="text1"/>
        </w:rPr>
        <w:t xml:space="preserve"> and F</w:t>
      </w:r>
      <w:r w:rsidR="007D64FC" w:rsidRPr="002657D1">
        <w:rPr>
          <w:rFonts w:ascii="Times New Roman" w:hAnsi="Times New Roman" w:cs="Times New Roman"/>
          <w:color w:val="000000" w:themeColor="text1"/>
          <w:vertAlign w:val="superscript"/>
        </w:rPr>
        <w:t>−</w:t>
      </w:r>
      <w:r w:rsidR="007D64FC" w:rsidRPr="002657D1">
        <w:rPr>
          <w:rFonts w:ascii="Times New Roman" w:hAnsi="Times New Roman" w:cs="Times New Roman"/>
          <w:color w:val="000000" w:themeColor="text1"/>
        </w:rPr>
        <w:t xml:space="preserve"> compared to Zr</w:t>
      </w:r>
      <w:r w:rsidR="007D64FC" w:rsidRPr="002657D1">
        <w:rPr>
          <w:rFonts w:ascii="Times New Roman" w:hAnsi="Times New Roman" w:cs="Times New Roman"/>
          <w:color w:val="000000" w:themeColor="text1"/>
          <w:vertAlign w:val="superscript"/>
        </w:rPr>
        <w:t>4+</w:t>
      </w:r>
      <w:r w:rsidR="007D64FC" w:rsidRPr="002657D1">
        <w:rPr>
          <w:rFonts w:ascii="Times New Roman" w:hAnsi="Times New Roman" w:cs="Times New Roman"/>
          <w:color w:val="000000" w:themeColor="text1"/>
        </w:rPr>
        <w:t xml:space="preserve"> and Cl</w:t>
      </w:r>
      <w:r w:rsidR="007D64FC" w:rsidRPr="002657D1">
        <w:rPr>
          <w:rFonts w:ascii="Times New Roman" w:hAnsi="Times New Roman" w:cs="Times New Roman"/>
          <w:color w:val="000000" w:themeColor="text1"/>
          <w:vertAlign w:val="superscript"/>
        </w:rPr>
        <w:t>−</w:t>
      </w:r>
      <w:r w:rsidR="007D64FC" w:rsidRPr="002657D1">
        <w:rPr>
          <w:rFonts w:ascii="Times New Roman" w:hAnsi="Times New Roman" w:cs="Times New Roman"/>
          <w:color w:val="000000" w:themeColor="text1"/>
        </w:rPr>
        <w:t>, respectively. For x ≥ 20, intensity variations in peaks between 31.9° and 41.7° occur, accompanied by detectable LiCl peaks at 29.9° and 34.7°, signaling AlF</w:t>
      </w:r>
      <w:r w:rsidR="007D64FC" w:rsidRPr="002657D1">
        <w:rPr>
          <w:rFonts w:ascii="Times New Roman" w:hAnsi="Times New Roman" w:cs="Times New Roman"/>
          <w:color w:val="000000" w:themeColor="text1"/>
          <w:vertAlign w:val="subscript"/>
        </w:rPr>
        <w:t>3</w:t>
      </w:r>
      <w:r w:rsidR="007D64FC" w:rsidRPr="002657D1">
        <w:rPr>
          <w:rFonts w:ascii="Times New Roman" w:hAnsi="Times New Roman" w:cs="Times New Roman"/>
          <w:color w:val="000000" w:themeColor="text1"/>
        </w:rPr>
        <w:t xml:space="preserve"> doping exceeding the critical solubility limit and subsequent LiCl impurity formation. </w:t>
      </w:r>
      <w:r w:rsidR="007D64FC" w:rsidRPr="002657D1">
        <w:rPr>
          <w:rFonts w:ascii="Times New Roman" w:hAnsi="Times New Roman" w:cs="Times New Roman"/>
          <w:b/>
          <w:bCs/>
          <w:color w:val="000000" w:themeColor="text1"/>
        </w:rPr>
        <w:t xml:space="preserve">Supplementary Fig. </w:t>
      </w:r>
      <w:r w:rsidR="005234B8" w:rsidRPr="002657D1">
        <w:rPr>
          <w:rFonts w:ascii="Times New Roman" w:hAnsi="Times New Roman" w:cs="Times New Roman"/>
          <w:b/>
          <w:bCs/>
          <w:color w:val="000000" w:themeColor="text1"/>
        </w:rPr>
        <w:t>7</w:t>
      </w:r>
      <w:proofErr w:type="gramStart"/>
      <w:r w:rsidR="005234B8" w:rsidRPr="002657D1">
        <w:rPr>
          <w:rFonts w:ascii="Times New Roman" w:hAnsi="Times New Roman" w:cs="Times New Roman"/>
          <w:b/>
          <w:bCs/>
          <w:color w:val="000000" w:themeColor="text1"/>
        </w:rPr>
        <w:t>b</w:t>
      </w:r>
      <w:r w:rsidR="007D64FC" w:rsidRPr="002657D1">
        <w:rPr>
          <w:rFonts w:ascii="Times New Roman" w:hAnsi="Times New Roman" w:cs="Times New Roman"/>
          <w:b/>
          <w:bCs/>
          <w:color w:val="000000" w:themeColor="text1"/>
        </w:rPr>
        <w:t>,c</w:t>
      </w:r>
      <w:proofErr w:type="gramEnd"/>
      <w:r w:rsidR="007D64FC" w:rsidRPr="002657D1">
        <w:rPr>
          <w:rFonts w:ascii="Times New Roman" w:hAnsi="Times New Roman" w:cs="Times New Roman"/>
          <w:color w:val="000000" w:themeColor="text1"/>
        </w:rPr>
        <w:t xml:space="preserve"> </w:t>
      </w:r>
      <w:proofErr w:type="gramStart"/>
      <w:r w:rsidR="007D64FC" w:rsidRPr="002657D1">
        <w:rPr>
          <w:rFonts w:ascii="Times New Roman" w:hAnsi="Times New Roman" w:cs="Times New Roman"/>
          <w:color w:val="000000" w:themeColor="text1"/>
        </w:rPr>
        <w:t>reveal</w:t>
      </w:r>
      <w:proofErr w:type="gramEnd"/>
      <w:r w:rsidR="007D64FC" w:rsidRPr="002657D1">
        <w:rPr>
          <w:rFonts w:ascii="Times New Roman" w:hAnsi="Times New Roman" w:cs="Times New Roman"/>
          <w:color w:val="000000" w:themeColor="text1"/>
        </w:rPr>
        <w:t xml:space="preserve"> that LZC-10AF exhibits the highest room-temperature ionic conductivity (</w:t>
      </w:r>
      <w:r w:rsidR="009F1053" w:rsidRPr="002657D1">
        <w:rPr>
          <w:rFonts w:ascii="Times New Roman" w:hAnsi="Times New Roman" w:cs="Times New Roman"/>
          <w:color w:val="000000" w:themeColor="text1"/>
        </w:rPr>
        <w:t>1.1</w:t>
      </w:r>
      <w:r w:rsidR="007D64FC" w:rsidRPr="002657D1">
        <w:rPr>
          <w:rFonts w:ascii="Times New Roman" w:hAnsi="Times New Roman" w:cs="Times New Roman"/>
          <w:color w:val="000000" w:themeColor="text1"/>
        </w:rPr>
        <w:t xml:space="preserve"> mS </w:t>
      </w:r>
      <w:r w:rsidR="00681C8B" w:rsidRPr="002657D1">
        <w:rPr>
          <w:rFonts w:ascii="Times New Roman" w:hAnsi="Times New Roman" w:cs="Times New Roman"/>
          <w:color w:val="000000" w:themeColor="text1"/>
        </w:rPr>
        <w:t>cm</w:t>
      </w:r>
      <w:r w:rsidR="00681C8B" w:rsidRPr="002657D1">
        <w:rPr>
          <w:rFonts w:ascii="Times New Roman" w:hAnsi="Times New Roman" w:cs="Times New Roman"/>
          <w:color w:val="000000" w:themeColor="text1"/>
          <w:vertAlign w:val="superscript"/>
        </w:rPr>
        <w:t>−1</w:t>
      </w:r>
      <w:r w:rsidR="007D64FC" w:rsidRPr="002657D1">
        <w:rPr>
          <w:rFonts w:ascii="Times New Roman" w:hAnsi="Times New Roman" w:cs="Times New Roman"/>
          <w:color w:val="000000" w:themeColor="text1"/>
        </w:rPr>
        <w:t>) and lowest activation energy (0.32 eV) among the tested samples.</w:t>
      </w:r>
      <w:r w:rsidR="00D051F3" w:rsidRPr="002657D1">
        <w:rPr>
          <w:rFonts w:ascii="Times New Roman" w:hAnsi="Times New Roman" w:cs="Times New Roman"/>
          <w:color w:val="000000" w:themeColor="text1"/>
          <w:sz w:val="21"/>
          <w:szCs w:val="21"/>
        </w:rPr>
        <w:br w:type="page"/>
      </w:r>
    </w:p>
    <w:p w14:paraId="7460348E" w14:textId="611725E2" w:rsidR="00D051F3" w:rsidRPr="002657D1" w:rsidRDefault="009F1053" w:rsidP="0043059A">
      <w:pPr>
        <w:widowControl/>
        <w:spacing w:before="120" w:afterLines="50" w:after="156" w:line="360" w:lineRule="auto"/>
        <w:rPr>
          <w:rFonts w:ascii="Times New Roman" w:hAnsi="Times New Roman" w:cs="Times New Roman"/>
          <w:color w:val="000000" w:themeColor="text1"/>
        </w:rPr>
      </w:pPr>
      <w:r w:rsidRPr="002657D1">
        <w:rPr>
          <w:rFonts w:ascii="Times New Roman" w:hAnsi="Times New Roman" w:cs="Times New Roman"/>
          <w:noProof/>
          <w:color w:val="000000" w:themeColor="text1"/>
        </w:rPr>
        <w:lastRenderedPageBreak/>
        <w:drawing>
          <wp:inline distT="0" distB="0" distL="0" distR="0" wp14:anchorId="50154064" wp14:editId="3728D5A7">
            <wp:extent cx="5274310" cy="1520190"/>
            <wp:effectExtent l="0" t="0" r="0" b="0"/>
            <wp:docPr id="238435377" name="图片 4" descr="黑暗里有灯光&#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435377" name="图片 4" descr="黑暗里有灯光&#10;&#10;AI 生成的内容可能不正确。"/>
                    <pic:cNvPicPr/>
                  </pic:nvPicPr>
                  <pic:blipFill>
                    <a:blip r:embed="rId22"/>
                    <a:stretch>
                      <a:fillRect/>
                    </a:stretch>
                  </pic:blipFill>
                  <pic:spPr>
                    <a:xfrm>
                      <a:off x="0" y="0"/>
                      <a:ext cx="5274310" cy="1520190"/>
                    </a:xfrm>
                    <a:prstGeom prst="rect">
                      <a:avLst/>
                    </a:prstGeom>
                  </pic:spPr>
                </pic:pic>
              </a:graphicData>
            </a:graphic>
          </wp:inline>
        </w:drawing>
      </w:r>
    </w:p>
    <w:p w14:paraId="4FB73E50" w14:textId="6CC0514A" w:rsidR="006B5771" w:rsidRPr="002657D1" w:rsidRDefault="00993698" w:rsidP="000C1E24">
      <w:pPr>
        <w:pStyle w:val="ac"/>
        <w:spacing w:before="120" w:beforeAutospacing="0" w:afterLines="50" w:after="156" w:afterAutospacing="0" w:line="360" w:lineRule="auto"/>
        <w:jc w:val="both"/>
        <w:rPr>
          <w:rFonts w:ascii="Times New Roman" w:eastAsia="等线" w:hAnsi="Times New Roman" w:cs="Times New Roman"/>
          <w:color w:val="000000" w:themeColor="text1"/>
        </w:rPr>
      </w:pPr>
      <w:r w:rsidRPr="002657D1">
        <w:rPr>
          <w:rFonts w:ascii="Times New Roman" w:eastAsia="等线" w:hAnsi="Times New Roman" w:cs="Times New Roman"/>
          <w:b/>
          <w:bCs/>
          <w:color w:val="000000" w:themeColor="text1"/>
          <w:kern w:val="2"/>
        </w:rPr>
        <w:t xml:space="preserve">Supplementary Fig. </w:t>
      </w:r>
      <w:r w:rsidR="00B64FB2" w:rsidRPr="002657D1">
        <w:rPr>
          <w:rFonts w:ascii="Times New Roman" w:eastAsia="等线" w:hAnsi="Times New Roman" w:cs="Times New Roman" w:hint="eastAsia"/>
          <w:b/>
          <w:bCs/>
          <w:color w:val="000000" w:themeColor="text1"/>
          <w:kern w:val="2"/>
        </w:rPr>
        <w:t>8</w:t>
      </w:r>
      <w:r w:rsidR="00B64FB2"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b/>
          <w:bCs/>
          <w:color w:val="000000" w:themeColor="text1"/>
          <w:kern w:val="2"/>
        </w:rPr>
        <w:t>| a</w:t>
      </w:r>
      <w:r w:rsidRPr="002657D1">
        <w:rPr>
          <w:rFonts w:ascii="Times New Roman" w:eastAsia="等线" w:hAnsi="Times New Roman" w:cs="Times New Roman"/>
          <w:color w:val="000000" w:themeColor="text1"/>
          <w:kern w:val="2"/>
        </w:rPr>
        <w:t xml:space="preserve"> </w:t>
      </w:r>
      <w:r w:rsidRPr="002657D1">
        <w:rPr>
          <w:rFonts w:ascii="Times New Roman" w:eastAsia="等线" w:hAnsi="Times New Roman" w:cs="Times New Roman"/>
          <w:color w:val="000000" w:themeColor="text1"/>
          <w:kern w:val="24"/>
        </w:rPr>
        <w:t xml:space="preserve">XRD patterns for a series of </w:t>
      </w:r>
      <w:r w:rsidR="00B07C92" w:rsidRPr="002657D1">
        <w:rPr>
          <w:rFonts w:ascii="Times New Roman" w:eastAsia="等线" w:hAnsi="Times New Roman" w:cs="Times New Roman"/>
          <w:color w:val="000000" w:themeColor="text1"/>
        </w:rPr>
        <w:t>Li</w:t>
      </w:r>
      <w:r w:rsidR="00B07C92" w:rsidRPr="002657D1">
        <w:rPr>
          <w:rFonts w:ascii="Times New Roman" w:eastAsia="等线" w:hAnsi="Times New Roman" w:cs="Times New Roman"/>
          <w:color w:val="000000" w:themeColor="text1"/>
          <w:vertAlign w:val="subscript"/>
        </w:rPr>
        <w:t>2</w:t>
      </w:r>
      <w:r w:rsidR="00B07C92" w:rsidRPr="002657D1">
        <w:rPr>
          <w:rFonts w:ascii="Times New Roman" w:eastAsia="等线" w:hAnsi="Times New Roman" w:cs="Times New Roman"/>
          <w:color w:val="000000" w:themeColor="text1"/>
        </w:rPr>
        <w:t>Zr</w:t>
      </w:r>
      <w:r w:rsidR="00B07C92" w:rsidRPr="002657D1">
        <w:rPr>
          <w:rFonts w:ascii="Times New Roman" w:eastAsia="等线" w:hAnsi="Times New Roman" w:cs="Times New Roman"/>
          <w:color w:val="000000" w:themeColor="text1"/>
          <w:vertAlign w:val="subscript"/>
        </w:rPr>
        <w:t>1</w:t>
      </w:r>
      <w:r w:rsidR="002657D1" w:rsidRPr="002657D1">
        <w:rPr>
          <w:rFonts w:ascii="Times New Roman" w:hAnsi="Times New Roman" w:cs="Times New Roman"/>
          <w:color w:val="000000" w:themeColor="text1"/>
          <w:vertAlign w:val="subscript"/>
        </w:rPr>
        <w:t>−</w:t>
      </w:r>
      <w:r w:rsidR="00B07C92" w:rsidRPr="002657D1">
        <w:rPr>
          <w:rFonts w:ascii="Times New Roman" w:eastAsia="等线" w:hAnsi="Times New Roman" w:cs="Times New Roman"/>
          <w:color w:val="000000" w:themeColor="text1"/>
          <w:vertAlign w:val="subscript"/>
        </w:rPr>
        <w:t>x</w:t>
      </w:r>
      <w:r w:rsidR="00B07C92" w:rsidRPr="002657D1">
        <w:rPr>
          <w:rFonts w:ascii="Times New Roman" w:eastAsia="等线" w:hAnsi="Times New Roman" w:cs="Times New Roman"/>
          <w:color w:val="000000" w:themeColor="text1"/>
        </w:rPr>
        <w:t>P</w:t>
      </w:r>
      <w:r w:rsidR="00B07C92" w:rsidRPr="002657D1">
        <w:rPr>
          <w:rFonts w:ascii="Times New Roman" w:eastAsia="等线" w:hAnsi="Times New Roman" w:cs="Times New Roman"/>
          <w:color w:val="000000" w:themeColor="text1"/>
          <w:vertAlign w:val="subscript"/>
        </w:rPr>
        <w:t>x</w:t>
      </w:r>
      <w:r w:rsidR="00B07C92" w:rsidRPr="002657D1">
        <w:rPr>
          <w:rFonts w:ascii="Times New Roman" w:eastAsia="等线" w:hAnsi="Times New Roman" w:cs="Times New Roman"/>
          <w:color w:val="000000" w:themeColor="text1"/>
        </w:rPr>
        <w:t>Cl</w:t>
      </w:r>
      <w:r w:rsidR="00B07C92" w:rsidRPr="002657D1">
        <w:rPr>
          <w:rFonts w:ascii="Times New Roman" w:eastAsia="等线" w:hAnsi="Times New Roman" w:cs="Times New Roman"/>
          <w:color w:val="000000" w:themeColor="text1"/>
          <w:vertAlign w:val="subscript"/>
        </w:rPr>
        <w:t>6</w:t>
      </w:r>
      <w:r w:rsidR="002657D1" w:rsidRPr="002657D1">
        <w:rPr>
          <w:rFonts w:ascii="Times New Roman" w:hAnsi="Times New Roman" w:cs="Times New Roman"/>
          <w:color w:val="000000" w:themeColor="text1"/>
          <w:vertAlign w:val="subscript"/>
        </w:rPr>
        <w:t>−</w:t>
      </w:r>
      <w:r w:rsidR="00B07C92" w:rsidRPr="002657D1">
        <w:rPr>
          <w:rFonts w:ascii="Times New Roman" w:eastAsia="等线" w:hAnsi="Times New Roman" w:cs="Times New Roman"/>
          <w:color w:val="000000" w:themeColor="text1"/>
          <w:vertAlign w:val="subscript"/>
        </w:rPr>
        <w:t>3x</w:t>
      </w:r>
      <w:r w:rsidR="00B07C92" w:rsidRPr="002657D1">
        <w:rPr>
          <w:rFonts w:ascii="Times New Roman" w:eastAsia="等线" w:hAnsi="Times New Roman" w:cs="Times New Roman"/>
          <w:color w:val="000000" w:themeColor="text1"/>
        </w:rPr>
        <w:t>F</w:t>
      </w:r>
      <w:r w:rsidR="00B07C92" w:rsidRPr="002657D1">
        <w:rPr>
          <w:rFonts w:ascii="Times New Roman" w:eastAsia="等线" w:hAnsi="Times New Roman" w:cs="Times New Roman"/>
          <w:color w:val="000000" w:themeColor="text1"/>
          <w:vertAlign w:val="subscript"/>
        </w:rPr>
        <w:t>4x</w:t>
      </w:r>
      <w:r w:rsidR="00B07C92" w:rsidRPr="002657D1">
        <w:rPr>
          <w:rFonts w:ascii="Times New Roman" w:eastAsia="等线" w:hAnsi="Times New Roman" w:cs="Times New Roman"/>
          <w:color w:val="000000" w:themeColor="text1"/>
        </w:rPr>
        <w:t xml:space="preserve"> (denoted as LZC-</w:t>
      </w:r>
      <w:proofErr w:type="spellStart"/>
      <w:r w:rsidR="00B07C92" w:rsidRPr="002657D1">
        <w:rPr>
          <w:rFonts w:ascii="Times New Roman" w:eastAsia="等线" w:hAnsi="Times New Roman" w:cs="Times New Roman"/>
          <w:color w:val="000000" w:themeColor="text1"/>
        </w:rPr>
        <w:t>xPF</w:t>
      </w:r>
      <w:proofErr w:type="spellEnd"/>
      <w:r w:rsidR="00B07C92" w:rsidRPr="002657D1">
        <w:rPr>
          <w:rFonts w:ascii="Times New Roman" w:eastAsia="等线" w:hAnsi="Times New Roman" w:cs="Times New Roman"/>
          <w:color w:val="000000" w:themeColor="text1"/>
        </w:rPr>
        <w:t xml:space="preserve">, where x% is the P substitution percentage, </w:t>
      </w:r>
      <w:r w:rsidR="00B07C92" w:rsidRPr="002657D1">
        <w:rPr>
          <w:rFonts w:ascii="Times New Roman" w:eastAsia="等线" w:hAnsi="Times New Roman" w:cs="Times New Roman"/>
          <w:color w:val="000000" w:themeColor="text1"/>
          <w:kern w:val="24"/>
        </w:rPr>
        <w:t>x = 0, 10, 20, 30, 40</w:t>
      </w:r>
      <w:r w:rsidR="00B07C92" w:rsidRPr="002657D1">
        <w:rPr>
          <w:rFonts w:ascii="Times New Roman" w:eastAsia="等线" w:hAnsi="Times New Roman" w:cs="Times New Roman"/>
          <w:color w:val="000000" w:themeColor="text1"/>
        </w:rPr>
        <w:t xml:space="preserve">). </w:t>
      </w:r>
      <w:r w:rsidRPr="002657D1">
        <w:rPr>
          <w:rFonts w:ascii="Times New Roman" w:eastAsia="等线" w:hAnsi="Times New Roman" w:cs="Times New Roman"/>
          <w:b/>
          <w:bCs/>
          <w:color w:val="000000" w:themeColor="text1"/>
          <w:kern w:val="2"/>
        </w:rPr>
        <w:t>b</w:t>
      </w:r>
      <w:r w:rsidRPr="002657D1">
        <w:rPr>
          <w:rFonts w:ascii="Times New Roman" w:eastAsia="等线" w:hAnsi="Times New Roman" w:cs="Times New Roman"/>
          <w:color w:val="000000" w:themeColor="text1"/>
          <w:kern w:val="2"/>
        </w:rPr>
        <w:t xml:space="preserve"> Arrhenius plots of the prepared LZC-</w:t>
      </w:r>
      <w:proofErr w:type="spellStart"/>
      <w:r w:rsidRPr="002657D1">
        <w:rPr>
          <w:rFonts w:ascii="Times New Roman" w:eastAsia="等线" w:hAnsi="Times New Roman" w:cs="Times New Roman"/>
          <w:color w:val="000000" w:themeColor="text1"/>
          <w:kern w:val="2"/>
        </w:rPr>
        <w:t>xPF</w:t>
      </w:r>
      <w:proofErr w:type="spellEnd"/>
      <w:r w:rsidRPr="002657D1">
        <w:rPr>
          <w:rFonts w:ascii="Times New Roman" w:eastAsia="等线" w:hAnsi="Times New Roman" w:cs="Times New Roman"/>
          <w:color w:val="000000" w:themeColor="text1"/>
          <w:kern w:val="2"/>
        </w:rPr>
        <w:t xml:space="preserve"> electrolytes (x = 0, 10, 20, 30, 40). </w:t>
      </w:r>
      <w:r w:rsidRPr="002657D1">
        <w:rPr>
          <w:rFonts w:ascii="Times New Roman" w:eastAsia="等线" w:hAnsi="Times New Roman" w:cs="Times New Roman"/>
          <w:b/>
          <w:bCs/>
          <w:color w:val="000000" w:themeColor="text1"/>
          <w:kern w:val="2"/>
        </w:rPr>
        <w:t>c</w:t>
      </w:r>
      <w:r w:rsidRPr="002657D1">
        <w:rPr>
          <w:rFonts w:ascii="Times New Roman" w:eastAsia="等线" w:hAnsi="Times New Roman" w:cs="Times New Roman"/>
          <w:color w:val="000000" w:themeColor="text1"/>
          <w:kern w:val="2"/>
        </w:rPr>
        <w:t xml:space="preserve"> Ionic conductivities and activation energy for the prepared LZC-</w:t>
      </w:r>
      <w:proofErr w:type="spellStart"/>
      <w:r w:rsidRPr="002657D1">
        <w:rPr>
          <w:rFonts w:ascii="Times New Roman" w:eastAsia="等线" w:hAnsi="Times New Roman" w:cs="Times New Roman"/>
          <w:color w:val="000000" w:themeColor="text1"/>
          <w:kern w:val="2"/>
        </w:rPr>
        <w:t>xPF</w:t>
      </w:r>
      <w:proofErr w:type="spellEnd"/>
      <w:r w:rsidRPr="002657D1">
        <w:rPr>
          <w:rFonts w:ascii="Times New Roman" w:eastAsia="等线" w:hAnsi="Times New Roman" w:cs="Times New Roman"/>
          <w:color w:val="000000" w:themeColor="text1"/>
          <w:kern w:val="2"/>
        </w:rPr>
        <w:t xml:space="preserve"> electrolytes.</w:t>
      </w:r>
    </w:p>
    <w:p w14:paraId="640C49A6" w14:textId="71D44594" w:rsidR="00D051F3" w:rsidRPr="002657D1" w:rsidRDefault="00FE35D3" w:rsidP="000C1E24">
      <w:pPr>
        <w:pStyle w:val="ac"/>
        <w:spacing w:before="120" w:beforeAutospacing="0" w:afterLines="50" w:after="156" w:afterAutospacing="0" w:line="360" w:lineRule="auto"/>
        <w:jc w:val="both"/>
        <w:rPr>
          <w:rFonts w:ascii="Times New Roman" w:hAnsi="Times New Roman" w:cs="Times New Roman"/>
          <w:color w:val="000000" w:themeColor="text1"/>
        </w:rPr>
      </w:pPr>
      <w:r w:rsidRPr="002657D1">
        <w:rPr>
          <w:rFonts w:ascii="Times New Roman" w:hAnsi="Times New Roman" w:cs="Times New Roman"/>
          <w:b/>
          <w:bCs/>
          <w:color w:val="000000" w:themeColor="text1"/>
        </w:rPr>
        <w:t xml:space="preserve">Discussion: </w:t>
      </w:r>
      <w:r w:rsidR="007D64FC" w:rsidRPr="002657D1">
        <w:rPr>
          <w:rFonts w:ascii="Times New Roman" w:hAnsi="Times New Roman" w:cs="Times New Roman"/>
          <w:color w:val="000000" w:themeColor="text1"/>
        </w:rPr>
        <w:t>Since PF</w:t>
      </w:r>
      <w:r w:rsidR="007D64FC" w:rsidRPr="002657D1">
        <w:rPr>
          <w:rFonts w:ascii="Times New Roman" w:hAnsi="Times New Roman" w:cs="Times New Roman"/>
          <w:color w:val="000000" w:themeColor="text1"/>
          <w:vertAlign w:val="subscript"/>
        </w:rPr>
        <w:t>3</w:t>
      </w:r>
      <w:r w:rsidR="007D64FC" w:rsidRPr="002657D1">
        <w:rPr>
          <w:rFonts w:ascii="Times New Roman" w:hAnsi="Times New Roman" w:cs="Times New Roman"/>
          <w:color w:val="000000" w:themeColor="text1"/>
        </w:rPr>
        <w:t xml:space="preserve"> and PCl</w:t>
      </w:r>
      <w:r w:rsidR="007D64FC" w:rsidRPr="002657D1">
        <w:rPr>
          <w:rFonts w:ascii="Times New Roman" w:hAnsi="Times New Roman" w:cs="Times New Roman"/>
          <w:color w:val="000000" w:themeColor="text1"/>
          <w:vertAlign w:val="subscript"/>
        </w:rPr>
        <w:t>3</w:t>
      </w:r>
      <w:r w:rsidR="007D64FC" w:rsidRPr="002657D1">
        <w:rPr>
          <w:rFonts w:ascii="Times New Roman" w:hAnsi="Times New Roman" w:cs="Times New Roman"/>
          <w:color w:val="000000" w:themeColor="text1"/>
        </w:rPr>
        <w:t xml:space="preserve"> exist as gas and liquid, respectively, under ambient conditions, they cannot be directly employed as electrolyte precursors for ball milling. Consequently, PCl</w:t>
      </w:r>
      <w:r w:rsidR="007D64FC" w:rsidRPr="002657D1">
        <w:rPr>
          <w:rFonts w:ascii="Times New Roman" w:hAnsi="Times New Roman" w:cs="Times New Roman"/>
          <w:color w:val="000000" w:themeColor="text1"/>
          <w:vertAlign w:val="subscript"/>
        </w:rPr>
        <w:t>5</w:t>
      </w:r>
      <w:r w:rsidR="007D64FC" w:rsidRPr="002657D1">
        <w:rPr>
          <w:rFonts w:ascii="Times New Roman" w:hAnsi="Times New Roman" w:cs="Times New Roman"/>
          <w:color w:val="000000" w:themeColor="text1"/>
        </w:rPr>
        <w:t xml:space="preserve"> and ZrF</w:t>
      </w:r>
      <w:r w:rsidR="007D64FC" w:rsidRPr="002657D1">
        <w:rPr>
          <w:rFonts w:ascii="Times New Roman" w:hAnsi="Times New Roman" w:cs="Times New Roman"/>
          <w:color w:val="000000" w:themeColor="text1"/>
          <w:vertAlign w:val="subscript"/>
        </w:rPr>
        <w:t>4</w:t>
      </w:r>
      <w:r w:rsidR="007D64FC" w:rsidRPr="002657D1">
        <w:rPr>
          <w:rFonts w:ascii="Times New Roman" w:hAnsi="Times New Roman" w:cs="Times New Roman"/>
          <w:color w:val="000000" w:themeColor="text1"/>
        </w:rPr>
        <w:t xml:space="preserve"> were used to incorporate P and F into the LZC matrix. </w:t>
      </w:r>
      <w:r w:rsidR="007D64FC" w:rsidRPr="002657D1">
        <w:rPr>
          <w:rFonts w:ascii="Times New Roman" w:hAnsi="Times New Roman" w:cs="Times New Roman"/>
          <w:b/>
          <w:bCs/>
          <w:color w:val="000000" w:themeColor="text1"/>
        </w:rPr>
        <w:t xml:space="preserve">Supplementary Fig. </w:t>
      </w:r>
      <w:r w:rsidR="005234B8" w:rsidRPr="002657D1">
        <w:rPr>
          <w:rFonts w:ascii="Times New Roman" w:hAnsi="Times New Roman" w:cs="Times New Roman" w:hint="eastAsia"/>
          <w:b/>
          <w:bCs/>
          <w:color w:val="000000" w:themeColor="text1"/>
        </w:rPr>
        <w:t>8</w:t>
      </w:r>
      <w:r w:rsidR="005234B8" w:rsidRPr="002657D1">
        <w:rPr>
          <w:rFonts w:ascii="Times New Roman" w:hAnsi="Times New Roman" w:cs="Times New Roman"/>
          <w:b/>
          <w:bCs/>
          <w:color w:val="000000" w:themeColor="text1"/>
        </w:rPr>
        <w:t>a</w:t>
      </w:r>
      <w:r w:rsidR="005234B8" w:rsidRPr="002657D1">
        <w:rPr>
          <w:rFonts w:ascii="Times New Roman" w:hAnsi="Times New Roman" w:cs="Times New Roman"/>
          <w:color w:val="000000" w:themeColor="text1"/>
        </w:rPr>
        <w:t xml:space="preserve"> </w:t>
      </w:r>
      <w:r w:rsidR="007D64FC" w:rsidRPr="002657D1">
        <w:rPr>
          <w:rFonts w:ascii="Times New Roman" w:hAnsi="Times New Roman" w:cs="Times New Roman"/>
          <w:color w:val="000000" w:themeColor="text1"/>
        </w:rPr>
        <w:t>displays XRD patterns of LZC-</w:t>
      </w:r>
      <w:proofErr w:type="spellStart"/>
      <w:r w:rsidR="007D64FC" w:rsidRPr="002657D1">
        <w:rPr>
          <w:rFonts w:ascii="Times New Roman" w:hAnsi="Times New Roman" w:cs="Times New Roman"/>
          <w:color w:val="000000" w:themeColor="text1"/>
        </w:rPr>
        <w:t>xPF</w:t>
      </w:r>
      <w:proofErr w:type="spellEnd"/>
      <w:r w:rsidR="007D64FC" w:rsidRPr="002657D1">
        <w:rPr>
          <w:rFonts w:ascii="Times New Roman" w:hAnsi="Times New Roman" w:cs="Times New Roman"/>
          <w:color w:val="000000" w:themeColor="text1"/>
        </w:rPr>
        <w:t xml:space="preserve"> (0 ≤ x ≤ 40), aligning with trigonal Li</w:t>
      </w:r>
      <w:r w:rsidR="007D64FC" w:rsidRPr="002657D1">
        <w:rPr>
          <w:rFonts w:ascii="Times New Roman" w:hAnsi="Times New Roman" w:cs="Times New Roman"/>
          <w:color w:val="000000" w:themeColor="text1"/>
          <w:vertAlign w:val="subscript"/>
        </w:rPr>
        <w:t>3</w:t>
      </w:r>
      <w:r w:rsidR="007D64FC" w:rsidRPr="002657D1">
        <w:rPr>
          <w:rFonts w:ascii="Times New Roman" w:hAnsi="Times New Roman" w:cs="Times New Roman"/>
          <w:color w:val="000000" w:themeColor="text1"/>
        </w:rPr>
        <w:t>YCl</w:t>
      </w:r>
      <w:r w:rsidR="007D64FC" w:rsidRPr="002657D1">
        <w:rPr>
          <w:rFonts w:ascii="Times New Roman" w:hAnsi="Times New Roman" w:cs="Times New Roman"/>
          <w:color w:val="000000" w:themeColor="text1"/>
          <w:vertAlign w:val="subscript"/>
        </w:rPr>
        <w:t>6</w:t>
      </w:r>
      <w:r w:rsidR="007D64FC" w:rsidRPr="002657D1">
        <w:rPr>
          <w:rFonts w:ascii="Times New Roman" w:hAnsi="Times New Roman" w:cs="Times New Roman"/>
          <w:color w:val="000000" w:themeColor="text1"/>
        </w:rPr>
        <w:t xml:space="preserve"> (space group </w:t>
      </w:r>
      <m:oMath>
        <m:r>
          <m:rPr>
            <m:nor/>
          </m:rPr>
          <w:rPr>
            <w:rFonts w:ascii="Times New Roman" w:hAnsi="Times New Roman" w:cs="Times New Roman"/>
            <w:i/>
            <w:iCs/>
            <w:color w:val="000000" w:themeColor="text1"/>
          </w:rPr>
          <m:t>P</m:t>
        </m:r>
        <m:acc>
          <m:accPr>
            <m:chr m:val="̅"/>
            <m:ctrlPr>
              <w:rPr>
                <w:rFonts w:ascii="Cambria Math" w:hAnsi="Cambria Math" w:cs="Times New Roman"/>
                <w:i/>
                <w:iCs/>
                <w:color w:val="000000" w:themeColor="text1"/>
              </w:rPr>
            </m:ctrlPr>
          </m:accPr>
          <m:e>
            <m:r>
              <m:rPr>
                <m:nor/>
              </m:rPr>
              <w:rPr>
                <w:rFonts w:ascii="Times New Roman" w:hAnsi="Times New Roman" w:cs="Times New Roman"/>
                <w:i/>
                <w:iCs/>
                <w:color w:val="000000" w:themeColor="text1"/>
              </w:rPr>
              <m:t>3</m:t>
            </m:r>
          </m:e>
        </m:acc>
        <m:r>
          <m:rPr>
            <m:nor/>
          </m:rPr>
          <w:rPr>
            <w:rFonts w:ascii="Times New Roman" w:hAnsi="Times New Roman" w:cs="Times New Roman"/>
            <w:i/>
            <w:iCs/>
            <w:color w:val="000000" w:themeColor="text1"/>
          </w:rPr>
          <m:t>m1</m:t>
        </m:r>
      </m:oMath>
      <w:r w:rsidR="007D64FC" w:rsidRPr="002657D1">
        <w:rPr>
          <w:rFonts w:ascii="Times New Roman" w:hAnsi="Times New Roman" w:cs="Times New Roman"/>
          <w:color w:val="000000" w:themeColor="text1"/>
        </w:rPr>
        <w:t>). Consistent with LZC-</w:t>
      </w:r>
      <w:proofErr w:type="spellStart"/>
      <w:r w:rsidR="007D64FC" w:rsidRPr="002657D1">
        <w:rPr>
          <w:rFonts w:ascii="Times New Roman" w:hAnsi="Times New Roman" w:cs="Times New Roman"/>
          <w:color w:val="000000" w:themeColor="text1"/>
        </w:rPr>
        <w:t>xAF</w:t>
      </w:r>
      <w:proofErr w:type="spellEnd"/>
      <w:r w:rsidR="007D64FC" w:rsidRPr="002657D1">
        <w:rPr>
          <w:rFonts w:ascii="Times New Roman" w:hAnsi="Times New Roman" w:cs="Times New Roman"/>
          <w:color w:val="000000" w:themeColor="text1"/>
        </w:rPr>
        <w:t>, peaks shift toward higher angles with increased P and F doping, indicating unit cell contraction due to the smaller ionic radii of P</w:t>
      </w:r>
      <w:r w:rsidR="007D64FC" w:rsidRPr="002657D1">
        <w:rPr>
          <w:rFonts w:ascii="Times New Roman" w:hAnsi="Times New Roman" w:cs="Times New Roman"/>
          <w:color w:val="000000" w:themeColor="text1"/>
          <w:vertAlign w:val="superscript"/>
        </w:rPr>
        <w:t>5+</w:t>
      </w:r>
      <w:r w:rsidR="007D64FC" w:rsidRPr="002657D1">
        <w:rPr>
          <w:rFonts w:ascii="Times New Roman" w:hAnsi="Times New Roman" w:cs="Times New Roman"/>
          <w:color w:val="000000" w:themeColor="text1"/>
        </w:rPr>
        <w:t xml:space="preserve"> and F</w:t>
      </w:r>
      <w:r w:rsidR="007D64FC" w:rsidRPr="002657D1">
        <w:rPr>
          <w:rFonts w:ascii="Times New Roman" w:hAnsi="Times New Roman" w:cs="Times New Roman"/>
          <w:color w:val="000000" w:themeColor="text1"/>
          <w:vertAlign w:val="superscript"/>
        </w:rPr>
        <w:t>−</w:t>
      </w:r>
      <w:r w:rsidR="007D64FC" w:rsidRPr="002657D1">
        <w:rPr>
          <w:rFonts w:ascii="Times New Roman" w:hAnsi="Times New Roman" w:cs="Times New Roman"/>
          <w:color w:val="000000" w:themeColor="text1"/>
        </w:rPr>
        <w:t xml:space="preserve"> compared to Zr</w:t>
      </w:r>
      <w:r w:rsidR="007D64FC" w:rsidRPr="002657D1">
        <w:rPr>
          <w:rFonts w:ascii="Times New Roman" w:hAnsi="Times New Roman" w:cs="Times New Roman"/>
          <w:color w:val="000000" w:themeColor="text1"/>
          <w:vertAlign w:val="superscript"/>
        </w:rPr>
        <w:t>4+</w:t>
      </w:r>
      <w:r w:rsidR="007D64FC" w:rsidRPr="002657D1">
        <w:rPr>
          <w:rFonts w:ascii="Times New Roman" w:hAnsi="Times New Roman" w:cs="Times New Roman"/>
          <w:color w:val="000000" w:themeColor="text1"/>
        </w:rPr>
        <w:t xml:space="preserve"> and Cl</w:t>
      </w:r>
      <w:r w:rsidR="007D64FC" w:rsidRPr="002657D1">
        <w:rPr>
          <w:rFonts w:ascii="Times New Roman" w:hAnsi="Times New Roman" w:cs="Times New Roman"/>
          <w:color w:val="000000" w:themeColor="text1"/>
          <w:vertAlign w:val="superscript"/>
        </w:rPr>
        <w:t>−</w:t>
      </w:r>
      <w:r w:rsidR="007D64FC" w:rsidRPr="002657D1">
        <w:rPr>
          <w:rFonts w:ascii="Times New Roman" w:hAnsi="Times New Roman" w:cs="Times New Roman"/>
          <w:color w:val="000000" w:themeColor="text1"/>
        </w:rPr>
        <w:t xml:space="preserve">, respectively. For x ≥ 20, peak intensity variations between 31.9° and 41.7° emerge alongside LiCl peaks at 29.9° and 34.7°, signaling exceeded critical solubility and LiCl impurity formation. </w:t>
      </w:r>
      <w:r w:rsidR="007D64FC" w:rsidRPr="002657D1">
        <w:rPr>
          <w:rFonts w:ascii="Times New Roman" w:hAnsi="Times New Roman" w:cs="Times New Roman"/>
          <w:b/>
          <w:bCs/>
          <w:color w:val="000000" w:themeColor="text1"/>
        </w:rPr>
        <w:t xml:space="preserve">Supplementary Fig. </w:t>
      </w:r>
      <w:r w:rsidR="005234B8" w:rsidRPr="002657D1">
        <w:rPr>
          <w:rFonts w:ascii="Times New Roman" w:hAnsi="Times New Roman" w:cs="Times New Roman" w:hint="eastAsia"/>
          <w:b/>
          <w:bCs/>
          <w:color w:val="000000" w:themeColor="text1"/>
        </w:rPr>
        <w:t>8</w:t>
      </w:r>
      <w:proofErr w:type="gramStart"/>
      <w:r w:rsidR="005234B8" w:rsidRPr="002657D1">
        <w:rPr>
          <w:rFonts w:ascii="Times New Roman" w:hAnsi="Times New Roman" w:cs="Times New Roman"/>
          <w:b/>
          <w:bCs/>
          <w:color w:val="000000" w:themeColor="text1"/>
        </w:rPr>
        <w:t>b</w:t>
      </w:r>
      <w:r w:rsidR="007D64FC" w:rsidRPr="002657D1">
        <w:rPr>
          <w:rFonts w:ascii="Times New Roman" w:hAnsi="Times New Roman" w:cs="Times New Roman"/>
          <w:b/>
          <w:bCs/>
          <w:color w:val="000000" w:themeColor="text1"/>
        </w:rPr>
        <w:t>,c</w:t>
      </w:r>
      <w:proofErr w:type="gramEnd"/>
      <w:r w:rsidR="007D64FC" w:rsidRPr="002657D1">
        <w:rPr>
          <w:rFonts w:ascii="Times New Roman" w:hAnsi="Times New Roman" w:cs="Times New Roman"/>
          <w:color w:val="000000" w:themeColor="text1"/>
        </w:rPr>
        <w:t xml:space="preserve"> </w:t>
      </w:r>
      <w:proofErr w:type="gramStart"/>
      <w:r w:rsidR="007D64FC" w:rsidRPr="002657D1">
        <w:rPr>
          <w:rFonts w:ascii="Times New Roman" w:hAnsi="Times New Roman" w:cs="Times New Roman"/>
          <w:color w:val="000000" w:themeColor="text1"/>
        </w:rPr>
        <w:t>demonstrate</w:t>
      </w:r>
      <w:proofErr w:type="gramEnd"/>
      <w:r w:rsidR="007D64FC" w:rsidRPr="002657D1">
        <w:rPr>
          <w:rFonts w:ascii="Times New Roman" w:hAnsi="Times New Roman" w:cs="Times New Roman"/>
          <w:color w:val="000000" w:themeColor="text1"/>
        </w:rPr>
        <w:t xml:space="preserve"> inferior ionic conductivity (0.</w:t>
      </w:r>
      <w:r w:rsidR="009F1053" w:rsidRPr="002657D1">
        <w:rPr>
          <w:rFonts w:ascii="Times New Roman" w:hAnsi="Times New Roman" w:cs="Times New Roman"/>
          <w:color w:val="000000" w:themeColor="text1"/>
        </w:rPr>
        <w:t xml:space="preserve">4 </w:t>
      </w:r>
      <w:r w:rsidR="007D64FC" w:rsidRPr="002657D1">
        <w:rPr>
          <w:rFonts w:ascii="Times New Roman" w:hAnsi="Times New Roman" w:cs="Times New Roman"/>
          <w:color w:val="000000" w:themeColor="text1"/>
        </w:rPr>
        <w:t xml:space="preserve">mS </w:t>
      </w:r>
      <w:r w:rsidR="00681C8B" w:rsidRPr="002657D1">
        <w:rPr>
          <w:rFonts w:ascii="Times New Roman" w:hAnsi="Times New Roman" w:cs="Times New Roman"/>
          <w:color w:val="000000" w:themeColor="text1"/>
        </w:rPr>
        <w:t>cm</w:t>
      </w:r>
      <w:r w:rsidR="00681C8B" w:rsidRPr="002657D1">
        <w:rPr>
          <w:rFonts w:ascii="Times New Roman" w:hAnsi="Times New Roman" w:cs="Times New Roman"/>
          <w:color w:val="000000" w:themeColor="text1"/>
          <w:vertAlign w:val="superscript"/>
        </w:rPr>
        <w:t>−1</w:t>
      </w:r>
      <w:r w:rsidR="007D64FC" w:rsidRPr="002657D1">
        <w:rPr>
          <w:rFonts w:ascii="Times New Roman" w:hAnsi="Times New Roman" w:cs="Times New Roman"/>
          <w:color w:val="000000" w:themeColor="text1"/>
        </w:rPr>
        <w:t>) and higher activation energy (0.35 eV) for LZC-10PF compared to pristine LZC, attributed to the inability to directly introduce gaseous PF</w:t>
      </w:r>
      <w:r w:rsidR="007D64FC" w:rsidRPr="002657D1">
        <w:rPr>
          <w:rFonts w:ascii="Times New Roman" w:hAnsi="Times New Roman" w:cs="Times New Roman"/>
          <w:color w:val="000000" w:themeColor="text1"/>
          <w:vertAlign w:val="subscript"/>
        </w:rPr>
        <w:t>3</w:t>
      </w:r>
      <w:r w:rsidR="007D64FC" w:rsidRPr="002657D1">
        <w:rPr>
          <w:rFonts w:ascii="Times New Roman" w:hAnsi="Times New Roman" w:cs="Times New Roman"/>
          <w:color w:val="000000" w:themeColor="text1"/>
        </w:rPr>
        <w:t xml:space="preserve"> into the LZC matrix.</w:t>
      </w:r>
      <w:r w:rsidR="00D051F3" w:rsidRPr="002657D1">
        <w:rPr>
          <w:rFonts w:ascii="Times New Roman" w:hAnsi="Times New Roman" w:cs="Times New Roman"/>
          <w:color w:val="000000" w:themeColor="text1"/>
        </w:rPr>
        <w:br w:type="page"/>
      </w:r>
    </w:p>
    <w:p w14:paraId="17364032" w14:textId="7E02249C" w:rsidR="00900B56" w:rsidRPr="002657D1" w:rsidRDefault="0029503A" w:rsidP="004F70A0">
      <w:pPr>
        <w:widowControl/>
        <w:jc w:val="center"/>
        <w:rPr>
          <w:rFonts w:ascii="Times New Roman" w:hAnsi="Times New Roman" w:cs="Times New Roman"/>
          <w:noProof/>
          <w:color w:val="000000" w:themeColor="text1"/>
        </w:rPr>
      </w:pPr>
      <w:r w:rsidRPr="002657D1">
        <w:rPr>
          <w:rFonts w:ascii="Times New Roman" w:hAnsi="Times New Roman" w:cs="Times New Roman"/>
          <w:noProof/>
          <w:color w:val="000000" w:themeColor="text1"/>
        </w:rPr>
        <w:lastRenderedPageBreak/>
        <w:drawing>
          <wp:inline distT="0" distB="0" distL="0" distR="0" wp14:anchorId="33437DB8" wp14:editId="517BDE0D">
            <wp:extent cx="5040000" cy="2493301"/>
            <wp:effectExtent l="0" t="0" r="0" b="0"/>
            <wp:docPr id="109469327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693276" name="图片 1094693276"/>
                    <pic:cNvPicPr/>
                  </pic:nvPicPr>
                  <pic:blipFill>
                    <a:blip r:embed="rId23"/>
                    <a:stretch>
                      <a:fillRect/>
                    </a:stretch>
                  </pic:blipFill>
                  <pic:spPr>
                    <a:xfrm>
                      <a:off x="0" y="0"/>
                      <a:ext cx="5040000" cy="2493301"/>
                    </a:xfrm>
                    <a:prstGeom prst="rect">
                      <a:avLst/>
                    </a:prstGeom>
                  </pic:spPr>
                </pic:pic>
              </a:graphicData>
            </a:graphic>
          </wp:inline>
        </w:drawing>
      </w:r>
    </w:p>
    <w:p w14:paraId="2EB7B9EB" w14:textId="6516E99C" w:rsidR="00900B56" w:rsidRPr="002657D1" w:rsidRDefault="000A6FDD" w:rsidP="000A6FDD">
      <w:pPr>
        <w:pStyle w:val="ac"/>
        <w:spacing w:before="0" w:beforeAutospacing="0" w:after="0" w:afterAutospacing="0" w:line="360" w:lineRule="auto"/>
        <w:jc w:val="both"/>
        <w:rPr>
          <w:rFonts w:ascii="Times New Roman" w:eastAsia="等线" w:hAnsi="Times New Roman" w:cs="Times New Roman"/>
          <w:color w:val="000000" w:themeColor="text1"/>
          <w:kern w:val="24"/>
        </w:rPr>
      </w:pPr>
      <w:r w:rsidRPr="002657D1">
        <w:rPr>
          <w:rFonts w:ascii="Times New Roman" w:eastAsia="等线" w:hAnsi="Times New Roman" w:cs="Times New Roman"/>
          <w:b/>
          <w:bCs/>
          <w:color w:val="000000" w:themeColor="text1"/>
          <w:kern w:val="2"/>
        </w:rPr>
        <w:t xml:space="preserve">Supplementary Fig. </w:t>
      </w:r>
      <w:r w:rsidR="00B64FB2" w:rsidRPr="002657D1">
        <w:rPr>
          <w:rFonts w:ascii="Times New Roman" w:eastAsia="等线" w:hAnsi="Times New Roman" w:cs="Times New Roman" w:hint="eastAsia"/>
          <w:b/>
          <w:bCs/>
          <w:color w:val="000000" w:themeColor="text1"/>
          <w:kern w:val="2"/>
        </w:rPr>
        <w:t>9</w:t>
      </w:r>
      <w:r w:rsidR="00B64FB2"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b/>
          <w:bCs/>
          <w:color w:val="000000" w:themeColor="text1"/>
          <w:kern w:val="2"/>
        </w:rPr>
        <w:t xml:space="preserve">| a-e </w:t>
      </w:r>
      <w:r w:rsidR="0090707D" w:rsidRPr="002657D1">
        <w:rPr>
          <w:rFonts w:ascii="Times New Roman" w:eastAsia="等线" w:hAnsi="Times New Roman" w:cs="Times New Roman"/>
          <w:color w:val="000000" w:themeColor="text1"/>
          <w:kern w:val="24"/>
        </w:rPr>
        <w:t>SEM</w:t>
      </w:r>
      <w:r w:rsidRPr="002657D1">
        <w:rPr>
          <w:rFonts w:ascii="Times New Roman" w:eastAsia="等线" w:hAnsi="Times New Roman" w:cs="Times New Roman"/>
          <w:color w:val="000000" w:themeColor="text1"/>
          <w:kern w:val="24"/>
        </w:rPr>
        <w:t xml:space="preserve"> images of the prepared LZC (</w:t>
      </w:r>
      <w:r w:rsidRPr="002657D1">
        <w:rPr>
          <w:rFonts w:ascii="Times New Roman" w:eastAsia="等线" w:hAnsi="Times New Roman" w:cs="Times New Roman"/>
          <w:b/>
          <w:bCs/>
          <w:color w:val="000000" w:themeColor="text1"/>
          <w:kern w:val="24"/>
        </w:rPr>
        <w:t>a</w:t>
      </w:r>
      <w:r w:rsidRPr="002657D1">
        <w:rPr>
          <w:rFonts w:ascii="Times New Roman" w:eastAsia="等线" w:hAnsi="Times New Roman" w:cs="Times New Roman"/>
          <w:color w:val="000000" w:themeColor="text1"/>
          <w:kern w:val="24"/>
        </w:rPr>
        <w:t>), LZC-10TF (</w:t>
      </w:r>
      <w:r w:rsidRPr="002657D1">
        <w:rPr>
          <w:rFonts w:ascii="Times New Roman" w:eastAsia="等线" w:hAnsi="Times New Roman" w:cs="Times New Roman"/>
          <w:b/>
          <w:bCs/>
          <w:color w:val="000000" w:themeColor="text1"/>
          <w:kern w:val="24"/>
        </w:rPr>
        <w:t>b</w:t>
      </w:r>
      <w:r w:rsidRPr="002657D1">
        <w:rPr>
          <w:rFonts w:ascii="Times New Roman" w:eastAsia="等线" w:hAnsi="Times New Roman" w:cs="Times New Roman"/>
          <w:color w:val="000000" w:themeColor="text1"/>
          <w:kern w:val="24"/>
        </w:rPr>
        <w:t>), LZC-20TF (</w:t>
      </w:r>
      <w:r w:rsidRPr="002657D1">
        <w:rPr>
          <w:rFonts w:ascii="Times New Roman" w:eastAsia="等线" w:hAnsi="Times New Roman" w:cs="Times New Roman"/>
          <w:b/>
          <w:bCs/>
          <w:color w:val="000000" w:themeColor="text1"/>
          <w:kern w:val="24"/>
        </w:rPr>
        <w:t>c</w:t>
      </w:r>
      <w:r w:rsidRPr="002657D1">
        <w:rPr>
          <w:rFonts w:ascii="Times New Roman" w:eastAsia="等线" w:hAnsi="Times New Roman" w:cs="Times New Roman"/>
          <w:color w:val="000000" w:themeColor="text1"/>
          <w:kern w:val="24"/>
        </w:rPr>
        <w:t>), LZC-30TF (</w:t>
      </w:r>
      <w:r w:rsidRPr="002657D1">
        <w:rPr>
          <w:rFonts w:ascii="Times New Roman" w:eastAsia="等线" w:hAnsi="Times New Roman" w:cs="Times New Roman"/>
          <w:b/>
          <w:bCs/>
          <w:color w:val="000000" w:themeColor="text1"/>
          <w:kern w:val="24"/>
        </w:rPr>
        <w:t>d</w:t>
      </w:r>
      <w:r w:rsidRPr="002657D1">
        <w:rPr>
          <w:rFonts w:ascii="Times New Roman" w:eastAsia="等线" w:hAnsi="Times New Roman" w:cs="Times New Roman"/>
          <w:color w:val="000000" w:themeColor="text1"/>
          <w:kern w:val="24"/>
        </w:rPr>
        <w:t>), and LZC-40TF (</w:t>
      </w:r>
      <w:r w:rsidRPr="002657D1">
        <w:rPr>
          <w:rFonts w:ascii="Times New Roman" w:eastAsia="等线" w:hAnsi="Times New Roman" w:cs="Times New Roman"/>
          <w:b/>
          <w:bCs/>
          <w:color w:val="000000" w:themeColor="text1"/>
          <w:kern w:val="24"/>
        </w:rPr>
        <w:t>e</w:t>
      </w:r>
      <w:r w:rsidRPr="002657D1">
        <w:rPr>
          <w:rFonts w:ascii="Times New Roman" w:eastAsia="等线" w:hAnsi="Times New Roman" w:cs="Times New Roman"/>
          <w:color w:val="000000" w:themeColor="text1"/>
          <w:kern w:val="24"/>
        </w:rPr>
        <w:t>) electrolytes.</w:t>
      </w:r>
      <w:r w:rsidR="006621FA" w:rsidRPr="002657D1">
        <w:rPr>
          <w:rFonts w:ascii="Times New Roman" w:eastAsia="等线" w:hAnsi="Times New Roman" w:cs="Times New Roman"/>
          <w:color w:val="000000" w:themeColor="text1"/>
          <w:kern w:val="24"/>
        </w:rPr>
        <w:t xml:space="preserve"> </w:t>
      </w:r>
      <w:r w:rsidR="001920A9" w:rsidRPr="002657D1">
        <w:rPr>
          <w:rFonts w:ascii="Times New Roman" w:hAnsi="Times New Roman" w:cs="Times New Roman"/>
          <w:color w:val="000000" w:themeColor="text1"/>
        </w:rPr>
        <w:t>These LZC-</w:t>
      </w:r>
      <w:proofErr w:type="spellStart"/>
      <w:r w:rsidR="001920A9" w:rsidRPr="002657D1">
        <w:rPr>
          <w:rFonts w:ascii="Times New Roman" w:hAnsi="Times New Roman" w:cs="Times New Roman"/>
          <w:color w:val="000000" w:themeColor="text1"/>
        </w:rPr>
        <w:t>xTF</w:t>
      </w:r>
      <w:proofErr w:type="spellEnd"/>
      <w:r w:rsidR="001920A9" w:rsidRPr="002657D1">
        <w:rPr>
          <w:rFonts w:ascii="Times New Roman" w:hAnsi="Times New Roman" w:cs="Times New Roman"/>
          <w:color w:val="000000" w:themeColor="text1"/>
        </w:rPr>
        <w:t xml:space="preserve"> HSEs display an aggregate-like morphology with particle sizes ranging from a few to several micrometers.</w:t>
      </w:r>
      <w:r w:rsidR="00900B56" w:rsidRPr="002657D1">
        <w:rPr>
          <w:rFonts w:ascii="Times New Roman" w:hAnsi="Times New Roman" w:cs="Times New Roman"/>
          <w:noProof/>
          <w:color w:val="000000" w:themeColor="text1"/>
        </w:rPr>
        <w:br w:type="page"/>
      </w:r>
    </w:p>
    <w:p w14:paraId="52AA1F74" w14:textId="4B2C4421" w:rsidR="00920B56" w:rsidRPr="002657D1" w:rsidRDefault="00920B56" w:rsidP="00920B56">
      <w:pPr>
        <w:widowControl/>
        <w:spacing w:before="120" w:afterLines="50" w:after="156"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noProof/>
          <w:color w:val="000000" w:themeColor="text1"/>
          <w:sz w:val="24"/>
          <w:szCs w:val="24"/>
        </w:rPr>
        <w:lastRenderedPageBreak/>
        <w:drawing>
          <wp:inline distT="0" distB="0" distL="0" distR="0" wp14:anchorId="7C3E7DBA" wp14:editId="194245A3">
            <wp:extent cx="2393093" cy="1796143"/>
            <wp:effectExtent l="0" t="0" r="0" b="0"/>
            <wp:docPr id="757496891" name="图片 3"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496891" name="图片 3" descr="文本&#10;&#10;AI 生成的内容可能不正确。"/>
                    <pic:cNvPicPr/>
                  </pic:nvPicPr>
                  <pic:blipFill rotWithShape="1">
                    <a:blip r:embed="rId24"/>
                    <a:srcRect t="7113" r="5269"/>
                    <a:stretch>
                      <a:fillRect/>
                    </a:stretch>
                  </pic:blipFill>
                  <pic:spPr bwMode="auto">
                    <a:xfrm>
                      <a:off x="0" y="0"/>
                      <a:ext cx="2406696" cy="1806353"/>
                    </a:xfrm>
                    <a:prstGeom prst="rect">
                      <a:avLst/>
                    </a:prstGeom>
                    <a:ln>
                      <a:noFill/>
                    </a:ln>
                    <a:extLst>
                      <a:ext uri="{53640926-AAD7-44D8-BBD7-CCE9431645EC}">
                        <a14:shadowObscured xmlns:a14="http://schemas.microsoft.com/office/drawing/2010/main"/>
                      </a:ext>
                    </a:extLst>
                  </pic:spPr>
                </pic:pic>
              </a:graphicData>
            </a:graphic>
          </wp:inline>
        </w:drawing>
      </w:r>
    </w:p>
    <w:p w14:paraId="041F2E22" w14:textId="62A2B6B2" w:rsidR="00ED7F72" w:rsidRPr="002657D1" w:rsidRDefault="006C7282" w:rsidP="006C7282">
      <w:pPr>
        <w:pStyle w:val="ac"/>
        <w:spacing w:before="0" w:beforeAutospacing="0" w:after="0" w:afterAutospacing="0" w:line="360" w:lineRule="auto"/>
        <w:jc w:val="both"/>
        <w:rPr>
          <w:rFonts w:ascii="Times New Roman" w:eastAsia="等线" w:hAnsi="Times New Roman" w:cs="Times New Roman"/>
          <w:color w:val="000000" w:themeColor="text1"/>
          <w:kern w:val="24"/>
        </w:rPr>
      </w:pPr>
      <w:r w:rsidRPr="002657D1">
        <w:rPr>
          <w:rFonts w:ascii="Times New Roman" w:eastAsia="等线" w:hAnsi="Times New Roman" w:cs="Times New Roman"/>
          <w:b/>
          <w:bCs/>
          <w:color w:val="000000" w:themeColor="text1"/>
          <w:kern w:val="2"/>
        </w:rPr>
        <w:t xml:space="preserve">Supplementary Fig. </w:t>
      </w:r>
      <w:r w:rsidR="00B64FB2" w:rsidRPr="002657D1">
        <w:rPr>
          <w:rFonts w:ascii="Times New Roman" w:eastAsia="等线" w:hAnsi="Times New Roman" w:cs="Times New Roman"/>
          <w:b/>
          <w:bCs/>
          <w:color w:val="000000" w:themeColor="text1"/>
          <w:kern w:val="2"/>
        </w:rPr>
        <w:t xml:space="preserve">10 </w:t>
      </w:r>
      <w:r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color w:val="000000" w:themeColor="text1"/>
          <w:kern w:val="24"/>
        </w:rPr>
        <w:t>Magnified XRD patterns of the LZC-</w:t>
      </w:r>
      <w:proofErr w:type="spellStart"/>
      <w:r w:rsidRPr="002657D1">
        <w:rPr>
          <w:rFonts w:ascii="Times New Roman" w:eastAsia="等线" w:hAnsi="Times New Roman" w:cs="Times New Roman"/>
          <w:color w:val="000000" w:themeColor="text1"/>
          <w:kern w:val="24"/>
        </w:rPr>
        <w:t>xTF</w:t>
      </w:r>
      <w:proofErr w:type="spellEnd"/>
      <w:r w:rsidRPr="002657D1">
        <w:rPr>
          <w:rFonts w:ascii="Times New Roman" w:eastAsia="等线" w:hAnsi="Times New Roman" w:cs="Times New Roman"/>
          <w:color w:val="000000" w:themeColor="text1"/>
          <w:kern w:val="24"/>
        </w:rPr>
        <w:t xml:space="preserve"> electrolytes (x = 0, 10, 20, 30, 40) in the 2θ range from 30° to 60°.</w:t>
      </w:r>
    </w:p>
    <w:p w14:paraId="5CB5AD41" w14:textId="1747A57B" w:rsidR="00B908C7" w:rsidRPr="002657D1" w:rsidRDefault="00ED7F72" w:rsidP="006C7282">
      <w:pPr>
        <w:pStyle w:val="ac"/>
        <w:spacing w:before="0" w:beforeAutospacing="0" w:after="0" w:afterAutospacing="0" w:line="360" w:lineRule="auto"/>
        <w:jc w:val="both"/>
        <w:rPr>
          <w:rFonts w:ascii="Times New Roman" w:hAnsi="Times New Roman" w:cs="Times New Roman"/>
          <w:color w:val="000000" w:themeColor="text1"/>
          <w:sz w:val="21"/>
          <w:szCs w:val="21"/>
        </w:rPr>
      </w:pPr>
      <w:r w:rsidRPr="002657D1">
        <w:rPr>
          <w:rFonts w:ascii="Times New Roman" w:hAnsi="Times New Roman" w:cs="Times New Roman"/>
          <w:b/>
          <w:bCs/>
          <w:color w:val="000000" w:themeColor="text1"/>
        </w:rPr>
        <w:t xml:space="preserve">Discussion: </w:t>
      </w:r>
      <w:r w:rsidR="00E961F8" w:rsidRPr="002657D1">
        <w:rPr>
          <w:rFonts w:ascii="Times New Roman" w:hAnsi="Times New Roman" w:cs="Times New Roman"/>
          <w:b/>
          <w:bCs/>
          <w:color w:val="000000" w:themeColor="text1"/>
        </w:rPr>
        <w:t>Fig. 3a</w:t>
      </w:r>
      <w:r w:rsidR="00E961F8" w:rsidRPr="002657D1">
        <w:rPr>
          <w:rFonts w:ascii="Times New Roman" w:hAnsi="Times New Roman" w:cs="Times New Roman"/>
          <w:color w:val="000000" w:themeColor="text1"/>
        </w:rPr>
        <w:t xml:space="preserve"> presents XRD patterns of the nominal composition LZC-</w:t>
      </w:r>
      <w:proofErr w:type="spellStart"/>
      <w:r w:rsidR="00E961F8" w:rsidRPr="002657D1">
        <w:rPr>
          <w:rFonts w:ascii="Times New Roman" w:hAnsi="Times New Roman" w:cs="Times New Roman"/>
          <w:color w:val="000000" w:themeColor="text1"/>
        </w:rPr>
        <w:t>xTF</w:t>
      </w:r>
      <w:proofErr w:type="spellEnd"/>
      <w:r w:rsidR="00E961F8" w:rsidRPr="002657D1">
        <w:rPr>
          <w:rFonts w:ascii="Times New Roman" w:hAnsi="Times New Roman" w:cs="Times New Roman"/>
          <w:color w:val="000000" w:themeColor="text1"/>
        </w:rPr>
        <w:t xml:space="preserve"> over a wide range of x values (0 ≤ x ≤ 40), which match well with the pattern of trigonal Li</w:t>
      </w:r>
      <w:r w:rsidR="00E961F8" w:rsidRPr="002657D1">
        <w:rPr>
          <w:rFonts w:ascii="Times New Roman" w:hAnsi="Times New Roman" w:cs="Times New Roman"/>
          <w:color w:val="000000" w:themeColor="text1"/>
          <w:vertAlign w:val="subscript"/>
        </w:rPr>
        <w:t>3</w:t>
      </w:r>
      <w:r w:rsidR="00E961F8" w:rsidRPr="002657D1">
        <w:rPr>
          <w:rFonts w:ascii="Times New Roman" w:hAnsi="Times New Roman" w:cs="Times New Roman"/>
          <w:color w:val="000000" w:themeColor="text1"/>
        </w:rPr>
        <w:t>YCl</w:t>
      </w:r>
      <w:r w:rsidR="00E961F8" w:rsidRPr="002657D1">
        <w:rPr>
          <w:rFonts w:ascii="Times New Roman" w:hAnsi="Times New Roman" w:cs="Times New Roman"/>
          <w:color w:val="000000" w:themeColor="text1"/>
          <w:vertAlign w:val="subscript"/>
        </w:rPr>
        <w:t>6</w:t>
      </w:r>
      <w:r w:rsidR="00E961F8" w:rsidRPr="002657D1">
        <w:rPr>
          <w:rFonts w:ascii="Times New Roman" w:hAnsi="Times New Roman" w:cs="Times New Roman"/>
          <w:color w:val="000000" w:themeColor="text1"/>
        </w:rPr>
        <w:t xml:space="preserve"> with </w:t>
      </w:r>
      <m:oMath>
        <m:r>
          <m:rPr>
            <m:nor/>
          </m:rPr>
          <w:rPr>
            <w:rFonts w:ascii="Times New Roman" w:hAnsi="Times New Roman" w:cs="Times New Roman"/>
            <w:i/>
            <w:iCs/>
            <w:color w:val="000000" w:themeColor="text1"/>
          </w:rPr>
          <m:t>P</m:t>
        </m:r>
        <m:acc>
          <m:accPr>
            <m:chr m:val="̅"/>
            <m:ctrlPr>
              <w:rPr>
                <w:rFonts w:ascii="Cambria Math" w:hAnsi="Cambria Math" w:cs="Times New Roman"/>
                <w:i/>
                <w:iCs/>
                <w:color w:val="000000" w:themeColor="text1"/>
              </w:rPr>
            </m:ctrlPr>
          </m:accPr>
          <m:e>
            <m:r>
              <m:rPr>
                <m:nor/>
              </m:rPr>
              <w:rPr>
                <w:rFonts w:ascii="Times New Roman" w:hAnsi="Times New Roman" w:cs="Times New Roman"/>
                <w:i/>
                <w:iCs/>
                <w:color w:val="000000" w:themeColor="text1"/>
              </w:rPr>
              <m:t>3</m:t>
            </m:r>
          </m:e>
        </m:acc>
        <m:r>
          <m:rPr>
            <m:nor/>
          </m:rPr>
          <w:rPr>
            <w:rFonts w:ascii="Times New Roman" w:hAnsi="Times New Roman" w:cs="Times New Roman"/>
            <w:i/>
            <w:iCs/>
            <w:color w:val="000000" w:themeColor="text1"/>
          </w:rPr>
          <m:t>m1</m:t>
        </m:r>
      </m:oMath>
      <w:r w:rsidR="00E961F8" w:rsidRPr="002657D1">
        <w:rPr>
          <w:rFonts w:ascii="Times New Roman" w:hAnsi="Times New Roman" w:cs="Times New Roman"/>
          <w:color w:val="000000" w:themeColor="text1"/>
        </w:rPr>
        <w:t xml:space="preserve"> space group. A magnified analysis of the XRD patterns (</w:t>
      </w:r>
      <w:r w:rsidR="00E961F8" w:rsidRPr="002657D1">
        <w:rPr>
          <w:rFonts w:ascii="Times New Roman" w:hAnsi="Times New Roman" w:cs="Times New Roman"/>
          <w:b/>
          <w:bCs/>
          <w:color w:val="000000" w:themeColor="text1"/>
        </w:rPr>
        <w:t xml:space="preserve">Supplementary Fig. </w:t>
      </w:r>
      <w:r w:rsidR="005234B8" w:rsidRPr="002657D1">
        <w:rPr>
          <w:rFonts w:ascii="Times New Roman" w:hAnsi="Times New Roman" w:cs="Times New Roman"/>
          <w:b/>
          <w:bCs/>
          <w:color w:val="000000" w:themeColor="text1"/>
        </w:rPr>
        <w:t>10</w:t>
      </w:r>
      <w:r w:rsidR="00E961F8" w:rsidRPr="002657D1">
        <w:rPr>
          <w:rFonts w:ascii="Times New Roman" w:hAnsi="Times New Roman" w:cs="Times New Roman"/>
          <w:color w:val="000000" w:themeColor="text1"/>
        </w:rPr>
        <w:t xml:space="preserve">) reveals that the </w:t>
      </w:r>
      <w:r w:rsidR="001174E2" w:rsidRPr="002657D1">
        <w:rPr>
          <w:rFonts w:ascii="Times New Roman" w:hAnsi="Times New Roman" w:cs="Times New Roman"/>
          <w:color w:val="000000" w:themeColor="text1"/>
        </w:rPr>
        <w:t xml:space="preserve">diffraction peaks shift to higher angles with increasing </w:t>
      </w:r>
      <w:r w:rsidR="00E961F8" w:rsidRPr="002657D1">
        <w:rPr>
          <w:rFonts w:ascii="Times New Roman" w:hAnsi="Times New Roman" w:cs="Times New Roman"/>
          <w:color w:val="000000" w:themeColor="text1"/>
        </w:rPr>
        <w:t>TiF</w:t>
      </w:r>
      <w:r w:rsidR="00E961F8" w:rsidRPr="002657D1">
        <w:rPr>
          <w:rFonts w:ascii="Times New Roman" w:hAnsi="Times New Roman" w:cs="Times New Roman"/>
          <w:color w:val="000000" w:themeColor="text1"/>
          <w:vertAlign w:val="subscript"/>
        </w:rPr>
        <w:t>3</w:t>
      </w:r>
      <w:r w:rsidR="00E961F8" w:rsidRPr="002657D1">
        <w:rPr>
          <w:rFonts w:ascii="Times New Roman" w:hAnsi="Times New Roman" w:cs="Times New Roman"/>
          <w:color w:val="000000" w:themeColor="text1"/>
        </w:rPr>
        <w:t xml:space="preserve"> doping content. This shift suggests a gradual contraction of the LZC-</w:t>
      </w:r>
      <w:proofErr w:type="spellStart"/>
      <w:r w:rsidR="00E961F8" w:rsidRPr="002657D1">
        <w:rPr>
          <w:rFonts w:ascii="Times New Roman" w:hAnsi="Times New Roman" w:cs="Times New Roman"/>
          <w:color w:val="000000" w:themeColor="text1"/>
        </w:rPr>
        <w:t>xTF</w:t>
      </w:r>
      <w:proofErr w:type="spellEnd"/>
      <w:r w:rsidR="00E961F8" w:rsidRPr="002657D1">
        <w:rPr>
          <w:rFonts w:ascii="Times New Roman" w:hAnsi="Times New Roman" w:cs="Times New Roman"/>
          <w:color w:val="000000" w:themeColor="text1"/>
        </w:rPr>
        <w:t xml:space="preserve"> unit cell, attributed to the smaller ionic radius of Ti</w:t>
      </w:r>
      <w:r w:rsidR="00E961F8" w:rsidRPr="002657D1">
        <w:rPr>
          <w:rFonts w:ascii="Times New Roman" w:hAnsi="Times New Roman" w:cs="Times New Roman"/>
          <w:color w:val="000000" w:themeColor="text1"/>
          <w:vertAlign w:val="superscript"/>
        </w:rPr>
        <w:t>3+</w:t>
      </w:r>
      <w:r w:rsidR="00E961F8" w:rsidRPr="002657D1">
        <w:rPr>
          <w:rFonts w:ascii="Times New Roman" w:hAnsi="Times New Roman" w:cs="Times New Roman"/>
          <w:color w:val="000000" w:themeColor="text1"/>
        </w:rPr>
        <w:t xml:space="preserve"> and F</w:t>
      </w:r>
      <w:r w:rsidR="00E961F8" w:rsidRPr="002657D1">
        <w:rPr>
          <w:rFonts w:ascii="Times New Roman" w:hAnsi="Times New Roman" w:cs="Times New Roman"/>
          <w:color w:val="000000" w:themeColor="text1"/>
          <w:vertAlign w:val="superscript"/>
        </w:rPr>
        <w:t>−</w:t>
      </w:r>
      <w:r w:rsidR="00E961F8" w:rsidRPr="002657D1">
        <w:rPr>
          <w:rFonts w:ascii="Times New Roman" w:hAnsi="Times New Roman" w:cs="Times New Roman"/>
          <w:color w:val="000000" w:themeColor="text1"/>
        </w:rPr>
        <w:t xml:space="preserve"> compared to Zr</w:t>
      </w:r>
      <w:r w:rsidR="00E961F8" w:rsidRPr="002657D1">
        <w:rPr>
          <w:rFonts w:ascii="Times New Roman" w:hAnsi="Times New Roman" w:cs="Times New Roman"/>
          <w:color w:val="000000" w:themeColor="text1"/>
          <w:vertAlign w:val="superscript"/>
        </w:rPr>
        <w:t>4+</w:t>
      </w:r>
      <w:r w:rsidR="00E961F8" w:rsidRPr="002657D1">
        <w:rPr>
          <w:rFonts w:ascii="Times New Roman" w:hAnsi="Times New Roman" w:cs="Times New Roman"/>
          <w:color w:val="000000" w:themeColor="text1"/>
        </w:rPr>
        <w:t xml:space="preserve"> and Cl</w:t>
      </w:r>
      <w:r w:rsidR="00E961F8" w:rsidRPr="002657D1">
        <w:rPr>
          <w:rFonts w:ascii="Times New Roman" w:hAnsi="Times New Roman" w:cs="Times New Roman"/>
          <w:color w:val="000000" w:themeColor="text1"/>
          <w:vertAlign w:val="superscript"/>
        </w:rPr>
        <w:t>−</w:t>
      </w:r>
      <w:r w:rsidR="00E961F8" w:rsidRPr="002657D1">
        <w:rPr>
          <w:rFonts w:ascii="Times New Roman" w:hAnsi="Times New Roman" w:cs="Times New Roman"/>
          <w:color w:val="000000" w:themeColor="text1"/>
        </w:rPr>
        <w:t>, respectively. For doping levels of x ≥ 20, a distinct change in peak intensity between 31.9° and 41.7° was observed, along with the appearance of LiCl impurity peaks at 29.9° and 34.7°, indicating that the doping level has exceeded the solubility for TiF</w:t>
      </w:r>
      <w:r w:rsidR="00E961F8" w:rsidRPr="002657D1">
        <w:rPr>
          <w:rFonts w:ascii="Times New Roman" w:hAnsi="Times New Roman" w:cs="Times New Roman"/>
          <w:color w:val="000000" w:themeColor="text1"/>
          <w:vertAlign w:val="subscript"/>
        </w:rPr>
        <w:t>3</w:t>
      </w:r>
      <w:r w:rsidR="00E961F8" w:rsidRPr="002657D1">
        <w:rPr>
          <w:rFonts w:ascii="Times New Roman" w:hAnsi="Times New Roman" w:cs="Times New Roman"/>
          <w:color w:val="000000" w:themeColor="text1"/>
        </w:rPr>
        <w:t>.</w:t>
      </w:r>
      <w:r w:rsidR="00B908C7" w:rsidRPr="002657D1">
        <w:rPr>
          <w:rFonts w:ascii="Times New Roman" w:hAnsi="Times New Roman" w:cs="Times New Roman"/>
          <w:color w:val="000000" w:themeColor="text1"/>
          <w:sz w:val="21"/>
          <w:szCs w:val="21"/>
        </w:rPr>
        <w:br w:type="page"/>
      </w:r>
    </w:p>
    <w:p w14:paraId="1C6FDBD1" w14:textId="78A4B422" w:rsidR="0097111D" w:rsidRPr="002657D1" w:rsidRDefault="00B10DDA" w:rsidP="0097111D">
      <w:pPr>
        <w:widowControl/>
        <w:spacing w:before="120" w:afterLines="50" w:after="156" w:line="360" w:lineRule="auto"/>
        <w:jc w:val="center"/>
        <w:rPr>
          <w:rFonts w:ascii="Times New Roman" w:hAnsi="Times New Roman" w:cs="Times New Roman"/>
          <w:b/>
          <w:bCs/>
          <w:color w:val="000000" w:themeColor="text1"/>
        </w:rPr>
      </w:pPr>
      <w:r w:rsidRPr="002657D1">
        <w:rPr>
          <w:rFonts w:ascii="Times New Roman" w:hAnsi="Times New Roman" w:cs="Times New Roman"/>
          <w:b/>
          <w:bCs/>
          <w:noProof/>
          <w:color w:val="000000" w:themeColor="text1"/>
        </w:rPr>
        <w:lastRenderedPageBreak/>
        <w:drawing>
          <wp:inline distT="0" distB="0" distL="0" distR="0" wp14:anchorId="0CE35575" wp14:editId="08522227">
            <wp:extent cx="1845422" cy="2160000"/>
            <wp:effectExtent l="0" t="0" r="0" b="0"/>
            <wp:docPr id="6438329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832919" name="图片 643832919"/>
                    <pic:cNvPicPr/>
                  </pic:nvPicPr>
                  <pic:blipFill rotWithShape="1">
                    <a:blip r:embed="rId25"/>
                    <a:srcRect r="14747" b="11894"/>
                    <a:stretch>
                      <a:fillRect/>
                    </a:stretch>
                  </pic:blipFill>
                  <pic:spPr bwMode="auto">
                    <a:xfrm>
                      <a:off x="0" y="0"/>
                      <a:ext cx="1845422" cy="2160000"/>
                    </a:xfrm>
                    <a:prstGeom prst="rect">
                      <a:avLst/>
                    </a:prstGeom>
                    <a:ln>
                      <a:noFill/>
                    </a:ln>
                    <a:extLst>
                      <a:ext uri="{53640926-AAD7-44D8-BBD7-CCE9431645EC}">
                        <a14:shadowObscured xmlns:a14="http://schemas.microsoft.com/office/drawing/2010/main"/>
                      </a:ext>
                    </a:extLst>
                  </pic:spPr>
                </pic:pic>
              </a:graphicData>
            </a:graphic>
          </wp:inline>
        </w:drawing>
      </w:r>
    </w:p>
    <w:p w14:paraId="0730DFD7" w14:textId="5C5A53BC" w:rsidR="008B14FA" w:rsidRPr="002657D1" w:rsidRDefault="006C7282">
      <w:pPr>
        <w:pStyle w:val="ac"/>
        <w:spacing w:before="0" w:beforeAutospacing="0" w:after="0" w:afterAutospacing="0" w:line="360" w:lineRule="auto"/>
        <w:jc w:val="both"/>
        <w:rPr>
          <w:rFonts w:ascii="Times New Roman" w:eastAsia="等线" w:hAnsi="Times New Roman" w:cs="Times New Roman"/>
          <w:color w:val="000000" w:themeColor="text1"/>
          <w:kern w:val="24"/>
        </w:rPr>
      </w:pPr>
      <w:r w:rsidRPr="002657D1">
        <w:rPr>
          <w:rFonts w:ascii="Times New Roman" w:eastAsia="等线" w:hAnsi="Times New Roman" w:cs="Times New Roman"/>
          <w:b/>
          <w:bCs/>
          <w:color w:val="000000" w:themeColor="text1"/>
          <w:kern w:val="2"/>
        </w:rPr>
        <w:t xml:space="preserve">Supplementary Fig. </w:t>
      </w:r>
      <w:r w:rsidR="00B64FB2" w:rsidRPr="002657D1">
        <w:rPr>
          <w:rFonts w:ascii="Times New Roman" w:eastAsia="等线" w:hAnsi="Times New Roman" w:cs="Times New Roman" w:hint="eastAsia"/>
          <w:b/>
          <w:bCs/>
          <w:color w:val="000000" w:themeColor="text1"/>
          <w:kern w:val="2"/>
        </w:rPr>
        <w:t>11</w:t>
      </w:r>
      <w:r w:rsidR="00B64FB2"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color w:val="000000" w:themeColor="text1"/>
          <w:kern w:val="24"/>
        </w:rPr>
        <w:t>Raman spectra of the LZC-</w:t>
      </w:r>
      <w:proofErr w:type="spellStart"/>
      <w:r w:rsidRPr="002657D1">
        <w:rPr>
          <w:rFonts w:ascii="Times New Roman" w:eastAsia="等线" w:hAnsi="Times New Roman" w:cs="Times New Roman"/>
          <w:color w:val="000000" w:themeColor="text1"/>
          <w:kern w:val="24"/>
        </w:rPr>
        <w:t>xTF</w:t>
      </w:r>
      <w:proofErr w:type="spellEnd"/>
      <w:r w:rsidRPr="002657D1">
        <w:rPr>
          <w:rFonts w:ascii="Times New Roman" w:eastAsia="等线" w:hAnsi="Times New Roman" w:cs="Times New Roman"/>
          <w:color w:val="000000" w:themeColor="text1"/>
          <w:kern w:val="24"/>
        </w:rPr>
        <w:t>, TiF</w:t>
      </w:r>
      <w:r w:rsidR="00B9146B" w:rsidRPr="002657D1">
        <w:rPr>
          <w:rFonts w:ascii="Times New Roman" w:eastAsia="等线" w:hAnsi="Times New Roman" w:cs="Times New Roman"/>
          <w:color w:val="000000" w:themeColor="text1"/>
          <w:kern w:val="24"/>
          <w:vertAlign w:val="subscript"/>
        </w:rPr>
        <w:t>3</w:t>
      </w:r>
      <w:r w:rsidRPr="002657D1">
        <w:rPr>
          <w:rFonts w:ascii="Times New Roman" w:eastAsia="等线" w:hAnsi="Times New Roman" w:cs="Times New Roman"/>
          <w:color w:val="000000" w:themeColor="text1"/>
          <w:kern w:val="24"/>
        </w:rPr>
        <w:t>, LiCl, and ZrCl</w:t>
      </w:r>
      <w:r w:rsidR="00B9146B" w:rsidRPr="002657D1">
        <w:rPr>
          <w:rFonts w:ascii="Times New Roman" w:eastAsia="等线" w:hAnsi="Times New Roman" w:cs="Times New Roman"/>
          <w:color w:val="000000" w:themeColor="text1"/>
          <w:kern w:val="24"/>
          <w:vertAlign w:val="subscript"/>
        </w:rPr>
        <w:t>4</w:t>
      </w:r>
      <w:r w:rsidRPr="002657D1">
        <w:rPr>
          <w:rFonts w:ascii="Times New Roman" w:eastAsia="等线" w:hAnsi="Times New Roman" w:cs="Times New Roman"/>
          <w:color w:val="000000" w:themeColor="text1"/>
          <w:kern w:val="24"/>
        </w:rPr>
        <w:t>.</w:t>
      </w:r>
      <w:r w:rsidR="006621FA" w:rsidRPr="002657D1">
        <w:rPr>
          <w:rFonts w:ascii="Times New Roman" w:eastAsia="等线" w:hAnsi="Times New Roman" w:cs="Times New Roman"/>
          <w:color w:val="000000" w:themeColor="text1"/>
          <w:kern w:val="24"/>
        </w:rPr>
        <w:t xml:space="preserve"> </w:t>
      </w:r>
    </w:p>
    <w:p w14:paraId="70BC8004" w14:textId="70871E1E" w:rsidR="00D051F3" w:rsidRPr="002657D1" w:rsidRDefault="008B14FA" w:rsidP="0088264E">
      <w:pPr>
        <w:pStyle w:val="ac"/>
        <w:spacing w:before="0" w:beforeAutospacing="0" w:after="0" w:afterAutospacing="0" w:line="360" w:lineRule="auto"/>
        <w:jc w:val="both"/>
        <w:rPr>
          <w:rFonts w:ascii="Times New Roman" w:hAnsi="Times New Roman" w:cs="Times New Roman"/>
          <w:color w:val="000000" w:themeColor="text1"/>
        </w:rPr>
      </w:pPr>
      <w:r w:rsidRPr="002657D1">
        <w:rPr>
          <w:rFonts w:ascii="Times New Roman" w:hAnsi="Times New Roman" w:cs="Times New Roman"/>
          <w:b/>
          <w:bCs/>
          <w:color w:val="000000" w:themeColor="text1"/>
        </w:rPr>
        <w:t xml:space="preserve">Discussion: </w:t>
      </w:r>
      <w:r w:rsidR="006621FA" w:rsidRPr="002657D1">
        <w:rPr>
          <w:rFonts w:ascii="Times New Roman" w:hAnsi="Times New Roman" w:cs="Times New Roman"/>
          <w:color w:val="000000" w:themeColor="text1"/>
        </w:rPr>
        <w:t>The Raman spectrum of LZC-10TF differs distinctly from those of the precursors (ZrCl</w:t>
      </w:r>
      <w:r w:rsidR="006621FA" w:rsidRPr="002657D1">
        <w:rPr>
          <w:rFonts w:ascii="Times New Roman" w:hAnsi="Times New Roman" w:cs="Times New Roman"/>
          <w:color w:val="000000" w:themeColor="text1"/>
          <w:vertAlign w:val="subscript"/>
        </w:rPr>
        <w:t>4</w:t>
      </w:r>
      <w:r w:rsidR="006621FA" w:rsidRPr="002657D1">
        <w:rPr>
          <w:rFonts w:ascii="Times New Roman" w:hAnsi="Times New Roman" w:cs="Times New Roman"/>
          <w:color w:val="000000" w:themeColor="text1"/>
        </w:rPr>
        <w:t>, LiCl, and TiF</w:t>
      </w:r>
      <w:r w:rsidR="006621FA" w:rsidRPr="002657D1">
        <w:rPr>
          <w:rFonts w:ascii="Times New Roman" w:hAnsi="Times New Roman" w:cs="Times New Roman"/>
          <w:color w:val="000000" w:themeColor="text1"/>
          <w:vertAlign w:val="subscript"/>
        </w:rPr>
        <w:t>3</w:t>
      </w:r>
      <w:r w:rsidR="006621FA" w:rsidRPr="002657D1">
        <w:rPr>
          <w:rFonts w:ascii="Times New Roman" w:hAnsi="Times New Roman" w:cs="Times New Roman"/>
          <w:color w:val="000000" w:themeColor="text1"/>
        </w:rPr>
        <w:t>) but remains similar to that of LZC, confirming the successful introduction of Ti and F into the LZC lattice.</w:t>
      </w:r>
      <w:r w:rsidR="00D051F3" w:rsidRPr="002657D1">
        <w:rPr>
          <w:rFonts w:ascii="Times New Roman" w:hAnsi="Times New Roman" w:cs="Times New Roman"/>
          <w:color w:val="000000" w:themeColor="text1"/>
        </w:rPr>
        <w:br w:type="page"/>
      </w:r>
    </w:p>
    <w:p w14:paraId="3E9D5B8A" w14:textId="50B31C2A" w:rsidR="00A00ADA" w:rsidRPr="002657D1" w:rsidRDefault="00AC4D46" w:rsidP="00A00ADA">
      <w:pPr>
        <w:widowControl/>
        <w:spacing w:before="120" w:afterLines="50" w:after="156" w:line="360" w:lineRule="auto"/>
        <w:jc w:val="center"/>
        <w:rPr>
          <w:rFonts w:ascii="Times New Roman" w:hAnsi="Times New Roman" w:cs="Times New Roman"/>
          <w:b/>
          <w:bCs/>
          <w:color w:val="000000" w:themeColor="text1"/>
        </w:rPr>
      </w:pPr>
      <w:r w:rsidRPr="002657D1">
        <w:rPr>
          <w:rFonts w:ascii="Times New Roman" w:hAnsi="Times New Roman" w:cs="Times New Roman"/>
          <w:b/>
          <w:bCs/>
          <w:noProof/>
          <w:color w:val="000000" w:themeColor="text1"/>
        </w:rPr>
        <w:lastRenderedPageBreak/>
        <w:drawing>
          <wp:inline distT="0" distB="0" distL="0" distR="0" wp14:anchorId="024C4902" wp14:editId="7050EDFC">
            <wp:extent cx="5040000" cy="1766973"/>
            <wp:effectExtent l="0" t="0" r="0" b="0"/>
            <wp:docPr id="34407997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079976" name="图片 344079976"/>
                    <pic:cNvPicPr/>
                  </pic:nvPicPr>
                  <pic:blipFill>
                    <a:blip r:embed="rId26"/>
                    <a:stretch>
                      <a:fillRect/>
                    </a:stretch>
                  </pic:blipFill>
                  <pic:spPr>
                    <a:xfrm>
                      <a:off x="0" y="0"/>
                      <a:ext cx="5040000" cy="1766973"/>
                    </a:xfrm>
                    <a:prstGeom prst="rect">
                      <a:avLst/>
                    </a:prstGeom>
                  </pic:spPr>
                </pic:pic>
              </a:graphicData>
            </a:graphic>
          </wp:inline>
        </w:drawing>
      </w:r>
    </w:p>
    <w:p w14:paraId="29BA6A87" w14:textId="6D314FCD" w:rsidR="00E60042" w:rsidRPr="002657D1" w:rsidRDefault="006C7282" w:rsidP="006C7282">
      <w:pPr>
        <w:pStyle w:val="ac"/>
        <w:spacing w:before="0" w:beforeAutospacing="0" w:after="0" w:afterAutospacing="0" w:line="360" w:lineRule="auto"/>
        <w:jc w:val="both"/>
        <w:rPr>
          <w:rFonts w:ascii="Times New Roman" w:eastAsia="等线" w:hAnsi="Times New Roman" w:cs="Times New Roman"/>
          <w:color w:val="000000" w:themeColor="text1"/>
          <w:kern w:val="24"/>
        </w:rPr>
      </w:pPr>
      <w:r w:rsidRPr="002657D1">
        <w:rPr>
          <w:rFonts w:ascii="Times New Roman" w:eastAsia="等线" w:hAnsi="Times New Roman" w:cs="Times New Roman"/>
          <w:b/>
          <w:bCs/>
          <w:color w:val="000000" w:themeColor="text1"/>
          <w:kern w:val="2"/>
        </w:rPr>
        <w:t xml:space="preserve">Supplementary Fig. </w:t>
      </w:r>
      <w:r w:rsidR="00B64FB2" w:rsidRPr="002657D1">
        <w:rPr>
          <w:rFonts w:ascii="Times New Roman" w:eastAsia="等线" w:hAnsi="Times New Roman" w:cs="Times New Roman" w:hint="eastAsia"/>
          <w:b/>
          <w:bCs/>
          <w:color w:val="000000" w:themeColor="text1"/>
          <w:kern w:val="2"/>
        </w:rPr>
        <w:t>12</w:t>
      </w:r>
      <w:r w:rsidR="00B64FB2"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color w:val="000000" w:themeColor="text1"/>
          <w:kern w:val="24"/>
        </w:rPr>
        <w:t xml:space="preserve">SEM images of </w:t>
      </w:r>
      <w:r w:rsidR="0090707D" w:rsidRPr="002657D1">
        <w:rPr>
          <w:rFonts w:ascii="Times New Roman" w:eastAsia="等线" w:hAnsi="Times New Roman" w:cs="Times New Roman"/>
          <w:color w:val="000000" w:themeColor="text1"/>
          <w:kern w:val="24"/>
        </w:rPr>
        <w:t>the corresponding EDS mapping of the prepared LZC-10TF.</w:t>
      </w:r>
      <w:r w:rsidR="0055051A" w:rsidRPr="002657D1">
        <w:rPr>
          <w:rFonts w:ascii="Times New Roman" w:hAnsi="Times New Roman" w:cs="Times New Roman"/>
          <w:color w:val="000000" w:themeColor="text1"/>
        </w:rPr>
        <w:br w:type="page"/>
      </w:r>
    </w:p>
    <w:p w14:paraId="238AC88D" w14:textId="7FC57ABD" w:rsidR="00E60042" w:rsidRPr="002657D1" w:rsidRDefault="00B10DDA" w:rsidP="0029503A">
      <w:pPr>
        <w:pStyle w:val="ac"/>
        <w:spacing w:before="0" w:beforeAutospacing="0" w:after="0" w:afterAutospacing="0" w:line="360" w:lineRule="auto"/>
        <w:jc w:val="center"/>
        <w:rPr>
          <w:rFonts w:ascii="Times New Roman" w:eastAsia="等线" w:hAnsi="Times New Roman" w:cs="Times New Roman"/>
          <w:b/>
          <w:bCs/>
          <w:color w:val="000000" w:themeColor="text1"/>
          <w:kern w:val="2"/>
          <w:sz w:val="21"/>
          <w:szCs w:val="21"/>
        </w:rPr>
      </w:pPr>
      <w:r w:rsidRPr="002657D1">
        <w:rPr>
          <w:rFonts w:ascii="Times New Roman" w:eastAsia="等线" w:hAnsi="Times New Roman" w:cs="Times New Roman"/>
          <w:b/>
          <w:bCs/>
          <w:noProof/>
          <w:color w:val="000000" w:themeColor="text1"/>
          <w:kern w:val="2"/>
          <w:sz w:val="21"/>
          <w:szCs w:val="21"/>
        </w:rPr>
        <w:lastRenderedPageBreak/>
        <w:drawing>
          <wp:inline distT="0" distB="0" distL="0" distR="0" wp14:anchorId="2C035E9F" wp14:editId="1851B376">
            <wp:extent cx="2352718" cy="1800000"/>
            <wp:effectExtent l="0" t="0" r="0" b="0"/>
            <wp:docPr id="156493166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931664" name="图片 1564931664"/>
                    <pic:cNvPicPr/>
                  </pic:nvPicPr>
                  <pic:blipFill>
                    <a:blip r:embed="rId27"/>
                    <a:stretch>
                      <a:fillRect/>
                    </a:stretch>
                  </pic:blipFill>
                  <pic:spPr>
                    <a:xfrm>
                      <a:off x="0" y="0"/>
                      <a:ext cx="2352718" cy="1800000"/>
                    </a:xfrm>
                    <a:prstGeom prst="rect">
                      <a:avLst/>
                    </a:prstGeom>
                  </pic:spPr>
                </pic:pic>
              </a:graphicData>
            </a:graphic>
          </wp:inline>
        </w:drawing>
      </w:r>
    </w:p>
    <w:p w14:paraId="67BE8F57" w14:textId="2A8DAADA" w:rsidR="00683A8D" w:rsidRPr="002657D1" w:rsidRDefault="006C7282" w:rsidP="006C7282">
      <w:pPr>
        <w:pStyle w:val="ac"/>
        <w:spacing w:before="0" w:beforeAutospacing="0" w:after="0" w:afterAutospacing="0" w:line="360" w:lineRule="auto"/>
        <w:rPr>
          <w:rFonts w:ascii="Times New Roman" w:hAnsi="Times New Roman" w:cs="Times New Roman"/>
          <w:color w:val="000000" w:themeColor="text1"/>
          <w:sz w:val="21"/>
          <w:szCs w:val="21"/>
        </w:rPr>
      </w:pPr>
      <w:r w:rsidRPr="002657D1">
        <w:rPr>
          <w:rFonts w:ascii="Times New Roman" w:eastAsia="等线" w:hAnsi="Times New Roman" w:cs="Times New Roman"/>
          <w:b/>
          <w:bCs/>
          <w:color w:val="000000" w:themeColor="text1"/>
          <w:kern w:val="2"/>
        </w:rPr>
        <w:t xml:space="preserve">Supplementary Fig. </w:t>
      </w:r>
      <w:r w:rsidR="00B64FB2" w:rsidRPr="002657D1">
        <w:rPr>
          <w:rFonts w:ascii="Times New Roman" w:eastAsia="等线" w:hAnsi="Times New Roman" w:cs="Times New Roman" w:hint="eastAsia"/>
          <w:b/>
          <w:bCs/>
          <w:color w:val="000000" w:themeColor="text1"/>
          <w:kern w:val="2"/>
        </w:rPr>
        <w:t>13</w:t>
      </w:r>
      <w:r w:rsidR="00B64FB2"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color w:val="000000" w:themeColor="text1"/>
          <w:kern w:val="24"/>
        </w:rPr>
        <w:t>Nyquist plots of the prepared LZC-</w:t>
      </w:r>
      <w:proofErr w:type="spellStart"/>
      <w:r w:rsidRPr="002657D1">
        <w:rPr>
          <w:rFonts w:ascii="Times New Roman" w:eastAsia="等线" w:hAnsi="Times New Roman" w:cs="Times New Roman"/>
          <w:color w:val="000000" w:themeColor="text1"/>
          <w:kern w:val="24"/>
        </w:rPr>
        <w:t>xTF</w:t>
      </w:r>
      <w:proofErr w:type="spellEnd"/>
      <w:r w:rsidRPr="002657D1">
        <w:rPr>
          <w:rFonts w:ascii="Times New Roman" w:eastAsia="等线" w:hAnsi="Times New Roman" w:cs="Times New Roman"/>
          <w:color w:val="000000" w:themeColor="text1"/>
          <w:kern w:val="24"/>
        </w:rPr>
        <w:t xml:space="preserve"> (x = 0, 10, 20, 30, 40).</w:t>
      </w:r>
      <w:r w:rsidR="00683A8D" w:rsidRPr="002657D1">
        <w:rPr>
          <w:rFonts w:ascii="Times New Roman" w:hAnsi="Times New Roman" w:cs="Times New Roman"/>
          <w:color w:val="000000" w:themeColor="text1"/>
          <w:kern w:val="24"/>
          <w:sz w:val="21"/>
          <w:szCs w:val="21"/>
        </w:rPr>
        <w:br w:type="page"/>
      </w:r>
    </w:p>
    <w:p w14:paraId="18098CAC" w14:textId="08798BEC" w:rsidR="000D12CB" w:rsidRPr="002657D1" w:rsidRDefault="00BF2A5A" w:rsidP="00BF2A5A">
      <w:pPr>
        <w:widowControl/>
        <w:rPr>
          <w:rFonts w:ascii="Times New Roman" w:hAnsi="Times New Roman" w:cs="Times New Roman"/>
          <w:color w:val="000000" w:themeColor="text1"/>
          <w:kern w:val="24"/>
        </w:rPr>
      </w:pPr>
      <w:r w:rsidRPr="002657D1">
        <w:rPr>
          <w:rFonts w:ascii="Times New Roman" w:hAnsi="Times New Roman" w:cs="Times New Roman" w:hint="eastAsia"/>
          <w:noProof/>
          <w:color w:val="000000" w:themeColor="text1"/>
          <w:kern w:val="24"/>
        </w:rPr>
        <w:lastRenderedPageBreak/>
        <w:drawing>
          <wp:inline distT="0" distB="0" distL="0" distR="0" wp14:anchorId="39F98E30" wp14:editId="00AA8944">
            <wp:extent cx="5274310" cy="7130415"/>
            <wp:effectExtent l="0" t="0" r="0" b="0"/>
            <wp:docPr id="2121522272" name="图片 1" descr="图示, 示意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522272" name="图片 1" descr="图示, 示意图&#10;&#10;AI 生成的内容可能不正确。"/>
                    <pic:cNvPicPr/>
                  </pic:nvPicPr>
                  <pic:blipFill>
                    <a:blip r:embed="rId28"/>
                    <a:stretch>
                      <a:fillRect/>
                    </a:stretch>
                  </pic:blipFill>
                  <pic:spPr>
                    <a:xfrm>
                      <a:off x="0" y="0"/>
                      <a:ext cx="5274310" cy="7130415"/>
                    </a:xfrm>
                    <a:prstGeom prst="rect">
                      <a:avLst/>
                    </a:prstGeom>
                  </pic:spPr>
                </pic:pic>
              </a:graphicData>
            </a:graphic>
          </wp:inline>
        </w:drawing>
      </w:r>
    </w:p>
    <w:p w14:paraId="5347A174" w14:textId="1176BCEE" w:rsidR="000D12CB" w:rsidRPr="002657D1" w:rsidRDefault="006E2142" w:rsidP="006C7282">
      <w:pPr>
        <w:pStyle w:val="ac"/>
        <w:spacing w:before="0" w:beforeAutospacing="0" w:after="0" w:afterAutospacing="0" w:line="360" w:lineRule="auto"/>
        <w:jc w:val="both"/>
        <w:rPr>
          <w:rFonts w:ascii="Times New Roman" w:hAnsi="Times New Roman" w:cs="Times New Roman"/>
          <w:color w:val="000000" w:themeColor="text1"/>
        </w:rPr>
      </w:pPr>
      <w:r w:rsidRPr="002657D1">
        <w:rPr>
          <w:rFonts w:ascii="Times New Roman" w:eastAsia="等线" w:hAnsi="Times New Roman" w:cs="Times New Roman"/>
          <w:b/>
          <w:bCs/>
          <w:color w:val="000000" w:themeColor="text1"/>
          <w:kern w:val="2"/>
        </w:rPr>
        <w:t xml:space="preserve">Supplementary </w:t>
      </w:r>
      <w:r w:rsidR="006C7282" w:rsidRPr="002657D1">
        <w:rPr>
          <w:rFonts w:ascii="Times New Roman" w:eastAsia="等线" w:hAnsi="Times New Roman" w:cs="Times New Roman"/>
          <w:b/>
          <w:bCs/>
          <w:color w:val="000000" w:themeColor="text1"/>
          <w:kern w:val="24"/>
        </w:rPr>
        <w:t xml:space="preserve">Fig. </w:t>
      </w:r>
      <w:r w:rsidR="00B64FB2" w:rsidRPr="002657D1">
        <w:rPr>
          <w:rFonts w:ascii="Times New Roman" w:eastAsia="等线" w:hAnsi="Times New Roman" w:cs="Times New Roman" w:hint="eastAsia"/>
          <w:b/>
          <w:bCs/>
          <w:color w:val="000000" w:themeColor="text1"/>
          <w:kern w:val="24"/>
        </w:rPr>
        <w:t>14</w:t>
      </w:r>
      <w:r w:rsidR="00B64FB2" w:rsidRPr="002657D1">
        <w:rPr>
          <w:rFonts w:ascii="Times New Roman" w:eastAsia="等线" w:hAnsi="Times New Roman" w:cs="Times New Roman"/>
          <w:b/>
          <w:bCs/>
          <w:color w:val="000000" w:themeColor="text1"/>
          <w:kern w:val="24"/>
        </w:rPr>
        <w:t xml:space="preserve"> </w:t>
      </w:r>
      <w:r w:rsidR="006C7282" w:rsidRPr="002657D1">
        <w:rPr>
          <w:rFonts w:ascii="Times New Roman" w:eastAsia="等线" w:hAnsi="Times New Roman" w:cs="Times New Roman"/>
          <w:b/>
          <w:bCs/>
          <w:color w:val="000000" w:themeColor="text1"/>
          <w:kern w:val="24"/>
        </w:rPr>
        <w:t xml:space="preserve">| </w:t>
      </w:r>
      <w:r w:rsidR="006C7282" w:rsidRPr="002657D1">
        <w:rPr>
          <w:rFonts w:ascii="Times New Roman" w:eastAsia="等线" w:hAnsi="Times New Roman" w:cs="Times New Roman"/>
          <w:color w:val="000000" w:themeColor="text1"/>
          <w:kern w:val="24"/>
        </w:rPr>
        <w:t xml:space="preserve">Ionic conductivity comparison of </w:t>
      </w:r>
      <w:r w:rsidR="00F75177" w:rsidRPr="002657D1">
        <w:rPr>
          <w:rFonts w:ascii="Times New Roman" w:eastAsia="等线" w:hAnsi="Times New Roman" w:cs="Times New Roman"/>
          <w:color w:val="000000" w:themeColor="text1"/>
          <w:kern w:val="24"/>
        </w:rPr>
        <w:t xml:space="preserve">the </w:t>
      </w:r>
      <w:r w:rsidR="006C7282" w:rsidRPr="002657D1">
        <w:rPr>
          <w:rFonts w:ascii="Times New Roman" w:eastAsia="等线" w:hAnsi="Times New Roman" w:cs="Times New Roman"/>
          <w:color w:val="000000" w:themeColor="text1"/>
          <w:kern w:val="24"/>
        </w:rPr>
        <w:t xml:space="preserve">prepared LZC-10TF with previously advanced </w:t>
      </w:r>
      <w:r w:rsidR="00243604" w:rsidRPr="002657D1">
        <w:rPr>
          <w:rFonts w:ascii="Times New Roman" w:eastAsia="等线" w:hAnsi="Times New Roman" w:cs="Times New Roman"/>
          <w:color w:val="000000" w:themeColor="text1"/>
          <w:kern w:val="24"/>
        </w:rPr>
        <w:t>HSEs</w:t>
      </w:r>
      <w:r w:rsidR="006C7282" w:rsidRPr="002657D1">
        <w:rPr>
          <w:rFonts w:ascii="Times New Roman" w:eastAsia="等线" w:hAnsi="Times New Roman" w:cs="Times New Roman"/>
          <w:color w:val="000000" w:themeColor="text1"/>
          <w:kern w:val="24"/>
        </w:rPr>
        <w:t>.</w:t>
      </w:r>
      <w:r w:rsidR="000D12CB" w:rsidRPr="002657D1">
        <w:rPr>
          <w:rFonts w:ascii="Times New Roman" w:hAnsi="Times New Roman" w:cs="Times New Roman"/>
          <w:color w:val="000000" w:themeColor="text1"/>
          <w:kern w:val="24"/>
        </w:rPr>
        <w:br w:type="page"/>
      </w:r>
    </w:p>
    <w:p w14:paraId="339CB8DE" w14:textId="2D5D58FC" w:rsidR="001E538C" w:rsidRPr="002657D1" w:rsidRDefault="00B10DDA" w:rsidP="001E538C">
      <w:pPr>
        <w:widowControl/>
        <w:spacing w:line="360" w:lineRule="auto"/>
        <w:jc w:val="center"/>
        <w:rPr>
          <w:rFonts w:ascii="Times New Roman" w:hAnsi="Times New Roman" w:cs="Times New Roman"/>
          <w:color w:val="000000" w:themeColor="text1"/>
          <w:kern w:val="24"/>
        </w:rPr>
      </w:pPr>
      <w:r w:rsidRPr="002657D1">
        <w:rPr>
          <w:rFonts w:ascii="Times New Roman" w:hAnsi="Times New Roman" w:cs="Times New Roman"/>
          <w:noProof/>
          <w:color w:val="000000" w:themeColor="text1"/>
          <w:kern w:val="24"/>
        </w:rPr>
        <w:lastRenderedPageBreak/>
        <w:drawing>
          <wp:inline distT="0" distB="0" distL="0" distR="0" wp14:anchorId="4DEAC829" wp14:editId="430DB86B">
            <wp:extent cx="4320000" cy="2857462"/>
            <wp:effectExtent l="0" t="0" r="0" b="0"/>
            <wp:docPr id="17790188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018837" name="图片 1779018837"/>
                    <pic:cNvPicPr/>
                  </pic:nvPicPr>
                  <pic:blipFill>
                    <a:blip r:embed="rId29"/>
                    <a:stretch>
                      <a:fillRect/>
                    </a:stretch>
                  </pic:blipFill>
                  <pic:spPr>
                    <a:xfrm>
                      <a:off x="0" y="0"/>
                      <a:ext cx="4320000" cy="2857462"/>
                    </a:xfrm>
                    <a:prstGeom prst="rect">
                      <a:avLst/>
                    </a:prstGeom>
                  </pic:spPr>
                </pic:pic>
              </a:graphicData>
            </a:graphic>
          </wp:inline>
        </w:drawing>
      </w:r>
    </w:p>
    <w:p w14:paraId="7DDBC3A6" w14:textId="32B57E1F" w:rsidR="008B14FA" w:rsidRPr="002657D1" w:rsidRDefault="002B314A" w:rsidP="002B314A">
      <w:pPr>
        <w:pStyle w:val="ac"/>
        <w:spacing w:before="0" w:beforeAutospacing="0" w:after="0" w:afterAutospacing="0" w:line="360" w:lineRule="auto"/>
        <w:jc w:val="both"/>
        <w:rPr>
          <w:rFonts w:ascii="Times New Roman" w:eastAsia="等线" w:hAnsi="Times New Roman" w:cs="Times New Roman"/>
          <w:color w:val="000000" w:themeColor="text1"/>
          <w:kern w:val="24"/>
        </w:rPr>
      </w:pPr>
      <w:r w:rsidRPr="002657D1">
        <w:rPr>
          <w:rFonts w:ascii="Times New Roman" w:eastAsia="等线" w:hAnsi="Times New Roman" w:cs="Times New Roman"/>
          <w:b/>
          <w:bCs/>
          <w:color w:val="000000" w:themeColor="text1"/>
          <w:kern w:val="2"/>
        </w:rPr>
        <w:t xml:space="preserve">Supplementary Fig. </w:t>
      </w:r>
      <w:r w:rsidR="00B64FB2" w:rsidRPr="002657D1">
        <w:rPr>
          <w:rFonts w:ascii="Times New Roman" w:eastAsia="等线" w:hAnsi="Times New Roman" w:cs="Times New Roman"/>
          <w:b/>
          <w:bCs/>
          <w:color w:val="000000" w:themeColor="text1"/>
          <w:kern w:val="2"/>
        </w:rPr>
        <w:t>1</w:t>
      </w:r>
      <w:r w:rsidR="00B64FB2" w:rsidRPr="002657D1">
        <w:rPr>
          <w:rFonts w:ascii="Times New Roman" w:eastAsia="等线" w:hAnsi="Times New Roman" w:cs="Times New Roman" w:hint="eastAsia"/>
          <w:b/>
          <w:bCs/>
          <w:color w:val="000000" w:themeColor="text1"/>
          <w:kern w:val="2"/>
        </w:rPr>
        <w:t>5</w:t>
      </w:r>
      <w:r w:rsidR="00B64FB2"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b/>
          <w:bCs/>
          <w:color w:val="000000" w:themeColor="text1"/>
          <w:kern w:val="2"/>
        </w:rPr>
        <w:t xml:space="preserve">| </w:t>
      </w:r>
      <w:proofErr w:type="spellStart"/>
      <w:proofErr w:type="gramStart"/>
      <w:r w:rsidRPr="002657D1">
        <w:rPr>
          <w:rFonts w:ascii="Times New Roman" w:eastAsia="等线" w:hAnsi="Times New Roman" w:cs="Times New Roman"/>
          <w:b/>
          <w:bCs/>
          <w:color w:val="000000" w:themeColor="text1"/>
          <w:kern w:val="2"/>
        </w:rPr>
        <w:t>a,b</w:t>
      </w:r>
      <w:proofErr w:type="spellEnd"/>
      <w:proofErr w:type="gramEnd"/>
      <w:r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color w:val="000000" w:themeColor="text1"/>
          <w:kern w:val="24"/>
        </w:rPr>
        <w:t>Rietveld refinement of the LZC-10TF (</w:t>
      </w:r>
      <w:r w:rsidRPr="002657D1">
        <w:rPr>
          <w:rFonts w:ascii="Times New Roman" w:eastAsia="等线" w:hAnsi="Times New Roman" w:cs="Times New Roman"/>
          <w:b/>
          <w:bCs/>
          <w:color w:val="000000" w:themeColor="text1"/>
          <w:kern w:val="24"/>
        </w:rPr>
        <w:t>a</w:t>
      </w:r>
      <w:r w:rsidRPr="002657D1">
        <w:rPr>
          <w:rFonts w:ascii="Times New Roman" w:eastAsia="等线" w:hAnsi="Times New Roman" w:cs="Times New Roman"/>
          <w:color w:val="000000" w:themeColor="text1"/>
          <w:kern w:val="24"/>
        </w:rPr>
        <w:t>) and LZC (</w:t>
      </w:r>
      <w:r w:rsidRPr="002657D1">
        <w:rPr>
          <w:rFonts w:ascii="Times New Roman" w:eastAsia="等线" w:hAnsi="Times New Roman" w:cs="Times New Roman"/>
          <w:b/>
          <w:bCs/>
          <w:color w:val="000000" w:themeColor="text1"/>
          <w:kern w:val="24"/>
        </w:rPr>
        <w:t>b</w:t>
      </w:r>
      <w:r w:rsidRPr="002657D1">
        <w:rPr>
          <w:rFonts w:ascii="Times New Roman" w:eastAsia="等线" w:hAnsi="Times New Roman" w:cs="Times New Roman"/>
          <w:color w:val="000000" w:themeColor="text1"/>
          <w:kern w:val="24"/>
        </w:rPr>
        <w:t>).</w:t>
      </w:r>
    </w:p>
    <w:p w14:paraId="78821EF7" w14:textId="243E8485" w:rsidR="001E538C" w:rsidRPr="002657D1" w:rsidRDefault="008B14FA" w:rsidP="002B314A">
      <w:pPr>
        <w:pStyle w:val="ac"/>
        <w:spacing w:before="0" w:beforeAutospacing="0" w:after="0" w:afterAutospacing="0" w:line="360" w:lineRule="auto"/>
        <w:jc w:val="both"/>
        <w:rPr>
          <w:rFonts w:ascii="Times New Roman" w:hAnsi="Times New Roman" w:cs="Times New Roman"/>
          <w:color w:val="000000" w:themeColor="text1"/>
        </w:rPr>
      </w:pPr>
      <w:r w:rsidRPr="002657D1">
        <w:rPr>
          <w:rFonts w:ascii="Times New Roman" w:hAnsi="Times New Roman" w:cs="Times New Roman"/>
          <w:b/>
          <w:bCs/>
          <w:color w:val="000000" w:themeColor="text1"/>
        </w:rPr>
        <w:t xml:space="preserve">Discussion: </w:t>
      </w:r>
      <w:r w:rsidR="00E961F8" w:rsidRPr="002657D1">
        <w:rPr>
          <w:rFonts w:ascii="Times New Roman" w:hAnsi="Times New Roman" w:cs="Times New Roman"/>
          <w:color w:val="000000" w:themeColor="text1"/>
        </w:rPr>
        <w:t xml:space="preserve">The unit lattice parameters of the LZC-10TF (a = 10.9625 Å, c = 5.9256 Å; </w:t>
      </w:r>
      <w:r w:rsidR="00E961F8" w:rsidRPr="002657D1">
        <w:rPr>
          <w:rFonts w:ascii="Times New Roman" w:hAnsi="Times New Roman" w:cs="Times New Roman"/>
          <w:b/>
          <w:bCs/>
          <w:color w:val="000000" w:themeColor="text1"/>
        </w:rPr>
        <w:t xml:space="preserve">Supplementary Fig. </w:t>
      </w:r>
      <w:r w:rsidR="005234B8" w:rsidRPr="002657D1">
        <w:rPr>
          <w:rFonts w:ascii="Times New Roman" w:hAnsi="Times New Roman" w:cs="Times New Roman"/>
          <w:b/>
          <w:bCs/>
          <w:color w:val="000000" w:themeColor="text1"/>
        </w:rPr>
        <w:t>1</w:t>
      </w:r>
      <w:r w:rsidR="005234B8" w:rsidRPr="002657D1">
        <w:rPr>
          <w:rFonts w:ascii="Times New Roman" w:hAnsi="Times New Roman" w:cs="Times New Roman" w:hint="eastAsia"/>
          <w:b/>
          <w:bCs/>
          <w:color w:val="000000" w:themeColor="text1"/>
        </w:rPr>
        <w:t>5</w:t>
      </w:r>
      <w:r w:rsidR="005234B8" w:rsidRPr="002657D1">
        <w:rPr>
          <w:rFonts w:ascii="Times New Roman" w:hAnsi="Times New Roman" w:cs="Times New Roman"/>
          <w:b/>
          <w:bCs/>
          <w:color w:val="000000" w:themeColor="text1"/>
        </w:rPr>
        <w:t>a</w:t>
      </w:r>
      <w:r w:rsidR="005234B8" w:rsidRPr="002657D1">
        <w:rPr>
          <w:rFonts w:ascii="Times New Roman" w:hAnsi="Times New Roman" w:cs="Times New Roman"/>
          <w:color w:val="000000" w:themeColor="text1"/>
        </w:rPr>
        <w:t xml:space="preserve"> </w:t>
      </w:r>
      <w:r w:rsidR="00E961F8" w:rsidRPr="002657D1">
        <w:rPr>
          <w:rFonts w:ascii="Times New Roman" w:hAnsi="Times New Roman" w:cs="Times New Roman"/>
          <w:color w:val="000000" w:themeColor="text1"/>
        </w:rPr>
        <w:t xml:space="preserve">and </w:t>
      </w:r>
      <w:r w:rsidR="00E961F8" w:rsidRPr="002657D1">
        <w:rPr>
          <w:rFonts w:ascii="Times New Roman" w:hAnsi="Times New Roman" w:cs="Times New Roman"/>
          <w:b/>
          <w:bCs/>
          <w:color w:val="000000" w:themeColor="text1"/>
        </w:rPr>
        <w:t>Table 2</w:t>
      </w:r>
      <w:r w:rsidR="00E961F8" w:rsidRPr="002657D1">
        <w:rPr>
          <w:rFonts w:ascii="Times New Roman" w:hAnsi="Times New Roman" w:cs="Times New Roman"/>
          <w:color w:val="000000" w:themeColor="text1"/>
        </w:rPr>
        <w:t xml:space="preserve">) are smaller than those of LZC (a = 10.9737 Å, c = 5.9308 Å; </w:t>
      </w:r>
      <w:r w:rsidR="00E961F8" w:rsidRPr="002657D1">
        <w:rPr>
          <w:rFonts w:ascii="Times New Roman" w:hAnsi="Times New Roman" w:cs="Times New Roman"/>
          <w:b/>
          <w:bCs/>
          <w:color w:val="000000" w:themeColor="text1"/>
        </w:rPr>
        <w:t xml:space="preserve">Supplementary Fig. </w:t>
      </w:r>
      <w:r w:rsidR="00C603A8" w:rsidRPr="002657D1">
        <w:rPr>
          <w:rFonts w:ascii="Times New Roman" w:hAnsi="Times New Roman" w:cs="Times New Roman"/>
          <w:b/>
          <w:bCs/>
          <w:color w:val="000000" w:themeColor="text1"/>
        </w:rPr>
        <w:t>1</w:t>
      </w:r>
      <w:r w:rsidR="00C603A8" w:rsidRPr="002657D1">
        <w:rPr>
          <w:rFonts w:ascii="Times New Roman" w:hAnsi="Times New Roman" w:cs="Times New Roman" w:hint="eastAsia"/>
          <w:b/>
          <w:bCs/>
          <w:color w:val="000000" w:themeColor="text1"/>
        </w:rPr>
        <w:t>5</w:t>
      </w:r>
      <w:r w:rsidR="00C603A8" w:rsidRPr="002657D1">
        <w:rPr>
          <w:rFonts w:ascii="Times New Roman" w:hAnsi="Times New Roman" w:cs="Times New Roman"/>
          <w:b/>
          <w:bCs/>
          <w:color w:val="000000" w:themeColor="text1"/>
        </w:rPr>
        <w:t>b</w:t>
      </w:r>
      <w:r w:rsidR="00C603A8" w:rsidRPr="002657D1">
        <w:rPr>
          <w:rFonts w:ascii="Times New Roman" w:hAnsi="Times New Roman" w:cs="Times New Roman"/>
          <w:color w:val="000000" w:themeColor="text1"/>
        </w:rPr>
        <w:t xml:space="preserve"> </w:t>
      </w:r>
      <w:r w:rsidR="00E961F8" w:rsidRPr="002657D1">
        <w:rPr>
          <w:rFonts w:ascii="Times New Roman" w:hAnsi="Times New Roman" w:cs="Times New Roman"/>
          <w:color w:val="000000" w:themeColor="text1"/>
        </w:rPr>
        <w:t xml:space="preserve">and </w:t>
      </w:r>
      <w:r w:rsidR="00E961F8" w:rsidRPr="002657D1">
        <w:rPr>
          <w:rFonts w:ascii="Times New Roman" w:hAnsi="Times New Roman" w:cs="Times New Roman"/>
          <w:b/>
          <w:bCs/>
          <w:color w:val="000000" w:themeColor="text1"/>
        </w:rPr>
        <w:t>Table 3</w:t>
      </w:r>
      <w:r w:rsidR="00E961F8" w:rsidRPr="002657D1">
        <w:rPr>
          <w:rFonts w:ascii="Times New Roman" w:hAnsi="Times New Roman" w:cs="Times New Roman"/>
          <w:color w:val="000000" w:themeColor="text1"/>
        </w:rPr>
        <w:t>), which is consistent with the diffraction peaks of LZC-10TF shifting to higher angles.</w:t>
      </w:r>
      <w:r w:rsidR="001E538C" w:rsidRPr="002657D1">
        <w:rPr>
          <w:rFonts w:ascii="Times New Roman" w:hAnsi="Times New Roman" w:cs="Times New Roman"/>
          <w:color w:val="000000" w:themeColor="text1"/>
          <w:kern w:val="24"/>
        </w:rPr>
        <w:br w:type="page"/>
      </w:r>
    </w:p>
    <w:p w14:paraId="228B91BF" w14:textId="169EE5CA" w:rsidR="000D12CB" w:rsidRPr="002657D1" w:rsidRDefault="00B10DDA" w:rsidP="001E538C">
      <w:pPr>
        <w:widowControl/>
        <w:jc w:val="center"/>
        <w:rPr>
          <w:rFonts w:ascii="Times New Roman" w:hAnsi="Times New Roman" w:cs="Times New Roman"/>
          <w:color w:val="000000" w:themeColor="text1"/>
          <w:kern w:val="24"/>
        </w:rPr>
      </w:pPr>
      <w:r w:rsidRPr="002657D1">
        <w:rPr>
          <w:rFonts w:ascii="Times New Roman" w:hAnsi="Times New Roman" w:cs="Times New Roman"/>
          <w:noProof/>
          <w:color w:val="000000" w:themeColor="text1"/>
          <w:kern w:val="24"/>
        </w:rPr>
        <w:lastRenderedPageBreak/>
        <w:drawing>
          <wp:inline distT="0" distB="0" distL="0" distR="0" wp14:anchorId="265AD8A2" wp14:editId="06357B06">
            <wp:extent cx="2557426" cy="1800000"/>
            <wp:effectExtent l="0" t="0" r="0" b="0"/>
            <wp:docPr id="111456833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568339" name="图片 1114568339"/>
                    <pic:cNvPicPr/>
                  </pic:nvPicPr>
                  <pic:blipFill>
                    <a:blip r:embed="rId30"/>
                    <a:stretch>
                      <a:fillRect/>
                    </a:stretch>
                  </pic:blipFill>
                  <pic:spPr>
                    <a:xfrm>
                      <a:off x="0" y="0"/>
                      <a:ext cx="2557426" cy="1800000"/>
                    </a:xfrm>
                    <a:prstGeom prst="rect">
                      <a:avLst/>
                    </a:prstGeom>
                  </pic:spPr>
                </pic:pic>
              </a:graphicData>
            </a:graphic>
          </wp:inline>
        </w:drawing>
      </w:r>
    </w:p>
    <w:p w14:paraId="392028B6" w14:textId="1FD069F5" w:rsidR="00A00333" w:rsidRPr="002657D1" w:rsidRDefault="002B314A" w:rsidP="002B314A">
      <w:pPr>
        <w:pStyle w:val="ac"/>
        <w:spacing w:before="0" w:beforeAutospacing="0" w:after="0" w:afterAutospacing="0" w:line="360" w:lineRule="auto"/>
        <w:jc w:val="both"/>
        <w:rPr>
          <w:rFonts w:ascii="Times New Roman" w:hAnsi="Times New Roman" w:cs="Times New Roman"/>
          <w:color w:val="000000" w:themeColor="text1"/>
          <w:sz w:val="21"/>
          <w:szCs w:val="21"/>
        </w:rPr>
      </w:pPr>
      <w:r w:rsidRPr="002657D1">
        <w:rPr>
          <w:rFonts w:ascii="Times New Roman" w:eastAsia="等线" w:hAnsi="Times New Roman" w:cs="Times New Roman"/>
          <w:b/>
          <w:bCs/>
          <w:color w:val="000000" w:themeColor="text1"/>
          <w:kern w:val="2"/>
        </w:rPr>
        <w:t xml:space="preserve">Supplementary Fig. </w:t>
      </w:r>
      <w:r w:rsidR="00B64FB2" w:rsidRPr="002657D1">
        <w:rPr>
          <w:rFonts w:ascii="Times New Roman" w:eastAsia="等线" w:hAnsi="Times New Roman" w:cs="Times New Roman"/>
          <w:b/>
          <w:bCs/>
          <w:color w:val="000000" w:themeColor="text1"/>
          <w:kern w:val="2"/>
        </w:rPr>
        <w:t>1</w:t>
      </w:r>
      <w:r w:rsidR="00B64FB2" w:rsidRPr="002657D1">
        <w:rPr>
          <w:rFonts w:ascii="Times New Roman" w:eastAsia="等线" w:hAnsi="Times New Roman" w:cs="Times New Roman" w:hint="eastAsia"/>
          <w:b/>
          <w:bCs/>
          <w:color w:val="000000" w:themeColor="text1"/>
          <w:kern w:val="2"/>
        </w:rPr>
        <w:t>6</w:t>
      </w:r>
      <w:r w:rsidR="00B64FB2"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color w:val="000000" w:themeColor="text1"/>
          <w:kern w:val="24"/>
        </w:rPr>
        <w:t>Normalized XANES spectra of Ti K-edge for TiF</w:t>
      </w:r>
      <w:r w:rsidR="00AC4D46" w:rsidRPr="002657D1">
        <w:rPr>
          <w:rFonts w:ascii="Times New Roman" w:eastAsia="等线" w:hAnsi="Times New Roman" w:cs="Times New Roman"/>
          <w:color w:val="000000" w:themeColor="text1"/>
          <w:kern w:val="24"/>
          <w:vertAlign w:val="subscript"/>
        </w:rPr>
        <w:t>3</w:t>
      </w:r>
      <w:r w:rsidRPr="002657D1">
        <w:rPr>
          <w:rFonts w:ascii="Times New Roman" w:eastAsia="等线" w:hAnsi="Times New Roman" w:cs="Times New Roman"/>
          <w:color w:val="000000" w:themeColor="text1"/>
          <w:kern w:val="24"/>
        </w:rPr>
        <w:t xml:space="preserve"> and LZC-10TF.</w:t>
      </w:r>
      <w:r w:rsidR="00A00333" w:rsidRPr="002657D1">
        <w:rPr>
          <w:rFonts w:ascii="Times New Roman" w:hAnsi="Times New Roman" w:cs="Times New Roman"/>
          <w:color w:val="000000" w:themeColor="text1"/>
          <w:sz w:val="21"/>
          <w:szCs w:val="21"/>
        </w:rPr>
        <w:br w:type="page"/>
      </w:r>
    </w:p>
    <w:p w14:paraId="1A806583" w14:textId="01871F07" w:rsidR="0032298F" w:rsidRPr="002657D1" w:rsidRDefault="00B10DDA" w:rsidP="0029503A">
      <w:pPr>
        <w:widowControl/>
        <w:spacing w:before="120" w:afterLines="50" w:after="156" w:line="360" w:lineRule="auto"/>
        <w:jc w:val="center"/>
        <w:rPr>
          <w:rFonts w:ascii="Times New Roman" w:hAnsi="Times New Roman" w:cs="Times New Roman"/>
          <w:b/>
          <w:bCs/>
          <w:color w:val="000000" w:themeColor="text1"/>
        </w:rPr>
      </w:pPr>
      <w:r w:rsidRPr="002657D1">
        <w:rPr>
          <w:rFonts w:ascii="Times New Roman" w:hAnsi="Times New Roman" w:cs="Times New Roman"/>
          <w:b/>
          <w:bCs/>
          <w:noProof/>
          <w:color w:val="000000" w:themeColor="text1"/>
        </w:rPr>
        <w:lastRenderedPageBreak/>
        <w:drawing>
          <wp:inline distT="0" distB="0" distL="0" distR="0" wp14:anchorId="12FF3AEE" wp14:editId="64847ACD">
            <wp:extent cx="5274000" cy="1523911"/>
            <wp:effectExtent l="0" t="0" r="0" b="0"/>
            <wp:docPr id="211393996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939966" name="图片 2113939966"/>
                    <pic:cNvPicPr/>
                  </pic:nvPicPr>
                  <pic:blipFill>
                    <a:blip r:embed="rId31"/>
                    <a:stretch>
                      <a:fillRect/>
                    </a:stretch>
                  </pic:blipFill>
                  <pic:spPr>
                    <a:xfrm>
                      <a:off x="0" y="0"/>
                      <a:ext cx="5274000" cy="1523911"/>
                    </a:xfrm>
                    <a:prstGeom prst="rect">
                      <a:avLst/>
                    </a:prstGeom>
                  </pic:spPr>
                </pic:pic>
              </a:graphicData>
            </a:graphic>
          </wp:inline>
        </w:drawing>
      </w:r>
    </w:p>
    <w:p w14:paraId="5255EA1A" w14:textId="16230E04" w:rsidR="00E16A20" w:rsidRPr="002657D1" w:rsidRDefault="002B314A" w:rsidP="00B9146B">
      <w:pPr>
        <w:pStyle w:val="ac"/>
        <w:spacing w:before="0" w:beforeAutospacing="0" w:after="0" w:afterAutospacing="0" w:line="360" w:lineRule="auto"/>
        <w:jc w:val="both"/>
        <w:rPr>
          <w:rFonts w:ascii="Times New Roman" w:hAnsi="Times New Roman" w:cs="Times New Roman"/>
          <w:color w:val="000000" w:themeColor="text1"/>
          <w:kern w:val="24"/>
        </w:rPr>
      </w:pPr>
      <w:r w:rsidRPr="002657D1">
        <w:rPr>
          <w:rFonts w:ascii="Times New Roman" w:eastAsia="等线" w:hAnsi="Times New Roman" w:cs="Times New Roman"/>
          <w:b/>
          <w:bCs/>
          <w:color w:val="000000" w:themeColor="text1"/>
          <w:kern w:val="2"/>
        </w:rPr>
        <w:t xml:space="preserve">Supplementary Fig. </w:t>
      </w:r>
      <w:r w:rsidR="00E3060D" w:rsidRPr="002657D1">
        <w:rPr>
          <w:rFonts w:ascii="Times New Roman" w:eastAsia="等线" w:hAnsi="Times New Roman" w:cs="Times New Roman"/>
          <w:b/>
          <w:bCs/>
          <w:color w:val="000000" w:themeColor="text1"/>
          <w:kern w:val="2"/>
        </w:rPr>
        <w:t>1</w:t>
      </w:r>
      <w:r w:rsidR="00E3060D" w:rsidRPr="002657D1">
        <w:rPr>
          <w:rFonts w:ascii="Times New Roman" w:eastAsia="等线" w:hAnsi="Times New Roman" w:cs="Times New Roman" w:hint="eastAsia"/>
          <w:b/>
          <w:bCs/>
          <w:color w:val="000000" w:themeColor="text1"/>
          <w:kern w:val="2"/>
        </w:rPr>
        <w:t>7</w:t>
      </w:r>
      <w:r w:rsidR="00E3060D"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b/>
          <w:bCs/>
          <w:color w:val="000000" w:themeColor="text1"/>
          <w:kern w:val="2"/>
        </w:rPr>
        <w:t xml:space="preserve">| </w:t>
      </w:r>
      <w:r w:rsidR="00322E20" w:rsidRPr="002657D1">
        <w:rPr>
          <w:rFonts w:ascii="Times New Roman" w:eastAsia="等线" w:hAnsi="Times New Roman" w:cs="Times New Roman"/>
          <w:b/>
          <w:bCs/>
          <w:color w:val="000000" w:themeColor="text1"/>
          <w:kern w:val="2"/>
        </w:rPr>
        <w:t>a</w:t>
      </w:r>
      <w:r w:rsidR="00322E20" w:rsidRPr="002657D1">
        <w:rPr>
          <w:rFonts w:ascii="Times New Roman" w:eastAsia="等线" w:hAnsi="Times New Roman" w:cs="Times New Roman"/>
          <w:color w:val="000000" w:themeColor="text1"/>
          <w:kern w:val="2"/>
        </w:rPr>
        <w:t xml:space="preserve"> </w:t>
      </w:r>
      <w:r w:rsidR="00322E20" w:rsidRPr="002657D1">
        <w:rPr>
          <w:rFonts w:ascii="Times New Roman" w:eastAsia="等线" w:hAnsi="Times New Roman" w:cs="Times New Roman"/>
          <w:color w:val="000000" w:themeColor="text1"/>
          <w:kern w:val="24"/>
        </w:rPr>
        <w:t>WT for the k</w:t>
      </w:r>
      <w:r w:rsidR="00322E20" w:rsidRPr="002657D1">
        <w:rPr>
          <w:rFonts w:ascii="Times New Roman" w:eastAsia="等线" w:hAnsi="Times New Roman" w:cs="Times New Roman"/>
          <w:color w:val="000000" w:themeColor="text1"/>
          <w:kern w:val="24"/>
          <w:vertAlign w:val="superscript"/>
        </w:rPr>
        <w:t>3</w:t>
      </w:r>
      <w:r w:rsidR="00322E20" w:rsidRPr="002657D1">
        <w:rPr>
          <w:rFonts w:ascii="Times New Roman" w:eastAsia="等线" w:hAnsi="Times New Roman" w:cs="Times New Roman"/>
          <w:color w:val="000000" w:themeColor="text1"/>
          <w:kern w:val="24"/>
        </w:rPr>
        <w:t xml:space="preserve">-weighted Zr K-edge EXAFS signals of the Zr foil. </w:t>
      </w:r>
      <w:proofErr w:type="spellStart"/>
      <w:proofErr w:type="gramStart"/>
      <w:r w:rsidR="00322E20" w:rsidRPr="002657D1">
        <w:rPr>
          <w:rFonts w:ascii="Times New Roman" w:eastAsia="等线" w:hAnsi="Times New Roman" w:cs="Times New Roman"/>
          <w:b/>
          <w:bCs/>
          <w:color w:val="000000" w:themeColor="text1"/>
          <w:kern w:val="24"/>
        </w:rPr>
        <w:t>b,c</w:t>
      </w:r>
      <w:proofErr w:type="spellEnd"/>
      <w:proofErr w:type="gramEnd"/>
      <w:r w:rsidR="00322E20" w:rsidRPr="002657D1">
        <w:rPr>
          <w:rFonts w:ascii="Times New Roman" w:eastAsia="等线" w:hAnsi="Times New Roman" w:cs="Times New Roman"/>
          <w:b/>
          <w:bCs/>
          <w:color w:val="000000" w:themeColor="text1"/>
          <w:kern w:val="24"/>
        </w:rPr>
        <w:t xml:space="preserve"> </w:t>
      </w:r>
      <w:r w:rsidR="00322E20" w:rsidRPr="002657D1">
        <w:rPr>
          <w:rFonts w:ascii="Times New Roman" w:eastAsia="等线" w:hAnsi="Times New Roman" w:cs="Times New Roman"/>
          <w:color w:val="000000" w:themeColor="text1"/>
          <w:kern w:val="24"/>
        </w:rPr>
        <w:t>WT for the k</w:t>
      </w:r>
      <w:r w:rsidR="00322E20" w:rsidRPr="002657D1">
        <w:rPr>
          <w:rFonts w:ascii="Times New Roman" w:eastAsia="等线" w:hAnsi="Times New Roman" w:cs="Times New Roman"/>
          <w:color w:val="000000" w:themeColor="text1"/>
          <w:kern w:val="24"/>
          <w:vertAlign w:val="superscript"/>
        </w:rPr>
        <w:t>3</w:t>
      </w:r>
      <w:r w:rsidR="00322E20" w:rsidRPr="002657D1">
        <w:rPr>
          <w:rFonts w:ascii="Times New Roman" w:eastAsia="等线" w:hAnsi="Times New Roman" w:cs="Times New Roman"/>
          <w:color w:val="000000" w:themeColor="text1"/>
          <w:kern w:val="24"/>
        </w:rPr>
        <w:t xml:space="preserve">-weighted </w:t>
      </w:r>
      <w:r w:rsidR="00157A8C" w:rsidRPr="002657D1">
        <w:rPr>
          <w:rFonts w:ascii="Times New Roman" w:eastAsia="等线" w:hAnsi="Times New Roman" w:cs="Times New Roman" w:hint="eastAsia"/>
          <w:color w:val="000000" w:themeColor="text1"/>
          <w:kern w:val="24"/>
        </w:rPr>
        <w:t>Ti</w:t>
      </w:r>
      <w:r w:rsidR="00157A8C" w:rsidRPr="002657D1">
        <w:rPr>
          <w:rFonts w:ascii="Times New Roman" w:eastAsia="等线" w:hAnsi="Times New Roman" w:cs="Times New Roman"/>
          <w:color w:val="000000" w:themeColor="text1"/>
          <w:kern w:val="24"/>
        </w:rPr>
        <w:t xml:space="preserve"> </w:t>
      </w:r>
      <w:r w:rsidR="00322E20" w:rsidRPr="002657D1">
        <w:rPr>
          <w:rFonts w:ascii="Times New Roman" w:eastAsia="等线" w:hAnsi="Times New Roman" w:cs="Times New Roman"/>
          <w:color w:val="000000" w:themeColor="text1"/>
          <w:kern w:val="24"/>
        </w:rPr>
        <w:t>K-edge EXAFS signals of the Ti foil (</w:t>
      </w:r>
      <w:r w:rsidR="00322E20" w:rsidRPr="002657D1">
        <w:rPr>
          <w:rFonts w:ascii="Times New Roman" w:eastAsia="等线" w:hAnsi="Times New Roman" w:cs="Times New Roman"/>
          <w:b/>
          <w:bCs/>
          <w:color w:val="000000" w:themeColor="text1"/>
          <w:kern w:val="24"/>
        </w:rPr>
        <w:t>b</w:t>
      </w:r>
      <w:r w:rsidR="00322E20" w:rsidRPr="002657D1">
        <w:rPr>
          <w:rFonts w:ascii="Times New Roman" w:eastAsia="等线" w:hAnsi="Times New Roman" w:cs="Times New Roman"/>
          <w:color w:val="000000" w:themeColor="text1"/>
          <w:kern w:val="24"/>
        </w:rPr>
        <w:t>) and TiF</w:t>
      </w:r>
      <w:r w:rsidR="00322E20" w:rsidRPr="002657D1">
        <w:rPr>
          <w:rFonts w:ascii="Times New Roman" w:eastAsia="等线" w:hAnsi="Times New Roman" w:cs="Times New Roman"/>
          <w:color w:val="000000" w:themeColor="text1"/>
          <w:kern w:val="24"/>
          <w:vertAlign w:val="subscript"/>
        </w:rPr>
        <w:t>3</w:t>
      </w:r>
      <w:r w:rsidR="00322E20" w:rsidRPr="002657D1">
        <w:rPr>
          <w:rFonts w:ascii="Times New Roman" w:eastAsia="等线" w:hAnsi="Times New Roman" w:cs="Times New Roman"/>
          <w:color w:val="000000" w:themeColor="text1"/>
          <w:kern w:val="24"/>
        </w:rPr>
        <w:t xml:space="preserve"> (</w:t>
      </w:r>
      <w:r w:rsidR="00322E20" w:rsidRPr="002657D1">
        <w:rPr>
          <w:rFonts w:ascii="Times New Roman" w:eastAsia="等线" w:hAnsi="Times New Roman" w:cs="Times New Roman"/>
          <w:b/>
          <w:bCs/>
          <w:color w:val="000000" w:themeColor="text1"/>
          <w:kern w:val="24"/>
        </w:rPr>
        <w:t>c</w:t>
      </w:r>
      <w:r w:rsidR="00322E20" w:rsidRPr="002657D1">
        <w:rPr>
          <w:rFonts w:ascii="Times New Roman" w:eastAsia="等线" w:hAnsi="Times New Roman" w:cs="Times New Roman"/>
          <w:color w:val="000000" w:themeColor="text1"/>
          <w:kern w:val="24"/>
        </w:rPr>
        <w:t>).</w:t>
      </w:r>
      <w:r w:rsidR="00322E20" w:rsidRPr="002657D1">
        <w:rPr>
          <w:rFonts w:ascii="Times New Roman" w:eastAsiaTheme="minorEastAsia" w:hAnsi="Times New Roman" w:cs="Times New Roman"/>
          <w:color w:val="000000" w:themeColor="text1"/>
          <w:kern w:val="24"/>
        </w:rPr>
        <w:t xml:space="preserve"> For Wavelet Transform analysis, the χ(k) exported from Athena was imported into the Hama Fortran code</w:t>
      </w:r>
      <w:r w:rsidR="00322E20" w:rsidRPr="002657D1">
        <w:rPr>
          <w:rFonts w:ascii="Times New Roman" w:eastAsiaTheme="minorEastAsia" w:hAnsi="Times New Roman" w:cs="Times New Roman"/>
          <w:color w:val="000000" w:themeColor="text1"/>
          <w:kern w:val="24"/>
        </w:rPr>
        <w:fldChar w:fldCharType="begin"/>
      </w:r>
      <w:r w:rsidR="00E725CF" w:rsidRPr="002657D1">
        <w:rPr>
          <w:rFonts w:ascii="Times New Roman" w:eastAsiaTheme="minorEastAsia" w:hAnsi="Times New Roman" w:cs="Times New Roman"/>
          <w:color w:val="000000" w:themeColor="text1"/>
          <w:kern w:val="24"/>
        </w:rPr>
        <w:instrText xml:space="preserve"> ADDIN ZOTERO_ITEM CSL_CITATION {"citationID":"uWcu0CF8","properties":{"formattedCitation":"\\super 3\\nosupersub{}","plainCitation":"3","noteIndex":0},"citationItems":[{"id":"IXaoCdHi/89mMaQts","uris":["http://zotero.org/users/local/As3BANDe/items/LJDB6TZK"],"itemData":{"id":4989,"type":"article-journal","container-title":"Physical Review B","DOI":"10.1103/PhysRevB.71.094110","ISSN":"1098-0121, 1550-235X","issue":"9","journalAbbreviation":"Phys. Rev. B","language":"en","license":"http://link.aps.org/licenses/aps-default-license","page":"094110","source":"DOI.org (Crossref)","title":"Wavelet analysis of extended x-ray absorption fine structure data","volume":"71","author":[{"family":"Funke","given":"H."},{"family":"Scheinost","given":"A. C."},{"family":"Chukalina","given":"M."}],"issued":{"date-parts":[["2005",3,30]]}}}],"schema":"https://github.com/citation-style-language/schema/raw/master/csl-citation.json"} </w:instrText>
      </w:r>
      <w:r w:rsidR="00322E20" w:rsidRPr="002657D1">
        <w:rPr>
          <w:rFonts w:ascii="Times New Roman" w:eastAsiaTheme="minorEastAsia" w:hAnsi="Times New Roman" w:cs="Times New Roman"/>
          <w:color w:val="000000" w:themeColor="text1"/>
          <w:kern w:val="24"/>
        </w:rPr>
        <w:fldChar w:fldCharType="separate"/>
      </w:r>
      <w:r w:rsidR="00E725CF" w:rsidRPr="002657D1">
        <w:rPr>
          <w:rFonts w:ascii="Times New Roman" w:hAnsi="Times New Roman" w:cs="Times New Roman"/>
          <w:color w:val="000000" w:themeColor="text1"/>
          <w:szCs w:val="32"/>
          <w:vertAlign w:val="superscript"/>
        </w:rPr>
        <w:t>3</w:t>
      </w:r>
      <w:r w:rsidR="00322E20" w:rsidRPr="002657D1">
        <w:rPr>
          <w:rFonts w:ascii="Times New Roman" w:eastAsiaTheme="minorEastAsia" w:hAnsi="Times New Roman" w:cs="Times New Roman"/>
          <w:color w:val="000000" w:themeColor="text1"/>
          <w:kern w:val="24"/>
        </w:rPr>
        <w:fldChar w:fldCharType="end"/>
      </w:r>
      <w:r w:rsidR="00322E20" w:rsidRPr="002657D1">
        <w:rPr>
          <w:rFonts w:ascii="Times New Roman" w:eastAsiaTheme="minorEastAsia" w:hAnsi="Times New Roman" w:cs="Times New Roman"/>
          <w:color w:val="000000" w:themeColor="text1"/>
          <w:kern w:val="24"/>
        </w:rPr>
        <w:t>. The parameters were listed as follow</w:t>
      </w:r>
      <w:r w:rsidR="00322E20" w:rsidRPr="002657D1">
        <w:rPr>
          <w:rFonts w:ascii="Times New Roman" w:eastAsiaTheme="minorEastAsia" w:hAnsi="Times New Roman" w:cs="Times New Roman" w:hint="eastAsia"/>
          <w:color w:val="000000" w:themeColor="text1"/>
          <w:kern w:val="24"/>
        </w:rPr>
        <w:t>s</w:t>
      </w:r>
      <w:r w:rsidR="00322E20" w:rsidRPr="002657D1">
        <w:rPr>
          <w:rFonts w:ascii="Times New Roman" w:eastAsiaTheme="minorEastAsia" w:hAnsi="Times New Roman" w:cs="Times New Roman"/>
          <w:color w:val="000000" w:themeColor="text1"/>
          <w:kern w:val="24"/>
        </w:rPr>
        <w:t>: R-range, 0.0-4.0 Å, k-range, 0</w:t>
      </w:r>
      <w:r w:rsidR="00157A8C" w:rsidRPr="002657D1">
        <w:rPr>
          <w:rFonts w:ascii="Times New Roman" w:eastAsiaTheme="minorEastAsia" w:hAnsi="Times New Roman" w:cs="Times New Roman" w:hint="eastAsia"/>
          <w:color w:val="000000" w:themeColor="text1"/>
          <w:kern w:val="24"/>
        </w:rPr>
        <w:t>.0</w:t>
      </w:r>
      <w:r w:rsidR="00322E20" w:rsidRPr="002657D1">
        <w:rPr>
          <w:rFonts w:ascii="Times New Roman" w:eastAsiaTheme="minorEastAsia" w:hAnsi="Times New Roman" w:cs="Times New Roman"/>
          <w:color w:val="000000" w:themeColor="text1"/>
          <w:kern w:val="24"/>
        </w:rPr>
        <w:t>-15.0 Å</w:t>
      </w:r>
      <w:r w:rsidR="00322E20" w:rsidRPr="002657D1">
        <w:rPr>
          <w:rFonts w:ascii="Times New Roman" w:hAnsi="Times New Roman" w:cs="Times New Roman"/>
          <w:color w:val="000000" w:themeColor="text1"/>
          <w:kern w:val="24"/>
          <w:vertAlign w:val="superscript"/>
        </w:rPr>
        <w:t>−</w:t>
      </w:r>
      <w:r w:rsidR="00322E20" w:rsidRPr="002657D1">
        <w:rPr>
          <w:rFonts w:ascii="Times New Roman" w:eastAsiaTheme="minorEastAsia" w:hAnsi="Times New Roman" w:cs="Times New Roman"/>
          <w:color w:val="000000" w:themeColor="text1"/>
          <w:kern w:val="24"/>
          <w:vertAlign w:val="superscript"/>
        </w:rPr>
        <w:t>1</w:t>
      </w:r>
      <w:r w:rsidR="00322E20" w:rsidRPr="002657D1">
        <w:rPr>
          <w:rFonts w:ascii="Times New Roman" w:eastAsiaTheme="minorEastAsia" w:hAnsi="Times New Roman" w:cs="Times New Roman"/>
          <w:color w:val="000000" w:themeColor="text1"/>
          <w:kern w:val="24"/>
        </w:rPr>
        <w:t xml:space="preserve"> for </w:t>
      </w:r>
      <w:r w:rsidR="00322E20" w:rsidRPr="002657D1">
        <w:rPr>
          <w:rFonts w:ascii="Times New Roman" w:eastAsiaTheme="minorEastAsia" w:hAnsi="Times New Roman" w:cs="Times New Roman" w:hint="eastAsia"/>
          <w:color w:val="000000" w:themeColor="text1"/>
          <w:kern w:val="24"/>
        </w:rPr>
        <w:t xml:space="preserve">the </w:t>
      </w:r>
      <w:r w:rsidR="00322E20" w:rsidRPr="002657D1">
        <w:rPr>
          <w:rFonts w:ascii="Times New Roman" w:eastAsiaTheme="minorEastAsia" w:hAnsi="Times New Roman" w:cs="Times New Roman"/>
          <w:color w:val="000000" w:themeColor="text1"/>
          <w:kern w:val="24"/>
        </w:rPr>
        <w:t>sample and Standards, and Morlet function with κ = 8, σ = 1 was used as the mother wavelet to provide the overall distribution.</w:t>
      </w:r>
      <w:r w:rsidR="00E16A20" w:rsidRPr="002657D1">
        <w:rPr>
          <w:rFonts w:ascii="Times New Roman" w:hAnsi="Times New Roman" w:cs="Times New Roman"/>
          <w:color w:val="000000" w:themeColor="text1"/>
          <w:kern w:val="24"/>
        </w:rPr>
        <w:br w:type="page"/>
      </w:r>
    </w:p>
    <w:p w14:paraId="7B3F3B08" w14:textId="00FFA566" w:rsidR="00E3060D" w:rsidRPr="002657D1" w:rsidRDefault="00E3060D" w:rsidP="00E3060D">
      <w:pPr>
        <w:widowControl/>
        <w:spacing w:before="120" w:afterLines="50" w:after="156" w:line="360" w:lineRule="auto"/>
        <w:jc w:val="center"/>
        <w:rPr>
          <w:rFonts w:ascii="Times New Roman" w:hAnsi="Times New Roman" w:cs="Times New Roman"/>
          <w:b/>
          <w:bCs/>
          <w:color w:val="000000" w:themeColor="text1"/>
        </w:rPr>
      </w:pPr>
      <w:r w:rsidRPr="002657D1">
        <w:rPr>
          <w:rFonts w:ascii="Times New Roman" w:hAnsi="Times New Roman" w:cs="Times New Roman"/>
          <w:b/>
          <w:noProof/>
          <w:color w:val="000000" w:themeColor="text1"/>
        </w:rPr>
        <w:lastRenderedPageBreak/>
        <w:drawing>
          <wp:inline distT="0" distB="0" distL="0" distR="0" wp14:anchorId="0BB20ECC" wp14:editId="295D7288">
            <wp:extent cx="4320540" cy="1808480"/>
            <wp:effectExtent l="0" t="0" r="0" b="1270"/>
            <wp:docPr id="3699510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20540" cy="1808480"/>
                    </a:xfrm>
                    <a:prstGeom prst="rect">
                      <a:avLst/>
                    </a:prstGeom>
                    <a:noFill/>
                    <a:ln>
                      <a:noFill/>
                    </a:ln>
                  </pic:spPr>
                </pic:pic>
              </a:graphicData>
            </a:graphic>
          </wp:inline>
        </w:drawing>
      </w:r>
    </w:p>
    <w:p w14:paraId="43C89D8A" w14:textId="3E1C81D0" w:rsidR="00E3060D" w:rsidRPr="002657D1" w:rsidRDefault="00E3060D" w:rsidP="00E3060D">
      <w:pPr>
        <w:pStyle w:val="ac"/>
        <w:spacing w:before="0" w:beforeAutospacing="0" w:after="0" w:afterAutospacing="0" w:line="360" w:lineRule="auto"/>
        <w:jc w:val="both"/>
        <w:rPr>
          <w:rFonts w:ascii="Times New Roman" w:eastAsia="等线" w:hAnsi="Times New Roman" w:cs="Times New Roman"/>
          <w:color w:val="000000" w:themeColor="text1"/>
          <w:kern w:val="24"/>
          <w:sz w:val="21"/>
          <w:szCs w:val="21"/>
        </w:rPr>
      </w:pPr>
      <w:r w:rsidRPr="002657D1">
        <w:rPr>
          <w:rFonts w:ascii="Times New Roman" w:eastAsia="等线" w:hAnsi="Times New Roman" w:cs="Times New Roman"/>
          <w:b/>
          <w:bCs/>
          <w:color w:val="000000" w:themeColor="text1"/>
          <w:kern w:val="2"/>
        </w:rPr>
        <w:t>Supplementary Fig. 1</w:t>
      </w:r>
      <w:r w:rsidRPr="002657D1">
        <w:rPr>
          <w:rFonts w:ascii="Times New Roman" w:eastAsia="等线" w:hAnsi="Times New Roman" w:cs="Times New Roman" w:hint="eastAsia"/>
          <w:b/>
          <w:bCs/>
          <w:color w:val="000000" w:themeColor="text1"/>
          <w:kern w:val="2"/>
        </w:rPr>
        <w:t>8</w:t>
      </w:r>
      <w:r w:rsidRPr="002657D1">
        <w:rPr>
          <w:rFonts w:ascii="Times New Roman" w:eastAsia="等线" w:hAnsi="Times New Roman" w:cs="Times New Roman"/>
          <w:b/>
          <w:bCs/>
          <w:color w:val="000000" w:themeColor="text1"/>
          <w:kern w:val="2"/>
        </w:rPr>
        <w:t xml:space="preserve"> | </w:t>
      </w:r>
      <w:proofErr w:type="spellStart"/>
      <w:proofErr w:type="gramStart"/>
      <w:r w:rsidRPr="002657D1">
        <w:rPr>
          <w:rFonts w:ascii="Times New Roman" w:eastAsia="等线" w:hAnsi="Times New Roman" w:cs="Times New Roman"/>
          <w:b/>
          <w:bCs/>
          <w:color w:val="000000" w:themeColor="text1"/>
          <w:kern w:val="2"/>
        </w:rPr>
        <w:t>a,b</w:t>
      </w:r>
      <w:proofErr w:type="spellEnd"/>
      <w:proofErr w:type="gramEnd"/>
      <w:r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color w:val="000000" w:themeColor="text1"/>
          <w:kern w:val="24"/>
        </w:rPr>
        <w:t>Ti K-edge EXAFS fitting curves at R space for LZC-10TF (</w:t>
      </w:r>
      <w:r w:rsidRPr="002657D1">
        <w:rPr>
          <w:rFonts w:ascii="Times New Roman" w:eastAsia="等线" w:hAnsi="Times New Roman" w:cs="Times New Roman"/>
          <w:b/>
          <w:bCs/>
          <w:color w:val="000000" w:themeColor="text1"/>
          <w:kern w:val="24"/>
        </w:rPr>
        <w:t>a</w:t>
      </w:r>
      <w:r w:rsidRPr="002657D1">
        <w:rPr>
          <w:rFonts w:ascii="Times New Roman" w:eastAsia="等线" w:hAnsi="Times New Roman" w:cs="Times New Roman"/>
          <w:color w:val="000000" w:themeColor="text1"/>
          <w:kern w:val="24"/>
        </w:rPr>
        <w:t>) and TiF</w:t>
      </w:r>
      <w:r w:rsidRPr="002657D1">
        <w:rPr>
          <w:rFonts w:ascii="Times New Roman" w:eastAsia="等线" w:hAnsi="Times New Roman" w:cs="Times New Roman"/>
          <w:color w:val="000000" w:themeColor="text1"/>
          <w:kern w:val="24"/>
          <w:vertAlign w:val="subscript"/>
        </w:rPr>
        <w:t>3</w:t>
      </w:r>
      <w:r w:rsidRPr="002657D1">
        <w:rPr>
          <w:rFonts w:ascii="Times New Roman" w:eastAsia="等线" w:hAnsi="Times New Roman" w:cs="Times New Roman"/>
          <w:color w:val="000000" w:themeColor="text1"/>
          <w:kern w:val="24"/>
        </w:rPr>
        <w:t xml:space="preserve"> (</w:t>
      </w:r>
      <w:r w:rsidRPr="002657D1">
        <w:rPr>
          <w:rFonts w:ascii="Times New Roman" w:eastAsia="等线" w:hAnsi="Times New Roman" w:cs="Times New Roman"/>
          <w:b/>
          <w:bCs/>
          <w:color w:val="000000" w:themeColor="text1"/>
          <w:kern w:val="24"/>
        </w:rPr>
        <w:t>b</w:t>
      </w:r>
      <w:r w:rsidRPr="002657D1">
        <w:rPr>
          <w:rFonts w:ascii="Times New Roman" w:eastAsia="等线" w:hAnsi="Times New Roman" w:cs="Times New Roman"/>
          <w:color w:val="000000" w:themeColor="text1"/>
          <w:kern w:val="24"/>
        </w:rPr>
        <w:t xml:space="preserve">). The XAFS data were processed according to the standard procedures using the Athena module implemented in the IFEFFIT software packages. The EXAFS spectra were obtained by subtracting the post-edge background from the overall absorption and then normalizing </w:t>
      </w:r>
      <w:bookmarkStart w:id="76" w:name="OLE_LINK18"/>
      <w:r w:rsidRPr="002657D1">
        <w:rPr>
          <w:rFonts w:ascii="Times New Roman" w:eastAsia="等线" w:hAnsi="Times New Roman" w:cs="Times New Roman"/>
          <w:color w:val="000000" w:themeColor="text1"/>
          <w:kern w:val="24"/>
        </w:rPr>
        <w:t>with respect to the edge-jump step. Subsequently, the χ(k) data were Fourier transformed to real (R) space</w:t>
      </w:r>
      <w:bookmarkEnd w:id="76"/>
      <w:r w:rsidRPr="002657D1">
        <w:rPr>
          <w:rFonts w:ascii="Times New Roman" w:eastAsia="等线" w:hAnsi="Times New Roman" w:cs="Times New Roman"/>
          <w:color w:val="000000" w:themeColor="text1"/>
          <w:kern w:val="24"/>
        </w:rPr>
        <w:t xml:space="preserve"> using a Hanning window (dk = 1.0 Å</w:t>
      </w:r>
      <w:r w:rsidRPr="002657D1">
        <w:rPr>
          <w:rFonts w:ascii="Times New Roman" w:eastAsia="等线" w:hAnsi="Times New Roman" w:cs="Times New Roman"/>
          <w:color w:val="000000" w:themeColor="text1"/>
          <w:kern w:val="24"/>
          <w:vertAlign w:val="superscript"/>
        </w:rPr>
        <w:t>−1</w:t>
      </w:r>
      <w:r w:rsidRPr="002657D1">
        <w:rPr>
          <w:rFonts w:ascii="Times New Roman" w:eastAsia="等线" w:hAnsi="Times New Roman" w:cs="Times New Roman"/>
          <w:color w:val="000000" w:themeColor="text1"/>
          <w:kern w:val="24"/>
        </w:rPr>
        <w:t>) to separate the EXAFS contributions from different coordination shells. To obtain the quantitative structural parameters around central atoms, least-squares curve parameter fitting was performed using the ARTEMIS module of the IFEFFIT software packages</w:t>
      </w:r>
      <w:r w:rsidRPr="002657D1">
        <w:rPr>
          <w:rFonts w:ascii="Times New Roman" w:eastAsia="等线" w:hAnsi="Times New Roman" w:cs="Times New Roman"/>
          <w:color w:val="000000" w:themeColor="text1"/>
          <w:kern w:val="24"/>
        </w:rPr>
        <w:fldChar w:fldCharType="begin"/>
      </w:r>
      <w:r w:rsidR="00E725CF" w:rsidRPr="002657D1">
        <w:rPr>
          <w:rFonts w:ascii="Times New Roman" w:eastAsia="等线" w:hAnsi="Times New Roman" w:cs="Times New Roman"/>
          <w:color w:val="000000" w:themeColor="text1"/>
          <w:kern w:val="24"/>
        </w:rPr>
        <w:instrText xml:space="preserve"> ADDIN ZOTERO_ITEM CSL_CITATION {"citationID":"DUlv6Wwh","properties":{"formattedCitation":"\\super 4,5\\nosupersub{}","plainCitation":"4,5","noteIndex":0},"citationItems":[{"id":"IXaoCdHi/DlhuhbKL","uris":["http://zotero.org/users/local/As3BANDe/items/6GRGJGDW"],"itemData":{"id":4985,"type":"article-journal","language":"en","source":"Zotero","title":"ATHENA, ARTEMIS, HEPHAESTUS: data analysis for X-ray absorption spectroscopy using IFEFFIT","author":[{"family":"Ravel","given":"B"},{"family":"Newville","given":"M"}],"issued":{"date-parts":[["2005"]]}}},{"id":"IXaoCdHi/uQhO2LGM","uris":["http://zotero.org/users/local/As3BANDe/items/ZMFUHY64"],"itemData":{"id":4987,"type":"article-journal","container-title":". . .","language":"en","source":"Zotero","title":"Multiple-scattering calculations of x-ray-absorption spectra","author":[{"family":"Zabinsky","given":"S I"},{"family":"Rehr","given":"J J"},{"family":"Ankudinov","given":"A"},{"family":"Albers","given":"R C"},{"family":"Eller","given":"M J"}]}}],"schema":"https://github.com/citation-style-language/schema/raw/master/csl-citation.json"} </w:instrText>
      </w:r>
      <w:r w:rsidRPr="002657D1">
        <w:rPr>
          <w:rFonts w:ascii="Times New Roman" w:eastAsia="等线" w:hAnsi="Times New Roman" w:cs="Times New Roman"/>
          <w:color w:val="000000" w:themeColor="text1"/>
          <w:kern w:val="24"/>
        </w:rPr>
        <w:fldChar w:fldCharType="separate"/>
      </w:r>
      <w:r w:rsidR="00E725CF" w:rsidRPr="002657D1">
        <w:rPr>
          <w:rFonts w:ascii="Times New Roman" w:hAnsi="Times New Roman" w:cs="Times New Roman"/>
          <w:color w:val="000000" w:themeColor="text1"/>
          <w:szCs w:val="32"/>
          <w:vertAlign w:val="superscript"/>
        </w:rPr>
        <w:t>4,5</w:t>
      </w:r>
      <w:r w:rsidRPr="002657D1">
        <w:rPr>
          <w:rFonts w:ascii="Times New Roman" w:eastAsia="等线" w:hAnsi="Times New Roman" w:cs="Times New Roman"/>
          <w:color w:val="000000" w:themeColor="text1"/>
          <w:kern w:val="24"/>
        </w:rPr>
        <w:fldChar w:fldCharType="end"/>
      </w:r>
      <w:r w:rsidRPr="002657D1">
        <w:rPr>
          <w:rFonts w:ascii="Times New Roman" w:eastAsia="等线" w:hAnsi="Times New Roman" w:cs="Times New Roman"/>
          <w:color w:val="000000" w:themeColor="text1"/>
          <w:kern w:val="24"/>
        </w:rPr>
        <w:t>.</w:t>
      </w:r>
      <w:r w:rsidRPr="002657D1">
        <w:rPr>
          <w:rFonts w:ascii="Times New Roman" w:hAnsi="Times New Roman" w:cs="Times New Roman"/>
          <w:color w:val="000000" w:themeColor="text1"/>
          <w:sz w:val="21"/>
          <w:szCs w:val="21"/>
        </w:rPr>
        <w:br w:type="page"/>
      </w:r>
    </w:p>
    <w:p w14:paraId="025085E3" w14:textId="2173F6ED" w:rsidR="00E3060D" w:rsidRPr="002657D1" w:rsidRDefault="00E3060D" w:rsidP="00E3060D">
      <w:pPr>
        <w:widowControl/>
        <w:spacing w:before="120" w:afterLines="50" w:after="156" w:line="360" w:lineRule="auto"/>
        <w:jc w:val="center"/>
        <w:rPr>
          <w:rFonts w:ascii="Times New Roman" w:hAnsi="Times New Roman" w:cs="Times New Roman"/>
          <w:b/>
          <w:bCs/>
          <w:color w:val="000000" w:themeColor="text1"/>
        </w:rPr>
      </w:pPr>
      <w:r w:rsidRPr="002657D1">
        <w:rPr>
          <w:rFonts w:ascii="Times New Roman" w:hAnsi="Times New Roman" w:cs="Times New Roman"/>
          <w:b/>
          <w:noProof/>
          <w:color w:val="000000" w:themeColor="text1"/>
        </w:rPr>
        <w:lastRenderedPageBreak/>
        <w:drawing>
          <wp:inline distT="0" distB="0" distL="0" distR="0" wp14:anchorId="48EE5BA9" wp14:editId="65810399">
            <wp:extent cx="5272405" cy="1706245"/>
            <wp:effectExtent l="0" t="0" r="4445" b="8255"/>
            <wp:docPr id="864619438" name="图片 2" descr="图示, 直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图示, 直方图&#10;&#10;AI 生成的内容可能不正确。"/>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2405" cy="1706245"/>
                    </a:xfrm>
                    <a:prstGeom prst="rect">
                      <a:avLst/>
                    </a:prstGeom>
                    <a:noFill/>
                    <a:ln>
                      <a:noFill/>
                    </a:ln>
                  </pic:spPr>
                </pic:pic>
              </a:graphicData>
            </a:graphic>
          </wp:inline>
        </w:drawing>
      </w:r>
    </w:p>
    <w:p w14:paraId="7E042EB1" w14:textId="6D6DFBFA" w:rsidR="00E3060D" w:rsidRPr="002657D1" w:rsidRDefault="00E3060D" w:rsidP="00B9146B">
      <w:pPr>
        <w:pStyle w:val="ac"/>
        <w:spacing w:before="0" w:beforeAutospacing="0" w:after="0" w:afterAutospacing="0" w:line="360" w:lineRule="auto"/>
        <w:jc w:val="both"/>
        <w:rPr>
          <w:rFonts w:ascii="Times New Roman" w:hAnsi="Times New Roman" w:cs="Times New Roman"/>
          <w:color w:val="000000" w:themeColor="text1"/>
        </w:rPr>
      </w:pPr>
      <w:r w:rsidRPr="002657D1">
        <w:rPr>
          <w:rFonts w:ascii="Times New Roman" w:eastAsia="等线" w:hAnsi="Times New Roman" w:cs="Times New Roman"/>
          <w:b/>
          <w:bCs/>
          <w:color w:val="000000" w:themeColor="text1"/>
          <w:kern w:val="2"/>
        </w:rPr>
        <w:t>Supplementary Fig. 1</w:t>
      </w:r>
      <w:r w:rsidRPr="002657D1">
        <w:rPr>
          <w:rFonts w:ascii="Times New Roman" w:eastAsia="等线" w:hAnsi="Times New Roman" w:cs="Times New Roman" w:hint="eastAsia"/>
          <w:b/>
          <w:bCs/>
          <w:color w:val="000000" w:themeColor="text1"/>
          <w:kern w:val="2"/>
        </w:rPr>
        <w:t>9</w:t>
      </w:r>
      <w:r w:rsidRPr="002657D1">
        <w:rPr>
          <w:rFonts w:ascii="Times New Roman" w:eastAsia="等线" w:hAnsi="Times New Roman" w:cs="Times New Roman"/>
          <w:b/>
          <w:bCs/>
          <w:color w:val="000000" w:themeColor="text1"/>
          <w:kern w:val="2"/>
        </w:rPr>
        <w:t xml:space="preserve"> | </w:t>
      </w:r>
      <w:proofErr w:type="spellStart"/>
      <w:proofErr w:type="gramStart"/>
      <w:r w:rsidRPr="002657D1">
        <w:rPr>
          <w:rFonts w:ascii="Times New Roman" w:eastAsia="等线" w:hAnsi="Times New Roman" w:cs="Times New Roman"/>
          <w:b/>
          <w:bCs/>
          <w:color w:val="000000" w:themeColor="text1"/>
          <w:kern w:val="2"/>
        </w:rPr>
        <w:t>a,b</w:t>
      </w:r>
      <w:proofErr w:type="spellEnd"/>
      <w:proofErr w:type="gramEnd"/>
      <w:r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color w:val="000000" w:themeColor="text1"/>
          <w:kern w:val="24"/>
        </w:rPr>
        <w:t>Zr K-edge EXAFS fitting curves at R space for LZC (</w:t>
      </w:r>
      <w:r w:rsidRPr="002657D1">
        <w:rPr>
          <w:rFonts w:ascii="Times New Roman" w:eastAsia="等线" w:hAnsi="Times New Roman" w:cs="Times New Roman"/>
          <w:b/>
          <w:bCs/>
          <w:color w:val="000000" w:themeColor="text1"/>
          <w:kern w:val="24"/>
        </w:rPr>
        <w:t>a</w:t>
      </w:r>
      <w:r w:rsidRPr="002657D1">
        <w:rPr>
          <w:rFonts w:ascii="Times New Roman" w:eastAsia="等线" w:hAnsi="Times New Roman" w:cs="Times New Roman"/>
          <w:color w:val="000000" w:themeColor="text1"/>
          <w:kern w:val="24"/>
        </w:rPr>
        <w:t>) and LZC-10TF (</w:t>
      </w:r>
      <w:r w:rsidRPr="002657D1">
        <w:rPr>
          <w:rFonts w:ascii="Times New Roman" w:eastAsia="等线" w:hAnsi="Times New Roman" w:cs="Times New Roman"/>
          <w:b/>
          <w:bCs/>
          <w:color w:val="000000" w:themeColor="text1"/>
          <w:kern w:val="24"/>
        </w:rPr>
        <w:t>b</w:t>
      </w:r>
      <w:r w:rsidRPr="002657D1">
        <w:rPr>
          <w:rFonts w:ascii="Times New Roman" w:eastAsia="等线" w:hAnsi="Times New Roman" w:cs="Times New Roman"/>
          <w:color w:val="000000" w:themeColor="text1"/>
          <w:kern w:val="24"/>
        </w:rPr>
        <w:t>).</w:t>
      </w:r>
      <w:r w:rsidRPr="002657D1">
        <w:rPr>
          <w:rFonts w:ascii="Times New Roman" w:eastAsiaTheme="minorEastAsia" w:hAnsi="Times New Roman" w:cs="Times New Roman"/>
          <w:color w:val="000000" w:themeColor="text1"/>
          <w:kern w:val="24"/>
        </w:rPr>
        <w:t xml:space="preserve"> The EXAFS spectra were obtained by subtracting the post-edge background from the overall absorption and then normalizing with respect to the edge-jump step. Subsequently, the χ(k) data were Fourier transformed to real (R) space using a Hanning window (dk = 1.0 Å</w:t>
      </w:r>
      <w:r w:rsidRPr="002657D1">
        <w:rPr>
          <w:rFonts w:ascii="Times New Roman" w:eastAsiaTheme="minorEastAsia" w:hAnsi="Times New Roman" w:cs="Times New Roman"/>
          <w:color w:val="000000" w:themeColor="text1"/>
          <w:kern w:val="24"/>
          <w:vertAlign w:val="superscript"/>
        </w:rPr>
        <w:t>−1</w:t>
      </w:r>
      <w:r w:rsidRPr="002657D1">
        <w:rPr>
          <w:rFonts w:ascii="Times New Roman" w:eastAsiaTheme="minorEastAsia" w:hAnsi="Times New Roman" w:cs="Times New Roman"/>
          <w:color w:val="000000" w:themeColor="text1"/>
          <w:kern w:val="24"/>
        </w:rPr>
        <w:t>) to separate the EXAFS contributions from different coordination shells. To obtain the quantitative structural parameters around central atoms, least-squares curve parameter fitting was performed using the ARTEMIS module of the IFEFFIT software packages</w:t>
      </w:r>
      <w:r w:rsidRPr="002657D1">
        <w:rPr>
          <w:rFonts w:ascii="Times New Roman" w:hAnsi="Times New Roman" w:cs="Times New Roman"/>
          <w:color w:val="000000" w:themeColor="text1"/>
          <w:kern w:val="24"/>
        </w:rPr>
        <w:fldChar w:fldCharType="begin"/>
      </w:r>
      <w:r w:rsidR="00E725CF" w:rsidRPr="002657D1">
        <w:rPr>
          <w:rFonts w:ascii="Times New Roman" w:hAnsi="Times New Roman" w:cs="Times New Roman"/>
          <w:color w:val="000000" w:themeColor="text1"/>
          <w:kern w:val="24"/>
        </w:rPr>
        <w:instrText xml:space="preserve"> ADDIN ZOTERO_ITEM CSL_CITATION {"citationID":"ruMSiGas","properties":{"formattedCitation":"\\super 4,5\\nosupersub{}","plainCitation":"4,5","noteIndex":0},"citationItems":[{"id":"IXaoCdHi/DlhuhbKL","uris":["http://zotero.org/users/local/As3BANDe/items/6GRGJGDW"],"itemData":{"id":4985,"type":"article-journal","language":"en","source":"Zotero","title":"ATHENA, ARTEMIS, HEPHAESTUS: data analysis for X-ray absorption spectroscopy using IFEFFIT","author":[{"family":"Ravel","given":"B"},{"family":"Newville","given":"M"}],"issued":{"date-parts":[["2005"]]}}},{"id":"IXaoCdHi/uQhO2LGM","uris":["http://zotero.org/users/local/As3BANDe/items/ZMFUHY64"],"itemData":{"id":4987,"type":"article-journal","container-title":". . .","language":"en","source":"Zotero","title":"Multiple-scattering calculations of x-ray-absorption spectra","author":[{"family":"Zabinsky","given":"S I"},{"family":"Rehr","given":"J J"},{"family":"Ankudinov","given":"A"},{"family":"Albers","given":"R C"},{"family":"Eller","given":"M J"}]}}],"schema":"https://github.com/citation-style-language/schema/raw/master/csl-citation.json"} </w:instrText>
      </w:r>
      <w:r w:rsidRPr="002657D1">
        <w:rPr>
          <w:rFonts w:ascii="Times New Roman" w:hAnsi="Times New Roman" w:cs="Times New Roman"/>
          <w:color w:val="000000" w:themeColor="text1"/>
          <w:kern w:val="24"/>
        </w:rPr>
        <w:fldChar w:fldCharType="separate"/>
      </w:r>
      <w:r w:rsidR="00E725CF" w:rsidRPr="002657D1">
        <w:rPr>
          <w:rFonts w:ascii="Times New Roman" w:hAnsi="Times New Roman" w:cs="Times New Roman"/>
          <w:color w:val="000000" w:themeColor="text1"/>
          <w:szCs w:val="32"/>
          <w:vertAlign w:val="superscript"/>
        </w:rPr>
        <w:t>4,5</w:t>
      </w:r>
      <w:r w:rsidRPr="002657D1">
        <w:rPr>
          <w:rFonts w:ascii="Times New Roman" w:hAnsi="Times New Roman" w:cs="Times New Roman"/>
          <w:color w:val="000000" w:themeColor="text1"/>
          <w:kern w:val="24"/>
        </w:rPr>
        <w:fldChar w:fldCharType="end"/>
      </w:r>
      <w:r w:rsidRPr="002657D1">
        <w:rPr>
          <w:rFonts w:ascii="Times New Roman" w:eastAsiaTheme="minorEastAsia" w:hAnsi="Times New Roman" w:cs="Times New Roman"/>
          <w:color w:val="000000" w:themeColor="text1"/>
          <w:kern w:val="24"/>
        </w:rPr>
        <w:t>.</w:t>
      </w:r>
      <w:r w:rsidRPr="002657D1">
        <w:rPr>
          <w:rFonts w:ascii="Times New Roman" w:eastAsia="等线" w:hAnsi="Times New Roman" w:cs="Times New Roman"/>
          <w:color w:val="000000" w:themeColor="text1"/>
          <w:kern w:val="24"/>
        </w:rPr>
        <w:br w:type="page"/>
      </w:r>
    </w:p>
    <w:p w14:paraId="5425827C" w14:textId="6E3EE4DA" w:rsidR="00280E62" w:rsidRPr="002657D1" w:rsidRDefault="00280E62" w:rsidP="00111CC4">
      <w:pPr>
        <w:pStyle w:val="ac"/>
        <w:spacing w:before="120" w:beforeAutospacing="0" w:afterLines="50" w:after="156" w:afterAutospacing="0" w:line="360" w:lineRule="auto"/>
        <w:jc w:val="center"/>
        <w:rPr>
          <w:rFonts w:ascii="Times New Roman" w:eastAsia="等线" w:hAnsi="Times New Roman" w:cs="Times New Roman"/>
          <w:b/>
          <w:bCs/>
          <w:color w:val="000000" w:themeColor="text1"/>
          <w:kern w:val="24"/>
          <w:sz w:val="21"/>
          <w:szCs w:val="21"/>
        </w:rPr>
      </w:pPr>
      <w:r w:rsidRPr="002657D1">
        <w:rPr>
          <w:rFonts w:ascii="Times New Roman" w:hAnsi="Times New Roman" w:cs="Times New Roman"/>
          <w:noProof/>
          <w:color w:val="000000" w:themeColor="text1"/>
        </w:rPr>
        <w:lastRenderedPageBreak/>
        <w:drawing>
          <wp:inline distT="0" distB="0" distL="0" distR="0" wp14:anchorId="6E3E73A1" wp14:editId="509D0412">
            <wp:extent cx="2362089" cy="1866851"/>
            <wp:effectExtent l="0" t="0" r="0" b="0"/>
            <wp:docPr id="11744968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496842" name=""/>
                    <pic:cNvPicPr/>
                  </pic:nvPicPr>
                  <pic:blipFill rotWithShape="1">
                    <a:blip r:embed="rId34"/>
                    <a:srcRect l="12771" t="2748"/>
                    <a:stretch>
                      <a:fillRect/>
                    </a:stretch>
                  </pic:blipFill>
                  <pic:spPr bwMode="auto">
                    <a:xfrm>
                      <a:off x="0" y="0"/>
                      <a:ext cx="2364319" cy="1868613"/>
                    </a:xfrm>
                    <a:prstGeom prst="rect">
                      <a:avLst/>
                    </a:prstGeom>
                    <a:ln>
                      <a:noFill/>
                    </a:ln>
                    <a:extLst>
                      <a:ext uri="{53640926-AAD7-44D8-BBD7-CCE9431645EC}">
                        <a14:shadowObscured xmlns:a14="http://schemas.microsoft.com/office/drawing/2010/main"/>
                      </a:ext>
                    </a:extLst>
                  </pic:spPr>
                </pic:pic>
              </a:graphicData>
            </a:graphic>
          </wp:inline>
        </w:drawing>
      </w:r>
    </w:p>
    <w:p w14:paraId="1D04C802" w14:textId="4A58E05D" w:rsidR="005C6F69" w:rsidRPr="002657D1" w:rsidRDefault="002B314A" w:rsidP="0065352F">
      <w:pPr>
        <w:pStyle w:val="ac"/>
        <w:spacing w:before="0" w:beforeAutospacing="0" w:after="0" w:afterAutospacing="0" w:line="360" w:lineRule="auto"/>
        <w:rPr>
          <w:rFonts w:ascii="Times New Roman" w:hAnsi="Times New Roman" w:cs="Times New Roman"/>
          <w:color w:val="000000" w:themeColor="text1"/>
          <w:sz w:val="21"/>
          <w:szCs w:val="21"/>
        </w:rPr>
      </w:pPr>
      <w:r w:rsidRPr="002657D1">
        <w:rPr>
          <w:rFonts w:ascii="Times New Roman" w:eastAsia="等线" w:hAnsi="Times New Roman" w:cs="Times New Roman"/>
          <w:b/>
          <w:bCs/>
          <w:color w:val="000000" w:themeColor="text1"/>
          <w:kern w:val="2"/>
        </w:rPr>
        <w:t xml:space="preserve">Supplementary Fig. </w:t>
      </w:r>
      <w:r w:rsidR="00B64FB2" w:rsidRPr="002657D1">
        <w:rPr>
          <w:rFonts w:ascii="Times New Roman" w:eastAsia="等线" w:hAnsi="Times New Roman" w:cs="Times New Roman" w:hint="eastAsia"/>
          <w:b/>
          <w:bCs/>
          <w:color w:val="000000" w:themeColor="text1"/>
          <w:kern w:val="2"/>
        </w:rPr>
        <w:t>20</w:t>
      </w:r>
      <w:r w:rsidR="00B64FB2"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b/>
          <w:bCs/>
          <w:color w:val="000000" w:themeColor="text1"/>
          <w:kern w:val="2"/>
        </w:rPr>
        <w:t xml:space="preserve">| </w:t>
      </w:r>
      <w:r w:rsidR="00D21E84" w:rsidRPr="002657D1">
        <w:rPr>
          <w:rFonts w:ascii="Times New Roman" w:eastAsia="等线" w:hAnsi="Times New Roman" w:cs="Times New Roman"/>
          <w:color w:val="000000" w:themeColor="text1"/>
          <w:kern w:val="24"/>
          <w:vertAlign w:val="superscript"/>
        </w:rPr>
        <w:t>7</w:t>
      </w:r>
      <w:r w:rsidRPr="002657D1">
        <w:rPr>
          <w:rFonts w:ascii="Times New Roman" w:eastAsia="等线" w:hAnsi="Times New Roman" w:cs="Times New Roman"/>
          <w:color w:val="000000" w:themeColor="text1"/>
          <w:kern w:val="24"/>
        </w:rPr>
        <w:t>Li MAS NMR spectra of LZC and LZC-10TF.</w:t>
      </w:r>
      <w:r w:rsidR="005C6F69" w:rsidRPr="002657D1">
        <w:rPr>
          <w:rFonts w:ascii="Times New Roman" w:eastAsia="等线" w:hAnsi="Times New Roman" w:cs="Times New Roman"/>
          <w:color w:val="000000" w:themeColor="text1"/>
          <w:kern w:val="24"/>
          <w:sz w:val="21"/>
          <w:szCs w:val="21"/>
        </w:rPr>
        <w:br w:type="page"/>
      </w:r>
    </w:p>
    <w:p w14:paraId="1D439659" w14:textId="78CE5C27" w:rsidR="00230175" w:rsidRPr="002657D1" w:rsidRDefault="00D90E92" w:rsidP="00CD3AA6">
      <w:pPr>
        <w:pStyle w:val="ac"/>
        <w:spacing w:before="120" w:beforeAutospacing="0" w:afterLines="50" w:after="156" w:afterAutospacing="0" w:line="360" w:lineRule="auto"/>
        <w:rPr>
          <w:rFonts w:ascii="Times New Roman" w:hAnsi="Times New Roman" w:cs="Times New Roman"/>
          <w:color w:val="000000" w:themeColor="text1"/>
        </w:rPr>
      </w:pPr>
      <w:r w:rsidRPr="002657D1">
        <w:rPr>
          <w:rFonts w:ascii="Times New Roman" w:hAnsi="Times New Roman" w:cs="Times New Roman" w:hint="eastAsia"/>
          <w:noProof/>
          <w:color w:val="000000" w:themeColor="text1"/>
        </w:rPr>
        <w:lastRenderedPageBreak/>
        <w:drawing>
          <wp:inline distT="0" distB="0" distL="0" distR="0" wp14:anchorId="76431B7A" wp14:editId="1B145D08">
            <wp:extent cx="5274310" cy="2515235"/>
            <wp:effectExtent l="0" t="0" r="0" b="0"/>
            <wp:docPr id="27794697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946978" name="图片 277946978"/>
                    <pic:cNvPicPr/>
                  </pic:nvPicPr>
                  <pic:blipFill>
                    <a:blip r:embed="rId35"/>
                    <a:stretch>
                      <a:fillRect/>
                    </a:stretch>
                  </pic:blipFill>
                  <pic:spPr>
                    <a:xfrm>
                      <a:off x="0" y="0"/>
                      <a:ext cx="5274310" cy="2515235"/>
                    </a:xfrm>
                    <a:prstGeom prst="rect">
                      <a:avLst/>
                    </a:prstGeom>
                  </pic:spPr>
                </pic:pic>
              </a:graphicData>
            </a:graphic>
          </wp:inline>
        </w:drawing>
      </w:r>
    </w:p>
    <w:p w14:paraId="68645754" w14:textId="34E0E978" w:rsidR="004F3A67" w:rsidRPr="002657D1" w:rsidRDefault="002B314A" w:rsidP="00D21E84">
      <w:pPr>
        <w:pStyle w:val="ac"/>
        <w:spacing w:before="0" w:beforeAutospacing="0" w:after="0" w:afterAutospacing="0" w:line="360" w:lineRule="auto"/>
        <w:jc w:val="both"/>
        <w:rPr>
          <w:rFonts w:ascii="Times New Roman" w:hAnsi="Times New Roman" w:cs="Times New Roman"/>
          <w:color w:val="000000" w:themeColor="text1"/>
        </w:rPr>
      </w:pPr>
      <w:r w:rsidRPr="002657D1">
        <w:rPr>
          <w:rFonts w:ascii="Times New Roman" w:eastAsia="等线" w:hAnsi="Times New Roman" w:cs="Times New Roman"/>
          <w:b/>
          <w:bCs/>
          <w:color w:val="000000" w:themeColor="text1"/>
          <w:kern w:val="24"/>
        </w:rPr>
        <w:t xml:space="preserve">Supplementary Fig. </w:t>
      </w:r>
      <w:r w:rsidR="00B64FB2" w:rsidRPr="002657D1">
        <w:rPr>
          <w:rFonts w:ascii="Times New Roman" w:eastAsia="等线" w:hAnsi="Times New Roman" w:cs="Times New Roman" w:hint="eastAsia"/>
          <w:b/>
          <w:bCs/>
          <w:color w:val="000000" w:themeColor="text1"/>
          <w:kern w:val="24"/>
        </w:rPr>
        <w:t>21</w:t>
      </w:r>
      <w:r w:rsidR="00B64FB2" w:rsidRPr="002657D1">
        <w:rPr>
          <w:rFonts w:ascii="Times New Roman" w:eastAsia="等线" w:hAnsi="Times New Roman" w:cs="Times New Roman"/>
          <w:color w:val="000000" w:themeColor="text1"/>
          <w:kern w:val="24"/>
        </w:rPr>
        <w:t xml:space="preserve"> </w:t>
      </w:r>
      <w:r w:rsidRPr="002657D1">
        <w:rPr>
          <w:rFonts w:ascii="Times New Roman" w:eastAsia="等线" w:hAnsi="Times New Roman" w:cs="Times New Roman"/>
          <w:b/>
          <w:bCs/>
          <w:color w:val="000000" w:themeColor="text1"/>
          <w:kern w:val="24"/>
        </w:rPr>
        <w:t xml:space="preserve">| </w:t>
      </w:r>
      <w:r w:rsidRPr="002657D1">
        <w:rPr>
          <w:rFonts w:ascii="Times New Roman" w:eastAsia="等线" w:hAnsi="Times New Roman" w:cs="Times New Roman"/>
          <w:color w:val="000000" w:themeColor="text1"/>
          <w:kern w:val="24"/>
        </w:rPr>
        <w:t>Normalized electrostatic energy of 25,764,480 Li-free configurations in the LZC-10TF supercell model is shown, with representative high-energy (upper) and low-energy (lower) structures. To reduce the number of possible combinations, a 2×2×1 supercell with a stoichiometry close to that of LZC-10TF (Li</w:t>
      </w:r>
      <w:r w:rsidR="00D21E84" w:rsidRPr="002657D1">
        <w:rPr>
          <w:rFonts w:ascii="Times New Roman" w:eastAsia="等线" w:hAnsi="Times New Roman" w:cs="Times New Roman"/>
          <w:color w:val="000000" w:themeColor="text1"/>
          <w:kern w:val="24"/>
          <w:vertAlign w:val="subscript"/>
        </w:rPr>
        <w:t>25</w:t>
      </w:r>
      <w:r w:rsidRPr="002657D1">
        <w:rPr>
          <w:rFonts w:ascii="Times New Roman" w:eastAsia="等线" w:hAnsi="Times New Roman" w:cs="Times New Roman"/>
          <w:color w:val="000000" w:themeColor="text1"/>
          <w:kern w:val="24"/>
        </w:rPr>
        <w:t>Zr</w:t>
      </w:r>
      <w:r w:rsidR="00D21E84" w:rsidRPr="002657D1">
        <w:rPr>
          <w:rFonts w:ascii="Times New Roman" w:eastAsia="等线" w:hAnsi="Times New Roman" w:cs="Times New Roman"/>
          <w:color w:val="000000" w:themeColor="text1"/>
          <w:kern w:val="24"/>
          <w:vertAlign w:val="subscript"/>
        </w:rPr>
        <w:t>11</w:t>
      </w:r>
      <w:r w:rsidRPr="002657D1">
        <w:rPr>
          <w:rFonts w:ascii="Times New Roman" w:eastAsia="等线" w:hAnsi="Times New Roman" w:cs="Times New Roman"/>
          <w:color w:val="000000" w:themeColor="text1"/>
          <w:kern w:val="24"/>
        </w:rPr>
        <w:t>TiF</w:t>
      </w:r>
      <w:r w:rsidR="00D21E84" w:rsidRPr="002657D1">
        <w:rPr>
          <w:rFonts w:ascii="Times New Roman" w:eastAsia="等线" w:hAnsi="Times New Roman" w:cs="Times New Roman"/>
          <w:color w:val="000000" w:themeColor="text1"/>
          <w:kern w:val="24"/>
          <w:vertAlign w:val="subscript"/>
        </w:rPr>
        <w:t>3</w:t>
      </w:r>
      <w:r w:rsidRPr="002657D1">
        <w:rPr>
          <w:rFonts w:ascii="Times New Roman" w:eastAsia="等线" w:hAnsi="Times New Roman" w:cs="Times New Roman"/>
          <w:color w:val="000000" w:themeColor="text1"/>
          <w:kern w:val="24"/>
        </w:rPr>
        <w:t>Cl</w:t>
      </w:r>
      <w:r w:rsidR="00D21E84" w:rsidRPr="002657D1">
        <w:rPr>
          <w:rFonts w:ascii="Times New Roman" w:eastAsia="等线" w:hAnsi="Times New Roman" w:cs="Times New Roman"/>
          <w:color w:val="000000" w:themeColor="text1"/>
          <w:kern w:val="24"/>
          <w:vertAlign w:val="subscript"/>
        </w:rPr>
        <w:t>69</w:t>
      </w:r>
      <w:r w:rsidRPr="002657D1">
        <w:rPr>
          <w:rFonts w:ascii="Times New Roman" w:eastAsia="等线" w:hAnsi="Times New Roman" w:cs="Times New Roman"/>
          <w:color w:val="000000" w:themeColor="text1"/>
          <w:kern w:val="24"/>
        </w:rPr>
        <w:t>) is constructed. Corresponding results of the relaxation of two structures (with Li ions removed for clarity) are provided. The structure with the lowest energy is selected for subsequent calculations.</w:t>
      </w:r>
      <w:r w:rsidR="004F3A67" w:rsidRPr="002657D1">
        <w:rPr>
          <w:rFonts w:ascii="Times New Roman" w:eastAsia="等线" w:hAnsi="Times New Roman" w:cs="Times New Roman"/>
          <w:color w:val="000000" w:themeColor="text1"/>
          <w:kern w:val="24"/>
        </w:rPr>
        <w:br w:type="page"/>
      </w:r>
    </w:p>
    <w:p w14:paraId="55FD1D02" w14:textId="22483A2F" w:rsidR="004F3A67" w:rsidRPr="002657D1" w:rsidRDefault="00D43AAB" w:rsidP="00D43AAB">
      <w:pPr>
        <w:pStyle w:val="ac"/>
        <w:spacing w:before="120" w:beforeAutospacing="0" w:afterLines="50" w:after="156" w:afterAutospacing="0" w:line="360" w:lineRule="auto"/>
        <w:jc w:val="center"/>
        <w:rPr>
          <w:rFonts w:ascii="Times New Roman" w:hAnsi="Times New Roman" w:cs="Times New Roman"/>
          <w:color w:val="000000" w:themeColor="text1"/>
        </w:rPr>
      </w:pPr>
      <w:r w:rsidRPr="002657D1">
        <w:rPr>
          <w:noProof/>
          <w:color w:val="000000" w:themeColor="text1"/>
          <w:sz w:val="32"/>
          <w:szCs w:val="32"/>
        </w:rPr>
        <w:lastRenderedPageBreak/>
        <w:drawing>
          <wp:inline distT="0" distB="0" distL="0" distR="0" wp14:anchorId="47ECD75E" wp14:editId="01F76105">
            <wp:extent cx="4940740" cy="2198134"/>
            <wp:effectExtent l="0" t="0" r="0" b="0"/>
            <wp:docPr id="19026752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675222" name=""/>
                    <pic:cNvPicPr/>
                  </pic:nvPicPr>
                  <pic:blipFill rotWithShape="1">
                    <a:blip r:embed="rId36"/>
                    <a:srcRect l="1111" r="5202"/>
                    <a:stretch>
                      <a:fillRect/>
                    </a:stretch>
                  </pic:blipFill>
                  <pic:spPr bwMode="auto">
                    <a:xfrm>
                      <a:off x="0" y="0"/>
                      <a:ext cx="4941271" cy="2198370"/>
                    </a:xfrm>
                    <a:prstGeom prst="rect">
                      <a:avLst/>
                    </a:prstGeom>
                    <a:ln>
                      <a:noFill/>
                    </a:ln>
                    <a:extLst>
                      <a:ext uri="{53640926-AAD7-44D8-BBD7-CCE9431645EC}">
                        <a14:shadowObscured xmlns:a14="http://schemas.microsoft.com/office/drawing/2010/main"/>
                      </a:ext>
                    </a:extLst>
                  </pic:spPr>
                </pic:pic>
              </a:graphicData>
            </a:graphic>
          </wp:inline>
        </w:drawing>
      </w:r>
    </w:p>
    <w:p w14:paraId="5A240C2B" w14:textId="1F25CEEB" w:rsidR="005448A8" w:rsidRPr="002657D1" w:rsidRDefault="005448A8" w:rsidP="005448A8">
      <w:pPr>
        <w:pStyle w:val="ac"/>
        <w:spacing w:before="0" w:beforeAutospacing="0" w:after="0" w:afterAutospacing="0" w:line="360" w:lineRule="auto"/>
        <w:jc w:val="both"/>
        <w:rPr>
          <w:rFonts w:ascii="Times New Roman" w:eastAsia="等线" w:hAnsi="Times New Roman" w:cs="Times New Roman"/>
          <w:color w:val="000000" w:themeColor="text1"/>
          <w:kern w:val="24"/>
        </w:rPr>
      </w:pPr>
      <w:r w:rsidRPr="002657D1">
        <w:rPr>
          <w:rFonts w:ascii="Times New Roman" w:eastAsia="等线" w:hAnsi="Times New Roman" w:cs="Times New Roman"/>
          <w:b/>
          <w:bCs/>
          <w:color w:val="000000" w:themeColor="text1"/>
          <w:kern w:val="24"/>
        </w:rPr>
        <w:t xml:space="preserve">Supplementary Fig. </w:t>
      </w:r>
      <w:r w:rsidR="00B64FB2" w:rsidRPr="002657D1">
        <w:rPr>
          <w:rFonts w:ascii="Times New Roman" w:eastAsia="等线" w:hAnsi="Times New Roman" w:cs="Times New Roman" w:hint="eastAsia"/>
          <w:b/>
          <w:bCs/>
          <w:color w:val="000000" w:themeColor="text1"/>
          <w:kern w:val="24"/>
        </w:rPr>
        <w:t>22</w:t>
      </w:r>
      <w:r w:rsidR="00B64FB2" w:rsidRPr="002657D1">
        <w:rPr>
          <w:rFonts w:ascii="Times New Roman" w:eastAsia="等线" w:hAnsi="Times New Roman" w:cs="Times New Roman"/>
          <w:b/>
          <w:bCs/>
          <w:color w:val="000000" w:themeColor="text1"/>
          <w:kern w:val="24"/>
        </w:rPr>
        <w:t xml:space="preserve"> </w:t>
      </w:r>
      <w:r w:rsidRPr="002657D1">
        <w:rPr>
          <w:rFonts w:ascii="Times New Roman" w:eastAsia="等线" w:hAnsi="Times New Roman" w:cs="Times New Roman"/>
          <w:b/>
          <w:bCs/>
          <w:color w:val="000000" w:themeColor="text1"/>
          <w:kern w:val="24"/>
        </w:rPr>
        <w:t xml:space="preserve">| </w:t>
      </w:r>
      <w:proofErr w:type="spellStart"/>
      <w:proofErr w:type="gramStart"/>
      <w:r w:rsidRPr="002657D1">
        <w:rPr>
          <w:rFonts w:ascii="Times New Roman" w:eastAsia="等线" w:hAnsi="Times New Roman" w:cs="Times New Roman"/>
          <w:b/>
          <w:bCs/>
          <w:color w:val="000000" w:themeColor="text1"/>
          <w:kern w:val="24"/>
        </w:rPr>
        <w:t>a,b</w:t>
      </w:r>
      <w:proofErr w:type="spellEnd"/>
      <w:proofErr w:type="gramEnd"/>
      <w:r w:rsidRPr="002657D1">
        <w:rPr>
          <w:rFonts w:ascii="Times New Roman" w:eastAsia="等线" w:hAnsi="Times New Roman" w:cs="Times New Roman"/>
          <w:color w:val="000000" w:themeColor="text1"/>
          <w:kern w:val="24"/>
        </w:rPr>
        <w:t xml:space="preserve"> Crystal structure of LZC (</w:t>
      </w:r>
      <w:r w:rsidRPr="002657D1">
        <w:rPr>
          <w:rFonts w:ascii="Times New Roman" w:eastAsia="等线" w:hAnsi="Times New Roman" w:cs="Times New Roman"/>
          <w:b/>
          <w:bCs/>
          <w:color w:val="000000" w:themeColor="text1"/>
          <w:kern w:val="24"/>
        </w:rPr>
        <w:t>a</w:t>
      </w:r>
      <w:r w:rsidRPr="002657D1">
        <w:rPr>
          <w:rFonts w:ascii="Times New Roman" w:eastAsia="等线" w:hAnsi="Times New Roman" w:cs="Times New Roman"/>
          <w:color w:val="000000" w:themeColor="text1"/>
          <w:kern w:val="24"/>
        </w:rPr>
        <w:t>) superimposed with Li⁺ probability density (</w:t>
      </w:r>
      <w:r w:rsidRPr="002657D1">
        <w:rPr>
          <w:rFonts w:ascii="Times New Roman" w:eastAsia="等线" w:hAnsi="Times New Roman" w:cs="Times New Roman"/>
          <w:b/>
          <w:bCs/>
          <w:color w:val="000000" w:themeColor="text1"/>
          <w:kern w:val="24"/>
        </w:rPr>
        <w:t>b</w:t>
      </w:r>
      <w:r w:rsidRPr="002657D1">
        <w:rPr>
          <w:rFonts w:ascii="Times New Roman" w:eastAsia="等线" w:hAnsi="Times New Roman" w:cs="Times New Roman"/>
          <w:color w:val="000000" w:themeColor="text1"/>
          <w:kern w:val="24"/>
        </w:rPr>
        <w:t xml:space="preserve">) indicated by yellow iso-surfaces, based on 20 </w:t>
      </w:r>
      <w:proofErr w:type="spellStart"/>
      <w:r w:rsidRPr="002657D1">
        <w:rPr>
          <w:rFonts w:ascii="Times New Roman" w:eastAsia="等线" w:hAnsi="Times New Roman" w:cs="Times New Roman"/>
          <w:color w:val="000000" w:themeColor="text1"/>
          <w:kern w:val="24"/>
        </w:rPr>
        <w:t>ps</w:t>
      </w:r>
      <w:proofErr w:type="spellEnd"/>
      <w:r w:rsidRPr="002657D1">
        <w:rPr>
          <w:rFonts w:ascii="Times New Roman" w:eastAsia="等线" w:hAnsi="Times New Roman" w:cs="Times New Roman"/>
          <w:color w:val="000000" w:themeColor="text1"/>
          <w:kern w:val="24"/>
        </w:rPr>
        <w:t xml:space="preserve"> AIMD simulations at 1100 K. </w:t>
      </w:r>
      <w:proofErr w:type="spellStart"/>
      <w:proofErr w:type="gramStart"/>
      <w:r w:rsidRPr="002657D1">
        <w:rPr>
          <w:rFonts w:ascii="Times New Roman" w:eastAsia="等线" w:hAnsi="Times New Roman" w:cs="Times New Roman"/>
          <w:b/>
          <w:bCs/>
          <w:color w:val="000000" w:themeColor="text1"/>
          <w:kern w:val="24"/>
        </w:rPr>
        <w:t>c,d</w:t>
      </w:r>
      <w:proofErr w:type="spellEnd"/>
      <w:proofErr w:type="gramEnd"/>
      <w:r w:rsidRPr="002657D1">
        <w:rPr>
          <w:rFonts w:ascii="Times New Roman" w:eastAsia="等线" w:hAnsi="Times New Roman" w:cs="Times New Roman"/>
          <w:color w:val="000000" w:themeColor="text1"/>
          <w:kern w:val="24"/>
        </w:rPr>
        <w:t xml:space="preserve"> Crystal structure of LZC-10TF (</w:t>
      </w:r>
      <w:r w:rsidRPr="002657D1">
        <w:rPr>
          <w:rFonts w:ascii="Times New Roman" w:eastAsia="等线" w:hAnsi="Times New Roman" w:cs="Times New Roman"/>
          <w:b/>
          <w:bCs/>
          <w:color w:val="000000" w:themeColor="text1"/>
          <w:kern w:val="24"/>
        </w:rPr>
        <w:t>c</w:t>
      </w:r>
      <w:r w:rsidRPr="002657D1">
        <w:rPr>
          <w:rFonts w:ascii="Times New Roman" w:eastAsia="等线" w:hAnsi="Times New Roman" w:cs="Times New Roman"/>
          <w:color w:val="000000" w:themeColor="text1"/>
          <w:kern w:val="24"/>
        </w:rPr>
        <w:t>) superimposed with Li⁺ probability density (</w:t>
      </w:r>
      <w:r w:rsidRPr="002657D1">
        <w:rPr>
          <w:rFonts w:ascii="Times New Roman" w:eastAsia="等线" w:hAnsi="Times New Roman" w:cs="Times New Roman"/>
          <w:b/>
          <w:bCs/>
          <w:color w:val="000000" w:themeColor="text1"/>
          <w:kern w:val="24"/>
        </w:rPr>
        <w:t>d</w:t>
      </w:r>
      <w:r w:rsidRPr="002657D1">
        <w:rPr>
          <w:rFonts w:ascii="Times New Roman" w:eastAsia="等线" w:hAnsi="Times New Roman" w:cs="Times New Roman"/>
          <w:color w:val="000000" w:themeColor="text1"/>
          <w:kern w:val="24"/>
        </w:rPr>
        <w:t xml:space="preserve">), also marked by yellow iso-surfaces, from 20 </w:t>
      </w:r>
      <w:proofErr w:type="spellStart"/>
      <w:r w:rsidRPr="002657D1">
        <w:rPr>
          <w:rFonts w:ascii="Times New Roman" w:eastAsia="等线" w:hAnsi="Times New Roman" w:cs="Times New Roman"/>
          <w:color w:val="000000" w:themeColor="text1"/>
          <w:kern w:val="24"/>
        </w:rPr>
        <w:t>ps</w:t>
      </w:r>
      <w:proofErr w:type="spellEnd"/>
      <w:r w:rsidRPr="002657D1">
        <w:rPr>
          <w:rFonts w:ascii="Times New Roman" w:eastAsia="等线" w:hAnsi="Times New Roman" w:cs="Times New Roman"/>
          <w:color w:val="000000" w:themeColor="text1"/>
          <w:kern w:val="24"/>
        </w:rPr>
        <w:t xml:space="preserve"> AIMD simulations at 1100 K. Li⁺ was removed for clarity. The positions of Zr and Ti indicate the stability of both pristine and doped LZC structures. The larger probability density iso-surfaces around Ti compared to those around Zr atoms demonstrate the enhancement of Li⁺ hopping in </w:t>
      </w:r>
      <w:r w:rsidR="00285CB3" w:rsidRPr="002657D1">
        <w:rPr>
          <w:rFonts w:ascii="Times New Roman" w:eastAsia="等线" w:hAnsi="Times New Roman" w:cs="Times New Roman"/>
          <w:color w:val="000000" w:themeColor="text1"/>
          <w:kern w:val="24"/>
        </w:rPr>
        <w:t xml:space="preserve">the </w:t>
      </w:r>
      <w:r w:rsidRPr="002657D1">
        <w:rPr>
          <w:rFonts w:ascii="Times New Roman" w:eastAsia="等线" w:hAnsi="Times New Roman" w:cs="Times New Roman"/>
          <w:i/>
          <w:iCs/>
          <w:color w:val="000000" w:themeColor="text1"/>
          <w:kern w:val="24"/>
        </w:rPr>
        <w:t>a-b</w:t>
      </w:r>
      <w:r w:rsidRPr="002657D1">
        <w:rPr>
          <w:rFonts w:ascii="Times New Roman" w:eastAsia="等线" w:hAnsi="Times New Roman" w:cs="Times New Roman"/>
          <w:color w:val="000000" w:themeColor="text1"/>
          <w:kern w:val="24"/>
        </w:rPr>
        <w:t xml:space="preserve"> plane.</w:t>
      </w:r>
    </w:p>
    <w:p w14:paraId="023EECCE" w14:textId="21A9613F" w:rsidR="00C23DE6" w:rsidRPr="002657D1" w:rsidRDefault="005448A8" w:rsidP="00D21E84">
      <w:pPr>
        <w:pStyle w:val="ac"/>
        <w:spacing w:before="0" w:beforeAutospacing="0" w:after="0" w:afterAutospacing="0" w:line="360" w:lineRule="auto"/>
        <w:jc w:val="both"/>
        <w:rPr>
          <w:rFonts w:ascii="Times New Roman" w:hAnsi="Times New Roman" w:cs="Times New Roman"/>
          <w:color w:val="000000" w:themeColor="text1"/>
        </w:rPr>
      </w:pPr>
      <w:r w:rsidRPr="002657D1">
        <w:rPr>
          <w:rFonts w:ascii="Times New Roman" w:hAnsi="Times New Roman" w:cs="Times New Roman"/>
          <w:b/>
          <w:bCs/>
          <w:color w:val="000000" w:themeColor="text1"/>
        </w:rPr>
        <w:t xml:space="preserve">Discussion: </w:t>
      </w:r>
      <w:r w:rsidRPr="002657D1">
        <w:rPr>
          <w:rFonts w:ascii="Times New Roman" w:hAnsi="Times New Roman" w:cs="Times New Roman"/>
          <w:color w:val="000000" w:themeColor="text1"/>
        </w:rPr>
        <w:t xml:space="preserve">To quickly compare the differences in migration pathways, short-term (20 </w:t>
      </w:r>
      <w:proofErr w:type="spellStart"/>
      <w:r w:rsidRPr="002657D1">
        <w:rPr>
          <w:rFonts w:ascii="Times New Roman" w:hAnsi="Times New Roman" w:cs="Times New Roman"/>
          <w:color w:val="000000" w:themeColor="text1"/>
        </w:rPr>
        <w:t>ps</w:t>
      </w:r>
      <w:proofErr w:type="spellEnd"/>
      <w:r w:rsidRPr="002657D1">
        <w:rPr>
          <w:rFonts w:ascii="Times New Roman" w:hAnsi="Times New Roman" w:cs="Times New Roman"/>
          <w:color w:val="000000" w:themeColor="text1"/>
        </w:rPr>
        <w:t>) AIMD simulations at a high temperature (1100 K) were performed. The structure of LZC remained stable after doping, showing minimal deformation post-AIMD (</w:t>
      </w:r>
      <w:r w:rsidRPr="002657D1">
        <w:rPr>
          <w:rFonts w:ascii="Times New Roman" w:hAnsi="Times New Roman" w:cs="Times New Roman"/>
          <w:b/>
          <w:bCs/>
          <w:color w:val="000000" w:themeColor="text1"/>
        </w:rPr>
        <w:t xml:space="preserve">Supplementary Fig. </w:t>
      </w:r>
      <w:r w:rsidR="00C603A8" w:rsidRPr="002657D1">
        <w:rPr>
          <w:rFonts w:ascii="Times New Roman" w:hAnsi="Times New Roman" w:cs="Times New Roman" w:hint="eastAsia"/>
          <w:b/>
          <w:bCs/>
          <w:color w:val="000000" w:themeColor="text1"/>
        </w:rPr>
        <w:t>22</w:t>
      </w:r>
      <w:proofErr w:type="gramStart"/>
      <w:r w:rsidR="00C603A8" w:rsidRPr="002657D1">
        <w:rPr>
          <w:rFonts w:ascii="Times New Roman" w:hAnsi="Times New Roman" w:cs="Times New Roman"/>
          <w:b/>
          <w:bCs/>
          <w:color w:val="000000" w:themeColor="text1"/>
        </w:rPr>
        <w:t>a</w:t>
      </w:r>
      <w:r w:rsidRPr="002657D1">
        <w:rPr>
          <w:rFonts w:ascii="Times New Roman" w:hAnsi="Times New Roman" w:cs="Times New Roman"/>
          <w:b/>
          <w:bCs/>
          <w:color w:val="000000" w:themeColor="text1"/>
        </w:rPr>
        <w:t>,c</w:t>
      </w:r>
      <w:proofErr w:type="gramEnd"/>
      <w:r w:rsidRPr="002657D1">
        <w:rPr>
          <w:rFonts w:ascii="Times New Roman" w:hAnsi="Times New Roman" w:cs="Times New Roman"/>
          <w:color w:val="000000" w:themeColor="text1"/>
        </w:rPr>
        <w:t>). The probability density maps of LZC and LZC-10TF show significant differences around the [TiCl</w:t>
      </w:r>
      <w:r w:rsidRPr="002657D1">
        <w:rPr>
          <w:rFonts w:ascii="Times New Roman" w:hAnsi="Times New Roman" w:cs="Times New Roman"/>
          <w:color w:val="000000" w:themeColor="text1"/>
          <w:vertAlign w:val="subscript"/>
        </w:rPr>
        <w:t>6</w:t>
      </w:r>
      <w:r w:rsidRPr="002657D1">
        <w:rPr>
          <w:rFonts w:ascii="Times New Roman" w:hAnsi="Times New Roman" w:cs="Times New Roman"/>
          <w:color w:val="000000" w:themeColor="text1"/>
        </w:rPr>
        <w:t>] and [TiF</w:t>
      </w:r>
      <w:r w:rsidRPr="002657D1">
        <w:rPr>
          <w:rFonts w:ascii="Times New Roman" w:hAnsi="Times New Roman" w:cs="Times New Roman"/>
          <w:color w:val="000000" w:themeColor="text1"/>
          <w:vertAlign w:val="subscript"/>
        </w:rPr>
        <w:t>6</w:t>
      </w:r>
      <w:r w:rsidRPr="002657D1">
        <w:rPr>
          <w:rFonts w:ascii="Times New Roman" w:hAnsi="Times New Roman" w:cs="Times New Roman"/>
          <w:color w:val="000000" w:themeColor="text1"/>
        </w:rPr>
        <w:t>] octahedra. In pristine LZC, the [ZrCl</w:t>
      </w:r>
      <w:r w:rsidRPr="002657D1">
        <w:rPr>
          <w:rFonts w:ascii="Times New Roman" w:hAnsi="Times New Roman" w:cs="Times New Roman"/>
          <w:color w:val="000000" w:themeColor="text1"/>
          <w:vertAlign w:val="subscript"/>
        </w:rPr>
        <w:t>6</w:t>
      </w:r>
      <w:r w:rsidRPr="002657D1">
        <w:rPr>
          <w:rFonts w:ascii="Times New Roman" w:hAnsi="Times New Roman" w:cs="Times New Roman"/>
          <w:color w:val="000000" w:themeColor="text1"/>
        </w:rPr>
        <w:t xml:space="preserve">] displays discrete density iso-surfaces, indicative of poor conduction in the </w:t>
      </w:r>
      <w:r w:rsidRPr="002657D1">
        <w:rPr>
          <w:rFonts w:ascii="Times New Roman" w:hAnsi="Times New Roman" w:cs="Times New Roman"/>
          <w:i/>
          <w:iCs/>
          <w:color w:val="000000" w:themeColor="text1"/>
        </w:rPr>
        <w:t>a-b</w:t>
      </w:r>
      <w:r w:rsidRPr="002657D1">
        <w:rPr>
          <w:rFonts w:ascii="Times New Roman" w:hAnsi="Times New Roman" w:cs="Times New Roman"/>
          <w:color w:val="000000" w:themeColor="text1"/>
        </w:rPr>
        <w:t xml:space="preserve"> plane (</w:t>
      </w:r>
      <w:r w:rsidRPr="002657D1">
        <w:rPr>
          <w:rFonts w:ascii="Times New Roman" w:hAnsi="Times New Roman" w:cs="Times New Roman"/>
          <w:b/>
          <w:bCs/>
          <w:color w:val="000000" w:themeColor="text1"/>
        </w:rPr>
        <w:t xml:space="preserve">Supplementary Fig. </w:t>
      </w:r>
      <w:r w:rsidR="00C603A8" w:rsidRPr="002657D1">
        <w:rPr>
          <w:rFonts w:ascii="Times New Roman" w:hAnsi="Times New Roman" w:cs="Times New Roman" w:hint="eastAsia"/>
          <w:b/>
          <w:bCs/>
          <w:color w:val="000000" w:themeColor="text1"/>
        </w:rPr>
        <w:t>22</w:t>
      </w:r>
      <w:r w:rsidR="00C603A8" w:rsidRPr="002657D1">
        <w:rPr>
          <w:rFonts w:ascii="Times New Roman" w:hAnsi="Times New Roman" w:cs="Times New Roman"/>
          <w:b/>
          <w:bCs/>
          <w:color w:val="000000" w:themeColor="text1"/>
        </w:rPr>
        <w:t>b</w:t>
      </w:r>
      <w:r w:rsidRPr="002657D1">
        <w:rPr>
          <w:rFonts w:ascii="Times New Roman" w:hAnsi="Times New Roman" w:cs="Times New Roman"/>
          <w:color w:val="000000" w:themeColor="text1"/>
        </w:rPr>
        <w:t>). Conversely, the doped [TiF</w:t>
      </w:r>
      <w:r w:rsidRPr="002657D1">
        <w:rPr>
          <w:rFonts w:ascii="Times New Roman" w:hAnsi="Times New Roman" w:cs="Times New Roman"/>
          <w:color w:val="000000" w:themeColor="text1"/>
          <w:vertAlign w:val="subscript"/>
        </w:rPr>
        <w:t>6</w:t>
      </w:r>
      <w:r w:rsidRPr="002657D1">
        <w:rPr>
          <w:rFonts w:ascii="Times New Roman" w:hAnsi="Times New Roman" w:cs="Times New Roman"/>
          <w:color w:val="000000" w:themeColor="text1"/>
        </w:rPr>
        <w:t xml:space="preserve">] presents continuous hexagonal pathways that enhance conduction in the </w:t>
      </w:r>
      <w:r w:rsidRPr="002657D1">
        <w:rPr>
          <w:rFonts w:ascii="Times New Roman" w:hAnsi="Times New Roman" w:cs="Times New Roman"/>
          <w:i/>
          <w:iCs/>
          <w:color w:val="000000" w:themeColor="text1"/>
        </w:rPr>
        <w:t>a-b</w:t>
      </w:r>
      <w:r w:rsidRPr="002657D1">
        <w:rPr>
          <w:rFonts w:ascii="Times New Roman" w:hAnsi="Times New Roman" w:cs="Times New Roman"/>
          <w:color w:val="000000" w:themeColor="text1"/>
        </w:rPr>
        <w:t xml:space="preserve"> plane (</w:t>
      </w:r>
      <w:r w:rsidRPr="002657D1">
        <w:rPr>
          <w:rFonts w:ascii="Times New Roman" w:hAnsi="Times New Roman" w:cs="Times New Roman"/>
          <w:b/>
          <w:bCs/>
          <w:color w:val="000000" w:themeColor="text1"/>
        </w:rPr>
        <w:t xml:space="preserve">Supplementary Fig. </w:t>
      </w:r>
      <w:r w:rsidR="00C603A8" w:rsidRPr="002657D1">
        <w:rPr>
          <w:rFonts w:ascii="Times New Roman" w:hAnsi="Times New Roman" w:cs="Times New Roman" w:hint="eastAsia"/>
          <w:b/>
          <w:bCs/>
          <w:color w:val="000000" w:themeColor="text1"/>
        </w:rPr>
        <w:t>22</w:t>
      </w:r>
      <w:r w:rsidR="00C603A8" w:rsidRPr="002657D1">
        <w:rPr>
          <w:rFonts w:ascii="Times New Roman" w:hAnsi="Times New Roman" w:cs="Times New Roman"/>
          <w:b/>
          <w:bCs/>
          <w:color w:val="000000" w:themeColor="text1"/>
        </w:rPr>
        <w:t>d</w:t>
      </w:r>
      <w:r w:rsidRPr="002657D1">
        <w:rPr>
          <w:rFonts w:ascii="Times New Roman" w:hAnsi="Times New Roman" w:cs="Times New Roman"/>
          <w:color w:val="000000" w:themeColor="text1"/>
        </w:rPr>
        <w:t>).</w:t>
      </w:r>
      <w:r w:rsidR="00C23DE6" w:rsidRPr="002657D1">
        <w:rPr>
          <w:rFonts w:ascii="Times New Roman" w:hAnsi="Times New Roman" w:cs="Times New Roman"/>
          <w:color w:val="000000" w:themeColor="text1"/>
          <w:kern w:val="24"/>
        </w:rPr>
        <w:br w:type="page"/>
      </w:r>
    </w:p>
    <w:p w14:paraId="1E8DD1A5" w14:textId="16A04663" w:rsidR="00230175" w:rsidRPr="002657D1" w:rsidRDefault="00B84F8E" w:rsidP="00B37785">
      <w:pPr>
        <w:widowControl/>
        <w:rPr>
          <w:rFonts w:ascii="Times New Roman" w:hAnsi="Times New Roman" w:cs="Times New Roman"/>
          <w:color w:val="000000" w:themeColor="text1"/>
          <w:kern w:val="24"/>
          <w:sz w:val="24"/>
          <w:szCs w:val="24"/>
        </w:rPr>
      </w:pPr>
      <w:r w:rsidRPr="002657D1">
        <w:rPr>
          <w:rFonts w:ascii="Times New Roman" w:hAnsi="Times New Roman" w:cs="Times New Roman"/>
          <w:noProof/>
          <w:color w:val="000000" w:themeColor="text1"/>
          <w:kern w:val="24"/>
          <w:sz w:val="24"/>
          <w:szCs w:val="24"/>
        </w:rPr>
        <w:lastRenderedPageBreak/>
        <w:drawing>
          <wp:inline distT="0" distB="0" distL="0" distR="0" wp14:anchorId="472058E9" wp14:editId="15726305">
            <wp:extent cx="5274310" cy="2941955"/>
            <wp:effectExtent l="0" t="0" r="0" b="0"/>
            <wp:docPr id="3326568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56812" name="图片 332656812"/>
                    <pic:cNvPicPr/>
                  </pic:nvPicPr>
                  <pic:blipFill>
                    <a:blip r:embed="rId37"/>
                    <a:stretch>
                      <a:fillRect/>
                    </a:stretch>
                  </pic:blipFill>
                  <pic:spPr>
                    <a:xfrm>
                      <a:off x="0" y="0"/>
                      <a:ext cx="5274310" cy="2941955"/>
                    </a:xfrm>
                    <a:prstGeom prst="rect">
                      <a:avLst/>
                    </a:prstGeom>
                  </pic:spPr>
                </pic:pic>
              </a:graphicData>
            </a:graphic>
          </wp:inline>
        </w:drawing>
      </w:r>
    </w:p>
    <w:p w14:paraId="741C9E6E" w14:textId="1700A879" w:rsidR="00BA6548" w:rsidRPr="002657D1" w:rsidRDefault="002B314A" w:rsidP="00D21E84">
      <w:pPr>
        <w:pStyle w:val="ac"/>
        <w:spacing w:before="0" w:beforeAutospacing="0" w:after="0" w:afterAutospacing="0" w:line="360" w:lineRule="auto"/>
        <w:jc w:val="both"/>
        <w:rPr>
          <w:rFonts w:ascii="Times New Roman" w:eastAsia="等线" w:hAnsi="Times New Roman" w:cs="Times New Roman"/>
          <w:color w:val="000000" w:themeColor="text1"/>
          <w:kern w:val="24"/>
        </w:rPr>
      </w:pPr>
      <w:r w:rsidRPr="002657D1">
        <w:rPr>
          <w:rFonts w:ascii="Times New Roman" w:eastAsia="等线" w:hAnsi="Times New Roman" w:cs="Times New Roman"/>
          <w:b/>
          <w:bCs/>
          <w:color w:val="000000" w:themeColor="text1"/>
          <w:kern w:val="24"/>
        </w:rPr>
        <w:t xml:space="preserve">Supplementary Fig. </w:t>
      </w:r>
      <w:r w:rsidR="00B64FB2" w:rsidRPr="002657D1">
        <w:rPr>
          <w:rFonts w:ascii="Times New Roman" w:eastAsia="等线" w:hAnsi="Times New Roman" w:cs="Times New Roman" w:hint="eastAsia"/>
          <w:b/>
          <w:bCs/>
          <w:color w:val="000000" w:themeColor="text1"/>
          <w:kern w:val="24"/>
        </w:rPr>
        <w:t>23</w:t>
      </w:r>
      <w:r w:rsidR="00B64FB2" w:rsidRPr="002657D1">
        <w:rPr>
          <w:rFonts w:ascii="Times New Roman" w:eastAsia="等线" w:hAnsi="Times New Roman" w:cs="Times New Roman"/>
          <w:b/>
          <w:bCs/>
          <w:color w:val="000000" w:themeColor="text1"/>
          <w:kern w:val="24"/>
        </w:rPr>
        <w:t xml:space="preserve"> </w:t>
      </w:r>
      <w:r w:rsidRPr="002657D1">
        <w:rPr>
          <w:rFonts w:ascii="Times New Roman" w:eastAsia="等线" w:hAnsi="Times New Roman" w:cs="Times New Roman"/>
          <w:b/>
          <w:bCs/>
          <w:color w:val="000000" w:themeColor="text1"/>
          <w:kern w:val="24"/>
        </w:rPr>
        <w:t xml:space="preserve">| </w:t>
      </w:r>
      <w:proofErr w:type="spellStart"/>
      <w:proofErr w:type="gramStart"/>
      <w:r w:rsidRPr="002657D1">
        <w:rPr>
          <w:rFonts w:ascii="Times New Roman" w:eastAsia="等线" w:hAnsi="Times New Roman" w:cs="Times New Roman"/>
          <w:b/>
          <w:bCs/>
          <w:color w:val="000000" w:themeColor="text1"/>
          <w:kern w:val="24"/>
        </w:rPr>
        <w:t>a,d</w:t>
      </w:r>
      <w:proofErr w:type="spellEnd"/>
      <w:proofErr w:type="gramEnd"/>
      <w:r w:rsidRPr="002657D1">
        <w:rPr>
          <w:rFonts w:ascii="Times New Roman" w:eastAsia="等线" w:hAnsi="Times New Roman" w:cs="Times New Roman"/>
          <w:b/>
          <w:bCs/>
          <w:color w:val="000000" w:themeColor="text1"/>
          <w:kern w:val="24"/>
        </w:rPr>
        <w:t xml:space="preserve"> </w:t>
      </w:r>
      <w:proofErr w:type="gramStart"/>
      <w:r w:rsidRPr="002657D1">
        <w:rPr>
          <w:rFonts w:ascii="Times New Roman" w:eastAsia="等线" w:hAnsi="Times New Roman" w:cs="Times New Roman"/>
          <w:color w:val="000000" w:themeColor="text1"/>
          <w:kern w:val="24"/>
        </w:rPr>
        <w:t>The</w:t>
      </w:r>
      <w:proofErr w:type="gramEnd"/>
      <w:r w:rsidRPr="002657D1">
        <w:rPr>
          <w:rFonts w:ascii="Times New Roman" w:eastAsia="等线" w:hAnsi="Times New Roman" w:cs="Times New Roman"/>
          <w:color w:val="000000" w:themeColor="text1"/>
          <w:kern w:val="24"/>
        </w:rPr>
        <w:t xml:space="preserve"> energy landscape of LZC (</w:t>
      </w:r>
      <w:r w:rsidRPr="002657D1">
        <w:rPr>
          <w:rFonts w:ascii="Times New Roman" w:eastAsia="等线" w:hAnsi="Times New Roman" w:cs="Times New Roman"/>
          <w:b/>
          <w:bCs/>
          <w:color w:val="000000" w:themeColor="text1"/>
          <w:kern w:val="24"/>
        </w:rPr>
        <w:t>a</w:t>
      </w:r>
      <w:r w:rsidRPr="002657D1">
        <w:rPr>
          <w:rFonts w:ascii="Times New Roman" w:eastAsia="等线" w:hAnsi="Times New Roman" w:cs="Times New Roman"/>
          <w:color w:val="000000" w:themeColor="text1"/>
          <w:kern w:val="24"/>
        </w:rPr>
        <w:t>) and LZC</w:t>
      </w:r>
      <w:r w:rsidR="001C2A87" w:rsidRPr="002657D1">
        <w:rPr>
          <w:rFonts w:ascii="Times New Roman" w:eastAsia="等线" w:hAnsi="Times New Roman" w:cs="Times New Roman" w:hint="eastAsia"/>
          <w:color w:val="000000" w:themeColor="text1"/>
          <w:kern w:val="24"/>
        </w:rPr>
        <w:t>-10</w:t>
      </w:r>
      <w:r w:rsidRPr="002657D1">
        <w:rPr>
          <w:rFonts w:ascii="Times New Roman" w:eastAsia="等线" w:hAnsi="Times New Roman" w:cs="Times New Roman"/>
          <w:color w:val="000000" w:themeColor="text1"/>
          <w:kern w:val="24"/>
        </w:rPr>
        <w:t>TF (</w:t>
      </w:r>
      <w:r w:rsidRPr="002657D1">
        <w:rPr>
          <w:rFonts w:ascii="Times New Roman" w:eastAsia="等线" w:hAnsi="Times New Roman" w:cs="Times New Roman"/>
          <w:b/>
          <w:bCs/>
          <w:color w:val="000000" w:themeColor="text1"/>
          <w:kern w:val="24"/>
        </w:rPr>
        <w:t>d</w:t>
      </w:r>
      <w:r w:rsidRPr="002657D1">
        <w:rPr>
          <w:rFonts w:ascii="Times New Roman" w:eastAsia="等线" w:hAnsi="Times New Roman" w:cs="Times New Roman"/>
          <w:color w:val="000000" w:themeColor="text1"/>
          <w:kern w:val="24"/>
        </w:rPr>
        <w:t xml:space="preserve">) calculated using the BVSE method is shown. </w:t>
      </w:r>
      <w:proofErr w:type="spellStart"/>
      <w:proofErr w:type="gramStart"/>
      <w:r w:rsidR="00E72074" w:rsidRPr="002657D1">
        <w:rPr>
          <w:rFonts w:ascii="Times New Roman" w:eastAsia="等线" w:hAnsi="Times New Roman" w:cs="Times New Roman"/>
          <w:b/>
          <w:bCs/>
          <w:color w:val="000000" w:themeColor="text1"/>
          <w:kern w:val="24"/>
        </w:rPr>
        <w:t>b,c</w:t>
      </w:r>
      <w:proofErr w:type="gramEnd"/>
      <w:r w:rsidR="00E72074" w:rsidRPr="002657D1">
        <w:rPr>
          <w:rFonts w:ascii="Times New Roman" w:eastAsia="等线" w:hAnsi="Times New Roman" w:cs="Times New Roman"/>
          <w:b/>
          <w:bCs/>
          <w:color w:val="000000" w:themeColor="text1"/>
          <w:kern w:val="24"/>
        </w:rPr>
        <w:t>,</w:t>
      </w:r>
      <w:proofErr w:type="gramStart"/>
      <w:r w:rsidR="00E72074" w:rsidRPr="002657D1">
        <w:rPr>
          <w:rFonts w:ascii="Times New Roman" w:eastAsia="等线" w:hAnsi="Times New Roman" w:cs="Times New Roman"/>
          <w:b/>
          <w:bCs/>
          <w:color w:val="000000" w:themeColor="text1"/>
          <w:kern w:val="24"/>
        </w:rPr>
        <w:t>e,f</w:t>
      </w:r>
      <w:proofErr w:type="spellEnd"/>
      <w:proofErr w:type="gramEnd"/>
      <w:r w:rsidR="00E72074" w:rsidRPr="002657D1">
        <w:rPr>
          <w:rFonts w:ascii="Times New Roman" w:eastAsia="等线" w:hAnsi="Times New Roman" w:cs="Times New Roman"/>
          <w:b/>
          <w:bCs/>
          <w:color w:val="000000" w:themeColor="text1"/>
          <w:kern w:val="24"/>
        </w:rPr>
        <w:t xml:space="preserve"> </w:t>
      </w:r>
      <w:proofErr w:type="gramStart"/>
      <w:r w:rsidRPr="002657D1">
        <w:rPr>
          <w:rFonts w:ascii="Times New Roman" w:eastAsia="等线" w:hAnsi="Times New Roman" w:cs="Times New Roman"/>
          <w:color w:val="000000" w:themeColor="text1"/>
          <w:kern w:val="24"/>
        </w:rPr>
        <w:t>The</w:t>
      </w:r>
      <w:proofErr w:type="gramEnd"/>
      <w:r w:rsidRPr="002657D1">
        <w:rPr>
          <w:rFonts w:ascii="Times New Roman" w:eastAsia="等线" w:hAnsi="Times New Roman" w:cs="Times New Roman"/>
          <w:color w:val="000000" w:themeColor="text1"/>
          <w:kern w:val="24"/>
        </w:rPr>
        <w:t xml:space="preserve"> energy </w:t>
      </w:r>
      <w:proofErr w:type="spellStart"/>
      <w:r w:rsidRPr="002657D1">
        <w:rPr>
          <w:rFonts w:ascii="Times New Roman" w:eastAsia="等线" w:hAnsi="Times New Roman" w:cs="Times New Roman"/>
          <w:color w:val="000000" w:themeColor="text1"/>
          <w:kern w:val="24"/>
        </w:rPr>
        <w:t>isosurfaces</w:t>
      </w:r>
      <w:proofErr w:type="spellEnd"/>
      <w:r w:rsidRPr="002657D1">
        <w:rPr>
          <w:rFonts w:ascii="Times New Roman" w:eastAsia="等线" w:hAnsi="Times New Roman" w:cs="Times New Roman"/>
          <w:color w:val="000000" w:themeColor="text1"/>
          <w:kern w:val="24"/>
        </w:rPr>
        <w:t xml:space="preserve"> and migration pathways for LZC (</w:t>
      </w:r>
      <w:proofErr w:type="spellStart"/>
      <w:proofErr w:type="gramStart"/>
      <w:r w:rsidRPr="002657D1">
        <w:rPr>
          <w:rFonts w:ascii="Times New Roman" w:eastAsia="等线" w:hAnsi="Times New Roman" w:cs="Times New Roman"/>
          <w:b/>
          <w:bCs/>
          <w:color w:val="000000" w:themeColor="text1"/>
          <w:kern w:val="24"/>
        </w:rPr>
        <w:t>b,c</w:t>
      </w:r>
      <w:proofErr w:type="spellEnd"/>
      <w:proofErr w:type="gramEnd"/>
      <w:r w:rsidRPr="002657D1">
        <w:rPr>
          <w:rFonts w:ascii="Times New Roman" w:eastAsia="等线" w:hAnsi="Times New Roman" w:cs="Times New Roman"/>
          <w:color w:val="000000" w:themeColor="text1"/>
          <w:kern w:val="24"/>
        </w:rPr>
        <w:t>) and LZC</w:t>
      </w:r>
      <w:r w:rsidR="001C2A87" w:rsidRPr="002657D1">
        <w:rPr>
          <w:rFonts w:ascii="Times New Roman" w:eastAsia="等线" w:hAnsi="Times New Roman" w:cs="Times New Roman" w:hint="eastAsia"/>
          <w:color w:val="000000" w:themeColor="text1"/>
          <w:kern w:val="24"/>
        </w:rPr>
        <w:t>-10</w:t>
      </w:r>
      <w:r w:rsidRPr="002657D1">
        <w:rPr>
          <w:rFonts w:ascii="Times New Roman" w:eastAsia="等线" w:hAnsi="Times New Roman" w:cs="Times New Roman"/>
          <w:color w:val="000000" w:themeColor="text1"/>
          <w:kern w:val="24"/>
        </w:rPr>
        <w:t>TF (</w:t>
      </w:r>
      <w:proofErr w:type="spellStart"/>
      <w:proofErr w:type="gramStart"/>
      <w:r w:rsidRPr="002657D1">
        <w:rPr>
          <w:rFonts w:ascii="Times New Roman" w:eastAsia="等线" w:hAnsi="Times New Roman" w:cs="Times New Roman"/>
          <w:b/>
          <w:bCs/>
          <w:color w:val="000000" w:themeColor="text1"/>
          <w:kern w:val="24"/>
        </w:rPr>
        <w:t>e,f</w:t>
      </w:r>
      <w:proofErr w:type="spellEnd"/>
      <w:proofErr w:type="gramEnd"/>
      <w:r w:rsidRPr="002657D1">
        <w:rPr>
          <w:rFonts w:ascii="Times New Roman" w:eastAsia="等线" w:hAnsi="Times New Roman" w:cs="Times New Roman"/>
          <w:color w:val="000000" w:themeColor="text1"/>
          <w:kern w:val="24"/>
        </w:rPr>
        <w:t>) are presented, which are consistent with the results obtained from CINEB calculations.</w:t>
      </w:r>
    </w:p>
    <w:p w14:paraId="7E14F2E3" w14:textId="6908D245" w:rsidR="00C23DE6" w:rsidRPr="002657D1" w:rsidRDefault="00BA6548" w:rsidP="003D4D72">
      <w:pPr>
        <w:spacing w:before="120" w:afterLines="50" w:after="156" w:line="360" w:lineRule="auto"/>
        <w:rPr>
          <w:rFonts w:hint="eastAsia"/>
          <w:color w:val="000000" w:themeColor="text1"/>
          <w:sz w:val="24"/>
          <w:szCs w:val="24"/>
        </w:rPr>
      </w:pPr>
      <w:bookmarkStart w:id="77" w:name="OLE_LINK65"/>
      <w:r w:rsidRPr="002657D1">
        <w:rPr>
          <w:rFonts w:ascii="Times New Roman" w:hAnsi="Times New Roman" w:cs="Times New Roman"/>
          <w:b/>
          <w:bCs/>
          <w:color w:val="000000" w:themeColor="text1"/>
          <w:sz w:val="24"/>
          <w:szCs w:val="24"/>
        </w:rPr>
        <w:t xml:space="preserve">Discussion: </w:t>
      </w:r>
      <w:bookmarkEnd w:id="77"/>
      <w:r w:rsidRPr="002657D1">
        <w:rPr>
          <w:rFonts w:ascii="Times New Roman" w:hAnsi="Times New Roman" w:cs="Times New Roman"/>
          <w:color w:val="000000" w:themeColor="text1"/>
          <w:sz w:val="24"/>
          <w:szCs w:val="24"/>
        </w:rPr>
        <w:t>The decrease in energy barriers is also observed in BVSE calculations, with LZC at 0.69 eV and LZC</w:t>
      </w:r>
      <w:r w:rsidR="00DD22F3" w:rsidRPr="002657D1">
        <w:rPr>
          <w:rFonts w:ascii="Times New Roman" w:hAnsi="Times New Roman" w:cs="Times New Roman" w:hint="eastAsia"/>
          <w:color w:val="000000" w:themeColor="text1"/>
          <w:sz w:val="24"/>
          <w:szCs w:val="24"/>
        </w:rPr>
        <w:t>-10</w:t>
      </w:r>
      <w:r w:rsidRPr="002657D1">
        <w:rPr>
          <w:rFonts w:ascii="Times New Roman" w:hAnsi="Times New Roman" w:cs="Times New Roman"/>
          <w:color w:val="000000" w:themeColor="text1"/>
          <w:sz w:val="24"/>
          <w:szCs w:val="24"/>
        </w:rPr>
        <w:t>TF at 0.45 eV (</w:t>
      </w:r>
      <w:r w:rsidRPr="002657D1">
        <w:rPr>
          <w:rFonts w:ascii="Times New Roman" w:hAnsi="Times New Roman" w:cs="Times New Roman"/>
          <w:b/>
          <w:bCs/>
          <w:color w:val="000000" w:themeColor="text1"/>
          <w:sz w:val="24"/>
          <w:szCs w:val="24"/>
        </w:rPr>
        <w:t xml:space="preserve">Supplementary Fig. </w:t>
      </w:r>
      <w:r w:rsidR="00C603A8" w:rsidRPr="002657D1">
        <w:rPr>
          <w:rFonts w:ascii="Times New Roman" w:hAnsi="Times New Roman" w:cs="Times New Roman" w:hint="eastAsia"/>
          <w:b/>
          <w:bCs/>
          <w:color w:val="000000" w:themeColor="text1"/>
          <w:sz w:val="24"/>
          <w:szCs w:val="24"/>
        </w:rPr>
        <w:t>23</w:t>
      </w:r>
      <w:proofErr w:type="gramStart"/>
      <w:r w:rsidR="00C603A8" w:rsidRPr="002657D1">
        <w:rPr>
          <w:rFonts w:ascii="Times New Roman" w:hAnsi="Times New Roman" w:cs="Times New Roman"/>
          <w:b/>
          <w:bCs/>
          <w:color w:val="000000" w:themeColor="text1"/>
          <w:sz w:val="24"/>
          <w:szCs w:val="24"/>
        </w:rPr>
        <w:t>a</w:t>
      </w:r>
      <w:r w:rsidRPr="002657D1">
        <w:rPr>
          <w:rFonts w:ascii="Times New Roman" w:hAnsi="Times New Roman" w:cs="Times New Roman"/>
          <w:b/>
          <w:bCs/>
          <w:color w:val="000000" w:themeColor="text1"/>
          <w:sz w:val="24"/>
          <w:szCs w:val="24"/>
        </w:rPr>
        <w:t>,d</w:t>
      </w:r>
      <w:proofErr w:type="gramEnd"/>
      <w:r w:rsidRPr="002657D1">
        <w:rPr>
          <w:rFonts w:ascii="Times New Roman" w:hAnsi="Times New Roman" w:cs="Times New Roman"/>
          <w:color w:val="000000" w:themeColor="text1"/>
          <w:sz w:val="24"/>
          <w:szCs w:val="24"/>
        </w:rPr>
        <w:t>). The iso-surfaces of BVSE are depicted to illustrate the migration pathways, and the directions of migration are marked consistently across BVSE landscapes (</w:t>
      </w:r>
      <w:r w:rsidRPr="002657D1">
        <w:rPr>
          <w:rFonts w:ascii="Times New Roman" w:hAnsi="Times New Roman" w:cs="Times New Roman"/>
          <w:b/>
          <w:bCs/>
          <w:color w:val="000000" w:themeColor="text1"/>
          <w:sz w:val="24"/>
          <w:szCs w:val="24"/>
        </w:rPr>
        <w:t>Supplementary Fig.</w:t>
      </w:r>
      <w:r w:rsidR="00CD598C" w:rsidRPr="002657D1">
        <w:rPr>
          <w:rFonts w:ascii="Times New Roman" w:hAnsi="Times New Roman" w:cs="Times New Roman" w:hint="eastAsia"/>
          <w:b/>
          <w:bCs/>
          <w:color w:val="000000" w:themeColor="text1"/>
          <w:sz w:val="24"/>
          <w:szCs w:val="24"/>
        </w:rPr>
        <w:t xml:space="preserve"> </w:t>
      </w:r>
      <w:r w:rsidR="00C603A8" w:rsidRPr="002657D1">
        <w:rPr>
          <w:rFonts w:ascii="Times New Roman" w:hAnsi="Times New Roman" w:cs="Times New Roman" w:hint="eastAsia"/>
          <w:b/>
          <w:bCs/>
          <w:color w:val="000000" w:themeColor="text1"/>
          <w:sz w:val="24"/>
          <w:szCs w:val="24"/>
        </w:rPr>
        <w:t>23</w:t>
      </w:r>
      <w:r w:rsidR="00C603A8" w:rsidRPr="002657D1">
        <w:rPr>
          <w:rFonts w:ascii="Times New Roman" w:hAnsi="Times New Roman" w:cs="Times New Roman"/>
          <w:b/>
          <w:bCs/>
          <w:color w:val="000000" w:themeColor="text1"/>
          <w:sz w:val="24"/>
          <w:szCs w:val="24"/>
        </w:rPr>
        <w:t>b</w:t>
      </w:r>
      <w:r w:rsidRPr="002657D1">
        <w:rPr>
          <w:rFonts w:ascii="Times New Roman" w:hAnsi="Times New Roman" w:cs="Times New Roman"/>
          <w:b/>
          <w:bCs/>
          <w:color w:val="000000" w:themeColor="text1"/>
          <w:sz w:val="24"/>
          <w:szCs w:val="24"/>
        </w:rPr>
        <w:t>-c and e-f</w:t>
      </w:r>
      <w:r w:rsidRPr="002657D1">
        <w:rPr>
          <w:rFonts w:ascii="Times New Roman" w:hAnsi="Times New Roman" w:cs="Times New Roman"/>
          <w:color w:val="000000" w:themeColor="text1"/>
          <w:sz w:val="24"/>
          <w:szCs w:val="24"/>
        </w:rPr>
        <w:t>).</w:t>
      </w:r>
      <w:r w:rsidR="00311325" w:rsidRPr="002657D1">
        <w:rPr>
          <w:rFonts w:ascii="Times New Roman" w:hAnsi="Times New Roman" w:cs="Times New Roman"/>
          <w:color w:val="000000" w:themeColor="text1"/>
          <w:sz w:val="24"/>
          <w:szCs w:val="24"/>
        </w:rPr>
        <w:t xml:space="preserve"> It is worth noting that the discrepancies in energy barrier between the CINEB and BVSE results arise from the intrinsic differences between the two approaches: CINEB provides accurate energy barriers based on DFT calculations along well-defined migration paths, whereas BVSE offers </w:t>
      </w:r>
      <w:r w:rsidR="00285CB3" w:rsidRPr="002657D1">
        <w:rPr>
          <w:rFonts w:ascii="Times New Roman" w:hAnsi="Times New Roman" w:cs="Times New Roman"/>
          <w:color w:val="000000" w:themeColor="text1"/>
          <w:sz w:val="24"/>
          <w:szCs w:val="24"/>
        </w:rPr>
        <w:t xml:space="preserve">a </w:t>
      </w:r>
      <w:r w:rsidR="00311325" w:rsidRPr="002657D1">
        <w:rPr>
          <w:rFonts w:ascii="Times New Roman" w:hAnsi="Times New Roman" w:cs="Times New Roman"/>
          <w:color w:val="000000" w:themeColor="text1"/>
          <w:sz w:val="24"/>
          <w:szCs w:val="24"/>
        </w:rPr>
        <w:t>rapid, semi-empirical estimation of the ionic migration landscape</w:t>
      </w:r>
      <w:r w:rsidR="00996E08" w:rsidRPr="002657D1">
        <w:rPr>
          <w:rFonts w:ascii="Times New Roman" w:hAnsi="Times New Roman" w:cs="Times New Roman"/>
          <w:color w:val="000000" w:themeColor="text1"/>
          <w:sz w:val="24"/>
          <w:szCs w:val="24"/>
        </w:rPr>
        <w:t>.</w:t>
      </w:r>
      <w:r w:rsidR="00C23DE6" w:rsidRPr="002657D1">
        <w:rPr>
          <w:color w:val="000000" w:themeColor="text1"/>
          <w:sz w:val="24"/>
          <w:szCs w:val="24"/>
        </w:rPr>
        <w:br w:type="page"/>
      </w:r>
    </w:p>
    <w:p w14:paraId="6118F408" w14:textId="18B2CF9F" w:rsidR="005A324E" w:rsidRPr="002657D1" w:rsidRDefault="00757387" w:rsidP="00130914">
      <w:pPr>
        <w:widowControl/>
        <w:jc w:val="center"/>
        <w:rPr>
          <w:rFonts w:hint="eastAsia"/>
          <w:color w:val="000000" w:themeColor="text1"/>
        </w:rPr>
      </w:pPr>
      <w:r w:rsidRPr="002657D1">
        <w:rPr>
          <w:rFonts w:hint="eastAsia"/>
          <w:noProof/>
          <w:color w:val="000000" w:themeColor="text1"/>
        </w:rPr>
        <w:lastRenderedPageBreak/>
        <w:t xml:space="preserve"> </w:t>
      </w:r>
      <w:r w:rsidRPr="002657D1">
        <w:rPr>
          <w:rFonts w:hint="eastAsia"/>
          <w:noProof/>
          <w:color w:val="000000" w:themeColor="text1"/>
        </w:rPr>
        <w:drawing>
          <wp:inline distT="0" distB="0" distL="0" distR="0" wp14:anchorId="0A6F9D64" wp14:editId="76F5BE6C">
            <wp:extent cx="2571328" cy="2160000"/>
            <wp:effectExtent l="0" t="0" r="0" b="0"/>
            <wp:docPr id="2347035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703527" name="图片 234703527"/>
                    <pic:cNvPicPr/>
                  </pic:nvPicPr>
                  <pic:blipFill>
                    <a:blip r:embed="rId38"/>
                    <a:stretch>
                      <a:fillRect/>
                    </a:stretch>
                  </pic:blipFill>
                  <pic:spPr>
                    <a:xfrm>
                      <a:off x="0" y="0"/>
                      <a:ext cx="2571328" cy="2160000"/>
                    </a:xfrm>
                    <a:prstGeom prst="rect">
                      <a:avLst/>
                    </a:prstGeom>
                  </pic:spPr>
                </pic:pic>
              </a:graphicData>
            </a:graphic>
          </wp:inline>
        </w:drawing>
      </w:r>
    </w:p>
    <w:p w14:paraId="612FA9A1" w14:textId="188ACBA4" w:rsidR="008A3B01" w:rsidRPr="002657D1" w:rsidRDefault="00126349" w:rsidP="008A3B01">
      <w:pPr>
        <w:widowControl/>
        <w:spacing w:line="360" w:lineRule="auto"/>
        <w:rPr>
          <w:rFonts w:ascii="Times New Roman" w:eastAsia="等线" w:hAnsi="Times New Roman" w:cs="Times New Roman"/>
          <w:b/>
          <w:bCs/>
          <w:color w:val="000000" w:themeColor="text1"/>
          <w:kern w:val="24"/>
          <w:sz w:val="24"/>
          <w:szCs w:val="24"/>
        </w:rPr>
      </w:pPr>
      <w:r w:rsidRPr="002657D1">
        <w:rPr>
          <w:rFonts w:ascii="Times New Roman" w:eastAsia="等线" w:hAnsi="Times New Roman" w:cs="Times New Roman"/>
          <w:b/>
          <w:bCs/>
          <w:color w:val="000000" w:themeColor="text1"/>
          <w:kern w:val="24"/>
          <w:sz w:val="24"/>
          <w:szCs w:val="24"/>
        </w:rPr>
        <w:t xml:space="preserve">Supplementary Fig. </w:t>
      </w:r>
      <w:r w:rsidR="00B64FB2" w:rsidRPr="002657D1">
        <w:rPr>
          <w:rFonts w:ascii="Times New Roman" w:eastAsia="等线" w:hAnsi="Times New Roman" w:cs="Times New Roman" w:hint="eastAsia"/>
          <w:b/>
          <w:bCs/>
          <w:color w:val="000000" w:themeColor="text1"/>
          <w:kern w:val="24"/>
          <w:sz w:val="24"/>
          <w:szCs w:val="24"/>
        </w:rPr>
        <w:t>24</w:t>
      </w:r>
      <w:r w:rsidR="00B64FB2" w:rsidRPr="002657D1">
        <w:rPr>
          <w:rFonts w:ascii="Times New Roman" w:eastAsia="等线" w:hAnsi="Times New Roman" w:cs="Times New Roman"/>
          <w:b/>
          <w:bCs/>
          <w:color w:val="000000" w:themeColor="text1"/>
          <w:kern w:val="24"/>
          <w:sz w:val="24"/>
          <w:szCs w:val="24"/>
        </w:rPr>
        <w:t xml:space="preserve"> </w:t>
      </w:r>
      <w:r w:rsidRPr="002657D1">
        <w:rPr>
          <w:rFonts w:ascii="Times New Roman" w:eastAsia="等线" w:hAnsi="Times New Roman" w:cs="Times New Roman"/>
          <w:b/>
          <w:bCs/>
          <w:color w:val="000000" w:themeColor="text1"/>
          <w:kern w:val="24"/>
          <w:sz w:val="24"/>
          <w:szCs w:val="24"/>
        </w:rPr>
        <w:t xml:space="preserve">| </w:t>
      </w:r>
      <w:r w:rsidR="008A3B01" w:rsidRPr="002657D1">
        <w:rPr>
          <w:rFonts w:ascii="Times New Roman" w:eastAsia="等线" w:hAnsi="Times New Roman" w:cs="Times New Roman" w:hint="eastAsia"/>
          <w:color w:val="000000" w:themeColor="text1"/>
          <w:kern w:val="24"/>
          <w:sz w:val="24"/>
          <w:szCs w:val="24"/>
        </w:rPr>
        <w:t>Comparison of bond lengths of Ti-Cl, Zr-Cl, Ti-F, and Zr-F.</w:t>
      </w:r>
      <w:r w:rsidR="008A3B01" w:rsidRPr="002657D1">
        <w:rPr>
          <w:rFonts w:ascii="Times New Roman" w:eastAsia="等线" w:hAnsi="Times New Roman" w:cs="Times New Roman" w:hint="eastAsia"/>
          <w:b/>
          <w:bCs/>
          <w:color w:val="000000" w:themeColor="text1"/>
          <w:kern w:val="24"/>
          <w:sz w:val="24"/>
          <w:szCs w:val="24"/>
        </w:rPr>
        <w:t xml:space="preserve"> </w:t>
      </w:r>
    </w:p>
    <w:p w14:paraId="3B66281C" w14:textId="267397F0" w:rsidR="005A324E" w:rsidRPr="002657D1" w:rsidRDefault="008A3B01" w:rsidP="00130914">
      <w:pPr>
        <w:widowControl/>
        <w:spacing w:line="360" w:lineRule="auto"/>
        <w:rPr>
          <w:rFonts w:ascii="Times New Roman" w:eastAsia="等线" w:hAnsi="Times New Roman" w:cs="Times New Roman"/>
          <w:b/>
          <w:bCs/>
          <w:color w:val="000000" w:themeColor="text1"/>
          <w:kern w:val="24"/>
          <w:sz w:val="24"/>
          <w:szCs w:val="24"/>
        </w:rPr>
      </w:pPr>
      <w:r w:rsidRPr="002657D1">
        <w:rPr>
          <w:rFonts w:ascii="Times New Roman" w:hAnsi="Times New Roman" w:cs="Times New Roman"/>
          <w:b/>
          <w:bCs/>
          <w:color w:val="000000" w:themeColor="text1"/>
          <w:sz w:val="24"/>
          <w:szCs w:val="24"/>
        </w:rPr>
        <w:t xml:space="preserve">Discussion: </w:t>
      </w:r>
      <w:r w:rsidR="00126349" w:rsidRPr="002657D1">
        <w:rPr>
          <w:rFonts w:ascii="Times New Roman" w:hAnsi="Times New Roman" w:cs="Times New Roman"/>
          <w:color w:val="000000" w:themeColor="text1"/>
          <w:kern w:val="24"/>
          <w:sz w:val="24"/>
          <w:szCs w:val="24"/>
        </w:rPr>
        <w:t>After relaxation, doping-induced structural modifications were observed: the Zr</w:t>
      </w:r>
      <w:r w:rsidR="002657D1">
        <w:rPr>
          <w:rFonts w:ascii="Times New Roman" w:hAnsi="Times New Roman" w:cs="Times New Roman" w:hint="eastAsia"/>
          <w:color w:val="000000" w:themeColor="text1"/>
          <w:kern w:val="24"/>
          <w:sz w:val="24"/>
          <w:szCs w:val="24"/>
        </w:rPr>
        <w:t>-</w:t>
      </w:r>
      <w:r w:rsidR="00126349" w:rsidRPr="002657D1">
        <w:rPr>
          <w:rFonts w:ascii="Times New Roman" w:hAnsi="Times New Roman" w:cs="Times New Roman"/>
          <w:color w:val="000000" w:themeColor="text1"/>
          <w:kern w:val="24"/>
          <w:sz w:val="24"/>
          <w:szCs w:val="24"/>
        </w:rPr>
        <w:t>Cl bond length shortens from 2.49 Å to 2.</w:t>
      </w:r>
      <w:r w:rsidR="00E345B5" w:rsidRPr="002657D1">
        <w:rPr>
          <w:rFonts w:ascii="Times New Roman" w:hAnsi="Times New Roman" w:cs="Times New Roman" w:hint="eastAsia"/>
          <w:color w:val="000000" w:themeColor="text1"/>
          <w:kern w:val="24"/>
          <w:sz w:val="24"/>
          <w:szCs w:val="24"/>
        </w:rPr>
        <w:t>41</w:t>
      </w:r>
      <w:r w:rsidR="00126349" w:rsidRPr="002657D1">
        <w:rPr>
          <w:rFonts w:ascii="Times New Roman" w:hAnsi="Times New Roman" w:cs="Times New Roman"/>
          <w:color w:val="000000" w:themeColor="text1"/>
          <w:kern w:val="24"/>
          <w:sz w:val="24"/>
          <w:szCs w:val="24"/>
        </w:rPr>
        <w:t xml:space="preserve"> Å upon substitution of </w:t>
      </w:r>
      <w:r w:rsidR="00E345B5" w:rsidRPr="002657D1">
        <w:rPr>
          <w:rFonts w:ascii="Times New Roman" w:hAnsi="Times New Roman" w:cs="Times New Roman" w:hint="eastAsia"/>
          <w:color w:val="000000" w:themeColor="text1"/>
          <w:kern w:val="24"/>
          <w:sz w:val="24"/>
          <w:szCs w:val="24"/>
        </w:rPr>
        <w:t>Ti with Zr</w:t>
      </w:r>
      <w:r w:rsidR="00285CB3" w:rsidRPr="002657D1">
        <w:rPr>
          <w:rFonts w:ascii="Times New Roman" w:hAnsi="Times New Roman" w:cs="Times New Roman"/>
          <w:color w:val="000000" w:themeColor="text1"/>
          <w:kern w:val="24"/>
          <w:sz w:val="24"/>
          <w:szCs w:val="24"/>
        </w:rPr>
        <w:t>,</w:t>
      </w:r>
      <w:r w:rsidR="00285CB3" w:rsidRPr="002657D1">
        <w:rPr>
          <w:rFonts w:ascii="Times New Roman" w:hAnsi="Times New Roman" w:cs="Times New Roman" w:hint="eastAsia"/>
          <w:color w:val="000000" w:themeColor="text1"/>
          <w:kern w:val="24"/>
          <w:sz w:val="24"/>
          <w:szCs w:val="24"/>
        </w:rPr>
        <w:t xml:space="preserve"> </w:t>
      </w:r>
      <w:r w:rsidR="00E345B5" w:rsidRPr="002657D1">
        <w:rPr>
          <w:rFonts w:ascii="Times New Roman" w:hAnsi="Times New Roman" w:cs="Times New Roman"/>
          <w:color w:val="000000" w:themeColor="text1"/>
          <w:kern w:val="24"/>
          <w:sz w:val="24"/>
          <w:szCs w:val="24"/>
        </w:rPr>
        <w:t xml:space="preserve">and further decreases to </w:t>
      </w:r>
      <w:r w:rsidR="00E345B5" w:rsidRPr="002657D1">
        <w:rPr>
          <w:rFonts w:ascii="Times New Roman" w:hAnsi="Times New Roman" w:cs="Times New Roman" w:hint="eastAsia"/>
          <w:color w:val="000000" w:themeColor="text1"/>
          <w:kern w:val="24"/>
          <w:sz w:val="24"/>
          <w:szCs w:val="24"/>
        </w:rPr>
        <w:t xml:space="preserve">2.05 </w:t>
      </w:r>
      <w:r w:rsidR="00E345B5" w:rsidRPr="002657D1">
        <w:rPr>
          <w:rFonts w:ascii="Times New Roman" w:hAnsi="Times New Roman" w:cs="Times New Roman"/>
          <w:color w:val="000000" w:themeColor="text1"/>
          <w:kern w:val="24"/>
          <w:sz w:val="24"/>
          <w:szCs w:val="24"/>
        </w:rPr>
        <w:t>Å</w:t>
      </w:r>
      <w:r w:rsidR="00E345B5" w:rsidRPr="002657D1">
        <w:rPr>
          <w:rFonts w:ascii="Times New Roman" w:hAnsi="Times New Roman" w:cs="Times New Roman" w:hint="eastAsia"/>
          <w:color w:val="000000" w:themeColor="text1"/>
          <w:kern w:val="24"/>
          <w:sz w:val="24"/>
          <w:szCs w:val="24"/>
        </w:rPr>
        <w:t xml:space="preserve"> when Cl </w:t>
      </w:r>
      <w:r w:rsidR="00E345B5" w:rsidRPr="002657D1">
        <w:rPr>
          <w:rFonts w:ascii="Times New Roman" w:hAnsi="Times New Roman" w:cs="Times New Roman"/>
          <w:color w:val="000000" w:themeColor="text1"/>
          <w:kern w:val="24"/>
          <w:sz w:val="24"/>
          <w:szCs w:val="24"/>
        </w:rPr>
        <w:t>is substituted by</w:t>
      </w:r>
      <w:r w:rsidR="00E345B5" w:rsidRPr="002657D1">
        <w:rPr>
          <w:rFonts w:ascii="Times New Roman" w:hAnsi="Times New Roman" w:cs="Times New Roman" w:hint="eastAsia"/>
          <w:color w:val="000000" w:themeColor="text1"/>
          <w:kern w:val="24"/>
          <w:sz w:val="24"/>
          <w:szCs w:val="24"/>
        </w:rPr>
        <w:t xml:space="preserve"> F. </w:t>
      </w:r>
      <w:r w:rsidR="00E345B5" w:rsidRPr="002657D1">
        <w:rPr>
          <w:rFonts w:ascii="Times New Roman" w:hAnsi="Times New Roman" w:cs="Times New Roman"/>
          <w:color w:val="000000" w:themeColor="text1"/>
          <w:kern w:val="24"/>
          <w:sz w:val="24"/>
          <w:szCs w:val="24"/>
        </w:rPr>
        <w:t>Additionally,</w:t>
      </w:r>
      <w:r w:rsidR="00E345B5" w:rsidRPr="002657D1">
        <w:rPr>
          <w:rFonts w:ascii="Times New Roman" w:hAnsi="Times New Roman" w:cs="Times New Roman" w:hint="eastAsia"/>
          <w:color w:val="000000" w:themeColor="text1"/>
          <w:kern w:val="24"/>
          <w:sz w:val="24"/>
          <w:szCs w:val="24"/>
        </w:rPr>
        <w:t xml:space="preserve"> the Zr-F </w:t>
      </w:r>
      <w:r w:rsidR="00E345B5" w:rsidRPr="002657D1">
        <w:rPr>
          <w:rFonts w:ascii="Times New Roman" w:hAnsi="Times New Roman" w:cs="Times New Roman"/>
          <w:color w:val="000000" w:themeColor="text1"/>
          <w:kern w:val="24"/>
          <w:sz w:val="24"/>
          <w:szCs w:val="24"/>
        </w:rPr>
        <w:t xml:space="preserve">bond length shortens from </w:t>
      </w:r>
      <w:r w:rsidR="00E345B5" w:rsidRPr="002657D1">
        <w:rPr>
          <w:rFonts w:ascii="Times New Roman" w:hAnsi="Times New Roman" w:cs="Times New Roman" w:hint="eastAsia"/>
          <w:color w:val="000000" w:themeColor="text1"/>
          <w:kern w:val="24"/>
          <w:sz w:val="24"/>
          <w:szCs w:val="24"/>
        </w:rPr>
        <w:t xml:space="preserve">2.05 </w:t>
      </w:r>
      <w:r w:rsidR="00E345B5" w:rsidRPr="002657D1">
        <w:rPr>
          <w:rFonts w:ascii="Times New Roman" w:hAnsi="Times New Roman" w:cs="Times New Roman"/>
          <w:color w:val="000000" w:themeColor="text1"/>
          <w:kern w:val="24"/>
          <w:sz w:val="24"/>
          <w:szCs w:val="24"/>
        </w:rPr>
        <w:t>Å</w:t>
      </w:r>
      <w:r w:rsidR="00E345B5" w:rsidRPr="002657D1">
        <w:rPr>
          <w:rFonts w:ascii="Times New Roman" w:hAnsi="Times New Roman" w:cs="Times New Roman" w:hint="eastAsia"/>
          <w:color w:val="000000" w:themeColor="text1"/>
          <w:kern w:val="24"/>
          <w:sz w:val="24"/>
          <w:szCs w:val="24"/>
        </w:rPr>
        <w:t xml:space="preserve"> to 1.97 </w:t>
      </w:r>
      <w:r w:rsidR="00E345B5" w:rsidRPr="002657D1">
        <w:rPr>
          <w:rFonts w:ascii="Times New Roman" w:hAnsi="Times New Roman" w:cs="Times New Roman"/>
          <w:color w:val="000000" w:themeColor="text1"/>
          <w:kern w:val="24"/>
          <w:sz w:val="24"/>
          <w:szCs w:val="24"/>
        </w:rPr>
        <w:t>Å</w:t>
      </w:r>
      <w:r w:rsidR="00E345B5" w:rsidRPr="002657D1">
        <w:rPr>
          <w:rFonts w:ascii="Times New Roman" w:hAnsi="Times New Roman" w:cs="Times New Roman" w:hint="eastAsia"/>
          <w:color w:val="000000" w:themeColor="text1"/>
          <w:kern w:val="24"/>
          <w:sz w:val="24"/>
          <w:szCs w:val="24"/>
        </w:rPr>
        <w:t xml:space="preserve"> </w:t>
      </w:r>
      <w:r w:rsidR="00E345B5" w:rsidRPr="002657D1">
        <w:rPr>
          <w:rFonts w:ascii="Times New Roman" w:hAnsi="Times New Roman" w:cs="Times New Roman"/>
          <w:color w:val="000000" w:themeColor="text1"/>
          <w:kern w:val="24"/>
          <w:sz w:val="24"/>
          <w:szCs w:val="24"/>
        </w:rPr>
        <w:t xml:space="preserve">following substitution of </w:t>
      </w:r>
      <w:r w:rsidR="00E345B5" w:rsidRPr="002657D1">
        <w:rPr>
          <w:rFonts w:ascii="Times New Roman" w:hAnsi="Times New Roman" w:cs="Times New Roman" w:hint="eastAsia"/>
          <w:color w:val="000000" w:themeColor="text1"/>
          <w:kern w:val="24"/>
          <w:sz w:val="24"/>
          <w:szCs w:val="24"/>
        </w:rPr>
        <w:t>Zr</w:t>
      </w:r>
      <w:r w:rsidR="00E345B5" w:rsidRPr="002657D1">
        <w:rPr>
          <w:rFonts w:ascii="Times New Roman" w:hAnsi="Times New Roman" w:cs="Times New Roman"/>
          <w:color w:val="000000" w:themeColor="text1"/>
          <w:kern w:val="24"/>
          <w:sz w:val="24"/>
          <w:szCs w:val="24"/>
        </w:rPr>
        <w:t xml:space="preserve"> with </w:t>
      </w:r>
      <w:r w:rsidR="00E345B5" w:rsidRPr="002657D1">
        <w:rPr>
          <w:rFonts w:ascii="Times New Roman" w:hAnsi="Times New Roman" w:cs="Times New Roman" w:hint="eastAsia"/>
          <w:color w:val="000000" w:themeColor="text1"/>
          <w:kern w:val="24"/>
          <w:sz w:val="24"/>
          <w:szCs w:val="24"/>
        </w:rPr>
        <w:t>Ti</w:t>
      </w:r>
      <w:r w:rsidR="00E345B5" w:rsidRPr="002657D1">
        <w:rPr>
          <w:rFonts w:ascii="Times New Roman" w:hAnsi="Times New Roman" w:cs="Times New Roman"/>
          <w:color w:val="000000" w:themeColor="text1"/>
          <w:kern w:val="24"/>
          <w:sz w:val="24"/>
          <w:szCs w:val="24"/>
        </w:rPr>
        <w:t>.</w:t>
      </w:r>
      <w:r w:rsidR="005A324E" w:rsidRPr="002657D1">
        <w:rPr>
          <w:rFonts w:hint="eastAsia"/>
          <w:color w:val="000000" w:themeColor="text1"/>
          <w:sz w:val="24"/>
          <w:szCs w:val="24"/>
        </w:rPr>
        <w:br w:type="page"/>
      </w:r>
    </w:p>
    <w:p w14:paraId="297B8C8B" w14:textId="5DD9EB56" w:rsidR="00CC4210" w:rsidRPr="002657D1" w:rsidRDefault="00EF3B09" w:rsidP="00EF3B09">
      <w:pPr>
        <w:widowControl/>
        <w:spacing w:before="120" w:afterLines="50" w:after="156"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noProof/>
          <w:color w:val="000000" w:themeColor="text1"/>
          <w:sz w:val="24"/>
          <w:szCs w:val="24"/>
        </w:rPr>
        <w:lastRenderedPageBreak/>
        <w:drawing>
          <wp:inline distT="0" distB="0" distL="0" distR="0" wp14:anchorId="7745DE61" wp14:editId="6516A7FE">
            <wp:extent cx="4305374" cy="7635711"/>
            <wp:effectExtent l="0" t="0" r="0" b="0"/>
            <wp:docPr id="57677429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25123" cy="7670736"/>
                    </a:xfrm>
                    <a:prstGeom prst="rect">
                      <a:avLst/>
                    </a:prstGeom>
                    <a:noFill/>
                  </pic:spPr>
                </pic:pic>
              </a:graphicData>
            </a:graphic>
          </wp:inline>
        </w:drawing>
      </w:r>
    </w:p>
    <w:p w14:paraId="73269C62" w14:textId="5E887FC9" w:rsidR="00C17C77" w:rsidRPr="002657D1" w:rsidRDefault="002B314A" w:rsidP="00D21E84">
      <w:pPr>
        <w:pStyle w:val="ac"/>
        <w:spacing w:before="0" w:beforeAutospacing="0" w:after="0" w:afterAutospacing="0" w:line="360" w:lineRule="auto"/>
        <w:jc w:val="both"/>
        <w:rPr>
          <w:rFonts w:ascii="Times New Roman" w:hAnsi="Times New Roman" w:cs="Times New Roman"/>
          <w:color w:val="000000" w:themeColor="text1"/>
        </w:rPr>
      </w:pPr>
      <w:r w:rsidRPr="002657D1">
        <w:rPr>
          <w:rFonts w:ascii="Times New Roman" w:eastAsia="等线" w:hAnsi="Times New Roman" w:cs="Times New Roman"/>
          <w:b/>
          <w:bCs/>
          <w:color w:val="000000" w:themeColor="text1"/>
          <w:kern w:val="24"/>
        </w:rPr>
        <w:t xml:space="preserve">Supplementary Fig. </w:t>
      </w:r>
      <w:r w:rsidR="00B64FB2" w:rsidRPr="002657D1">
        <w:rPr>
          <w:rFonts w:ascii="Times New Roman" w:eastAsia="等线" w:hAnsi="Times New Roman" w:cs="Times New Roman"/>
          <w:b/>
          <w:bCs/>
          <w:color w:val="000000" w:themeColor="text1"/>
          <w:kern w:val="24"/>
        </w:rPr>
        <w:t>2</w:t>
      </w:r>
      <w:r w:rsidR="00B64FB2" w:rsidRPr="002657D1">
        <w:rPr>
          <w:rFonts w:ascii="Times New Roman" w:eastAsia="等线" w:hAnsi="Times New Roman" w:cs="Times New Roman" w:hint="eastAsia"/>
          <w:b/>
          <w:bCs/>
          <w:color w:val="000000" w:themeColor="text1"/>
          <w:kern w:val="24"/>
        </w:rPr>
        <w:t>5</w:t>
      </w:r>
      <w:r w:rsidR="00B64FB2" w:rsidRPr="002657D1">
        <w:rPr>
          <w:rFonts w:ascii="Times New Roman" w:eastAsia="等线" w:hAnsi="Times New Roman" w:cs="Times New Roman"/>
          <w:b/>
          <w:bCs/>
          <w:color w:val="000000" w:themeColor="text1"/>
          <w:kern w:val="24"/>
        </w:rPr>
        <w:t xml:space="preserve"> </w:t>
      </w:r>
      <w:r w:rsidRPr="002657D1">
        <w:rPr>
          <w:rFonts w:ascii="Times New Roman" w:eastAsia="等线" w:hAnsi="Times New Roman" w:cs="Times New Roman"/>
          <w:b/>
          <w:bCs/>
          <w:color w:val="000000" w:themeColor="text1"/>
          <w:kern w:val="24"/>
        </w:rPr>
        <w:t xml:space="preserve">| a-d </w:t>
      </w:r>
      <w:r w:rsidRPr="002657D1">
        <w:rPr>
          <w:rFonts w:ascii="Times New Roman" w:eastAsia="等线" w:hAnsi="Times New Roman" w:cs="Times New Roman"/>
          <w:color w:val="000000" w:themeColor="text1"/>
          <w:kern w:val="24"/>
        </w:rPr>
        <w:t>2D plot of the electron localization function (ELF) for LZC (</w:t>
      </w:r>
      <w:r w:rsidRPr="002657D1">
        <w:rPr>
          <w:rFonts w:ascii="Times New Roman" w:eastAsia="等线" w:hAnsi="Times New Roman" w:cs="Times New Roman"/>
          <w:b/>
          <w:bCs/>
          <w:color w:val="000000" w:themeColor="text1"/>
          <w:kern w:val="24"/>
        </w:rPr>
        <w:t>a</w:t>
      </w:r>
      <w:r w:rsidRPr="002657D1">
        <w:rPr>
          <w:rFonts w:ascii="Times New Roman" w:eastAsia="等线" w:hAnsi="Times New Roman" w:cs="Times New Roman"/>
          <w:color w:val="000000" w:themeColor="text1"/>
          <w:kern w:val="24"/>
        </w:rPr>
        <w:t>), LZC-</w:t>
      </w:r>
      <w:r w:rsidR="009B5083" w:rsidRPr="002657D1">
        <w:rPr>
          <w:rFonts w:ascii="Times New Roman" w:eastAsia="等线" w:hAnsi="Times New Roman" w:cs="Times New Roman" w:hint="eastAsia"/>
          <w:color w:val="000000" w:themeColor="text1"/>
          <w:kern w:val="24"/>
        </w:rPr>
        <w:t>3</w:t>
      </w:r>
      <w:r w:rsidR="009B5083" w:rsidRPr="002657D1">
        <w:rPr>
          <w:rFonts w:ascii="Times New Roman" w:eastAsia="等线" w:hAnsi="Times New Roman" w:cs="Times New Roman"/>
          <w:color w:val="000000" w:themeColor="text1"/>
          <w:kern w:val="24"/>
        </w:rPr>
        <w:t xml:space="preserve">0F </w:t>
      </w:r>
      <w:r w:rsidRPr="002657D1">
        <w:rPr>
          <w:rFonts w:ascii="Times New Roman" w:eastAsia="等线" w:hAnsi="Times New Roman" w:cs="Times New Roman"/>
          <w:color w:val="000000" w:themeColor="text1"/>
          <w:kern w:val="24"/>
        </w:rPr>
        <w:t>(</w:t>
      </w:r>
      <w:r w:rsidRPr="002657D1">
        <w:rPr>
          <w:rFonts w:ascii="Times New Roman" w:eastAsia="等线" w:hAnsi="Times New Roman" w:cs="Times New Roman"/>
          <w:b/>
          <w:bCs/>
          <w:color w:val="000000" w:themeColor="text1"/>
          <w:kern w:val="24"/>
        </w:rPr>
        <w:t>b</w:t>
      </w:r>
      <w:r w:rsidRPr="002657D1">
        <w:rPr>
          <w:rFonts w:ascii="Times New Roman" w:eastAsia="等线" w:hAnsi="Times New Roman" w:cs="Times New Roman"/>
          <w:color w:val="000000" w:themeColor="text1"/>
          <w:kern w:val="24"/>
        </w:rPr>
        <w:t>), LZC-10T (</w:t>
      </w:r>
      <w:r w:rsidRPr="002657D1">
        <w:rPr>
          <w:rFonts w:ascii="Times New Roman" w:eastAsia="等线" w:hAnsi="Times New Roman" w:cs="Times New Roman"/>
          <w:b/>
          <w:bCs/>
          <w:color w:val="000000" w:themeColor="text1"/>
          <w:kern w:val="24"/>
        </w:rPr>
        <w:t>c</w:t>
      </w:r>
      <w:r w:rsidRPr="002657D1">
        <w:rPr>
          <w:rFonts w:ascii="Times New Roman" w:eastAsia="等线" w:hAnsi="Times New Roman" w:cs="Times New Roman"/>
          <w:color w:val="000000" w:themeColor="text1"/>
          <w:kern w:val="24"/>
        </w:rPr>
        <w:t>), LZC-10TF (</w:t>
      </w:r>
      <w:r w:rsidRPr="002657D1">
        <w:rPr>
          <w:rFonts w:ascii="Times New Roman" w:eastAsia="等线" w:hAnsi="Times New Roman" w:cs="Times New Roman"/>
          <w:b/>
          <w:bCs/>
          <w:color w:val="000000" w:themeColor="text1"/>
          <w:kern w:val="24"/>
        </w:rPr>
        <w:t>d</w:t>
      </w:r>
      <w:r w:rsidRPr="002657D1">
        <w:rPr>
          <w:rFonts w:ascii="Times New Roman" w:eastAsia="等线" w:hAnsi="Times New Roman" w:cs="Times New Roman"/>
          <w:color w:val="000000" w:themeColor="text1"/>
          <w:kern w:val="24"/>
        </w:rPr>
        <w:t xml:space="preserve">) in the (001) plane, with a fractional coordinate of 0.5 along the </w:t>
      </w:r>
      <w:r w:rsidRPr="002657D1">
        <w:rPr>
          <w:rFonts w:ascii="Times New Roman" w:eastAsia="等线" w:hAnsi="Times New Roman" w:cs="Times New Roman"/>
          <w:i/>
          <w:iCs/>
          <w:color w:val="000000" w:themeColor="text1"/>
          <w:kern w:val="24"/>
        </w:rPr>
        <w:t>c</w:t>
      </w:r>
      <w:r w:rsidRPr="002657D1">
        <w:rPr>
          <w:rFonts w:ascii="Times New Roman" w:eastAsia="等线" w:hAnsi="Times New Roman" w:cs="Times New Roman"/>
          <w:color w:val="000000" w:themeColor="text1"/>
          <w:kern w:val="24"/>
        </w:rPr>
        <w:t xml:space="preserve">-axis. The blue color represents paired electrons, while red </w:t>
      </w:r>
      <w:r w:rsidRPr="002657D1">
        <w:rPr>
          <w:rFonts w:ascii="Times New Roman" w:eastAsia="等线" w:hAnsi="Times New Roman" w:cs="Times New Roman"/>
          <w:color w:val="000000" w:themeColor="text1"/>
          <w:kern w:val="24"/>
        </w:rPr>
        <w:lastRenderedPageBreak/>
        <w:t>indicates the absence of electrons. After atom substitution, the bond type remains ionic, indicating that the bonding nature between M-X (M = Zr, Ti, Li; X = Cl, F) remains unchanged.</w:t>
      </w:r>
      <w:r w:rsidR="00C17C77" w:rsidRPr="002657D1">
        <w:rPr>
          <w:rFonts w:ascii="Times New Roman" w:hAnsi="Times New Roman" w:cs="Times New Roman"/>
          <w:color w:val="000000" w:themeColor="text1"/>
        </w:rPr>
        <w:br w:type="page"/>
      </w:r>
    </w:p>
    <w:p w14:paraId="28F1087E" w14:textId="7D52FE73" w:rsidR="00C80592" w:rsidRPr="002657D1" w:rsidRDefault="00EF3B09" w:rsidP="00EF3B09">
      <w:pPr>
        <w:widowControl/>
        <w:spacing w:before="120" w:afterLines="50" w:after="156"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noProof/>
          <w:color w:val="000000" w:themeColor="text1"/>
          <w:sz w:val="24"/>
          <w:szCs w:val="24"/>
        </w:rPr>
        <w:lastRenderedPageBreak/>
        <w:drawing>
          <wp:inline distT="0" distB="0" distL="0" distR="0" wp14:anchorId="73F86F8B" wp14:editId="280914A7">
            <wp:extent cx="3883608" cy="3006022"/>
            <wp:effectExtent l="0" t="0" r="0" b="0"/>
            <wp:docPr id="1364343857" name="图片 4"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343857" name="图片 4" descr="图表, 散点图&#10;&#10;AI 生成的内容可能不正确。"/>
                    <pic:cNvPicPr/>
                  </pic:nvPicPr>
                  <pic:blipFill rotWithShape="1">
                    <a:blip r:embed="rId40"/>
                    <a:srcRect l="7418" t="313" r="18946"/>
                    <a:stretch>
                      <a:fillRect/>
                    </a:stretch>
                  </pic:blipFill>
                  <pic:spPr bwMode="auto">
                    <a:xfrm>
                      <a:off x="0" y="0"/>
                      <a:ext cx="3883821" cy="3006187"/>
                    </a:xfrm>
                    <a:prstGeom prst="rect">
                      <a:avLst/>
                    </a:prstGeom>
                    <a:ln>
                      <a:noFill/>
                    </a:ln>
                    <a:extLst>
                      <a:ext uri="{53640926-AAD7-44D8-BBD7-CCE9431645EC}">
                        <a14:shadowObscured xmlns:a14="http://schemas.microsoft.com/office/drawing/2010/main"/>
                      </a:ext>
                    </a:extLst>
                  </pic:spPr>
                </pic:pic>
              </a:graphicData>
            </a:graphic>
          </wp:inline>
        </w:drawing>
      </w:r>
    </w:p>
    <w:p w14:paraId="3F012220" w14:textId="39A5CF30" w:rsidR="00E47BD5" w:rsidRPr="002657D1" w:rsidRDefault="002B314A" w:rsidP="00D21E84">
      <w:pPr>
        <w:pStyle w:val="ac"/>
        <w:spacing w:before="0" w:beforeAutospacing="0" w:after="0" w:afterAutospacing="0" w:line="360" w:lineRule="auto"/>
        <w:jc w:val="both"/>
        <w:rPr>
          <w:rFonts w:ascii="Times New Roman" w:hAnsi="Times New Roman" w:cs="Times New Roman"/>
          <w:color w:val="000000" w:themeColor="text1"/>
        </w:rPr>
      </w:pPr>
      <w:r w:rsidRPr="002657D1">
        <w:rPr>
          <w:rFonts w:ascii="Times New Roman" w:eastAsia="等线" w:hAnsi="Times New Roman" w:cs="Times New Roman"/>
          <w:b/>
          <w:bCs/>
          <w:color w:val="000000" w:themeColor="text1"/>
          <w:kern w:val="24"/>
        </w:rPr>
        <w:t xml:space="preserve">Supplementary Fig. </w:t>
      </w:r>
      <w:r w:rsidR="00B64FB2" w:rsidRPr="002657D1">
        <w:rPr>
          <w:rFonts w:ascii="Times New Roman" w:eastAsia="等线" w:hAnsi="Times New Roman" w:cs="Times New Roman"/>
          <w:b/>
          <w:bCs/>
          <w:color w:val="000000" w:themeColor="text1"/>
          <w:kern w:val="24"/>
        </w:rPr>
        <w:t>2</w:t>
      </w:r>
      <w:r w:rsidR="00B64FB2" w:rsidRPr="002657D1">
        <w:rPr>
          <w:rFonts w:ascii="Times New Roman" w:eastAsia="等线" w:hAnsi="Times New Roman" w:cs="Times New Roman" w:hint="eastAsia"/>
          <w:b/>
          <w:bCs/>
          <w:color w:val="000000" w:themeColor="text1"/>
          <w:kern w:val="24"/>
        </w:rPr>
        <w:t>6</w:t>
      </w:r>
      <w:r w:rsidR="00B64FB2" w:rsidRPr="002657D1">
        <w:rPr>
          <w:rFonts w:ascii="Times New Roman" w:eastAsia="等线" w:hAnsi="Times New Roman" w:cs="Times New Roman"/>
          <w:b/>
          <w:bCs/>
          <w:color w:val="000000" w:themeColor="text1"/>
          <w:kern w:val="24"/>
        </w:rPr>
        <w:t xml:space="preserve"> </w:t>
      </w:r>
      <w:r w:rsidRPr="002657D1">
        <w:rPr>
          <w:rFonts w:ascii="Times New Roman" w:eastAsia="等线" w:hAnsi="Times New Roman" w:cs="Times New Roman"/>
          <w:b/>
          <w:bCs/>
          <w:color w:val="000000" w:themeColor="text1"/>
          <w:kern w:val="24"/>
        </w:rPr>
        <w:t>| a-d</w:t>
      </w:r>
      <w:r w:rsidRPr="002657D1">
        <w:rPr>
          <w:rFonts w:ascii="Times New Roman" w:eastAsia="等线" w:hAnsi="Times New Roman" w:cs="Times New Roman"/>
          <w:color w:val="000000" w:themeColor="text1"/>
          <w:kern w:val="24"/>
        </w:rPr>
        <w:t xml:space="preserve"> </w:t>
      </w:r>
      <w:r w:rsidR="00FF2D38" w:rsidRPr="002657D1">
        <w:rPr>
          <w:rFonts w:ascii="Times New Roman" w:eastAsia="等线" w:hAnsi="Times New Roman" w:cs="Times New Roman"/>
          <w:color w:val="000000" w:themeColor="text1"/>
          <w:kern w:val="24"/>
        </w:rPr>
        <w:t>PDOS</w:t>
      </w:r>
      <w:r w:rsidRPr="002657D1">
        <w:rPr>
          <w:rFonts w:ascii="Times New Roman" w:eastAsia="等线" w:hAnsi="Times New Roman" w:cs="Times New Roman"/>
          <w:color w:val="000000" w:themeColor="text1"/>
          <w:kern w:val="24"/>
        </w:rPr>
        <w:t xml:space="preserve"> plots for Li⁺ and the nearby anions are shown</w:t>
      </w:r>
      <w:r w:rsidR="009B5083" w:rsidRPr="002657D1">
        <w:rPr>
          <w:rFonts w:ascii="Times New Roman" w:eastAsia="等线" w:hAnsi="Times New Roman" w:cs="Times New Roman" w:hint="eastAsia"/>
          <w:color w:val="000000" w:themeColor="text1"/>
          <w:kern w:val="24"/>
        </w:rPr>
        <w:t>:</w:t>
      </w:r>
      <w:r w:rsidR="009B5083" w:rsidRPr="002657D1">
        <w:rPr>
          <w:rFonts w:ascii="Times New Roman" w:eastAsia="等线" w:hAnsi="Times New Roman" w:cs="Times New Roman"/>
          <w:color w:val="000000" w:themeColor="text1"/>
          <w:kern w:val="24"/>
        </w:rPr>
        <w:t xml:space="preserve"> LZC (</w:t>
      </w:r>
      <w:r w:rsidR="009B5083" w:rsidRPr="002657D1">
        <w:rPr>
          <w:rFonts w:ascii="Times New Roman" w:eastAsia="等线" w:hAnsi="Times New Roman" w:cs="Times New Roman"/>
          <w:b/>
          <w:bCs/>
          <w:color w:val="000000" w:themeColor="text1"/>
          <w:kern w:val="24"/>
        </w:rPr>
        <w:t>a</w:t>
      </w:r>
      <w:r w:rsidR="009B5083" w:rsidRPr="002657D1">
        <w:rPr>
          <w:rFonts w:ascii="Times New Roman" w:eastAsia="等线" w:hAnsi="Times New Roman" w:cs="Times New Roman"/>
          <w:color w:val="000000" w:themeColor="text1"/>
          <w:kern w:val="24"/>
        </w:rPr>
        <w:t>), LZC-10T (</w:t>
      </w:r>
      <w:r w:rsidR="009B5083" w:rsidRPr="002657D1">
        <w:rPr>
          <w:rFonts w:ascii="Times New Roman" w:eastAsia="等线" w:hAnsi="Times New Roman" w:cs="Times New Roman"/>
          <w:b/>
          <w:bCs/>
          <w:color w:val="000000" w:themeColor="text1"/>
          <w:kern w:val="24"/>
        </w:rPr>
        <w:t>b</w:t>
      </w:r>
      <w:r w:rsidR="009B5083" w:rsidRPr="002657D1">
        <w:rPr>
          <w:rFonts w:ascii="Times New Roman" w:eastAsia="等线" w:hAnsi="Times New Roman" w:cs="Times New Roman"/>
          <w:color w:val="000000" w:themeColor="text1"/>
          <w:kern w:val="24"/>
        </w:rPr>
        <w:t>), LZC-</w:t>
      </w:r>
      <w:r w:rsidR="009B5083" w:rsidRPr="002657D1">
        <w:rPr>
          <w:rFonts w:ascii="Times New Roman" w:eastAsia="等线" w:hAnsi="Times New Roman" w:cs="Times New Roman" w:hint="eastAsia"/>
          <w:color w:val="000000" w:themeColor="text1"/>
          <w:kern w:val="24"/>
        </w:rPr>
        <w:t>3</w:t>
      </w:r>
      <w:r w:rsidR="009B5083" w:rsidRPr="002657D1">
        <w:rPr>
          <w:rFonts w:ascii="Times New Roman" w:eastAsia="等线" w:hAnsi="Times New Roman" w:cs="Times New Roman"/>
          <w:color w:val="000000" w:themeColor="text1"/>
          <w:kern w:val="24"/>
        </w:rPr>
        <w:t>0F (</w:t>
      </w:r>
      <w:r w:rsidR="009B5083" w:rsidRPr="002657D1">
        <w:rPr>
          <w:rFonts w:ascii="Times New Roman" w:eastAsia="等线" w:hAnsi="Times New Roman" w:cs="Times New Roman"/>
          <w:b/>
          <w:bCs/>
          <w:color w:val="000000" w:themeColor="text1"/>
          <w:kern w:val="24"/>
        </w:rPr>
        <w:t>c</w:t>
      </w:r>
      <w:r w:rsidR="009B5083" w:rsidRPr="002657D1">
        <w:rPr>
          <w:rFonts w:ascii="Times New Roman" w:eastAsia="等线" w:hAnsi="Times New Roman" w:cs="Times New Roman"/>
          <w:color w:val="000000" w:themeColor="text1"/>
          <w:kern w:val="24"/>
        </w:rPr>
        <w:t>), LZC-10TF</w:t>
      </w:r>
      <w:r w:rsidR="009B5083" w:rsidRPr="002657D1">
        <w:rPr>
          <w:rFonts w:ascii="Times New Roman" w:eastAsia="等线" w:hAnsi="Times New Roman" w:cs="Times New Roman" w:hint="eastAsia"/>
          <w:color w:val="000000" w:themeColor="text1"/>
          <w:kern w:val="24"/>
        </w:rPr>
        <w:t xml:space="preserve"> (d)</w:t>
      </w:r>
      <w:r w:rsidRPr="002657D1">
        <w:rPr>
          <w:rFonts w:ascii="Times New Roman" w:eastAsia="等线" w:hAnsi="Times New Roman" w:cs="Times New Roman"/>
          <w:color w:val="000000" w:themeColor="text1"/>
          <w:kern w:val="24"/>
        </w:rPr>
        <w:t>. The overlapping regions represent hybridization peaks, which indicate the bond strength between Li⁺ and X (X = Cl, F). After substituting Cl with F, the hybridization peak becomes more pronounced and shifts to higher energy, suggesting that the interaction between Li⁺ and F is stronger. Upon substituting Zr with Ti, the peaks shift, reducing the overlap, which indicates a weaker interaction between Li⁺ and Cl. In LZC-10TF, the overlap is smaller than in LZC but larger than in LZC-</w:t>
      </w:r>
      <w:r w:rsidR="00C45CB7" w:rsidRPr="002657D1">
        <w:rPr>
          <w:rFonts w:ascii="Times New Roman" w:eastAsia="等线" w:hAnsi="Times New Roman" w:cs="Times New Roman" w:hint="eastAsia"/>
          <w:color w:val="000000" w:themeColor="text1"/>
          <w:kern w:val="24"/>
        </w:rPr>
        <w:t>3</w:t>
      </w:r>
      <w:r w:rsidRPr="002657D1">
        <w:rPr>
          <w:rFonts w:ascii="Times New Roman" w:eastAsia="等线" w:hAnsi="Times New Roman" w:cs="Times New Roman"/>
          <w:color w:val="000000" w:themeColor="text1"/>
          <w:kern w:val="24"/>
        </w:rPr>
        <w:t>0F.</w:t>
      </w:r>
      <w:r w:rsidR="00E47BD5" w:rsidRPr="002657D1">
        <w:rPr>
          <w:rFonts w:ascii="Times New Roman" w:hAnsi="Times New Roman" w:cs="Times New Roman"/>
          <w:color w:val="000000" w:themeColor="text1"/>
        </w:rPr>
        <w:br w:type="page"/>
      </w:r>
    </w:p>
    <w:p w14:paraId="364E5415" w14:textId="6273DC34" w:rsidR="00C80592" w:rsidRPr="002657D1" w:rsidRDefault="00EF3B09" w:rsidP="0025070B">
      <w:pPr>
        <w:widowControl/>
        <w:spacing w:before="120" w:afterLines="50" w:after="156"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noProof/>
          <w:color w:val="000000" w:themeColor="text1"/>
          <w:sz w:val="24"/>
          <w:szCs w:val="24"/>
        </w:rPr>
        <w:lastRenderedPageBreak/>
        <w:drawing>
          <wp:inline distT="0" distB="0" distL="0" distR="0" wp14:anchorId="11D39454" wp14:editId="4CF50E9A">
            <wp:extent cx="5274310" cy="1553845"/>
            <wp:effectExtent l="0" t="0" r="0" b="0"/>
            <wp:docPr id="367804183" name="图片 5" descr="图表, 直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804183" name="图片 5" descr="图表, 直方图&#10;&#10;AI 生成的内容可能不正确。"/>
                    <pic:cNvPicPr/>
                  </pic:nvPicPr>
                  <pic:blipFill>
                    <a:blip r:embed="rId41"/>
                    <a:stretch>
                      <a:fillRect/>
                    </a:stretch>
                  </pic:blipFill>
                  <pic:spPr>
                    <a:xfrm>
                      <a:off x="0" y="0"/>
                      <a:ext cx="5274310" cy="1553845"/>
                    </a:xfrm>
                    <a:prstGeom prst="rect">
                      <a:avLst/>
                    </a:prstGeom>
                  </pic:spPr>
                </pic:pic>
              </a:graphicData>
            </a:graphic>
          </wp:inline>
        </w:drawing>
      </w:r>
    </w:p>
    <w:p w14:paraId="70A5B91B" w14:textId="06807164" w:rsidR="00E47BD5" w:rsidRPr="002657D1" w:rsidRDefault="005448A8" w:rsidP="00D21E84">
      <w:pPr>
        <w:pStyle w:val="ac"/>
        <w:spacing w:before="0" w:beforeAutospacing="0" w:after="0" w:afterAutospacing="0" w:line="360" w:lineRule="auto"/>
        <w:jc w:val="both"/>
        <w:rPr>
          <w:rFonts w:ascii="Times New Roman" w:hAnsi="Times New Roman" w:cs="Times New Roman"/>
          <w:color w:val="000000" w:themeColor="text1"/>
        </w:rPr>
      </w:pPr>
      <w:r w:rsidRPr="002657D1">
        <w:rPr>
          <w:rFonts w:ascii="Times New Roman" w:eastAsia="等线" w:hAnsi="Times New Roman" w:cs="Times New Roman"/>
          <w:b/>
          <w:bCs/>
          <w:color w:val="000000" w:themeColor="text1"/>
          <w:kern w:val="2"/>
        </w:rPr>
        <w:t xml:space="preserve">Supplementary Fig. </w:t>
      </w:r>
      <w:r w:rsidR="00B64FB2" w:rsidRPr="002657D1">
        <w:rPr>
          <w:rFonts w:ascii="Times New Roman" w:eastAsia="等线" w:hAnsi="Times New Roman" w:cs="Times New Roman"/>
          <w:b/>
          <w:bCs/>
          <w:color w:val="000000" w:themeColor="text1"/>
          <w:kern w:val="2"/>
        </w:rPr>
        <w:t>2</w:t>
      </w:r>
      <w:r w:rsidR="00B64FB2" w:rsidRPr="002657D1">
        <w:rPr>
          <w:rFonts w:ascii="Times New Roman" w:eastAsia="等线" w:hAnsi="Times New Roman" w:cs="Times New Roman" w:hint="eastAsia"/>
          <w:b/>
          <w:bCs/>
          <w:color w:val="000000" w:themeColor="text1"/>
          <w:kern w:val="2"/>
        </w:rPr>
        <w:t>7</w:t>
      </w:r>
      <w:r w:rsidR="00B64FB2"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b/>
          <w:bCs/>
          <w:color w:val="000000" w:themeColor="text1"/>
          <w:kern w:val="2"/>
        </w:rPr>
        <w:t xml:space="preserve">| </w:t>
      </w:r>
      <w:proofErr w:type="spellStart"/>
      <w:proofErr w:type="gramStart"/>
      <w:r w:rsidRPr="002657D1">
        <w:rPr>
          <w:rFonts w:ascii="Times New Roman" w:eastAsia="等线" w:hAnsi="Times New Roman" w:cs="Times New Roman"/>
          <w:b/>
          <w:bCs/>
          <w:color w:val="000000" w:themeColor="text1"/>
          <w:kern w:val="2"/>
        </w:rPr>
        <w:t>a</w:t>
      </w:r>
      <w:r w:rsidRPr="002657D1">
        <w:rPr>
          <w:rFonts w:ascii="Times New Roman" w:eastAsia="等线" w:hAnsi="Times New Roman" w:cs="Times New Roman"/>
          <w:color w:val="000000" w:themeColor="text1"/>
          <w:kern w:val="2"/>
        </w:rPr>
        <w:t>,</w:t>
      </w:r>
      <w:r w:rsidRPr="002657D1">
        <w:rPr>
          <w:rFonts w:ascii="Times New Roman" w:eastAsia="等线" w:hAnsi="Times New Roman" w:cs="Times New Roman"/>
          <w:b/>
          <w:bCs/>
          <w:color w:val="000000" w:themeColor="text1"/>
          <w:kern w:val="2"/>
        </w:rPr>
        <w:t>b</w:t>
      </w:r>
      <w:proofErr w:type="spellEnd"/>
      <w:proofErr w:type="gramEnd"/>
      <w:r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color w:val="000000" w:themeColor="text1"/>
          <w:kern w:val="24"/>
        </w:rPr>
        <w:t>DC polarization curves of LZC (</w:t>
      </w:r>
      <w:r w:rsidRPr="002657D1">
        <w:rPr>
          <w:rFonts w:ascii="Times New Roman" w:eastAsia="等线" w:hAnsi="Times New Roman" w:cs="Times New Roman"/>
          <w:b/>
          <w:bCs/>
          <w:color w:val="000000" w:themeColor="text1"/>
          <w:kern w:val="24"/>
        </w:rPr>
        <w:t>a</w:t>
      </w:r>
      <w:r w:rsidRPr="002657D1">
        <w:rPr>
          <w:rFonts w:ascii="Times New Roman" w:eastAsia="等线" w:hAnsi="Times New Roman" w:cs="Times New Roman"/>
          <w:color w:val="000000" w:themeColor="text1"/>
          <w:kern w:val="24"/>
        </w:rPr>
        <w:t>) and LZC-10TF (</w:t>
      </w:r>
      <w:r w:rsidRPr="002657D1">
        <w:rPr>
          <w:rFonts w:ascii="Times New Roman" w:eastAsia="等线" w:hAnsi="Times New Roman" w:cs="Times New Roman"/>
          <w:b/>
          <w:bCs/>
          <w:color w:val="000000" w:themeColor="text1"/>
          <w:kern w:val="24"/>
        </w:rPr>
        <w:t>b</w:t>
      </w:r>
      <w:r w:rsidRPr="002657D1">
        <w:rPr>
          <w:rFonts w:ascii="Times New Roman" w:eastAsia="等线" w:hAnsi="Times New Roman" w:cs="Times New Roman"/>
          <w:color w:val="000000" w:themeColor="text1"/>
          <w:kern w:val="24"/>
        </w:rPr>
        <w:t xml:space="preserve">) using </w:t>
      </w:r>
      <w:r w:rsidR="00285CB3" w:rsidRPr="002657D1">
        <w:rPr>
          <w:rFonts w:ascii="Times New Roman" w:eastAsia="等线" w:hAnsi="Times New Roman" w:cs="Times New Roman"/>
          <w:color w:val="000000" w:themeColor="text1"/>
          <w:kern w:val="24"/>
        </w:rPr>
        <w:t xml:space="preserve">a </w:t>
      </w:r>
      <w:r w:rsidRPr="002657D1">
        <w:rPr>
          <w:rFonts w:ascii="Times New Roman" w:eastAsia="等线" w:hAnsi="Times New Roman" w:cs="Times New Roman"/>
          <w:color w:val="000000" w:themeColor="text1"/>
          <w:kern w:val="24"/>
        </w:rPr>
        <w:t>symmetric cell configuration with different voltage biases from 0.2 to 1 V.</w:t>
      </w:r>
      <w:r w:rsidRPr="002657D1">
        <w:rPr>
          <w:rFonts w:ascii="Times New Roman" w:eastAsia="等线" w:hAnsi="Times New Roman" w:cs="Times New Roman"/>
          <w:b/>
          <w:bCs/>
          <w:color w:val="000000" w:themeColor="text1"/>
          <w:kern w:val="2"/>
        </w:rPr>
        <w:t xml:space="preserve"> c</w:t>
      </w:r>
      <w:r w:rsidRPr="002657D1">
        <w:rPr>
          <w:rFonts w:ascii="Times New Roman" w:eastAsia="等线" w:hAnsi="Times New Roman" w:cs="Times New Roman"/>
          <w:color w:val="000000" w:themeColor="text1"/>
          <w:kern w:val="2"/>
        </w:rPr>
        <w:t xml:space="preserve"> </w:t>
      </w:r>
      <w:proofErr w:type="gramStart"/>
      <w:r w:rsidRPr="002657D1">
        <w:rPr>
          <w:rFonts w:ascii="Times New Roman" w:eastAsia="等线" w:hAnsi="Times New Roman" w:cs="Times New Roman"/>
          <w:color w:val="000000" w:themeColor="text1"/>
          <w:kern w:val="2"/>
        </w:rPr>
        <w:t>The</w:t>
      </w:r>
      <w:proofErr w:type="gramEnd"/>
      <w:r w:rsidRPr="002657D1">
        <w:rPr>
          <w:rFonts w:ascii="Times New Roman" w:eastAsia="等线" w:hAnsi="Times New Roman" w:cs="Times New Roman"/>
          <w:color w:val="000000" w:themeColor="text1"/>
          <w:kern w:val="2"/>
        </w:rPr>
        <w:t xml:space="preserve"> electronic conductivity comparison of LZC and LZC-10TF.</w:t>
      </w:r>
      <w:r w:rsidR="00E47BD5" w:rsidRPr="002657D1">
        <w:rPr>
          <w:rFonts w:ascii="Times New Roman" w:hAnsi="Times New Roman" w:cs="Times New Roman"/>
          <w:color w:val="000000" w:themeColor="text1"/>
        </w:rPr>
        <w:br w:type="page"/>
      </w:r>
    </w:p>
    <w:p w14:paraId="00D4638B" w14:textId="22D12703" w:rsidR="000703FE" w:rsidRPr="002657D1" w:rsidRDefault="00572D66" w:rsidP="00D9692C">
      <w:pPr>
        <w:widowControl/>
        <w:spacing w:before="120" w:afterLines="50" w:after="156"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noProof/>
          <w:color w:val="000000" w:themeColor="text1"/>
          <w:sz w:val="24"/>
          <w:szCs w:val="24"/>
        </w:rPr>
        <w:lastRenderedPageBreak/>
        <w:drawing>
          <wp:inline distT="0" distB="0" distL="0" distR="0" wp14:anchorId="006FCD1E" wp14:editId="1B249950">
            <wp:extent cx="5274310" cy="1527810"/>
            <wp:effectExtent l="0" t="0" r="0" b="0"/>
            <wp:docPr id="8054931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493119" name="图片 805493119"/>
                    <pic:cNvPicPr/>
                  </pic:nvPicPr>
                  <pic:blipFill>
                    <a:blip r:embed="rId42"/>
                    <a:stretch>
                      <a:fillRect/>
                    </a:stretch>
                  </pic:blipFill>
                  <pic:spPr>
                    <a:xfrm>
                      <a:off x="0" y="0"/>
                      <a:ext cx="5274310" cy="1527810"/>
                    </a:xfrm>
                    <a:prstGeom prst="rect">
                      <a:avLst/>
                    </a:prstGeom>
                  </pic:spPr>
                </pic:pic>
              </a:graphicData>
            </a:graphic>
          </wp:inline>
        </w:drawing>
      </w:r>
    </w:p>
    <w:p w14:paraId="4E98A256" w14:textId="5B9AA667" w:rsidR="00E01A9B" w:rsidRPr="002657D1" w:rsidRDefault="002B314A" w:rsidP="00D21E84">
      <w:pPr>
        <w:pStyle w:val="ac"/>
        <w:spacing w:before="0" w:beforeAutospacing="0" w:after="0" w:afterAutospacing="0" w:line="360" w:lineRule="auto"/>
        <w:jc w:val="both"/>
        <w:rPr>
          <w:rFonts w:ascii="Times New Roman" w:eastAsia="等线" w:hAnsi="Times New Roman" w:cs="Times New Roman"/>
          <w:color w:val="000000" w:themeColor="text1"/>
          <w:kern w:val="24"/>
        </w:rPr>
      </w:pPr>
      <w:r w:rsidRPr="002657D1">
        <w:rPr>
          <w:rFonts w:ascii="Times New Roman" w:eastAsia="等线" w:hAnsi="Times New Roman" w:cs="Times New Roman"/>
          <w:b/>
          <w:bCs/>
          <w:color w:val="000000" w:themeColor="text1"/>
          <w:kern w:val="2"/>
        </w:rPr>
        <w:t xml:space="preserve">Supplementary Fig. </w:t>
      </w:r>
      <w:r w:rsidR="00B64FB2" w:rsidRPr="002657D1">
        <w:rPr>
          <w:rFonts w:ascii="Times New Roman" w:eastAsia="等线" w:hAnsi="Times New Roman" w:cs="Times New Roman"/>
          <w:b/>
          <w:bCs/>
          <w:color w:val="000000" w:themeColor="text1"/>
          <w:kern w:val="2"/>
        </w:rPr>
        <w:t>2</w:t>
      </w:r>
      <w:r w:rsidR="00B64FB2" w:rsidRPr="002657D1">
        <w:rPr>
          <w:rFonts w:ascii="Times New Roman" w:eastAsia="等线" w:hAnsi="Times New Roman" w:cs="Times New Roman" w:hint="eastAsia"/>
          <w:b/>
          <w:bCs/>
          <w:color w:val="000000" w:themeColor="text1"/>
          <w:kern w:val="2"/>
        </w:rPr>
        <w:t>8</w:t>
      </w:r>
      <w:r w:rsidR="00B64FB2"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b/>
          <w:bCs/>
          <w:color w:val="000000" w:themeColor="text1"/>
          <w:kern w:val="2"/>
        </w:rPr>
        <w:t xml:space="preserve">| a </w:t>
      </w:r>
      <w:r w:rsidRPr="002657D1">
        <w:rPr>
          <w:rFonts w:ascii="Times New Roman" w:eastAsia="等线" w:hAnsi="Times New Roman" w:cs="Times New Roman"/>
          <w:color w:val="000000" w:themeColor="text1"/>
          <w:kern w:val="24"/>
        </w:rPr>
        <w:t>Schematic diagram of Li/LZC-</w:t>
      </w:r>
      <w:proofErr w:type="spellStart"/>
      <w:r w:rsidRPr="002657D1">
        <w:rPr>
          <w:rFonts w:ascii="Times New Roman" w:eastAsia="等线" w:hAnsi="Times New Roman" w:cs="Times New Roman"/>
          <w:color w:val="000000" w:themeColor="text1"/>
          <w:kern w:val="24"/>
        </w:rPr>
        <w:t>xTF</w:t>
      </w:r>
      <w:proofErr w:type="spellEnd"/>
      <w:r w:rsidRPr="002657D1">
        <w:rPr>
          <w:rFonts w:ascii="Times New Roman" w:eastAsia="等线" w:hAnsi="Times New Roman" w:cs="Times New Roman"/>
          <w:color w:val="000000" w:themeColor="text1"/>
          <w:kern w:val="24"/>
        </w:rPr>
        <w:t>/</w:t>
      </w:r>
      <w:proofErr w:type="spellStart"/>
      <w:r w:rsidRPr="002657D1">
        <w:rPr>
          <w:rFonts w:ascii="Times New Roman" w:eastAsia="等线" w:hAnsi="Times New Roman" w:cs="Times New Roman"/>
          <w:color w:val="000000" w:themeColor="text1"/>
          <w:kern w:val="24"/>
        </w:rPr>
        <w:t>LZC-xTF+VGCF</w:t>
      </w:r>
      <w:proofErr w:type="spellEnd"/>
      <w:r w:rsidRPr="002657D1">
        <w:rPr>
          <w:rFonts w:ascii="Times New Roman" w:eastAsia="等线" w:hAnsi="Times New Roman" w:cs="Times New Roman"/>
          <w:color w:val="000000" w:themeColor="text1"/>
          <w:kern w:val="24"/>
        </w:rPr>
        <w:t xml:space="preserve"> cells. </w:t>
      </w:r>
      <w:proofErr w:type="spellStart"/>
      <w:proofErr w:type="gramStart"/>
      <w:r w:rsidRPr="002657D1">
        <w:rPr>
          <w:rFonts w:ascii="Times New Roman" w:eastAsia="等线" w:hAnsi="Times New Roman" w:cs="Times New Roman"/>
          <w:b/>
          <w:bCs/>
          <w:color w:val="000000" w:themeColor="text1"/>
          <w:kern w:val="24"/>
        </w:rPr>
        <w:t>b,c</w:t>
      </w:r>
      <w:proofErr w:type="spellEnd"/>
      <w:proofErr w:type="gramEnd"/>
      <w:r w:rsidRPr="002657D1">
        <w:rPr>
          <w:rFonts w:ascii="Times New Roman" w:eastAsia="等线" w:hAnsi="Times New Roman" w:cs="Times New Roman"/>
          <w:color w:val="000000" w:themeColor="text1"/>
          <w:kern w:val="24"/>
        </w:rPr>
        <w:t xml:space="preserve"> LSV curves of Li/LZC/LZC+VGCF (</w:t>
      </w:r>
      <w:r w:rsidRPr="002657D1">
        <w:rPr>
          <w:rFonts w:ascii="Times New Roman" w:eastAsia="等线" w:hAnsi="Times New Roman" w:cs="Times New Roman"/>
          <w:b/>
          <w:bCs/>
          <w:color w:val="000000" w:themeColor="text1"/>
          <w:kern w:val="24"/>
        </w:rPr>
        <w:t>b</w:t>
      </w:r>
      <w:r w:rsidRPr="002657D1">
        <w:rPr>
          <w:rFonts w:ascii="Times New Roman" w:eastAsia="等线" w:hAnsi="Times New Roman" w:cs="Times New Roman"/>
          <w:color w:val="000000" w:themeColor="text1"/>
          <w:kern w:val="24"/>
        </w:rPr>
        <w:t>) and Li/LZC-10TF/LZC-10TF+VGCF (</w:t>
      </w:r>
      <w:r w:rsidRPr="002657D1">
        <w:rPr>
          <w:rFonts w:ascii="Times New Roman" w:eastAsia="等线" w:hAnsi="Times New Roman" w:cs="Times New Roman"/>
          <w:b/>
          <w:bCs/>
          <w:color w:val="000000" w:themeColor="text1"/>
          <w:kern w:val="24"/>
        </w:rPr>
        <w:t>c</w:t>
      </w:r>
      <w:r w:rsidRPr="002657D1">
        <w:rPr>
          <w:rFonts w:ascii="Times New Roman" w:eastAsia="等线" w:hAnsi="Times New Roman" w:cs="Times New Roman"/>
          <w:color w:val="000000" w:themeColor="text1"/>
          <w:kern w:val="24"/>
        </w:rPr>
        <w:t>) at 0.1 mV s</w:t>
      </w:r>
      <w:r w:rsidR="00D21E84" w:rsidRPr="002657D1">
        <w:rPr>
          <w:rFonts w:ascii="Times New Roman" w:eastAsia="等线" w:hAnsi="Times New Roman" w:cs="Times New Roman"/>
          <w:color w:val="000000" w:themeColor="text1"/>
          <w:kern w:val="24"/>
          <w:vertAlign w:val="superscript"/>
        </w:rPr>
        <w:t>−1</w:t>
      </w:r>
      <w:r w:rsidRPr="002657D1">
        <w:rPr>
          <w:rFonts w:ascii="Times New Roman" w:eastAsia="等线" w:hAnsi="Times New Roman" w:cs="Times New Roman"/>
          <w:color w:val="000000" w:themeColor="text1"/>
          <w:kern w:val="24"/>
        </w:rPr>
        <w:t>.</w:t>
      </w:r>
    </w:p>
    <w:p w14:paraId="42723699" w14:textId="43946C58" w:rsidR="00E01A9B" w:rsidRPr="002657D1" w:rsidRDefault="00E01A9B" w:rsidP="00E01A9B">
      <w:pPr>
        <w:pStyle w:val="ac"/>
        <w:spacing w:before="0" w:beforeAutospacing="0" w:after="0" w:afterAutospacing="0" w:line="360" w:lineRule="auto"/>
        <w:jc w:val="both"/>
        <w:rPr>
          <w:rFonts w:ascii="Times New Roman" w:hAnsi="Times New Roman" w:cs="Times New Roman"/>
          <w:color w:val="000000" w:themeColor="text1"/>
        </w:rPr>
      </w:pPr>
      <w:r w:rsidRPr="002657D1">
        <w:rPr>
          <w:rFonts w:ascii="Times New Roman" w:hAnsi="Times New Roman" w:cs="Times New Roman"/>
          <w:b/>
          <w:bCs/>
          <w:color w:val="000000" w:themeColor="text1"/>
        </w:rPr>
        <w:t>Discussion:</w:t>
      </w:r>
      <w:r w:rsidRPr="002657D1">
        <w:rPr>
          <w:rFonts w:ascii="Times New Roman" w:hAnsi="Times New Roman" w:cs="Times New Roman" w:hint="eastAsia"/>
          <w:b/>
          <w:bCs/>
          <w:color w:val="000000" w:themeColor="text1"/>
        </w:rPr>
        <w:t xml:space="preserve"> </w:t>
      </w:r>
      <w:bookmarkStart w:id="78" w:name="OLE_LINK52"/>
      <w:bookmarkStart w:id="79" w:name="OLE_LINK73"/>
      <w:r w:rsidRPr="002657D1">
        <w:rPr>
          <w:rFonts w:ascii="Times New Roman" w:hAnsi="Times New Roman" w:cs="Times New Roman" w:hint="eastAsia"/>
          <w:color w:val="000000" w:themeColor="text1"/>
        </w:rPr>
        <w:t xml:space="preserve">Based on previous studies (Supplementary Fig. 18 in Hong-Bin Yao*, et al., </w:t>
      </w:r>
      <w:r w:rsidRPr="002657D1">
        <w:rPr>
          <w:rFonts w:ascii="Times New Roman" w:hAnsi="Times New Roman" w:cs="Times New Roman" w:hint="eastAsia"/>
          <w:i/>
          <w:iCs/>
          <w:color w:val="000000" w:themeColor="text1"/>
        </w:rPr>
        <w:t>Nature</w:t>
      </w:r>
      <w:r w:rsidRPr="002657D1">
        <w:rPr>
          <w:rFonts w:ascii="Times New Roman" w:hAnsi="Times New Roman" w:cs="Times New Roman" w:hint="eastAsia"/>
          <w:color w:val="000000" w:themeColor="text1"/>
        </w:rPr>
        <w:t xml:space="preserve">, </w:t>
      </w:r>
      <w:r w:rsidRPr="002657D1">
        <w:rPr>
          <w:rFonts w:ascii="Times New Roman" w:hAnsi="Times New Roman" w:cs="Times New Roman" w:hint="eastAsia"/>
          <w:b/>
          <w:bCs/>
          <w:color w:val="000000" w:themeColor="text1"/>
        </w:rPr>
        <w:t>2023</w:t>
      </w:r>
      <w:r w:rsidRPr="002657D1">
        <w:rPr>
          <w:rFonts w:ascii="Times New Roman" w:hAnsi="Times New Roman" w:cs="Times New Roman" w:hint="eastAsia"/>
          <w:color w:val="000000" w:themeColor="text1"/>
        </w:rPr>
        <w:t>, 616, 77-83.; Figure S4a in Linda F. Nazar</w:t>
      </w:r>
      <w:bookmarkStart w:id="80" w:name="OLE_LINK66"/>
      <w:r w:rsidRPr="002657D1">
        <w:rPr>
          <w:rFonts w:ascii="Times New Roman" w:hAnsi="Times New Roman" w:cs="Times New Roman" w:hint="eastAsia"/>
          <w:color w:val="000000" w:themeColor="text1"/>
        </w:rPr>
        <w:t>*</w:t>
      </w:r>
      <w:bookmarkEnd w:id="80"/>
      <w:r w:rsidRPr="002657D1">
        <w:rPr>
          <w:rFonts w:ascii="Times New Roman" w:hAnsi="Times New Roman" w:cs="Times New Roman" w:hint="eastAsia"/>
          <w:color w:val="000000" w:themeColor="text1"/>
        </w:rPr>
        <w:t xml:space="preserve">, et al., </w:t>
      </w:r>
      <w:r w:rsidRPr="002657D1">
        <w:rPr>
          <w:rFonts w:ascii="Times New Roman" w:hAnsi="Times New Roman" w:cs="Times New Roman" w:hint="eastAsia"/>
          <w:i/>
          <w:iCs/>
          <w:color w:val="000000" w:themeColor="text1"/>
        </w:rPr>
        <w:t>Energy Environ. Sci.</w:t>
      </w:r>
      <w:r w:rsidRPr="002657D1">
        <w:rPr>
          <w:rFonts w:ascii="Times New Roman" w:hAnsi="Times New Roman" w:cs="Times New Roman" w:hint="eastAsia"/>
          <w:color w:val="000000" w:themeColor="text1"/>
        </w:rPr>
        <w:t xml:space="preserve">, </w:t>
      </w:r>
      <w:r w:rsidRPr="002657D1">
        <w:rPr>
          <w:rFonts w:ascii="Times New Roman" w:hAnsi="Times New Roman" w:cs="Times New Roman" w:hint="eastAsia"/>
          <w:b/>
          <w:bCs/>
          <w:color w:val="000000" w:themeColor="text1"/>
        </w:rPr>
        <w:t>2020</w:t>
      </w:r>
      <w:r w:rsidRPr="002657D1">
        <w:rPr>
          <w:rFonts w:ascii="Times New Roman" w:hAnsi="Times New Roman" w:cs="Times New Roman" w:hint="eastAsia"/>
          <w:color w:val="000000" w:themeColor="text1"/>
        </w:rPr>
        <w:t xml:space="preserve">, 13, 2056; </w:t>
      </w:r>
      <w:r w:rsidRPr="002657D1">
        <w:rPr>
          <w:rFonts w:ascii="Times New Roman" w:hAnsi="Times New Roman" w:cs="Times New Roman"/>
          <w:color w:val="000000" w:themeColor="text1"/>
        </w:rPr>
        <w:t>Fig. 2d in Sung-Kyun Jung*, et.al.</w:t>
      </w:r>
      <w:bookmarkStart w:id="81" w:name="OLE_LINK67"/>
      <w:r w:rsidRPr="002657D1">
        <w:rPr>
          <w:rFonts w:ascii="Times New Roman" w:hAnsi="Times New Roman" w:cs="Times New Roman"/>
          <w:color w:val="000000" w:themeColor="text1"/>
        </w:rPr>
        <w:t>,</w:t>
      </w:r>
      <w:bookmarkEnd w:id="81"/>
      <w:r w:rsidRPr="002657D1">
        <w:rPr>
          <w:rFonts w:ascii="Times New Roman" w:hAnsi="Times New Roman" w:cs="Times New Roman"/>
          <w:color w:val="000000" w:themeColor="text1"/>
        </w:rPr>
        <w:t xml:space="preserve"> </w:t>
      </w:r>
      <w:r w:rsidRPr="002657D1">
        <w:rPr>
          <w:rFonts w:ascii="Times New Roman" w:hAnsi="Times New Roman" w:cs="Times New Roman"/>
          <w:i/>
          <w:iCs/>
          <w:color w:val="000000" w:themeColor="text1"/>
        </w:rPr>
        <w:t>ACS Energy Lett.</w:t>
      </w:r>
      <w:r w:rsidRPr="002657D1">
        <w:rPr>
          <w:rFonts w:ascii="Times New Roman" w:hAnsi="Times New Roman" w:cs="Times New Roman"/>
          <w:color w:val="000000" w:themeColor="text1"/>
        </w:rPr>
        <w:t xml:space="preserve"> </w:t>
      </w:r>
      <w:r w:rsidRPr="002657D1">
        <w:rPr>
          <w:rFonts w:ascii="Times New Roman" w:hAnsi="Times New Roman" w:cs="Times New Roman"/>
          <w:b/>
          <w:bCs/>
          <w:color w:val="000000" w:themeColor="text1"/>
        </w:rPr>
        <w:t>2021</w:t>
      </w:r>
      <w:r w:rsidRPr="002657D1">
        <w:rPr>
          <w:rFonts w:ascii="Times New Roman" w:hAnsi="Times New Roman" w:cs="Times New Roman"/>
          <w:color w:val="000000" w:themeColor="text1"/>
        </w:rPr>
        <w:t>, 6, 2006−2015</w:t>
      </w:r>
      <w:r w:rsidRPr="002657D1">
        <w:rPr>
          <w:rFonts w:ascii="Times New Roman" w:hAnsi="Times New Roman" w:cs="Times New Roman" w:hint="eastAsia"/>
          <w:color w:val="000000" w:themeColor="text1"/>
        </w:rPr>
        <w:t>)</w:t>
      </w:r>
      <w:bookmarkEnd w:id="78"/>
      <w:r w:rsidRPr="002657D1">
        <w:rPr>
          <w:rFonts w:ascii="Times New Roman" w:hAnsi="Times New Roman" w:cs="Times New Roman" w:hint="eastAsia"/>
          <w:color w:val="000000" w:themeColor="text1"/>
        </w:rPr>
        <w:t>, the LSV curve</w:t>
      </w:r>
      <w:r w:rsidR="00C603A8" w:rsidRPr="002657D1">
        <w:rPr>
          <w:rFonts w:ascii="Times New Roman" w:hAnsi="Times New Roman" w:cs="Times New Roman" w:hint="eastAsia"/>
          <w:color w:val="000000" w:themeColor="text1"/>
        </w:rPr>
        <w:t xml:space="preserve"> (</w:t>
      </w:r>
      <w:r w:rsidR="00C603A8" w:rsidRPr="002657D1">
        <w:rPr>
          <w:rFonts w:ascii="Times New Roman" w:eastAsia="等线" w:hAnsi="Times New Roman" w:cs="Times New Roman"/>
          <w:b/>
          <w:bCs/>
          <w:color w:val="000000" w:themeColor="text1"/>
          <w:kern w:val="2"/>
        </w:rPr>
        <w:t xml:space="preserve">Supplementary Fig. </w:t>
      </w:r>
      <w:r w:rsidR="00C603A8" w:rsidRPr="002657D1">
        <w:rPr>
          <w:rFonts w:ascii="Times New Roman" w:eastAsia="等线" w:hAnsi="Times New Roman" w:cs="Times New Roman" w:hint="eastAsia"/>
          <w:b/>
          <w:bCs/>
          <w:color w:val="000000" w:themeColor="text1"/>
          <w:kern w:val="2"/>
        </w:rPr>
        <w:t>28</w:t>
      </w:r>
      <w:r w:rsidR="00C603A8" w:rsidRPr="002657D1">
        <w:rPr>
          <w:rFonts w:ascii="Times New Roman" w:hAnsi="Times New Roman" w:cs="Times New Roman" w:hint="eastAsia"/>
          <w:color w:val="000000" w:themeColor="text1"/>
        </w:rPr>
        <w:t>)</w:t>
      </w:r>
      <w:r w:rsidRPr="002657D1">
        <w:rPr>
          <w:rFonts w:ascii="Times New Roman" w:hAnsi="Times New Roman" w:cs="Times New Roman" w:hint="eastAsia"/>
          <w:color w:val="000000" w:themeColor="text1"/>
        </w:rPr>
        <w:t xml:space="preserve"> suggests stable electrochemical window of </w:t>
      </w:r>
      <w:bookmarkStart w:id="82" w:name="OLE_LINK68"/>
      <w:r w:rsidRPr="002657D1">
        <w:rPr>
          <w:rFonts w:ascii="Times New Roman" w:hAnsi="Times New Roman" w:cs="Times New Roman" w:hint="eastAsia"/>
          <w:color w:val="000000" w:themeColor="text1"/>
        </w:rPr>
        <w:t>LZC-10TF</w:t>
      </w:r>
      <w:bookmarkEnd w:id="82"/>
      <w:r w:rsidRPr="002657D1">
        <w:rPr>
          <w:rFonts w:ascii="Times New Roman" w:hAnsi="Times New Roman" w:cs="Times New Roman" w:hint="eastAsia"/>
          <w:color w:val="000000" w:themeColor="text1"/>
        </w:rPr>
        <w:t xml:space="preserve"> to be 1.53 V to 4.23 V. Notably, this intrinsic stability range does not directly dictate the practical operating voltage of the battery, as a dynamic solid electrolyte interphase (SEI) or cathode electrolyte interphase (CEI) forms at the electrode-electrolyte interface, which can modify the effective voltage tolerance.</w:t>
      </w:r>
    </w:p>
    <w:p w14:paraId="131E97A8" w14:textId="36C2A1FB" w:rsidR="00E01A9B" w:rsidRPr="002657D1" w:rsidRDefault="00E01A9B" w:rsidP="00E01A9B">
      <w:pPr>
        <w:pStyle w:val="ac"/>
        <w:spacing w:before="0" w:beforeAutospacing="0" w:after="0" w:afterAutospacing="0" w:line="360" w:lineRule="auto"/>
        <w:jc w:val="both"/>
        <w:rPr>
          <w:rFonts w:ascii="Times New Roman" w:hAnsi="Times New Roman" w:cs="Times New Roman"/>
          <w:color w:val="000000" w:themeColor="text1"/>
        </w:rPr>
      </w:pPr>
      <w:r w:rsidRPr="002657D1">
        <w:rPr>
          <w:rFonts w:ascii="Times New Roman" w:hAnsi="Times New Roman" w:cs="Times New Roman" w:hint="eastAsia"/>
          <w:color w:val="000000" w:themeColor="text1"/>
        </w:rPr>
        <w:t>At the anode side, the in-situ formed gradient structure passivation layer between LZC-10TF and Li metal (</w:t>
      </w:r>
      <w:r w:rsidRPr="002657D1">
        <w:rPr>
          <w:rFonts w:ascii="Times New Roman" w:eastAsia="等线" w:hAnsi="Times New Roman" w:cs="Times New Roman"/>
          <w:b/>
          <w:bCs/>
          <w:color w:val="000000" w:themeColor="text1"/>
          <w:kern w:val="2"/>
        </w:rPr>
        <w:t xml:space="preserve">Supplementary Fig. </w:t>
      </w:r>
      <w:r w:rsidR="00C942A9" w:rsidRPr="002657D1">
        <w:rPr>
          <w:rFonts w:ascii="Times New Roman" w:eastAsia="等线" w:hAnsi="Times New Roman" w:cs="Times New Roman" w:hint="eastAsia"/>
          <w:b/>
          <w:bCs/>
          <w:color w:val="000000" w:themeColor="text1"/>
          <w:kern w:val="2"/>
        </w:rPr>
        <w:t>33</w:t>
      </w:r>
      <w:r w:rsidRPr="002657D1">
        <w:rPr>
          <w:rFonts w:ascii="Times New Roman" w:hAnsi="Times New Roman" w:cs="Times New Roman" w:hint="eastAsia"/>
          <w:color w:val="000000" w:themeColor="text1"/>
        </w:rPr>
        <w:t>) can stabilize the Li/HSE interface and enable the application of Li metal anode in our battery, despite</w:t>
      </w:r>
      <w:r w:rsidR="002657D1">
        <w:rPr>
          <w:rFonts w:ascii="Times New Roman" w:hAnsi="Times New Roman" w:cs="Times New Roman" w:hint="eastAsia"/>
          <w:color w:val="000000" w:themeColor="text1"/>
        </w:rPr>
        <w:t xml:space="preserve"> a</w:t>
      </w:r>
      <w:r w:rsidRPr="002657D1">
        <w:rPr>
          <w:rFonts w:ascii="Times New Roman" w:hAnsi="Times New Roman" w:cs="Times New Roman" w:hint="eastAsia"/>
          <w:color w:val="000000" w:themeColor="text1"/>
        </w:rPr>
        <w:t xml:space="preserve"> voltage lower limit of 1.53 V reflected by LSV. There are previous theoretical studies showing the same results about the role of passivation layers in enabling the interface stability. </w:t>
      </w:r>
    </w:p>
    <w:p w14:paraId="20281A8D" w14:textId="0E66018E" w:rsidR="00E01A9B" w:rsidRPr="002657D1" w:rsidRDefault="00E01A9B" w:rsidP="00E01A9B">
      <w:pPr>
        <w:pStyle w:val="ac"/>
        <w:spacing w:before="0" w:beforeAutospacing="0" w:after="0" w:afterAutospacing="0" w:line="360" w:lineRule="auto"/>
        <w:jc w:val="both"/>
        <w:rPr>
          <w:rFonts w:ascii="Times New Roman" w:hAnsi="Times New Roman" w:cs="Times New Roman"/>
          <w:color w:val="000000" w:themeColor="text1"/>
        </w:rPr>
      </w:pPr>
      <w:r w:rsidRPr="002657D1">
        <w:rPr>
          <w:rFonts w:ascii="Times New Roman" w:hAnsi="Times New Roman" w:cs="Times New Roman"/>
          <w:color w:val="000000" w:themeColor="text1"/>
        </w:rPr>
        <w:t>At the cathode side, the trace LiF interphase detected on the cycled NCM811 cathode via XPS likely plays a critical role in stabilizing the cathode-electrolyte interface (</w:t>
      </w:r>
      <w:r w:rsidRPr="002657D1">
        <w:rPr>
          <w:rFonts w:ascii="Times New Roman" w:eastAsia="等线" w:hAnsi="Times New Roman" w:cs="Times New Roman"/>
          <w:b/>
          <w:bCs/>
          <w:color w:val="000000" w:themeColor="text1"/>
          <w:kern w:val="2"/>
        </w:rPr>
        <w:t xml:space="preserve">Supplementary Fig. </w:t>
      </w:r>
      <w:r w:rsidR="00C942A9" w:rsidRPr="002657D1">
        <w:rPr>
          <w:rFonts w:ascii="Times New Roman" w:eastAsia="等线" w:hAnsi="Times New Roman" w:cs="Times New Roman" w:hint="eastAsia"/>
          <w:b/>
          <w:bCs/>
          <w:color w:val="000000" w:themeColor="text1"/>
          <w:kern w:val="2"/>
        </w:rPr>
        <w:t>40</w:t>
      </w:r>
      <w:r w:rsidRPr="002657D1">
        <w:rPr>
          <w:rFonts w:ascii="Times New Roman" w:hAnsi="Times New Roman" w:cs="Times New Roman"/>
          <w:color w:val="000000" w:themeColor="text1"/>
        </w:rPr>
        <w:t xml:space="preserve">). This self-formed LiF-rich CEI may suppress undesirable side reactions (e.g., electrolyte decomposition or cathode cation dissolution) at the elevated voltage, enabling the NCM811/LZC-10TF/Li cell to operate beyond the electrolyte's </w:t>
      </w:r>
      <w:r w:rsidR="00EF3B09" w:rsidRPr="002657D1">
        <w:rPr>
          <w:rFonts w:ascii="Times New Roman" w:hAnsi="Times New Roman" w:cs="Times New Roman" w:hint="eastAsia"/>
          <w:color w:val="000000" w:themeColor="text1"/>
        </w:rPr>
        <w:t>electrochemical window</w:t>
      </w:r>
      <w:r w:rsidRPr="002657D1">
        <w:rPr>
          <w:rFonts w:ascii="Times New Roman" w:hAnsi="Times New Roman" w:cs="Times New Roman" w:hint="eastAsia"/>
          <w:color w:val="000000" w:themeColor="text1"/>
        </w:rPr>
        <w:t>.</w:t>
      </w:r>
    </w:p>
    <w:bookmarkEnd w:id="79"/>
    <w:p w14:paraId="12417592" w14:textId="2D7D56D4" w:rsidR="000703FE" w:rsidRPr="002657D1" w:rsidRDefault="000703FE" w:rsidP="00D21E84">
      <w:pPr>
        <w:pStyle w:val="ac"/>
        <w:spacing w:before="0" w:beforeAutospacing="0" w:after="0" w:afterAutospacing="0" w:line="360" w:lineRule="auto"/>
        <w:jc w:val="both"/>
        <w:rPr>
          <w:rFonts w:ascii="Times New Roman" w:eastAsia="等线" w:hAnsi="Times New Roman" w:cs="Times New Roman"/>
          <w:color w:val="000000" w:themeColor="text1"/>
          <w:kern w:val="24"/>
          <w:sz w:val="21"/>
          <w:szCs w:val="21"/>
        </w:rPr>
      </w:pPr>
      <w:r w:rsidRPr="002657D1">
        <w:rPr>
          <w:rFonts w:ascii="Times New Roman" w:hAnsi="Times New Roman" w:cs="Times New Roman"/>
          <w:color w:val="000000" w:themeColor="text1"/>
          <w:sz w:val="21"/>
          <w:szCs w:val="21"/>
        </w:rPr>
        <w:br w:type="page"/>
      </w:r>
    </w:p>
    <w:p w14:paraId="74680923" w14:textId="0A1BA4C2" w:rsidR="00D218FF" w:rsidRPr="002657D1" w:rsidRDefault="00B10DDA" w:rsidP="002074AA">
      <w:pPr>
        <w:widowControl/>
        <w:spacing w:before="120" w:afterLines="50" w:after="156"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noProof/>
          <w:color w:val="000000" w:themeColor="text1"/>
          <w:sz w:val="24"/>
          <w:szCs w:val="24"/>
        </w:rPr>
        <w:lastRenderedPageBreak/>
        <w:drawing>
          <wp:inline distT="0" distB="0" distL="0" distR="0" wp14:anchorId="78BA4F3B" wp14:editId="1E7E8684">
            <wp:extent cx="4320000" cy="1639930"/>
            <wp:effectExtent l="0" t="0" r="0" b="0"/>
            <wp:docPr id="146916227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162271" name="图片 1469162271"/>
                    <pic:cNvPicPr/>
                  </pic:nvPicPr>
                  <pic:blipFill rotWithShape="1">
                    <a:blip r:embed="rId43"/>
                    <a:srcRect l="10113" r="21382"/>
                    <a:stretch>
                      <a:fillRect/>
                    </a:stretch>
                  </pic:blipFill>
                  <pic:spPr bwMode="auto">
                    <a:xfrm>
                      <a:off x="0" y="0"/>
                      <a:ext cx="4320000" cy="1639930"/>
                    </a:xfrm>
                    <a:prstGeom prst="rect">
                      <a:avLst/>
                    </a:prstGeom>
                    <a:ln>
                      <a:noFill/>
                    </a:ln>
                    <a:extLst>
                      <a:ext uri="{53640926-AAD7-44D8-BBD7-CCE9431645EC}">
                        <a14:shadowObscured xmlns:a14="http://schemas.microsoft.com/office/drawing/2010/main"/>
                      </a:ext>
                    </a:extLst>
                  </pic:spPr>
                </pic:pic>
              </a:graphicData>
            </a:graphic>
          </wp:inline>
        </w:drawing>
      </w:r>
    </w:p>
    <w:p w14:paraId="5572AA87" w14:textId="1F134FCF" w:rsidR="00D218FF" w:rsidRPr="002657D1" w:rsidRDefault="002B314A" w:rsidP="00D21E84">
      <w:pPr>
        <w:pStyle w:val="ac"/>
        <w:spacing w:before="0" w:beforeAutospacing="0" w:after="0" w:afterAutospacing="0" w:line="360" w:lineRule="auto"/>
        <w:jc w:val="both"/>
        <w:rPr>
          <w:rFonts w:ascii="Times New Roman" w:eastAsia="等线" w:hAnsi="Times New Roman" w:cs="Times New Roman"/>
          <w:color w:val="000000" w:themeColor="text1"/>
          <w:kern w:val="2"/>
        </w:rPr>
      </w:pPr>
      <w:r w:rsidRPr="002657D1">
        <w:rPr>
          <w:rFonts w:ascii="Times New Roman" w:eastAsia="等线" w:hAnsi="Times New Roman" w:cs="Times New Roman"/>
          <w:b/>
          <w:bCs/>
          <w:color w:val="000000" w:themeColor="text1"/>
          <w:kern w:val="2"/>
        </w:rPr>
        <w:t xml:space="preserve">Supplementary Fig. </w:t>
      </w:r>
      <w:r w:rsidR="00B64FB2" w:rsidRPr="002657D1">
        <w:rPr>
          <w:rFonts w:ascii="Times New Roman" w:eastAsia="等线" w:hAnsi="Times New Roman" w:cs="Times New Roman"/>
          <w:b/>
          <w:bCs/>
          <w:color w:val="000000" w:themeColor="text1"/>
          <w:kern w:val="2"/>
        </w:rPr>
        <w:t>2</w:t>
      </w:r>
      <w:r w:rsidR="00B64FB2" w:rsidRPr="002657D1">
        <w:rPr>
          <w:rFonts w:ascii="Times New Roman" w:eastAsia="等线" w:hAnsi="Times New Roman" w:cs="Times New Roman" w:hint="eastAsia"/>
          <w:b/>
          <w:bCs/>
          <w:color w:val="000000" w:themeColor="text1"/>
          <w:kern w:val="2"/>
        </w:rPr>
        <w:t>9</w:t>
      </w:r>
      <w:r w:rsidR="00B64FB2"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color w:val="000000" w:themeColor="text1"/>
          <w:kern w:val="2"/>
        </w:rPr>
        <w:t>Galvanostatic cycling of Li/LZC/Li and Li/LZC-10TF/Li symmetric cells at the current density of 0.1 mA cm⁻</w:t>
      </w:r>
      <w:r w:rsidR="00D21E84" w:rsidRPr="002657D1">
        <w:rPr>
          <w:rFonts w:ascii="Times New Roman" w:eastAsia="等线" w:hAnsi="Times New Roman" w:cs="Times New Roman"/>
          <w:color w:val="000000" w:themeColor="text1"/>
          <w:kern w:val="2"/>
          <w:vertAlign w:val="superscript"/>
        </w:rPr>
        <w:t>2</w:t>
      </w:r>
      <w:r w:rsidRPr="002657D1">
        <w:rPr>
          <w:rFonts w:ascii="Times New Roman" w:eastAsia="等线" w:hAnsi="Times New Roman" w:cs="Times New Roman"/>
          <w:color w:val="000000" w:themeColor="text1"/>
          <w:kern w:val="2"/>
        </w:rPr>
        <w:t xml:space="preserve"> for 0.1 mAh cm⁻</w:t>
      </w:r>
      <w:r w:rsidR="00D21E84" w:rsidRPr="002657D1">
        <w:rPr>
          <w:rFonts w:ascii="Times New Roman" w:eastAsia="等线" w:hAnsi="Times New Roman" w:cs="Times New Roman"/>
          <w:color w:val="000000" w:themeColor="text1"/>
          <w:kern w:val="2"/>
          <w:vertAlign w:val="superscript"/>
        </w:rPr>
        <w:t>2</w:t>
      </w:r>
      <w:r w:rsidRPr="002657D1">
        <w:rPr>
          <w:rFonts w:ascii="Times New Roman" w:eastAsia="等线" w:hAnsi="Times New Roman" w:cs="Times New Roman"/>
          <w:color w:val="000000" w:themeColor="text1"/>
          <w:kern w:val="2"/>
        </w:rPr>
        <w:t>. The insets show enlarged voltage profiles of symmetric cells at 100-140 h, 460-500 h, and 960-1000 h.</w:t>
      </w:r>
      <w:r w:rsidR="00D218FF" w:rsidRPr="002657D1">
        <w:rPr>
          <w:rFonts w:ascii="Times New Roman" w:hAnsi="Times New Roman" w:cs="Times New Roman"/>
          <w:color w:val="000000" w:themeColor="text1"/>
        </w:rPr>
        <w:br w:type="page"/>
      </w:r>
    </w:p>
    <w:p w14:paraId="5825CADA" w14:textId="6500F2F3" w:rsidR="00A4430C" w:rsidRPr="002657D1" w:rsidRDefault="00B10DDA" w:rsidP="00A4430C">
      <w:pPr>
        <w:widowControl/>
        <w:spacing w:before="120" w:afterLines="50" w:after="156"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noProof/>
          <w:color w:val="000000" w:themeColor="text1"/>
          <w:sz w:val="24"/>
          <w:szCs w:val="24"/>
        </w:rPr>
        <w:lastRenderedPageBreak/>
        <w:drawing>
          <wp:inline distT="0" distB="0" distL="0" distR="0" wp14:anchorId="19E8332B" wp14:editId="7BFFAFB1">
            <wp:extent cx="4320000" cy="1767598"/>
            <wp:effectExtent l="0" t="0" r="0" b="0"/>
            <wp:docPr id="116607104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071041" name="图片 1166071041"/>
                    <pic:cNvPicPr/>
                  </pic:nvPicPr>
                  <pic:blipFill>
                    <a:blip r:embed="rId44"/>
                    <a:stretch>
                      <a:fillRect/>
                    </a:stretch>
                  </pic:blipFill>
                  <pic:spPr>
                    <a:xfrm>
                      <a:off x="0" y="0"/>
                      <a:ext cx="4320000" cy="1767598"/>
                    </a:xfrm>
                    <a:prstGeom prst="rect">
                      <a:avLst/>
                    </a:prstGeom>
                  </pic:spPr>
                </pic:pic>
              </a:graphicData>
            </a:graphic>
          </wp:inline>
        </w:drawing>
      </w:r>
    </w:p>
    <w:p w14:paraId="6BD1B08D" w14:textId="106FD68A" w:rsidR="00A4430C" w:rsidRPr="002657D1" w:rsidRDefault="00A4430C" w:rsidP="00484DAF">
      <w:pPr>
        <w:pStyle w:val="ac"/>
        <w:spacing w:before="0" w:beforeAutospacing="0" w:after="0" w:afterAutospacing="0" w:line="360" w:lineRule="auto"/>
        <w:jc w:val="both"/>
        <w:rPr>
          <w:rFonts w:ascii="Times New Roman" w:hAnsi="Times New Roman" w:cs="Times New Roman"/>
          <w:color w:val="000000" w:themeColor="text1"/>
        </w:rPr>
      </w:pPr>
      <w:r w:rsidRPr="002657D1">
        <w:rPr>
          <w:rFonts w:ascii="Times New Roman" w:eastAsia="等线" w:hAnsi="Times New Roman" w:cs="Times New Roman"/>
          <w:b/>
          <w:bCs/>
          <w:color w:val="000000" w:themeColor="text1"/>
          <w:kern w:val="2"/>
        </w:rPr>
        <w:t xml:space="preserve">Supplementary Fig. </w:t>
      </w:r>
      <w:r w:rsidR="00B64FB2" w:rsidRPr="002657D1">
        <w:rPr>
          <w:rFonts w:ascii="Times New Roman" w:eastAsia="等线" w:hAnsi="Times New Roman" w:cs="Times New Roman" w:hint="eastAsia"/>
          <w:b/>
          <w:bCs/>
          <w:color w:val="000000" w:themeColor="text1"/>
          <w:kern w:val="2"/>
        </w:rPr>
        <w:t>30</w:t>
      </w:r>
      <w:r w:rsidR="002C58AB"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b/>
          <w:bCs/>
          <w:color w:val="000000" w:themeColor="text1"/>
          <w:kern w:val="2"/>
        </w:rPr>
        <w:t xml:space="preserve">| </w:t>
      </w:r>
      <w:proofErr w:type="spellStart"/>
      <w:proofErr w:type="gramStart"/>
      <w:r w:rsidRPr="002657D1">
        <w:rPr>
          <w:rFonts w:ascii="Times New Roman" w:eastAsia="等线" w:hAnsi="Times New Roman" w:cs="Times New Roman"/>
          <w:b/>
          <w:bCs/>
          <w:color w:val="000000" w:themeColor="text1"/>
          <w:kern w:val="2"/>
        </w:rPr>
        <w:t>a,b</w:t>
      </w:r>
      <w:proofErr w:type="spellEnd"/>
      <w:proofErr w:type="gramEnd"/>
      <w:r w:rsidRPr="002657D1">
        <w:rPr>
          <w:rFonts w:ascii="Times New Roman" w:eastAsia="等线" w:hAnsi="Times New Roman" w:cs="Times New Roman"/>
          <w:color w:val="000000" w:themeColor="text1"/>
          <w:kern w:val="2"/>
        </w:rPr>
        <w:t xml:space="preserve"> Nyquist plot</w:t>
      </w:r>
      <w:r w:rsidR="001E722B" w:rsidRPr="002657D1">
        <w:rPr>
          <w:rFonts w:ascii="Times New Roman" w:eastAsia="等线" w:hAnsi="Times New Roman" w:cs="Times New Roman" w:hint="eastAsia"/>
          <w:color w:val="000000" w:themeColor="text1"/>
          <w:kern w:val="2"/>
        </w:rPr>
        <w:t>s</w:t>
      </w:r>
      <w:r w:rsidRPr="002657D1">
        <w:rPr>
          <w:rFonts w:ascii="Times New Roman" w:eastAsia="等线" w:hAnsi="Times New Roman" w:cs="Times New Roman"/>
          <w:color w:val="000000" w:themeColor="text1"/>
          <w:kern w:val="2"/>
        </w:rPr>
        <w:t xml:space="preserve"> of the Li/LZC/Li (</w:t>
      </w:r>
      <w:r w:rsidRPr="002657D1">
        <w:rPr>
          <w:rFonts w:ascii="Times New Roman" w:eastAsia="等线" w:hAnsi="Times New Roman" w:cs="Times New Roman"/>
          <w:b/>
          <w:bCs/>
          <w:color w:val="000000" w:themeColor="text1"/>
          <w:kern w:val="2"/>
        </w:rPr>
        <w:t>a</w:t>
      </w:r>
      <w:r w:rsidRPr="002657D1">
        <w:rPr>
          <w:rFonts w:ascii="Times New Roman" w:eastAsia="等线" w:hAnsi="Times New Roman" w:cs="Times New Roman"/>
          <w:color w:val="000000" w:themeColor="text1"/>
          <w:kern w:val="2"/>
        </w:rPr>
        <w:t>) and Li/LZC-10TF/Li (</w:t>
      </w:r>
      <w:r w:rsidRPr="002657D1">
        <w:rPr>
          <w:rFonts w:ascii="Times New Roman" w:eastAsia="等线" w:hAnsi="Times New Roman" w:cs="Times New Roman"/>
          <w:b/>
          <w:bCs/>
          <w:color w:val="000000" w:themeColor="text1"/>
          <w:kern w:val="2"/>
        </w:rPr>
        <w:t>b</w:t>
      </w:r>
      <w:r w:rsidRPr="002657D1">
        <w:rPr>
          <w:rFonts w:ascii="Times New Roman" w:eastAsia="等线" w:hAnsi="Times New Roman" w:cs="Times New Roman"/>
          <w:color w:val="000000" w:themeColor="text1"/>
          <w:kern w:val="2"/>
        </w:rPr>
        <w:t>) symmetric cells before and after 500 h cycling at 0.1 mA cm</w:t>
      </w:r>
      <w:r w:rsidRPr="002657D1">
        <w:rPr>
          <w:rFonts w:ascii="Times New Roman" w:hAnsi="Times New Roman" w:cs="Times New Roman"/>
          <w:color w:val="000000" w:themeColor="text1"/>
        </w:rPr>
        <w:t>⁻</w:t>
      </w:r>
      <w:r w:rsidRPr="002657D1">
        <w:rPr>
          <w:rFonts w:ascii="Times New Roman" w:hAnsi="Times New Roman" w:cs="Times New Roman"/>
          <w:color w:val="000000" w:themeColor="text1"/>
          <w:vertAlign w:val="superscript"/>
        </w:rPr>
        <w:t>2</w:t>
      </w:r>
      <w:r w:rsidRPr="002657D1">
        <w:rPr>
          <w:rFonts w:ascii="Times New Roman" w:eastAsia="等线" w:hAnsi="Times New Roman" w:cs="Times New Roman"/>
          <w:color w:val="000000" w:themeColor="text1"/>
          <w:kern w:val="2"/>
        </w:rPr>
        <w:t xml:space="preserve"> for 0.1 mAh cm</w:t>
      </w:r>
      <w:r w:rsidRPr="002657D1">
        <w:rPr>
          <w:rFonts w:ascii="Times New Roman" w:hAnsi="Times New Roman" w:cs="Times New Roman"/>
          <w:color w:val="000000" w:themeColor="text1"/>
        </w:rPr>
        <w:t>⁻</w:t>
      </w:r>
      <w:r w:rsidRPr="002657D1">
        <w:rPr>
          <w:rFonts w:ascii="Times New Roman" w:hAnsi="Times New Roman" w:cs="Times New Roman"/>
          <w:color w:val="000000" w:themeColor="text1"/>
          <w:vertAlign w:val="superscript"/>
        </w:rPr>
        <w:t>2</w:t>
      </w:r>
      <w:r w:rsidRPr="002657D1">
        <w:rPr>
          <w:rFonts w:ascii="Times New Roman" w:eastAsia="等线" w:hAnsi="Times New Roman" w:cs="Times New Roman"/>
          <w:color w:val="000000" w:themeColor="text1"/>
          <w:kern w:val="2"/>
        </w:rPr>
        <w:t>.</w:t>
      </w:r>
      <w:r w:rsidRPr="002657D1">
        <w:rPr>
          <w:rFonts w:ascii="Times New Roman" w:hAnsi="Times New Roman" w:cs="Times New Roman"/>
          <w:color w:val="000000" w:themeColor="text1"/>
          <w:sz w:val="32"/>
          <w:szCs w:val="32"/>
        </w:rPr>
        <w:br w:type="page"/>
      </w:r>
    </w:p>
    <w:p w14:paraId="5E95898A" w14:textId="77B37336" w:rsidR="002826C6" w:rsidRPr="002657D1" w:rsidRDefault="00B10DDA" w:rsidP="00B25B55">
      <w:pPr>
        <w:widowControl/>
        <w:spacing w:before="120" w:afterLines="50" w:after="156" w:line="360" w:lineRule="auto"/>
        <w:jc w:val="center"/>
        <w:rPr>
          <w:rFonts w:ascii="Times New Roman" w:hAnsi="Times New Roman" w:cs="Times New Roman"/>
          <w:color w:val="000000" w:themeColor="text1"/>
        </w:rPr>
      </w:pPr>
      <w:r w:rsidRPr="002657D1">
        <w:rPr>
          <w:rFonts w:ascii="Times New Roman" w:hAnsi="Times New Roman" w:cs="Times New Roman"/>
          <w:noProof/>
          <w:color w:val="000000" w:themeColor="text1"/>
        </w:rPr>
        <w:lastRenderedPageBreak/>
        <w:drawing>
          <wp:inline distT="0" distB="0" distL="0" distR="0" wp14:anchorId="2E369736" wp14:editId="7F53CD6D">
            <wp:extent cx="4320000" cy="4498810"/>
            <wp:effectExtent l="0" t="0" r="0" b="0"/>
            <wp:docPr id="101571003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710038" name="图片 1015710038"/>
                    <pic:cNvPicPr/>
                  </pic:nvPicPr>
                  <pic:blipFill rotWithShape="1">
                    <a:blip r:embed="rId45"/>
                    <a:srcRect l="11437" r="19336"/>
                    <a:stretch>
                      <a:fillRect/>
                    </a:stretch>
                  </pic:blipFill>
                  <pic:spPr bwMode="auto">
                    <a:xfrm>
                      <a:off x="0" y="0"/>
                      <a:ext cx="4320000" cy="4498810"/>
                    </a:xfrm>
                    <a:prstGeom prst="rect">
                      <a:avLst/>
                    </a:prstGeom>
                    <a:ln>
                      <a:noFill/>
                    </a:ln>
                    <a:extLst>
                      <a:ext uri="{53640926-AAD7-44D8-BBD7-CCE9431645EC}">
                        <a14:shadowObscured xmlns:a14="http://schemas.microsoft.com/office/drawing/2010/main"/>
                      </a:ext>
                    </a:extLst>
                  </pic:spPr>
                </pic:pic>
              </a:graphicData>
            </a:graphic>
          </wp:inline>
        </w:drawing>
      </w:r>
    </w:p>
    <w:p w14:paraId="66896416" w14:textId="15453FDD" w:rsidR="00E47BD5" w:rsidRPr="002657D1" w:rsidRDefault="002B314A" w:rsidP="00D21E84">
      <w:pPr>
        <w:pStyle w:val="ac"/>
        <w:spacing w:before="0" w:beforeAutospacing="0" w:after="0" w:afterAutospacing="0" w:line="360" w:lineRule="auto"/>
        <w:jc w:val="both"/>
        <w:rPr>
          <w:rFonts w:ascii="Times New Roman" w:eastAsia="等线" w:hAnsi="Times New Roman" w:cs="Times New Roman"/>
          <w:color w:val="000000" w:themeColor="text1"/>
          <w:kern w:val="24"/>
          <w:sz w:val="21"/>
          <w:szCs w:val="21"/>
        </w:rPr>
      </w:pPr>
      <w:r w:rsidRPr="002657D1">
        <w:rPr>
          <w:rFonts w:ascii="Times New Roman" w:eastAsia="等线" w:hAnsi="Times New Roman" w:cs="Times New Roman"/>
          <w:b/>
          <w:bCs/>
          <w:color w:val="000000" w:themeColor="text1"/>
          <w:kern w:val="2"/>
        </w:rPr>
        <w:t xml:space="preserve">Supplementary Fig. </w:t>
      </w:r>
      <w:r w:rsidR="00B64FB2" w:rsidRPr="002657D1">
        <w:rPr>
          <w:rFonts w:ascii="Times New Roman" w:eastAsia="等线" w:hAnsi="Times New Roman" w:cs="Times New Roman" w:hint="eastAsia"/>
          <w:b/>
          <w:bCs/>
          <w:color w:val="000000" w:themeColor="text1"/>
          <w:kern w:val="2"/>
        </w:rPr>
        <w:t>31</w:t>
      </w:r>
      <w:r w:rsidR="00B64FB2"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b/>
          <w:bCs/>
          <w:color w:val="000000" w:themeColor="text1"/>
          <w:kern w:val="2"/>
        </w:rPr>
        <w:t xml:space="preserve">| a-c </w:t>
      </w:r>
      <w:r w:rsidRPr="002657D1">
        <w:rPr>
          <w:rFonts w:ascii="Times New Roman" w:eastAsia="等线" w:hAnsi="Times New Roman" w:cs="Times New Roman"/>
          <w:color w:val="000000" w:themeColor="text1"/>
          <w:kern w:val="24"/>
        </w:rPr>
        <w:t>Galvanostatic cycling of Li/LZC-20TF/Li (</w:t>
      </w:r>
      <w:r w:rsidRPr="002657D1">
        <w:rPr>
          <w:rFonts w:ascii="Times New Roman" w:eastAsia="等线" w:hAnsi="Times New Roman" w:cs="Times New Roman"/>
          <w:b/>
          <w:bCs/>
          <w:color w:val="000000" w:themeColor="text1"/>
          <w:kern w:val="24"/>
        </w:rPr>
        <w:t>a</w:t>
      </w:r>
      <w:r w:rsidRPr="002657D1">
        <w:rPr>
          <w:rFonts w:ascii="Times New Roman" w:eastAsia="等线" w:hAnsi="Times New Roman" w:cs="Times New Roman"/>
          <w:color w:val="000000" w:themeColor="text1"/>
          <w:kern w:val="24"/>
        </w:rPr>
        <w:t>), Li/LZC-30TF/Li (</w:t>
      </w:r>
      <w:r w:rsidRPr="002657D1">
        <w:rPr>
          <w:rFonts w:ascii="Times New Roman" w:eastAsia="等线" w:hAnsi="Times New Roman" w:cs="Times New Roman"/>
          <w:b/>
          <w:bCs/>
          <w:color w:val="000000" w:themeColor="text1"/>
          <w:kern w:val="24"/>
        </w:rPr>
        <w:t>b</w:t>
      </w:r>
      <w:r w:rsidRPr="002657D1">
        <w:rPr>
          <w:rFonts w:ascii="Times New Roman" w:eastAsia="等线" w:hAnsi="Times New Roman" w:cs="Times New Roman"/>
          <w:color w:val="000000" w:themeColor="text1"/>
          <w:kern w:val="24"/>
        </w:rPr>
        <w:t>), and Li/LZC-40TF/Li (</w:t>
      </w:r>
      <w:r w:rsidRPr="002657D1">
        <w:rPr>
          <w:rFonts w:ascii="Times New Roman" w:eastAsia="等线" w:hAnsi="Times New Roman" w:cs="Times New Roman"/>
          <w:b/>
          <w:bCs/>
          <w:color w:val="000000" w:themeColor="text1"/>
          <w:kern w:val="24"/>
        </w:rPr>
        <w:t>c</w:t>
      </w:r>
      <w:r w:rsidRPr="002657D1">
        <w:rPr>
          <w:rFonts w:ascii="Times New Roman" w:eastAsia="等线" w:hAnsi="Times New Roman" w:cs="Times New Roman"/>
          <w:color w:val="000000" w:themeColor="text1"/>
          <w:kern w:val="24"/>
        </w:rPr>
        <w:t>) symmetric cells at the current density of 0.1 mA cm</w:t>
      </w:r>
      <w:r w:rsidRPr="002657D1">
        <w:rPr>
          <w:rFonts w:ascii="Times New Roman" w:eastAsia="等线" w:hAnsi="Times New Roman" w:cs="Times New Roman"/>
          <w:color w:val="000000" w:themeColor="text1"/>
          <w:kern w:val="2"/>
        </w:rPr>
        <w:t>⁻</w:t>
      </w:r>
      <w:r w:rsidR="00D21E84" w:rsidRPr="002657D1">
        <w:rPr>
          <w:rFonts w:ascii="Times New Roman" w:eastAsia="等线" w:hAnsi="Times New Roman" w:cs="Times New Roman"/>
          <w:color w:val="000000" w:themeColor="text1"/>
          <w:kern w:val="2"/>
          <w:vertAlign w:val="superscript"/>
        </w:rPr>
        <w:t>2</w:t>
      </w:r>
      <w:r w:rsidRPr="002657D1">
        <w:rPr>
          <w:rFonts w:ascii="Times New Roman" w:eastAsia="等线" w:hAnsi="Times New Roman" w:cs="Times New Roman"/>
          <w:color w:val="000000" w:themeColor="text1"/>
          <w:kern w:val="24"/>
        </w:rPr>
        <w:t xml:space="preserve"> for 0.1 mAh cm</w:t>
      </w:r>
      <w:r w:rsidRPr="002657D1">
        <w:rPr>
          <w:rFonts w:ascii="Times New Roman" w:eastAsia="等线" w:hAnsi="Times New Roman" w:cs="Times New Roman"/>
          <w:color w:val="000000" w:themeColor="text1"/>
          <w:kern w:val="2"/>
        </w:rPr>
        <w:t>⁻</w:t>
      </w:r>
      <w:r w:rsidR="00D21E84" w:rsidRPr="002657D1">
        <w:rPr>
          <w:rFonts w:ascii="Times New Roman" w:eastAsia="等线" w:hAnsi="Times New Roman" w:cs="Times New Roman"/>
          <w:color w:val="000000" w:themeColor="text1"/>
          <w:kern w:val="2"/>
          <w:vertAlign w:val="superscript"/>
        </w:rPr>
        <w:t>2</w:t>
      </w:r>
      <w:r w:rsidRPr="002657D1">
        <w:rPr>
          <w:rFonts w:ascii="Times New Roman" w:eastAsia="等线" w:hAnsi="Times New Roman" w:cs="Times New Roman"/>
          <w:color w:val="000000" w:themeColor="text1"/>
          <w:kern w:val="24"/>
        </w:rPr>
        <w:t>.</w:t>
      </w:r>
      <w:r w:rsidR="00E47BD5" w:rsidRPr="002657D1">
        <w:rPr>
          <w:rFonts w:ascii="Times New Roman" w:hAnsi="Times New Roman" w:cs="Times New Roman"/>
          <w:color w:val="000000" w:themeColor="text1"/>
          <w:sz w:val="21"/>
          <w:szCs w:val="21"/>
        </w:rPr>
        <w:br w:type="page"/>
      </w:r>
    </w:p>
    <w:p w14:paraId="3E81ABFC" w14:textId="7F127B01" w:rsidR="006556A5" w:rsidRPr="002657D1" w:rsidRDefault="00B10DDA" w:rsidP="006556A5">
      <w:pPr>
        <w:widowControl/>
        <w:spacing w:before="120" w:afterLines="50" w:after="156" w:line="360" w:lineRule="auto"/>
        <w:jc w:val="center"/>
        <w:rPr>
          <w:rFonts w:ascii="Times New Roman" w:hAnsi="Times New Roman" w:cs="Times New Roman"/>
          <w:color w:val="000000" w:themeColor="text1"/>
        </w:rPr>
      </w:pPr>
      <w:r w:rsidRPr="002657D1">
        <w:rPr>
          <w:rFonts w:ascii="Times New Roman" w:hAnsi="Times New Roman" w:cs="Times New Roman"/>
          <w:noProof/>
          <w:color w:val="000000" w:themeColor="text1"/>
        </w:rPr>
        <w:lastRenderedPageBreak/>
        <w:drawing>
          <wp:inline distT="0" distB="0" distL="0" distR="0" wp14:anchorId="2250F5CE" wp14:editId="16F2B4E2">
            <wp:extent cx="4320000" cy="2071156"/>
            <wp:effectExtent l="0" t="0" r="0" b="0"/>
            <wp:docPr id="108353434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534347" name="图片 1083534347"/>
                    <pic:cNvPicPr/>
                  </pic:nvPicPr>
                  <pic:blipFill>
                    <a:blip r:embed="rId46"/>
                    <a:stretch>
                      <a:fillRect/>
                    </a:stretch>
                  </pic:blipFill>
                  <pic:spPr>
                    <a:xfrm>
                      <a:off x="0" y="0"/>
                      <a:ext cx="4320000" cy="2071156"/>
                    </a:xfrm>
                    <a:prstGeom prst="rect">
                      <a:avLst/>
                    </a:prstGeom>
                  </pic:spPr>
                </pic:pic>
              </a:graphicData>
            </a:graphic>
          </wp:inline>
        </w:drawing>
      </w:r>
    </w:p>
    <w:p w14:paraId="265B8BD7" w14:textId="401EDF72" w:rsidR="006556A5" w:rsidRPr="002657D1" w:rsidRDefault="006556A5" w:rsidP="00D21E84">
      <w:pPr>
        <w:pStyle w:val="ac"/>
        <w:spacing w:before="0" w:beforeAutospacing="0" w:after="0" w:afterAutospacing="0" w:line="360" w:lineRule="auto"/>
        <w:jc w:val="both"/>
        <w:rPr>
          <w:rFonts w:ascii="Times New Roman" w:hAnsi="Times New Roman" w:cs="Times New Roman"/>
          <w:color w:val="000000" w:themeColor="text1"/>
        </w:rPr>
      </w:pPr>
      <w:r w:rsidRPr="002657D1">
        <w:rPr>
          <w:rFonts w:ascii="Times New Roman" w:eastAsia="等线" w:hAnsi="Times New Roman" w:cs="Times New Roman"/>
          <w:b/>
          <w:bCs/>
          <w:color w:val="000000" w:themeColor="text1"/>
          <w:kern w:val="2"/>
        </w:rPr>
        <w:t xml:space="preserve">Supplementary Fig. </w:t>
      </w:r>
      <w:r w:rsidR="00B64FB2" w:rsidRPr="002657D1">
        <w:rPr>
          <w:rFonts w:ascii="Times New Roman" w:eastAsia="等线" w:hAnsi="Times New Roman" w:cs="Times New Roman" w:hint="eastAsia"/>
          <w:b/>
          <w:bCs/>
          <w:color w:val="000000" w:themeColor="text1"/>
          <w:kern w:val="2"/>
        </w:rPr>
        <w:t>32</w:t>
      </w:r>
      <w:r w:rsidR="00B64FB2"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b/>
          <w:bCs/>
          <w:color w:val="000000" w:themeColor="text1"/>
          <w:kern w:val="2"/>
        </w:rPr>
        <w:t xml:space="preserve">| </w:t>
      </w:r>
      <w:proofErr w:type="spellStart"/>
      <w:proofErr w:type="gramStart"/>
      <w:r w:rsidRPr="002657D1">
        <w:rPr>
          <w:rFonts w:ascii="Times New Roman" w:eastAsia="等线" w:hAnsi="Times New Roman" w:cs="Times New Roman"/>
          <w:b/>
          <w:bCs/>
          <w:color w:val="000000" w:themeColor="text1"/>
          <w:kern w:val="2"/>
        </w:rPr>
        <w:t>a,b</w:t>
      </w:r>
      <w:proofErr w:type="spellEnd"/>
      <w:proofErr w:type="gramEnd"/>
      <w:r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color w:val="000000" w:themeColor="text1"/>
          <w:kern w:val="2"/>
        </w:rPr>
        <w:t>Li 1s (</w:t>
      </w:r>
      <w:r w:rsidRPr="002657D1">
        <w:rPr>
          <w:rFonts w:ascii="Times New Roman" w:eastAsia="等线" w:hAnsi="Times New Roman" w:cs="Times New Roman"/>
          <w:b/>
          <w:bCs/>
          <w:color w:val="000000" w:themeColor="text1"/>
          <w:kern w:val="2"/>
        </w:rPr>
        <w:t>a</w:t>
      </w:r>
      <w:r w:rsidRPr="002657D1">
        <w:rPr>
          <w:rFonts w:ascii="Times New Roman" w:eastAsia="等线" w:hAnsi="Times New Roman" w:cs="Times New Roman"/>
          <w:color w:val="000000" w:themeColor="text1"/>
          <w:kern w:val="2"/>
        </w:rPr>
        <w:t>) and Zr 3d (</w:t>
      </w:r>
      <w:r w:rsidRPr="002657D1">
        <w:rPr>
          <w:rFonts w:ascii="Times New Roman" w:eastAsia="等线" w:hAnsi="Times New Roman" w:cs="Times New Roman"/>
          <w:b/>
          <w:bCs/>
          <w:color w:val="000000" w:themeColor="text1"/>
          <w:kern w:val="2"/>
        </w:rPr>
        <w:t>b</w:t>
      </w:r>
      <w:r w:rsidRPr="002657D1">
        <w:rPr>
          <w:rFonts w:ascii="Times New Roman" w:eastAsia="等线" w:hAnsi="Times New Roman" w:cs="Times New Roman"/>
          <w:color w:val="000000" w:themeColor="text1"/>
          <w:kern w:val="2"/>
        </w:rPr>
        <w:t>)</w:t>
      </w:r>
      <w:r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color w:val="000000" w:themeColor="text1"/>
          <w:kern w:val="2"/>
        </w:rPr>
        <w:t>XPS spectra of</w:t>
      </w:r>
      <w:r w:rsidRPr="002657D1">
        <w:rPr>
          <w:rFonts w:ascii="Times New Roman" w:eastAsia="等线" w:hAnsi="Times New Roman" w:cs="Times New Roman"/>
          <w:color w:val="000000" w:themeColor="text1"/>
          <w:kern w:val="24"/>
        </w:rPr>
        <w:t xml:space="preserve"> the pristine LZC HSE before and after 500 h cycling at 0.1 mA cm</w:t>
      </w:r>
      <w:r w:rsidRPr="002657D1">
        <w:rPr>
          <w:rFonts w:ascii="Times New Roman" w:eastAsia="等线" w:hAnsi="Times New Roman" w:cs="Times New Roman"/>
          <w:color w:val="000000" w:themeColor="text1"/>
          <w:kern w:val="24"/>
          <w:vertAlign w:val="superscript"/>
        </w:rPr>
        <w:t>−2</w:t>
      </w:r>
      <w:r w:rsidRPr="002657D1">
        <w:rPr>
          <w:rFonts w:ascii="Times New Roman" w:eastAsia="等线" w:hAnsi="Times New Roman" w:cs="Times New Roman"/>
          <w:color w:val="000000" w:themeColor="text1"/>
          <w:kern w:val="24"/>
        </w:rPr>
        <w:t xml:space="preserve"> for 0.1 mAh cm</w:t>
      </w:r>
      <w:r w:rsidRPr="002657D1">
        <w:rPr>
          <w:rFonts w:ascii="Times New Roman" w:eastAsia="等线" w:hAnsi="Times New Roman" w:cs="Times New Roman"/>
          <w:color w:val="000000" w:themeColor="text1"/>
          <w:kern w:val="24"/>
          <w:vertAlign w:val="superscript"/>
        </w:rPr>
        <w:t>−2</w:t>
      </w:r>
      <w:r w:rsidRPr="002657D1">
        <w:rPr>
          <w:rFonts w:ascii="Times New Roman" w:eastAsia="等线" w:hAnsi="Times New Roman" w:cs="Times New Roman"/>
          <w:color w:val="000000" w:themeColor="text1"/>
          <w:kern w:val="24"/>
        </w:rPr>
        <w:t>.</w:t>
      </w:r>
      <w:r w:rsidRPr="002657D1">
        <w:rPr>
          <w:rFonts w:ascii="Times New Roman" w:hAnsi="Times New Roman" w:cs="Times New Roman"/>
          <w:color w:val="000000" w:themeColor="text1"/>
        </w:rPr>
        <w:br w:type="page"/>
      </w:r>
    </w:p>
    <w:p w14:paraId="338B4631" w14:textId="60B4112F" w:rsidR="00F7120F" w:rsidRPr="002657D1" w:rsidRDefault="00B10DDA" w:rsidP="005257B0">
      <w:pPr>
        <w:widowControl/>
        <w:spacing w:before="120" w:afterLines="50" w:after="156" w:line="360" w:lineRule="auto"/>
        <w:jc w:val="center"/>
        <w:rPr>
          <w:rFonts w:ascii="Times New Roman" w:hAnsi="Times New Roman" w:cs="Times New Roman"/>
          <w:color w:val="000000" w:themeColor="text1"/>
        </w:rPr>
      </w:pPr>
      <w:r w:rsidRPr="002657D1">
        <w:rPr>
          <w:rFonts w:ascii="Times New Roman" w:hAnsi="Times New Roman" w:cs="Times New Roman"/>
          <w:noProof/>
          <w:color w:val="000000" w:themeColor="text1"/>
        </w:rPr>
        <w:lastRenderedPageBreak/>
        <w:drawing>
          <wp:inline distT="0" distB="0" distL="0" distR="0" wp14:anchorId="3AF9360F" wp14:editId="059BA875">
            <wp:extent cx="5274000" cy="2051564"/>
            <wp:effectExtent l="0" t="0" r="0" b="0"/>
            <wp:docPr id="98082078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820781" name="图片 980820781"/>
                    <pic:cNvPicPr/>
                  </pic:nvPicPr>
                  <pic:blipFill>
                    <a:blip r:embed="rId47"/>
                    <a:stretch>
                      <a:fillRect/>
                    </a:stretch>
                  </pic:blipFill>
                  <pic:spPr>
                    <a:xfrm>
                      <a:off x="0" y="0"/>
                      <a:ext cx="5274000" cy="2051564"/>
                    </a:xfrm>
                    <a:prstGeom prst="rect">
                      <a:avLst/>
                    </a:prstGeom>
                  </pic:spPr>
                </pic:pic>
              </a:graphicData>
            </a:graphic>
          </wp:inline>
        </w:drawing>
      </w:r>
    </w:p>
    <w:p w14:paraId="7DE5734F" w14:textId="6992C1D2" w:rsidR="005448A8" w:rsidRPr="002657D1" w:rsidRDefault="005448A8" w:rsidP="005448A8">
      <w:pPr>
        <w:pStyle w:val="ac"/>
        <w:spacing w:before="0" w:beforeAutospacing="0" w:after="0" w:afterAutospacing="0" w:line="360" w:lineRule="auto"/>
        <w:jc w:val="both"/>
        <w:rPr>
          <w:rFonts w:ascii="Times New Roman" w:eastAsia="等线" w:hAnsi="Times New Roman" w:cs="Times New Roman"/>
          <w:color w:val="000000" w:themeColor="text1"/>
          <w:kern w:val="24"/>
        </w:rPr>
      </w:pPr>
      <w:r w:rsidRPr="002657D1">
        <w:rPr>
          <w:rFonts w:ascii="Times New Roman" w:eastAsia="等线" w:hAnsi="Times New Roman" w:cs="Times New Roman"/>
          <w:b/>
          <w:bCs/>
          <w:color w:val="000000" w:themeColor="text1"/>
          <w:kern w:val="2"/>
        </w:rPr>
        <w:t xml:space="preserve">Supplementary Fig. </w:t>
      </w:r>
      <w:r w:rsidR="00B64FB2" w:rsidRPr="002657D1">
        <w:rPr>
          <w:rFonts w:ascii="Times New Roman" w:eastAsia="等线" w:hAnsi="Times New Roman" w:cs="Times New Roman" w:hint="eastAsia"/>
          <w:b/>
          <w:bCs/>
          <w:color w:val="000000" w:themeColor="text1"/>
          <w:kern w:val="2"/>
        </w:rPr>
        <w:t>33</w:t>
      </w:r>
      <w:r w:rsidR="00B64FB2"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b/>
          <w:bCs/>
          <w:color w:val="000000" w:themeColor="text1"/>
          <w:kern w:val="2"/>
        </w:rPr>
        <w:t xml:space="preserve">| </w:t>
      </w:r>
      <w:proofErr w:type="spellStart"/>
      <w:proofErr w:type="gramStart"/>
      <w:r w:rsidRPr="002657D1">
        <w:rPr>
          <w:rFonts w:ascii="Times New Roman" w:eastAsia="等线" w:hAnsi="Times New Roman" w:cs="Times New Roman"/>
          <w:b/>
          <w:bCs/>
          <w:color w:val="000000" w:themeColor="text1"/>
          <w:kern w:val="2"/>
        </w:rPr>
        <w:t>a,b</w:t>
      </w:r>
      <w:proofErr w:type="spellEnd"/>
      <w:proofErr w:type="gramEnd"/>
      <w:r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color w:val="000000" w:themeColor="text1"/>
          <w:kern w:val="2"/>
        </w:rPr>
        <w:t>Zr 3d (</w:t>
      </w:r>
      <w:r w:rsidRPr="002657D1">
        <w:rPr>
          <w:rFonts w:ascii="Times New Roman" w:eastAsia="等线" w:hAnsi="Times New Roman" w:cs="Times New Roman"/>
          <w:b/>
          <w:bCs/>
          <w:color w:val="000000" w:themeColor="text1"/>
          <w:kern w:val="2"/>
        </w:rPr>
        <w:t>a</w:t>
      </w:r>
      <w:r w:rsidRPr="002657D1">
        <w:rPr>
          <w:rFonts w:ascii="Times New Roman" w:eastAsia="等线" w:hAnsi="Times New Roman" w:cs="Times New Roman"/>
          <w:color w:val="000000" w:themeColor="text1"/>
          <w:kern w:val="2"/>
        </w:rPr>
        <w:t>) and Li 1s (</w:t>
      </w:r>
      <w:r w:rsidRPr="002657D1">
        <w:rPr>
          <w:rFonts w:ascii="Times New Roman" w:eastAsia="等线" w:hAnsi="Times New Roman" w:cs="Times New Roman"/>
          <w:b/>
          <w:bCs/>
          <w:color w:val="000000" w:themeColor="text1"/>
          <w:kern w:val="2"/>
        </w:rPr>
        <w:t>b</w:t>
      </w:r>
      <w:r w:rsidRPr="002657D1">
        <w:rPr>
          <w:rFonts w:ascii="Times New Roman" w:eastAsia="等线" w:hAnsi="Times New Roman" w:cs="Times New Roman"/>
          <w:color w:val="000000" w:themeColor="text1"/>
          <w:kern w:val="2"/>
        </w:rPr>
        <w:t xml:space="preserve">) </w:t>
      </w:r>
      <w:r w:rsidR="00322E20" w:rsidRPr="002657D1">
        <w:rPr>
          <w:rFonts w:ascii="Times New Roman" w:eastAsia="等线" w:hAnsi="Times New Roman" w:cs="Times New Roman" w:hint="eastAsia"/>
          <w:color w:val="000000" w:themeColor="text1"/>
          <w:kern w:val="2"/>
        </w:rPr>
        <w:t>i</w:t>
      </w:r>
      <w:r w:rsidRPr="002657D1">
        <w:rPr>
          <w:rFonts w:ascii="Times New Roman" w:eastAsia="等线" w:hAnsi="Times New Roman" w:cs="Times New Roman"/>
          <w:color w:val="000000" w:themeColor="text1"/>
          <w:kern w:val="2"/>
        </w:rPr>
        <w:t>n-depth XPS spectra of</w:t>
      </w:r>
      <w:r w:rsidRPr="002657D1">
        <w:rPr>
          <w:rFonts w:ascii="Times New Roman" w:eastAsia="等线" w:hAnsi="Times New Roman" w:cs="Times New Roman"/>
          <w:color w:val="000000" w:themeColor="text1"/>
          <w:kern w:val="24"/>
        </w:rPr>
        <w:t xml:space="preserve"> the LZC-10TF HSE after 500 h cycling at </w:t>
      </w:r>
      <w:r w:rsidR="009F1053" w:rsidRPr="002657D1">
        <w:rPr>
          <w:rFonts w:ascii="Times New Roman" w:eastAsia="等线" w:hAnsi="Times New Roman" w:cs="Times New Roman" w:hint="eastAsia"/>
          <w:color w:val="000000" w:themeColor="text1"/>
          <w:kern w:val="24"/>
        </w:rPr>
        <w:t xml:space="preserve">0.1 </w:t>
      </w:r>
      <w:r w:rsidRPr="002657D1">
        <w:rPr>
          <w:rFonts w:ascii="Times New Roman" w:eastAsia="等线" w:hAnsi="Times New Roman" w:cs="Times New Roman"/>
          <w:color w:val="000000" w:themeColor="text1"/>
          <w:kern w:val="24"/>
        </w:rPr>
        <w:t>mA cm</w:t>
      </w:r>
      <w:r w:rsidRPr="002657D1">
        <w:rPr>
          <w:rFonts w:ascii="Times New Roman" w:hAnsi="Times New Roman" w:cs="Times New Roman"/>
          <w:color w:val="000000" w:themeColor="text1"/>
        </w:rPr>
        <w:t>⁻</w:t>
      </w:r>
      <w:r w:rsidRPr="002657D1">
        <w:rPr>
          <w:rFonts w:ascii="Times New Roman" w:hAnsi="Times New Roman" w:cs="Times New Roman"/>
          <w:color w:val="000000" w:themeColor="text1"/>
          <w:vertAlign w:val="superscript"/>
        </w:rPr>
        <w:t>2</w:t>
      </w:r>
      <w:r w:rsidRPr="002657D1">
        <w:rPr>
          <w:rFonts w:ascii="Times New Roman" w:eastAsia="等线" w:hAnsi="Times New Roman" w:cs="Times New Roman"/>
          <w:color w:val="000000" w:themeColor="text1"/>
          <w:kern w:val="24"/>
        </w:rPr>
        <w:t xml:space="preserve"> for </w:t>
      </w:r>
      <w:r w:rsidR="009F1053" w:rsidRPr="002657D1">
        <w:rPr>
          <w:rFonts w:ascii="Times New Roman" w:eastAsia="等线" w:hAnsi="Times New Roman" w:cs="Times New Roman" w:hint="eastAsia"/>
          <w:color w:val="000000" w:themeColor="text1"/>
          <w:kern w:val="24"/>
        </w:rPr>
        <w:t>0.1</w:t>
      </w:r>
      <w:r w:rsidRPr="002657D1">
        <w:rPr>
          <w:rFonts w:ascii="Times New Roman" w:eastAsia="等线" w:hAnsi="Times New Roman" w:cs="Times New Roman"/>
          <w:color w:val="000000" w:themeColor="text1"/>
          <w:kern w:val="24"/>
        </w:rPr>
        <w:t xml:space="preserve"> mAh cm</w:t>
      </w:r>
      <w:r w:rsidRPr="002657D1">
        <w:rPr>
          <w:rFonts w:ascii="Times New Roman" w:hAnsi="Times New Roman" w:cs="Times New Roman"/>
          <w:color w:val="000000" w:themeColor="text1"/>
        </w:rPr>
        <w:t>⁻</w:t>
      </w:r>
      <w:r w:rsidRPr="002657D1">
        <w:rPr>
          <w:rFonts w:ascii="Times New Roman" w:hAnsi="Times New Roman" w:cs="Times New Roman"/>
          <w:color w:val="000000" w:themeColor="text1"/>
          <w:vertAlign w:val="superscript"/>
        </w:rPr>
        <w:t>2</w:t>
      </w:r>
      <w:r w:rsidRPr="002657D1">
        <w:rPr>
          <w:rFonts w:ascii="Times New Roman" w:eastAsia="等线" w:hAnsi="Times New Roman" w:cs="Times New Roman"/>
          <w:color w:val="000000" w:themeColor="text1"/>
          <w:kern w:val="24"/>
        </w:rPr>
        <w:t>.</w:t>
      </w:r>
    </w:p>
    <w:p w14:paraId="0D24EBBB" w14:textId="1BCAB75C" w:rsidR="00F7120F" w:rsidRPr="002657D1" w:rsidRDefault="005448A8" w:rsidP="00FE3555">
      <w:pPr>
        <w:pStyle w:val="ac"/>
        <w:spacing w:afterLines="50" w:after="156" w:afterAutospacing="0" w:line="360" w:lineRule="auto"/>
        <w:jc w:val="both"/>
        <w:rPr>
          <w:rFonts w:ascii="Times New Roman" w:hAnsi="Times New Roman" w:cs="Times New Roman"/>
          <w:color w:val="000000" w:themeColor="text1"/>
        </w:rPr>
      </w:pPr>
      <w:r w:rsidRPr="002657D1">
        <w:rPr>
          <w:rFonts w:ascii="Times New Roman" w:hAnsi="Times New Roman" w:cs="Times New Roman"/>
          <w:b/>
          <w:bCs/>
          <w:color w:val="000000" w:themeColor="text1"/>
        </w:rPr>
        <w:t>Discussion:</w:t>
      </w:r>
      <w:r w:rsidRPr="002657D1">
        <w:rPr>
          <w:rFonts w:ascii="Times New Roman" w:hAnsi="Times New Roman" w:cs="Times New Roman"/>
          <w:color w:val="000000" w:themeColor="text1"/>
        </w:rPr>
        <w:t xml:space="preserve"> XPS depth profiling of Zr 3d (</w:t>
      </w:r>
      <w:r w:rsidRPr="002657D1">
        <w:rPr>
          <w:rFonts w:ascii="Times New Roman" w:hAnsi="Times New Roman" w:cs="Times New Roman"/>
          <w:b/>
          <w:bCs/>
          <w:color w:val="000000" w:themeColor="text1"/>
        </w:rPr>
        <w:t xml:space="preserve">Supplementary Fig. </w:t>
      </w:r>
      <w:r w:rsidR="00C942A9" w:rsidRPr="002657D1">
        <w:rPr>
          <w:rFonts w:ascii="Times New Roman" w:hAnsi="Times New Roman" w:cs="Times New Roman" w:hint="eastAsia"/>
          <w:b/>
          <w:bCs/>
          <w:color w:val="000000" w:themeColor="text1"/>
        </w:rPr>
        <w:t>33</w:t>
      </w:r>
      <w:r w:rsidR="00C942A9" w:rsidRPr="002657D1">
        <w:rPr>
          <w:rFonts w:ascii="Times New Roman" w:hAnsi="Times New Roman" w:cs="Times New Roman"/>
          <w:b/>
          <w:bCs/>
          <w:color w:val="000000" w:themeColor="text1"/>
        </w:rPr>
        <w:t>a</w:t>
      </w:r>
      <w:r w:rsidRPr="002657D1">
        <w:rPr>
          <w:rFonts w:ascii="Times New Roman" w:hAnsi="Times New Roman" w:cs="Times New Roman"/>
          <w:color w:val="000000" w:themeColor="text1"/>
        </w:rPr>
        <w:t>) reveals dominant Zr</w:t>
      </w:r>
      <w:r w:rsidRPr="002657D1">
        <w:rPr>
          <w:rFonts w:ascii="Times New Roman" w:hAnsi="Times New Roman" w:cs="Times New Roman"/>
          <w:color w:val="000000" w:themeColor="text1"/>
          <w:vertAlign w:val="superscript"/>
        </w:rPr>
        <w:t>4+</w:t>
      </w:r>
      <w:r w:rsidRPr="002657D1">
        <w:rPr>
          <w:rFonts w:ascii="Times New Roman" w:hAnsi="Times New Roman" w:cs="Times New Roman"/>
          <w:color w:val="000000" w:themeColor="text1"/>
        </w:rPr>
        <w:t xml:space="preserve"> contributions (red areas) with primary peaks near 183.0 eV across depths (0-3 nm). Minor Zr</w:t>
      </w:r>
      <w:r w:rsidRPr="002657D1">
        <w:rPr>
          <w:rFonts w:ascii="Times New Roman" w:hAnsi="Times New Roman" w:cs="Times New Roman"/>
          <w:color w:val="000000" w:themeColor="text1"/>
          <w:vertAlign w:val="superscript"/>
        </w:rPr>
        <w:t>2+</w:t>
      </w:r>
      <w:r w:rsidRPr="002657D1">
        <w:rPr>
          <w:rFonts w:ascii="Times New Roman" w:hAnsi="Times New Roman" w:cs="Times New Roman"/>
          <w:color w:val="000000" w:themeColor="text1"/>
        </w:rPr>
        <w:t>/Zr</w:t>
      </w:r>
      <w:r w:rsidRPr="002657D1">
        <w:rPr>
          <w:rFonts w:ascii="Times New Roman" w:hAnsi="Times New Roman" w:cs="Times New Roman"/>
          <w:color w:val="000000" w:themeColor="text1"/>
          <w:vertAlign w:val="superscript"/>
        </w:rPr>
        <w:t>0</w:t>
      </w:r>
      <w:r w:rsidRPr="002657D1">
        <w:rPr>
          <w:rFonts w:ascii="Times New Roman" w:hAnsi="Times New Roman" w:cs="Times New Roman"/>
          <w:color w:val="000000" w:themeColor="text1"/>
        </w:rPr>
        <w:t xml:space="preserve"> species (181.0 eV) show a gradient distribution with decreasing ratios of 8.5%, 6.4%, 5.2%, and 0% at 0, 1, 2, and 3 nm, respectively. This Zr</w:t>
      </w:r>
      <w:r w:rsidRPr="002657D1">
        <w:rPr>
          <w:rFonts w:ascii="Times New Roman" w:hAnsi="Times New Roman" w:cs="Times New Roman"/>
          <w:color w:val="000000" w:themeColor="text1"/>
          <w:vertAlign w:val="superscript"/>
        </w:rPr>
        <w:t>2+</w:t>
      </w:r>
      <w:r w:rsidRPr="002657D1">
        <w:rPr>
          <w:rFonts w:ascii="Times New Roman" w:hAnsi="Times New Roman" w:cs="Times New Roman"/>
          <w:color w:val="000000" w:themeColor="text1"/>
        </w:rPr>
        <w:t>/Zr</w:t>
      </w:r>
      <w:r w:rsidRPr="002657D1">
        <w:rPr>
          <w:rFonts w:ascii="Times New Roman" w:hAnsi="Times New Roman" w:cs="Times New Roman"/>
          <w:color w:val="000000" w:themeColor="text1"/>
          <w:vertAlign w:val="superscript"/>
        </w:rPr>
        <w:t>0</w:t>
      </w:r>
      <w:r w:rsidRPr="002657D1">
        <w:rPr>
          <w:rFonts w:ascii="Times New Roman" w:hAnsi="Times New Roman" w:cs="Times New Roman"/>
          <w:color w:val="000000" w:themeColor="text1"/>
        </w:rPr>
        <w:t xml:space="preserve"> gradient resembles Ti</w:t>
      </w:r>
      <w:r w:rsidRPr="002657D1">
        <w:rPr>
          <w:rFonts w:ascii="Times New Roman" w:hAnsi="Times New Roman" w:cs="Times New Roman"/>
          <w:color w:val="000000" w:themeColor="text1"/>
          <w:vertAlign w:val="superscript"/>
        </w:rPr>
        <w:t>0</w:t>
      </w:r>
      <w:r w:rsidRPr="002657D1">
        <w:rPr>
          <w:rFonts w:ascii="Times New Roman" w:hAnsi="Times New Roman" w:cs="Times New Roman"/>
          <w:color w:val="000000" w:themeColor="text1"/>
        </w:rPr>
        <w:t xml:space="preserve"> behavior and arises from Zr’s lower electronegativity (1.33 vs. Ti’s 1.54), enhancing its resistance to reduction. In Li 1s spectra (</w:t>
      </w:r>
      <w:r w:rsidRPr="002657D1">
        <w:rPr>
          <w:rFonts w:ascii="Times New Roman" w:hAnsi="Times New Roman" w:cs="Times New Roman"/>
          <w:b/>
          <w:bCs/>
          <w:color w:val="000000" w:themeColor="text1"/>
        </w:rPr>
        <w:t xml:space="preserve">Supplementary Fig. </w:t>
      </w:r>
      <w:r w:rsidR="00C942A9" w:rsidRPr="002657D1">
        <w:rPr>
          <w:rFonts w:ascii="Times New Roman" w:hAnsi="Times New Roman" w:cs="Times New Roman" w:hint="eastAsia"/>
          <w:b/>
          <w:bCs/>
          <w:color w:val="000000" w:themeColor="text1"/>
        </w:rPr>
        <w:t>33</w:t>
      </w:r>
      <w:r w:rsidR="00C942A9" w:rsidRPr="002657D1">
        <w:rPr>
          <w:rFonts w:ascii="Times New Roman" w:hAnsi="Times New Roman" w:cs="Times New Roman"/>
          <w:b/>
          <w:bCs/>
          <w:color w:val="000000" w:themeColor="text1"/>
        </w:rPr>
        <w:t>b</w:t>
      </w:r>
      <w:r w:rsidRPr="002657D1">
        <w:rPr>
          <w:rFonts w:ascii="Times New Roman" w:hAnsi="Times New Roman" w:cs="Times New Roman"/>
          <w:color w:val="000000" w:themeColor="text1"/>
        </w:rPr>
        <w:t xml:space="preserve">), LiF signals observed at 0-2 nm depths correlate with F 1s profiles in </w:t>
      </w:r>
      <w:r w:rsidRPr="002657D1">
        <w:rPr>
          <w:rFonts w:ascii="Times New Roman" w:hAnsi="Times New Roman" w:cs="Times New Roman"/>
          <w:b/>
          <w:bCs/>
          <w:color w:val="000000" w:themeColor="text1"/>
        </w:rPr>
        <w:t>Fig. 5e</w:t>
      </w:r>
      <w:r w:rsidRPr="002657D1">
        <w:rPr>
          <w:rFonts w:ascii="Times New Roman" w:hAnsi="Times New Roman" w:cs="Times New Roman"/>
          <w:color w:val="000000" w:themeColor="text1"/>
        </w:rPr>
        <w:t>. The LiF interphase suppressed continuous interfacial degradation, preserving the (electro)chemical integrity of the LZC-10TF electrolyte at 3 nm.</w:t>
      </w:r>
      <w:r w:rsidR="00F7120F" w:rsidRPr="002657D1">
        <w:rPr>
          <w:rFonts w:ascii="Times New Roman" w:hAnsi="Times New Roman" w:cs="Times New Roman"/>
          <w:color w:val="000000" w:themeColor="text1"/>
        </w:rPr>
        <w:br w:type="page"/>
      </w:r>
    </w:p>
    <w:p w14:paraId="411B1E49" w14:textId="77777777" w:rsidR="00357695" w:rsidRPr="002657D1" w:rsidRDefault="00357695" w:rsidP="00357695">
      <w:pPr>
        <w:widowControl/>
        <w:spacing w:before="120" w:afterLines="50" w:after="156" w:line="360" w:lineRule="auto"/>
        <w:jc w:val="center"/>
        <w:rPr>
          <w:rFonts w:ascii="Times New Roman" w:hAnsi="Times New Roman" w:cs="Times New Roman"/>
          <w:color w:val="000000" w:themeColor="text1"/>
        </w:rPr>
      </w:pPr>
      <w:r w:rsidRPr="002657D1">
        <w:rPr>
          <w:rFonts w:ascii="Times New Roman" w:hAnsi="Times New Roman" w:cs="Times New Roman"/>
          <w:noProof/>
          <w:color w:val="000000" w:themeColor="text1"/>
        </w:rPr>
        <w:lastRenderedPageBreak/>
        <w:drawing>
          <wp:inline distT="0" distB="0" distL="0" distR="0" wp14:anchorId="7FA7680B" wp14:editId="544F626F">
            <wp:extent cx="5274310" cy="1166495"/>
            <wp:effectExtent l="0" t="0" r="0" b="0"/>
            <wp:docPr id="157410489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104891" name="图片 1574104891"/>
                    <pic:cNvPicPr/>
                  </pic:nvPicPr>
                  <pic:blipFill>
                    <a:blip r:embed="rId48"/>
                    <a:stretch>
                      <a:fillRect/>
                    </a:stretch>
                  </pic:blipFill>
                  <pic:spPr>
                    <a:xfrm>
                      <a:off x="0" y="0"/>
                      <a:ext cx="5274310" cy="1166495"/>
                    </a:xfrm>
                    <a:prstGeom prst="rect">
                      <a:avLst/>
                    </a:prstGeom>
                  </pic:spPr>
                </pic:pic>
              </a:graphicData>
            </a:graphic>
          </wp:inline>
        </w:drawing>
      </w:r>
    </w:p>
    <w:p w14:paraId="4865ACEA" w14:textId="664186D0" w:rsidR="00357695" w:rsidRPr="002657D1" w:rsidRDefault="00357695" w:rsidP="00357695">
      <w:pPr>
        <w:pStyle w:val="ac"/>
        <w:spacing w:before="0" w:beforeAutospacing="0" w:after="0" w:afterAutospacing="0" w:line="360" w:lineRule="auto"/>
        <w:jc w:val="both"/>
        <w:rPr>
          <w:rFonts w:ascii="Times New Roman" w:hAnsi="Times New Roman" w:cs="Times New Roman"/>
          <w:color w:val="000000" w:themeColor="text1"/>
        </w:rPr>
      </w:pPr>
      <w:r w:rsidRPr="002657D1">
        <w:rPr>
          <w:rFonts w:ascii="Times New Roman" w:eastAsia="等线" w:hAnsi="Times New Roman" w:cs="Times New Roman"/>
          <w:b/>
          <w:bCs/>
          <w:color w:val="000000" w:themeColor="text1"/>
          <w:kern w:val="2"/>
        </w:rPr>
        <w:t xml:space="preserve">Supplementary Fig. </w:t>
      </w:r>
      <w:r w:rsidR="00112663" w:rsidRPr="002657D1">
        <w:rPr>
          <w:rFonts w:ascii="Times New Roman" w:eastAsia="等线" w:hAnsi="Times New Roman" w:cs="Times New Roman" w:hint="eastAsia"/>
          <w:b/>
          <w:bCs/>
          <w:color w:val="000000" w:themeColor="text1"/>
          <w:kern w:val="2"/>
        </w:rPr>
        <w:t>34</w:t>
      </w:r>
      <w:r w:rsidR="00112663"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b/>
          <w:bCs/>
          <w:color w:val="000000" w:themeColor="text1"/>
          <w:kern w:val="2"/>
        </w:rPr>
        <w:t>| a</w:t>
      </w:r>
      <w:r w:rsidRPr="002657D1">
        <w:rPr>
          <w:rFonts w:ascii="Times New Roman" w:eastAsia="等线" w:hAnsi="Times New Roman" w:cs="Times New Roman"/>
          <w:color w:val="000000" w:themeColor="text1"/>
          <w:kern w:val="2"/>
        </w:rPr>
        <w:t xml:space="preserve"> SEM image of </w:t>
      </w:r>
      <w:r w:rsidR="00727221" w:rsidRPr="002657D1">
        <w:rPr>
          <w:rFonts w:ascii="Times New Roman" w:eastAsia="等线" w:hAnsi="Times New Roman" w:cs="Times New Roman"/>
          <w:color w:val="000000" w:themeColor="text1"/>
          <w:kern w:val="2"/>
        </w:rPr>
        <w:t xml:space="preserve">the </w:t>
      </w:r>
      <w:r w:rsidRPr="002657D1">
        <w:rPr>
          <w:rFonts w:ascii="Times New Roman" w:eastAsia="等线" w:hAnsi="Times New Roman" w:cs="Times New Roman"/>
          <w:color w:val="000000" w:themeColor="text1"/>
          <w:kern w:val="2"/>
        </w:rPr>
        <w:t xml:space="preserve">pristine Li metal surface. </w:t>
      </w:r>
      <w:r w:rsidRPr="002657D1">
        <w:rPr>
          <w:rFonts w:ascii="Times New Roman" w:eastAsia="等线" w:hAnsi="Times New Roman" w:cs="Times New Roman"/>
          <w:b/>
          <w:bCs/>
          <w:color w:val="000000" w:themeColor="text1"/>
          <w:kern w:val="2"/>
        </w:rPr>
        <w:t>b, c</w:t>
      </w:r>
      <w:r w:rsidRPr="002657D1">
        <w:rPr>
          <w:rFonts w:ascii="Times New Roman" w:eastAsia="等线" w:hAnsi="Times New Roman" w:cs="Times New Roman"/>
          <w:color w:val="000000" w:themeColor="text1"/>
          <w:kern w:val="2"/>
        </w:rPr>
        <w:t xml:space="preserve"> SEM images of Li metal surface after 500 h cycling at 0.1 mA cm</w:t>
      </w:r>
      <w:r w:rsidRPr="002657D1">
        <w:rPr>
          <w:rFonts w:ascii="Times New Roman" w:eastAsia="等线" w:hAnsi="Times New Roman" w:cs="Times New Roman"/>
          <w:color w:val="000000" w:themeColor="text1"/>
          <w:kern w:val="24"/>
          <w:vertAlign w:val="superscript"/>
        </w:rPr>
        <w:t>−2</w:t>
      </w:r>
      <w:r w:rsidRPr="002657D1">
        <w:rPr>
          <w:rFonts w:ascii="Times New Roman" w:eastAsia="等线" w:hAnsi="Times New Roman" w:cs="Times New Roman"/>
          <w:color w:val="000000" w:themeColor="text1"/>
          <w:kern w:val="2"/>
        </w:rPr>
        <w:t xml:space="preserve"> for 0.1 mAh cm</w:t>
      </w:r>
      <w:r w:rsidRPr="002657D1">
        <w:rPr>
          <w:rFonts w:ascii="Times New Roman" w:eastAsia="等线" w:hAnsi="Times New Roman" w:cs="Times New Roman"/>
          <w:color w:val="000000" w:themeColor="text1"/>
          <w:kern w:val="24"/>
          <w:vertAlign w:val="superscript"/>
        </w:rPr>
        <w:t>−2</w:t>
      </w:r>
      <w:r w:rsidRPr="002657D1">
        <w:rPr>
          <w:rFonts w:ascii="Times New Roman" w:eastAsia="等线" w:hAnsi="Times New Roman" w:cs="Times New Roman"/>
          <w:color w:val="000000" w:themeColor="text1"/>
          <w:kern w:val="2"/>
        </w:rPr>
        <w:t xml:space="preserve"> in the Li/LZC/Li (</w:t>
      </w:r>
      <w:r w:rsidRPr="002657D1">
        <w:rPr>
          <w:rFonts w:ascii="Times New Roman" w:eastAsia="等线" w:hAnsi="Times New Roman" w:cs="Times New Roman"/>
          <w:b/>
          <w:bCs/>
          <w:color w:val="000000" w:themeColor="text1"/>
          <w:kern w:val="2"/>
        </w:rPr>
        <w:t>b</w:t>
      </w:r>
      <w:r w:rsidRPr="002657D1">
        <w:rPr>
          <w:rFonts w:ascii="Times New Roman" w:eastAsia="等线" w:hAnsi="Times New Roman" w:cs="Times New Roman"/>
          <w:color w:val="000000" w:themeColor="text1"/>
          <w:kern w:val="2"/>
        </w:rPr>
        <w:t>) and Li/LZC-10TF/Li (</w:t>
      </w:r>
      <w:r w:rsidRPr="002657D1">
        <w:rPr>
          <w:rFonts w:ascii="Times New Roman" w:eastAsia="等线" w:hAnsi="Times New Roman" w:cs="Times New Roman"/>
          <w:b/>
          <w:bCs/>
          <w:color w:val="000000" w:themeColor="text1"/>
          <w:kern w:val="2"/>
        </w:rPr>
        <w:t>c</w:t>
      </w:r>
      <w:r w:rsidRPr="002657D1">
        <w:rPr>
          <w:rFonts w:ascii="Times New Roman" w:eastAsia="等线" w:hAnsi="Times New Roman" w:cs="Times New Roman"/>
          <w:color w:val="000000" w:themeColor="text1"/>
          <w:kern w:val="2"/>
        </w:rPr>
        <w:t>) symmetric cells.</w:t>
      </w:r>
      <w:r w:rsidRPr="002657D1">
        <w:rPr>
          <w:rFonts w:ascii="Times New Roman" w:hAnsi="Times New Roman" w:cs="Times New Roman"/>
          <w:color w:val="000000" w:themeColor="text1"/>
        </w:rPr>
        <w:br w:type="page"/>
      </w:r>
    </w:p>
    <w:p w14:paraId="27285C40" w14:textId="0E57BEF8" w:rsidR="00357695" w:rsidRPr="002657D1" w:rsidRDefault="00777658" w:rsidP="00357695">
      <w:pPr>
        <w:widowControl/>
        <w:spacing w:before="120" w:afterLines="50" w:after="156" w:line="360" w:lineRule="auto"/>
        <w:jc w:val="center"/>
        <w:rPr>
          <w:rFonts w:ascii="Times New Roman" w:hAnsi="Times New Roman" w:cs="Times New Roman"/>
          <w:color w:val="000000" w:themeColor="text1"/>
        </w:rPr>
      </w:pPr>
      <w:r w:rsidRPr="002657D1">
        <w:rPr>
          <w:rFonts w:ascii="Times New Roman" w:hAnsi="Times New Roman" w:cs="Times New Roman"/>
          <w:noProof/>
          <w:color w:val="000000" w:themeColor="text1"/>
        </w:rPr>
        <w:lastRenderedPageBreak/>
        <w:drawing>
          <wp:inline distT="0" distB="0" distL="0" distR="0" wp14:anchorId="1652225A" wp14:editId="67FC89A5">
            <wp:extent cx="4320000" cy="3240260"/>
            <wp:effectExtent l="0" t="0" r="0" b="0"/>
            <wp:docPr id="20544418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441822" name="图片 2054441822"/>
                    <pic:cNvPicPr/>
                  </pic:nvPicPr>
                  <pic:blipFill>
                    <a:blip r:embed="rId49"/>
                    <a:stretch>
                      <a:fillRect/>
                    </a:stretch>
                  </pic:blipFill>
                  <pic:spPr>
                    <a:xfrm>
                      <a:off x="0" y="0"/>
                      <a:ext cx="4320000" cy="3240260"/>
                    </a:xfrm>
                    <a:prstGeom prst="rect">
                      <a:avLst/>
                    </a:prstGeom>
                  </pic:spPr>
                </pic:pic>
              </a:graphicData>
            </a:graphic>
          </wp:inline>
        </w:drawing>
      </w:r>
    </w:p>
    <w:p w14:paraId="5CD23D23" w14:textId="7F736816" w:rsidR="00357695" w:rsidRPr="002657D1" w:rsidRDefault="001E681B" w:rsidP="002B314A">
      <w:pPr>
        <w:pStyle w:val="ac"/>
        <w:spacing w:before="0" w:beforeAutospacing="0" w:after="0" w:afterAutospacing="0" w:line="360" w:lineRule="auto"/>
        <w:jc w:val="both"/>
        <w:rPr>
          <w:rFonts w:ascii="Times New Roman" w:hAnsi="Times New Roman" w:cs="Times New Roman"/>
          <w:color w:val="000000" w:themeColor="text1"/>
          <w:sz w:val="21"/>
          <w:szCs w:val="21"/>
        </w:rPr>
      </w:pPr>
      <w:r w:rsidRPr="002657D1">
        <w:rPr>
          <w:rFonts w:ascii="Times New Roman" w:eastAsia="等线" w:hAnsi="Times New Roman" w:cs="Times New Roman"/>
          <w:b/>
          <w:bCs/>
          <w:color w:val="000000" w:themeColor="text1"/>
          <w:kern w:val="2"/>
        </w:rPr>
        <w:t xml:space="preserve">Supplementary Fig. </w:t>
      </w:r>
      <w:r w:rsidR="00112663" w:rsidRPr="002657D1">
        <w:rPr>
          <w:rFonts w:ascii="Times New Roman" w:eastAsia="等线" w:hAnsi="Times New Roman" w:cs="Times New Roman"/>
          <w:b/>
          <w:bCs/>
          <w:color w:val="000000" w:themeColor="text1"/>
          <w:kern w:val="2"/>
        </w:rPr>
        <w:t>3</w:t>
      </w:r>
      <w:r w:rsidR="00112663" w:rsidRPr="002657D1">
        <w:rPr>
          <w:rFonts w:ascii="Times New Roman" w:eastAsia="等线" w:hAnsi="Times New Roman" w:cs="Times New Roman" w:hint="eastAsia"/>
          <w:b/>
          <w:bCs/>
          <w:color w:val="000000" w:themeColor="text1"/>
          <w:kern w:val="2"/>
        </w:rPr>
        <w:t>5</w:t>
      </w:r>
      <w:r w:rsidR="00112663"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b/>
          <w:bCs/>
          <w:color w:val="000000" w:themeColor="text1"/>
          <w:kern w:val="2"/>
        </w:rPr>
        <w:t xml:space="preserve">| </w:t>
      </w:r>
      <w:proofErr w:type="spellStart"/>
      <w:proofErr w:type="gramStart"/>
      <w:r w:rsidRPr="002657D1">
        <w:rPr>
          <w:rFonts w:ascii="Times New Roman" w:eastAsia="等线" w:hAnsi="Times New Roman" w:cs="Times New Roman"/>
          <w:b/>
          <w:bCs/>
          <w:color w:val="000000" w:themeColor="text1"/>
          <w:kern w:val="2"/>
        </w:rPr>
        <w:t>a,b</w:t>
      </w:r>
      <w:proofErr w:type="spellEnd"/>
      <w:proofErr w:type="gramEnd"/>
      <w:r w:rsidRPr="002657D1">
        <w:rPr>
          <w:rFonts w:ascii="Times New Roman" w:eastAsia="等线" w:hAnsi="Times New Roman" w:cs="Times New Roman"/>
          <w:color w:val="000000" w:themeColor="text1"/>
          <w:kern w:val="2"/>
        </w:rPr>
        <w:t xml:space="preserve"> Typical cross-sectional SEM images and elemental analysis of the pristine (</w:t>
      </w:r>
      <w:r w:rsidRPr="002657D1">
        <w:rPr>
          <w:rFonts w:ascii="Times New Roman" w:eastAsia="等线" w:hAnsi="Times New Roman" w:cs="Times New Roman"/>
          <w:b/>
          <w:bCs/>
          <w:color w:val="000000" w:themeColor="text1"/>
          <w:kern w:val="2"/>
        </w:rPr>
        <w:t>a</w:t>
      </w:r>
      <w:r w:rsidRPr="002657D1">
        <w:rPr>
          <w:rFonts w:ascii="Times New Roman" w:eastAsia="等线" w:hAnsi="Times New Roman" w:cs="Times New Roman"/>
          <w:color w:val="000000" w:themeColor="text1"/>
          <w:kern w:val="2"/>
        </w:rPr>
        <w:t>) and cycled (</w:t>
      </w:r>
      <w:r w:rsidRPr="002657D1">
        <w:rPr>
          <w:rFonts w:ascii="Times New Roman" w:eastAsia="等线" w:hAnsi="Times New Roman" w:cs="Times New Roman"/>
          <w:b/>
          <w:bCs/>
          <w:color w:val="000000" w:themeColor="text1"/>
          <w:kern w:val="2"/>
        </w:rPr>
        <w:t>b</w:t>
      </w:r>
      <w:r w:rsidRPr="002657D1">
        <w:rPr>
          <w:rFonts w:ascii="Times New Roman" w:eastAsia="等线" w:hAnsi="Times New Roman" w:cs="Times New Roman"/>
          <w:color w:val="000000" w:themeColor="text1"/>
          <w:kern w:val="2"/>
        </w:rPr>
        <w:t xml:space="preserve">) LZC-10TF/Li interfaces in Li/LZC-10TF/Li </w:t>
      </w:r>
      <w:r w:rsidRPr="002657D1">
        <w:rPr>
          <w:rFonts w:ascii="Times New Roman" w:eastAsia="等线" w:hAnsi="Times New Roman" w:cs="Times New Roman"/>
          <w:color w:val="000000" w:themeColor="text1"/>
          <w:kern w:val="24"/>
        </w:rPr>
        <w:t xml:space="preserve">symmetric </w:t>
      </w:r>
      <w:r w:rsidRPr="002657D1">
        <w:rPr>
          <w:rFonts w:ascii="Times New Roman" w:eastAsia="等线" w:hAnsi="Times New Roman" w:cs="Times New Roman"/>
          <w:color w:val="000000" w:themeColor="text1"/>
          <w:kern w:val="2"/>
        </w:rPr>
        <w:t>cells.</w:t>
      </w:r>
      <w:r w:rsidR="00357695" w:rsidRPr="002657D1">
        <w:rPr>
          <w:rFonts w:ascii="Times New Roman" w:hAnsi="Times New Roman" w:cs="Times New Roman"/>
          <w:color w:val="000000" w:themeColor="text1"/>
          <w:sz w:val="21"/>
          <w:szCs w:val="21"/>
        </w:rPr>
        <w:br w:type="page"/>
      </w:r>
    </w:p>
    <w:p w14:paraId="6C9FB472" w14:textId="22E75017" w:rsidR="00AF5C45" w:rsidRPr="002657D1" w:rsidRDefault="00993698" w:rsidP="00627AA4">
      <w:pPr>
        <w:widowControl/>
        <w:spacing w:before="120" w:afterLines="50" w:after="156" w:line="360" w:lineRule="auto"/>
        <w:jc w:val="center"/>
        <w:rPr>
          <w:rFonts w:ascii="Times New Roman" w:hAnsi="Times New Roman" w:cs="Times New Roman"/>
          <w:color w:val="000000" w:themeColor="text1"/>
        </w:rPr>
      </w:pPr>
      <w:r w:rsidRPr="002657D1">
        <w:rPr>
          <w:rFonts w:ascii="Times New Roman" w:hAnsi="Times New Roman" w:cs="Times New Roman"/>
          <w:noProof/>
          <w:color w:val="000000" w:themeColor="text1"/>
        </w:rPr>
        <w:lastRenderedPageBreak/>
        <w:drawing>
          <wp:inline distT="0" distB="0" distL="0" distR="0" wp14:anchorId="1EF84B0A" wp14:editId="665F84BB">
            <wp:extent cx="4320000" cy="2913634"/>
            <wp:effectExtent l="0" t="0" r="0" b="0"/>
            <wp:docPr id="120954425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544252" name="图片 1209544252"/>
                    <pic:cNvPicPr/>
                  </pic:nvPicPr>
                  <pic:blipFill>
                    <a:blip r:embed="rId50"/>
                    <a:stretch>
                      <a:fillRect/>
                    </a:stretch>
                  </pic:blipFill>
                  <pic:spPr>
                    <a:xfrm>
                      <a:off x="0" y="0"/>
                      <a:ext cx="4320000" cy="2913634"/>
                    </a:xfrm>
                    <a:prstGeom prst="rect">
                      <a:avLst/>
                    </a:prstGeom>
                  </pic:spPr>
                </pic:pic>
              </a:graphicData>
            </a:graphic>
          </wp:inline>
        </w:drawing>
      </w:r>
    </w:p>
    <w:p w14:paraId="4C123392" w14:textId="4F58BA8D" w:rsidR="00C97CC0" w:rsidRPr="002657D1" w:rsidRDefault="00D21E84" w:rsidP="00D21E84">
      <w:pPr>
        <w:pStyle w:val="ac"/>
        <w:spacing w:before="0" w:beforeAutospacing="0" w:after="0" w:afterAutospacing="0" w:line="360" w:lineRule="auto"/>
        <w:jc w:val="both"/>
        <w:rPr>
          <w:rFonts w:ascii="Times New Roman" w:hAnsi="Times New Roman" w:cs="Times New Roman"/>
          <w:color w:val="000000" w:themeColor="text1"/>
          <w:sz w:val="21"/>
          <w:szCs w:val="21"/>
        </w:rPr>
      </w:pPr>
      <w:r w:rsidRPr="002657D1">
        <w:rPr>
          <w:rFonts w:ascii="Times New Roman" w:eastAsia="等线" w:hAnsi="Times New Roman" w:cs="Times New Roman"/>
          <w:b/>
          <w:bCs/>
          <w:color w:val="000000" w:themeColor="text1"/>
          <w:kern w:val="2"/>
        </w:rPr>
        <w:t xml:space="preserve">Supplementary Fig. </w:t>
      </w:r>
      <w:r w:rsidR="00112663" w:rsidRPr="002657D1">
        <w:rPr>
          <w:rFonts w:ascii="Times New Roman" w:eastAsia="等线" w:hAnsi="Times New Roman" w:cs="Times New Roman"/>
          <w:b/>
          <w:bCs/>
          <w:color w:val="000000" w:themeColor="text1"/>
          <w:kern w:val="2"/>
        </w:rPr>
        <w:t>3</w:t>
      </w:r>
      <w:r w:rsidR="00112663" w:rsidRPr="002657D1">
        <w:rPr>
          <w:rFonts w:ascii="Times New Roman" w:eastAsia="等线" w:hAnsi="Times New Roman" w:cs="Times New Roman" w:hint="eastAsia"/>
          <w:b/>
          <w:bCs/>
          <w:color w:val="000000" w:themeColor="text1"/>
          <w:kern w:val="2"/>
        </w:rPr>
        <w:t>6</w:t>
      </w:r>
      <w:r w:rsidR="00112663"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b/>
          <w:bCs/>
          <w:color w:val="000000" w:themeColor="text1"/>
          <w:kern w:val="2"/>
        </w:rPr>
        <w:t xml:space="preserve">| </w:t>
      </w:r>
      <w:bookmarkStart w:id="83" w:name="_Hlk204177090"/>
      <w:r w:rsidRPr="002657D1">
        <w:rPr>
          <w:rFonts w:ascii="Times New Roman" w:eastAsia="等线" w:hAnsi="Times New Roman" w:cs="Times New Roman"/>
          <w:b/>
          <w:bCs/>
          <w:color w:val="000000" w:themeColor="text1"/>
          <w:kern w:val="2"/>
        </w:rPr>
        <w:t>Compressibility</w:t>
      </w:r>
      <w:bookmarkEnd w:id="83"/>
      <w:r w:rsidRPr="002657D1">
        <w:rPr>
          <w:rFonts w:ascii="Times New Roman" w:eastAsia="等线" w:hAnsi="Times New Roman" w:cs="Times New Roman"/>
          <w:b/>
          <w:bCs/>
          <w:color w:val="000000" w:themeColor="text1"/>
          <w:kern w:val="2"/>
        </w:rPr>
        <w:t xml:space="preserve"> of </w:t>
      </w:r>
      <w:r w:rsidRPr="002657D1">
        <w:rPr>
          <w:rFonts w:ascii="Times New Roman" w:eastAsia="等线" w:hAnsi="Times New Roman" w:cs="Times New Roman"/>
          <w:b/>
          <w:bCs/>
          <w:color w:val="000000" w:themeColor="text1"/>
          <w:kern w:val="24"/>
        </w:rPr>
        <w:t>electrolytes</w:t>
      </w:r>
      <w:r w:rsidRPr="002657D1">
        <w:rPr>
          <w:rFonts w:ascii="Times New Roman" w:eastAsia="等线" w:hAnsi="Times New Roman" w:cs="Times New Roman"/>
          <w:b/>
          <w:bCs/>
          <w:color w:val="000000" w:themeColor="text1"/>
          <w:kern w:val="2"/>
        </w:rPr>
        <w:t xml:space="preserve">. </w:t>
      </w:r>
      <w:proofErr w:type="spellStart"/>
      <w:proofErr w:type="gramStart"/>
      <w:r w:rsidRPr="002657D1">
        <w:rPr>
          <w:rFonts w:ascii="Times New Roman" w:eastAsia="等线" w:hAnsi="Times New Roman" w:cs="Times New Roman"/>
          <w:b/>
          <w:bCs/>
          <w:color w:val="000000" w:themeColor="text1"/>
          <w:kern w:val="2"/>
        </w:rPr>
        <w:t>a</w:t>
      </w:r>
      <w:r w:rsidRPr="002657D1">
        <w:rPr>
          <w:rFonts w:ascii="Times New Roman" w:eastAsia="等线" w:hAnsi="Times New Roman" w:cs="Times New Roman"/>
          <w:color w:val="000000" w:themeColor="text1"/>
          <w:kern w:val="2"/>
        </w:rPr>
        <w:t>,</w:t>
      </w:r>
      <w:r w:rsidRPr="002657D1">
        <w:rPr>
          <w:rFonts w:ascii="Times New Roman" w:eastAsia="等线" w:hAnsi="Times New Roman" w:cs="Times New Roman"/>
          <w:b/>
          <w:bCs/>
          <w:color w:val="000000" w:themeColor="text1"/>
          <w:kern w:val="2"/>
        </w:rPr>
        <w:t>b</w:t>
      </w:r>
      <w:proofErr w:type="spellEnd"/>
      <w:proofErr w:type="gramEnd"/>
      <w:r w:rsidRPr="002657D1">
        <w:rPr>
          <w:rFonts w:ascii="Times New Roman" w:eastAsia="等线" w:hAnsi="Times New Roman" w:cs="Times New Roman"/>
          <w:color w:val="000000" w:themeColor="text1"/>
          <w:kern w:val="24"/>
        </w:rPr>
        <w:t xml:space="preserve"> Low (</w:t>
      </w:r>
      <w:r w:rsidRPr="002657D1">
        <w:rPr>
          <w:rFonts w:ascii="Times New Roman" w:eastAsia="等线" w:hAnsi="Times New Roman" w:cs="Times New Roman"/>
          <w:b/>
          <w:bCs/>
          <w:color w:val="000000" w:themeColor="text1"/>
          <w:kern w:val="24"/>
        </w:rPr>
        <w:t>a</w:t>
      </w:r>
      <w:r w:rsidRPr="002657D1">
        <w:rPr>
          <w:rFonts w:ascii="Times New Roman" w:eastAsia="等线" w:hAnsi="Times New Roman" w:cs="Times New Roman"/>
          <w:color w:val="000000" w:themeColor="text1"/>
          <w:kern w:val="24"/>
        </w:rPr>
        <w:t>) and high (</w:t>
      </w:r>
      <w:r w:rsidRPr="002657D1">
        <w:rPr>
          <w:rFonts w:ascii="Times New Roman" w:eastAsia="等线" w:hAnsi="Times New Roman" w:cs="Times New Roman"/>
          <w:b/>
          <w:bCs/>
          <w:color w:val="000000" w:themeColor="text1"/>
          <w:kern w:val="24"/>
        </w:rPr>
        <w:t>b</w:t>
      </w:r>
      <w:r w:rsidRPr="002657D1">
        <w:rPr>
          <w:rFonts w:ascii="Times New Roman" w:eastAsia="等线" w:hAnsi="Times New Roman" w:cs="Times New Roman"/>
          <w:color w:val="000000" w:themeColor="text1"/>
          <w:kern w:val="24"/>
        </w:rPr>
        <w:t>) magnification SEM images of LZC electrolyte pellets cold-pressed at 300 MPa pressure.</w:t>
      </w:r>
      <w:r w:rsidRPr="002657D1">
        <w:rPr>
          <w:rFonts w:ascii="Times New Roman" w:eastAsia="等线" w:hAnsi="Times New Roman" w:cs="Times New Roman"/>
          <w:b/>
          <w:bCs/>
          <w:color w:val="000000" w:themeColor="text1"/>
          <w:kern w:val="2"/>
        </w:rPr>
        <w:t xml:space="preserve"> </w:t>
      </w:r>
      <w:proofErr w:type="spellStart"/>
      <w:proofErr w:type="gramStart"/>
      <w:r w:rsidRPr="002657D1">
        <w:rPr>
          <w:rFonts w:ascii="Times New Roman" w:eastAsia="等线" w:hAnsi="Times New Roman" w:cs="Times New Roman"/>
          <w:b/>
          <w:bCs/>
          <w:color w:val="000000" w:themeColor="text1"/>
          <w:kern w:val="2"/>
        </w:rPr>
        <w:t>c</w:t>
      </w:r>
      <w:r w:rsidRPr="002657D1">
        <w:rPr>
          <w:rFonts w:ascii="Times New Roman" w:eastAsia="等线" w:hAnsi="Times New Roman" w:cs="Times New Roman"/>
          <w:color w:val="000000" w:themeColor="text1"/>
          <w:kern w:val="2"/>
        </w:rPr>
        <w:t>,</w:t>
      </w:r>
      <w:r w:rsidRPr="002657D1">
        <w:rPr>
          <w:rFonts w:ascii="Times New Roman" w:eastAsia="等线" w:hAnsi="Times New Roman" w:cs="Times New Roman"/>
          <w:b/>
          <w:bCs/>
          <w:color w:val="000000" w:themeColor="text1"/>
          <w:kern w:val="2"/>
        </w:rPr>
        <w:t>d</w:t>
      </w:r>
      <w:proofErr w:type="spellEnd"/>
      <w:proofErr w:type="gramEnd"/>
      <w:r w:rsidRPr="002657D1">
        <w:rPr>
          <w:rFonts w:ascii="Times New Roman" w:eastAsia="等线" w:hAnsi="Times New Roman" w:cs="Times New Roman"/>
          <w:color w:val="000000" w:themeColor="text1"/>
          <w:kern w:val="24"/>
        </w:rPr>
        <w:t xml:space="preserve"> Low (</w:t>
      </w:r>
      <w:r w:rsidRPr="002657D1">
        <w:rPr>
          <w:rFonts w:ascii="Times New Roman" w:eastAsia="等线" w:hAnsi="Times New Roman" w:cs="Times New Roman"/>
          <w:b/>
          <w:bCs/>
          <w:color w:val="000000" w:themeColor="text1"/>
          <w:kern w:val="24"/>
        </w:rPr>
        <w:t>c</w:t>
      </w:r>
      <w:r w:rsidRPr="002657D1">
        <w:rPr>
          <w:rFonts w:ascii="Times New Roman" w:eastAsia="等线" w:hAnsi="Times New Roman" w:cs="Times New Roman"/>
          <w:color w:val="000000" w:themeColor="text1"/>
          <w:kern w:val="24"/>
        </w:rPr>
        <w:t>) and high (</w:t>
      </w:r>
      <w:r w:rsidRPr="002657D1">
        <w:rPr>
          <w:rFonts w:ascii="Times New Roman" w:eastAsia="等线" w:hAnsi="Times New Roman" w:cs="Times New Roman"/>
          <w:b/>
          <w:bCs/>
          <w:color w:val="000000" w:themeColor="text1"/>
          <w:kern w:val="24"/>
        </w:rPr>
        <w:t>d</w:t>
      </w:r>
      <w:r w:rsidRPr="002657D1">
        <w:rPr>
          <w:rFonts w:ascii="Times New Roman" w:eastAsia="等线" w:hAnsi="Times New Roman" w:cs="Times New Roman"/>
          <w:color w:val="000000" w:themeColor="text1"/>
          <w:kern w:val="24"/>
        </w:rPr>
        <w:t>) magnification SEM images of LZC-10TF electrolyte pellets cold-pressed at 300 MPa pressure.</w:t>
      </w:r>
      <w:r w:rsidR="00C97CC0" w:rsidRPr="002657D1">
        <w:rPr>
          <w:rFonts w:ascii="Times New Roman" w:hAnsi="Times New Roman" w:cs="Times New Roman"/>
          <w:color w:val="000000" w:themeColor="text1"/>
          <w:sz w:val="21"/>
          <w:szCs w:val="21"/>
        </w:rPr>
        <w:br w:type="page"/>
      </w:r>
    </w:p>
    <w:p w14:paraId="3C953669" w14:textId="36535AC0" w:rsidR="004E79BF" w:rsidRPr="002657D1" w:rsidRDefault="00993698" w:rsidP="004F5CF1">
      <w:pPr>
        <w:widowControl/>
        <w:spacing w:before="120" w:afterLines="50" w:after="156" w:line="360" w:lineRule="auto"/>
        <w:jc w:val="center"/>
        <w:rPr>
          <w:rFonts w:ascii="Times New Roman" w:hAnsi="Times New Roman" w:cs="Times New Roman"/>
          <w:color w:val="000000" w:themeColor="text1"/>
        </w:rPr>
      </w:pPr>
      <w:r w:rsidRPr="002657D1">
        <w:rPr>
          <w:rFonts w:ascii="Times New Roman" w:hAnsi="Times New Roman" w:cs="Times New Roman"/>
          <w:noProof/>
          <w:color w:val="000000" w:themeColor="text1"/>
        </w:rPr>
        <w:lastRenderedPageBreak/>
        <w:drawing>
          <wp:inline distT="0" distB="0" distL="0" distR="0" wp14:anchorId="36CD57CF" wp14:editId="4E2490BD">
            <wp:extent cx="2213628" cy="1800000"/>
            <wp:effectExtent l="0" t="0" r="0" b="0"/>
            <wp:docPr id="182752666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526660" name="图片 1827526660"/>
                    <pic:cNvPicPr/>
                  </pic:nvPicPr>
                  <pic:blipFill>
                    <a:blip r:embed="rId51"/>
                    <a:stretch>
                      <a:fillRect/>
                    </a:stretch>
                  </pic:blipFill>
                  <pic:spPr>
                    <a:xfrm>
                      <a:off x="0" y="0"/>
                      <a:ext cx="2213628" cy="1800000"/>
                    </a:xfrm>
                    <a:prstGeom prst="rect">
                      <a:avLst/>
                    </a:prstGeom>
                  </pic:spPr>
                </pic:pic>
              </a:graphicData>
            </a:graphic>
          </wp:inline>
        </w:drawing>
      </w:r>
    </w:p>
    <w:p w14:paraId="4682058E" w14:textId="514F04C9" w:rsidR="00DC1C1B" w:rsidRPr="002657D1" w:rsidRDefault="00D21E84" w:rsidP="00D21E84">
      <w:pPr>
        <w:pStyle w:val="ac"/>
        <w:spacing w:before="0" w:beforeAutospacing="0" w:after="0" w:afterAutospacing="0" w:line="360" w:lineRule="auto"/>
        <w:jc w:val="both"/>
        <w:rPr>
          <w:rFonts w:ascii="Times New Roman" w:hAnsi="Times New Roman" w:cs="Times New Roman"/>
          <w:color w:val="000000" w:themeColor="text1"/>
          <w:sz w:val="21"/>
          <w:szCs w:val="21"/>
        </w:rPr>
      </w:pPr>
      <w:r w:rsidRPr="002657D1">
        <w:rPr>
          <w:rFonts w:ascii="Times New Roman" w:eastAsia="等线" w:hAnsi="Times New Roman" w:cs="Times New Roman"/>
          <w:b/>
          <w:bCs/>
          <w:color w:val="000000" w:themeColor="text1"/>
          <w:kern w:val="2"/>
        </w:rPr>
        <w:t xml:space="preserve">Supplementary Fig. </w:t>
      </w:r>
      <w:r w:rsidR="00112663" w:rsidRPr="002657D1">
        <w:rPr>
          <w:rFonts w:ascii="Times New Roman" w:eastAsia="等线" w:hAnsi="Times New Roman" w:cs="Times New Roman"/>
          <w:b/>
          <w:bCs/>
          <w:color w:val="000000" w:themeColor="text1"/>
          <w:kern w:val="2"/>
        </w:rPr>
        <w:t>3</w:t>
      </w:r>
      <w:r w:rsidR="00112663" w:rsidRPr="002657D1">
        <w:rPr>
          <w:rFonts w:ascii="Times New Roman" w:eastAsia="等线" w:hAnsi="Times New Roman" w:cs="Times New Roman" w:hint="eastAsia"/>
          <w:b/>
          <w:bCs/>
          <w:color w:val="000000" w:themeColor="text1"/>
          <w:kern w:val="2"/>
        </w:rPr>
        <w:t>7</w:t>
      </w:r>
      <w:r w:rsidR="00112663"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color w:val="000000" w:themeColor="text1"/>
          <w:kern w:val="24"/>
        </w:rPr>
        <w:t>Schematic diagram of NCM</w:t>
      </w:r>
      <w:r w:rsidR="001E722B" w:rsidRPr="002657D1">
        <w:rPr>
          <w:rFonts w:ascii="Times New Roman" w:eastAsia="等线" w:hAnsi="Times New Roman" w:cs="Times New Roman" w:hint="eastAsia"/>
          <w:color w:val="000000" w:themeColor="text1"/>
          <w:kern w:val="24"/>
        </w:rPr>
        <w:t>811</w:t>
      </w:r>
      <w:r w:rsidRPr="002657D1">
        <w:rPr>
          <w:rFonts w:ascii="Times New Roman" w:eastAsia="等线" w:hAnsi="Times New Roman" w:cs="Times New Roman"/>
          <w:color w:val="000000" w:themeColor="text1"/>
          <w:kern w:val="24"/>
        </w:rPr>
        <w:t>/LZC-10TF/Li ASSLMBs.</w:t>
      </w:r>
      <w:r w:rsidR="00DC1C1B" w:rsidRPr="002657D1">
        <w:rPr>
          <w:rFonts w:ascii="Times New Roman" w:hAnsi="Times New Roman" w:cs="Times New Roman"/>
          <w:color w:val="000000" w:themeColor="text1"/>
          <w:sz w:val="21"/>
          <w:szCs w:val="21"/>
        </w:rPr>
        <w:br w:type="page"/>
      </w:r>
    </w:p>
    <w:p w14:paraId="15225347" w14:textId="78B7B1BA" w:rsidR="00523CF1" w:rsidRPr="002657D1" w:rsidRDefault="00B10DDA" w:rsidP="0082620C">
      <w:pPr>
        <w:widowControl/>
        <w:spacing w:before="120" w:afterLines="50" w:after="156"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noProof/>
          <w:color w:val="000000" w:themeColor="text1"/>
          <w:sz w:val="24"/>
          <w:szCs w:val="24"/>
        </w:rPr>
        <w:lastRenderedPageBreak/>
        <w:drawing>
          <wp:inline distT="0" distB="0" distL="0" distR="0" wp14:anchorId="649CB7C7" wp14:editId="6B43482C">
            <wp:extent cx="2350272" cy="1800000"/>
            <wp:effectExtent l="0" t="0" r="0" b="0"/>
            <wp:docPr id="141931928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319289" name="图片 22"/>
                    <pic:cNvPicPr/>
                  </pic:nvPicPr>
                  <pic:blipFill>
                    <a:blip r:embed="rId52"/>
                    <a:stretch>
                      <a:fillRect/>
                    </a:stretch>
                  </pic:blipFill>
                  <pic:spPr>
                    <a:xfrm>
                      <a:off x="0" y="0"/>
                      <a:ext cx="2350272" cy="1800000"/>
                    </a:xfrm>
                    <a:prstGeom prst="rect">
                      <a:avLst/>
                    </a:prstGeom>
                  </pic:spPr>
                </pic:pic>
              </a:graphicData>
            </a:graphic>
          </wp:inline>
        </w:drawing>
      </w:r>
    </w:p>
    <w:p w14:paraId="49DB3D7E" w14:textId="588478E0" w:rsidR="00C16F22" w:rsidRPr="002657D1" w:rsidRDefault="00D21E84" w:rsidP="00D21E84">
      <w:pPr>
        <w:pStyle w:val="ac"/>
        <w:spacing w:before="0" w:beforeAutospacing="0" w:after="0" w:afterAutospacing="0" w:line="360" w:lineRule="auto"/>
        <w:jc w:val="both"/>
        <w:rPr>
          <w:rFonts w:ascii="Times New Roman" w:hAnsi="Times New Roman" w:cs="Times New Roman"/>
          <w:color w:val="000000" w:themeColor="text1"/>
        </w:rPr>
      </w:pPr>
      <w:r w:rsidRPr="002657D1">
        <w:rPr>
          <w:rFonts w:ascii="Times New Roman" w:eastAsia="等线" w:hAnsi="Times New Roman" w:cs="Times New Roman"/>
          <w:b/>
          <w:bCs/>
          <w:color w:val="000000" w:themeColor="text1"/>
          <w:kern w:val="2"/>
        </w:rPr>
        <w:t xml:space="preserve">Supplementary Fig. </w:t>
      </w:r>
      <w:r w:rsidR="00112663" w:rsidRPr="002657D1">
        <w:rPr>
          <w:rFonts w:ascii="Times New Roman" w:eastAsia="等线" w:hAnsi="Times New Roman" w:cs="Times New Roman"/>
          <w:b/>
          <w:bCs/>
          <w:color w:val="000000" w:themeColor="text1"/>
          <w:kern w:val="2"/>
        </w:rPr>
        <w:t>3</w:t>
      </w:r>
      <w:r w:rsidR="00112663" w:rsidRPr="002657D1">
        <w:rPr>
          <w:rFonts w:ascii="Times New Roman" w:eastAsia="等线" w:hAnsi="Times New Roman" w:cs="Times New Roman" w:hint="eastAsia"/>
          <w:b/>
          <w:bCs/>
          <w:color w:val="000000" w:themeColor="text1"/>
          <w:kern w:val="2"/>
        </w:rPr>
        <w:t>8</w:t>
      </w:r>
      <w:r w:rsidR="00112663"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b/>
          <w:bCs/>
          <w:color w:val="000000" w:themeColor="text1"/>
          <w:kern w:val="2"/>
        </w:rPr>
        <w:t xml:space="preserve">| </w:t>
      </w:r>
      <w:r w:rsidRPr="002657D1">
        <w:rPr>
          <w:rFonts w:ascii="Times New Roman" w:eastAsia="MS Mincho" w:hAnsi="Times New Roman" w:cs="Times New Roman"/>
          <w:color w:val="000000" w:themeColor="text1"/>
          <w:kern w:val="24"/>
        </w:rPr>
        <w:t xml:space="preserve">Rate performance of the NCM811/LZC-10TF/Li cell </w:t>
      </w:r>
      <w:r w:rsidRPr="002657D1">
        <w:rPr>
          <w:rFonts w:ascii="Times New Roman" w:eastAsia="等线" w:hAnsi="Times New Roman" w:cs="Times New Roman"/>
          <w:color w:val="000000" w:themeColor="text1"/>
          <w:kern w:val="2"/>
        </w:rPr>
        <w:t>(</w:t>
      </w:r>
      <w:r w:rsidR="00953073" w:rsidRPr="002657D1">
        <w:rPr>
          <w:rFonts w:ascii="Times New Roman" w:eastAsia="等线" w:hAnsi="Times New Roman" w:cs="Times New Roman" w:hint="eastAsia"/>
          <w:color w:val="000000" w:themeColor="text1"/>
          <w:kern w:val="2"/>
        </w:rPr>
        <w:t>NCM811</w:t>
      </w:r>
      <w:r w:rsidRPr="002657D1">
        <w:rPr>
          <w:rFonts w:ascii="Times New Roman" w:eastAsia="等线" w:hAnsi="Times New Roman" w:cs="Times New Roman"/>
          <w:color w:val="000000" w:themeColor="text1"/>
          <w:kern w:val="2"/>
        </w:rPr>
        <w:t xml:space="preserve"> loading: 8.9 mg cm⁻</w:t>
      </w:r>
      <w:r w:rsidRPr="002657D1">
        <w:rPr>
          <w:rFonts w:ascii="Times New Roman" w:eastAsia="等线" w:hAnsi="Times New Roman" w:cs="Times New Roman"/>
          <w:color w:val="000000" w:themeColor="text1"/>
          <w:kern w:val="2"/>
          <w:vertAlign w:val="superscript"/>
        </w:rPr>
        <w:t>2</w:t>
      </w:r>
      <w:r w:rsidRPr="002657D1">
        <w:rPr>
          <w:rFonts w:ascii="Times New Roman" w:eastAsia="等线" w:hAnsi="Times New Roman" w:cs="Times New Roman"/>
          <w:color w:val="000000" w:themeColor="text1"/>
          <w:kern w:val="2"/>
        </w:rPr>
        <w:t>, 25 ℃).</w:t>
      </w:r>
      <w:r w:rsidR="009F7326" w:rsidRPr="002657D1">
        <w:rPr>
          <w:rFonts w:ascii="Times New Roman" w:hAnsi="Times New Roman" w:cs="Times New Roman"/>
          <w:color w:val="000000" w:themeColor="text1"/>
        </w:rPr>
        <w:br w:type="page"/>
      </w:r>
    </w:p>
    <w:p w14:paraId="6D3DDDCC" w14:textId="09E72EF5" w:rsidR="0012007D" w:rsidRPr="002657D1" w:rsidRDefault="00B10DDA" w:rsidP="0012007D">
      <w:pPr>
        <w:widowControl/>
        <w:spacing w:before="120" w:afterLines="50" w:after="156" w:line="360" w:lineRule="auto"/>
        <w:jc w:val="center"/>
        <w:rPr>
          <w:rFonts w:ascii="Times New Roman" w:hAnsi="Times New Roman" w:cs="Times New Roman"/>
          <w:color w:val="000000" w:themeColor="text1"/>
        </w:rPr>
      </w:pPr>
      <w:r w:rsidRPr="002657D1">
        <w:rPr>
          <w:rFonts w:ascii="Times New Roman" w:hAnsi="Times New Roman" w:cs="Times New Roman"/>
          <w:noProof/>
          <w:color w:val="000000" w:themeColor="text1"/>
        </w:rPr>
        <w:lastRenderedPageBreak/>
        <w:drawing>
          <wp:inline distT="0" distB="0" distL="0" distR="0" wp14:anchorId="6FD67C63" wp14:editId="126ECE64">
            <wp:extent cx="2347083" cy="1800000"/>
            <wp:effectExtent l="0" t="0" r="0" b="0"/>
            <wp:docPr id="168227663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276638" name="图片 1682276638"/>
                    <pic:cNvPicPr/>
                  </pic:nvPicPr>
                  <pic:blipFill>
                    <a:blip r:embed="rId53"/>
                    <a:stretch>
                      <a:fillRect/>
                    </a:stretch>
                  </pic:blipFill>
                  <pic:spPr>
                    <a:xfrm>
                      <a:off x="0" y="0"/>
                      <a:ext cx="2347083" cy="1800000"/>
                    </a:xfrm>
                    <a:prstGeom prst="rect">
                      <a:avLst/>
                    </a:prstGeom>
                  </pic:spPr>
                </pic:pic>
              </a:graphicData>
            </a:graphic>
          </wp:inline>
        </w:drawing>
      </w:r>
    </w:p>
    <w:p w14:paraId="7972BFCF" w14:textId="1A1EC40B" w:rsidR="0012007D" w:rsidRPr="002657D1" w:rsidRDefault="001E681B" w:rsidP="0012007D">
      <w:pPr>
        <w:pStyle w:val="ac"/>
        <w:spacing w:before="0" w:beforeAutospacing="0" w:after="0" w:afterAutospacing="0" w:line="360" w:lineRule="auto"/>
        <w:jc w:val="both"/>
        <w:rPr>
          <w:rFonts w:ascii="Times New Roman" w:hAnsi="Times New Roman" w:cs="Times New Roman"/>
          <w:color w:val="000000" w:themeColor="text1"/>
          <w:sz w:val="21"/>
          <w:szCs w:val="21"/>
        </w:rPr>
      </w:pPr>
      <w:r w:rsidRPr="002657D1">
        <w:rPr>
          <w:rFonts w:ascii="Times New Roman" w:eastAsia="等线" w:hAnsi="Times New Roman" w:cs="Times New Roman"/>
          <w:b/>
          <w:bCs/>
          <w:color w:val="000000" w:themeColor="text1"/>
          <w:kern w:val="2"/>
        </w:rPr>
        <w:t xml:space="preserve">Supplementary Fig. </w:t>
      </w:r>
      <w:r w:rsidR="00112663" w:rsidRPr="002657D1">
        <w:rPr>
          <w:rFonts w:ascii="Times New Roman" w:eastAsia="等线" w:hAnsi="Times New Roman" w:cs="Times New Roman"/>
          <w:b/>
          <w:bCs/>
          <w:color w:val="000000" w:themeColor="text1"/>
          <w:kern w:val="2"/>
        </w:rPr>
        <w:t>3</w:t>
      </w:r>
      <w:r w:rsidR="00112663" w:rsidRPr="002657D1">
        <w:rPr>
          <w:rFonts w:ascii="Times New Roman" w:eastAsia="等线" w:hAnsi="Times New Roman" w:cs="Times New Roman" w:hint="eastAsia"/>
          <w:b/>
          <w:bCs/>
          <w:color w:val="000000" w:themeColor="text1"/>
          <w:kern w:val="2"/>
        </w:rPr>
        <w:t>9</w:t>
      </w:r>
      <w:r w:rsidR="00112663"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color w:val="000000" w:themeColor="text1"/>
          <w:kern w:val="24"/>
        </w:rPr>
        <w:t>Impedance plots of the NCM811/LZC-10TF/Li cell recorded at different cycles</w:t>
      </w:r>
      <w:r w:rsidRPr="002657D1">
        <w:rPr>
          <w:rFonts w:ascii="Times New Roman" w:eastAsia="等线" w:hAnsi="Times New Roman" w:cs="Times New Roman"/>
          <w:color w:val="000000" w:themeColor="text1"/>
          <w:kern w:val="2"/>
        </w:rPr>
        <w:t xml:space="preserve"> (</w:t>
      </w:r>
      <w:r w:rsidR="00953073" w:rsidRPr="002657D1">
        <w:rPr>
          <w:rFonts w:ascii="Times New Roman" w:eastAsia="等线" w:hAnsi="Times New Roman" w:cs="Times New Roman" w:hint="eastAsia"/>
          <w:color w:val="000000" w:themeColor="text1"/>
          <w:kern w:val="2"/>
        </w:rPr>
        <w:t>NCM811</w:t>
      </w:r>
      <w:r w:rsidRPr="002657D1">
        <w:rPr>
          <w:rFonts w:ascii="Times New Roman" w:eastAsia="等线" w:hAnsi="Times New Roman" w:cs="Times New Roman"/>
          <w:color w:val="000000" w:themeColor="text1"/>
          <w:kern w:val="2"/>
        </w:rPr>
        <w:t xml:space="preserve"> loading: 8.9 mg cm</w:t>
      </w:r>
      <w:r w:rsidRPr="002657D1">
        <w:rPr>
          <w:rFonts w:ascii="Times New Roman" w:eastAsia="等线" w:hAnsi="Times New Roman" w:cs="Times New Roman"/>
          <w:color w:val="000000" w:themeColor="text1"/>
          <w:kern w:val="24"/>
          <w:vertAlign w:val="superscript"/>
        </w:rPr>
        <w:t>−2</w:t>
      </w:r>
      <w:r w:rsidRPr="002657D1">
        <w:rPr>
          <w:rFonts w:ascii="Times New Roman" w:eastAsia="等线" w:hAnsi="Times New Roman" w:cs="Times New Roman"/>
          <w:color w:val="000000" w:themeColor="text1"/>
          <w:kern w:val="2"/>
        </w:rPr>
        <w:t>, 1.0 C, 25 ℃).</w:t>
      </w:r>
      <w:r w:rsidR="0012007D" w:rsidRPr="002657D1">
        <w:rPr>
          <w:rFonts w:ascii="Times New Roman" w:hAnsi="Times New Roman" w:cs="Times New Roman"/>
          <w:color w:val="000000" w:themeColor="text1"/>
          <w:sz w:val="21"/>
          <w:szCs w:val="21"/>
        </w:rPr>
        <w:br w:type="page"/>
      </w:r>
    </w:p>
    <w:p w14:paraId="346CFBBF" w14:textId="50626853" w:rsidR="00851AF8" w:rsidRPr="002657D1" w:rsidRDefault="00B10DDA" w:rsidP="00851AF8">
      <w:pPr>
        <w:widowControl/>
        <w:spacing w:before="120" w:afterLines="50" w:after="156"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noProof/>
          <w:color w:val="000000" w:themeColor="text1"/>
          <w:sz w:val="24"/>
          <w:szCs w:val="24"/>
        </w:rPr>
        <w:lastRenderedPageBreak/>
        <w:drawing>
          <wp:inline distT="0" distB="0" distL="0" distR="0" wp14:anchorId="69263702" wp14:editId="7A1940E2">
            <wp:extent cx="5274000" cy="3183068"/>
            <wp:effectExtent l="0" t="0" r="0" b="0"/>
            <wp:docPr id="96339288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392883" name="图片 963392883"/>
                    <pic:cNvPicPr/>
                  </pic:nvPicPr>
                  <pic:blipFill>
                    <a:blip r:embed="rId54"/>
                    <a:stretch>
                      <a:fillRect/>
                    </a:stretch>
                  </pic:blipFill>
                  <pic:spPr>
                    <a:xfrm>
                      <a:off x="0" y="0"/>
                      <a:ext cx="5274000" cy="3183068"/>
                    </a:xfrm>
                    <a:prstGeom prst="rect">
                      <a:avLst/>
                    </a:prstGeom>
                  </pic:spPr>
                </pic:pic>
              </a:graphicData>
            </a:graphic>
          </wp:inline>
        </w:drawing>
      </w:r>
    </w:p>
    <w:p w14:paraId="54029C03" w14:textId="75B1CB7B" w:rsidR="00851AF8" w:rsidRPr="002657D1" w:rsidRDefault="00851AF8" w:rsidP="00851AF8">
      <w:pPr>
        <w:pStyle w:val="ac"/>
        <w:spacing w:before="120" w:beforeAutospacing="0" w:afterLines="50" w:after="156" w:afterAutospacing="0" w:line="360" w:lineRule="auto"/>
        <w:jc w:val="both"/>
        <w:rPr>
          <w:rFonts w:ascii="Times New Roman" w:eastAsia="等线" w:hAnsi="Times New Roman" w:cs="Times New Roman"/>
          <w:color w:val="000000" w:themeColor="text1"/>
          <w:kern w:val="24"/>
        </w:rPr>
      </w:pPr>
      <w:r w:rsidRPr="002657D1">
        <w:rPr>
          <w:rFonts w:ascii="Times New Roman" w:eastAsia="等线" w:hAnsi="Times New Roman" w:cs="Times New Roman"/>
          <w:b/>
          <w:bCs/>
          <w:color w:val="000000" w:themeColor="text1"/>
          <w:kern w:val="2"/>
        </w:rPr>
        <w:t xml:space="preserve">Supplementary Fig. </w:t>
      </w:r>
      <w:r w:rsidR="00112663" w:rsidRPr="002657D1">
        <w:rPr>
          <w:rFonts w:ascii="Times New Roman" w:eastAsia="等线" w:hAnsi="Times New Roman" w:cs="Times New Roman" w:hint="eastAsia"/>
          <w:b/>
          <w:bCs/>
          <w:color w:val="000000" w:themeColor="text1"/>
          <w:kern w:val="2"/>
        </w:rPr>
        <w:t>40</w:t>
      </w:r>
      <w:r w:rsidR="00112663"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b/>
          <w:bCs/>
          <w:color w:val="000000" w:themeColor="text1"/>
          <w:kern w:val="2"/>
        </w:rPr>
        <w:t xml:space="preserve">| a-e </w:t>
      </w:r>
      <w:r w:rsidRPr="002657D1">
        <w:rPr>
          <w:rFonts w:ascii="Times New Roman" w:eastAsia="等线" w:hAnsi="Times New Roman" w:cs="Times New Roman"/>
          <w:color w:val="000000" w:themeColor="text1"/>
          <w:kern w:val="2"/>
        </w:rPr>
        <w:t>Li 1s (</w:t>
      </w:r>
      <w:r w:rsidRPr="002657D1">
        <w:rPr>
          <w:rFonts w:ascii="Times New Roman" w:eastAsia="等线" w:hAnsi="Times New Roman" w:cs="Times New Roman"/>
          <w:b/>
          <w:bCs/>
          <w:color w:val="000000" w:themeColor="text1"/>
          <w:kern w:val="2"/>
        </w:rPr>
        <w:t>a</w:t>
      </w:r>
      <w:r w:rsidRPr="002657D1">
        <w:rPr>
          <w:rFonts w:ascii="Times New Roman" w:eastAsia="等线" w:hAnsi="Times New Roman" w:cs="Times New Roman"/>
          <w:color w:val="000000" w:themeColor="text1"/>
          <w:kern w:val="2"/>
        </w:rPr>
        <w:t>), Zr 3d (</w:t>
      </w:r>
      <w:r w:rsidRPr="002657D1">
        <w:rPr>
          <w:rFonts w:ascii="Times New Roman" w:eastAsia="等线" w:hAnsi="Times New Roman" w:cs="Times New Roman"/>
          <w:b/>
          <w:bCs/>
          <w:color w:val="000000" w:themeColor="text1"/>
          <w:kern w:val="2"/>
        </w:rPr>
        <w:t>b</w:t>
      </w:r>
      <w:r w:rsidRPr="002657D1">
        <w:rPr>
          <w:rFonts w:ascii="Times New Roman" w:eastAsia="等线" w:hAnsi="Times New Roman" w:cs="Times New Roman"/>
          <w:color w:val="000000" w:themeColor="text1"/>
          <w:kern w:val="2"/>
        </w:rPr>
        <w:t>), Cl 2p (</w:t>
      </w:r>
      <w:r w:rsidRPr="002657D1">
        <w:rPr>
          <w:rFonts w:ascii="Times New Roman" w:eastAsia="等线" w:hAnsi="Times New Roman" w:cs="Times New Roman"/>
          <w:b/>
          <w:bCs/>
          <w:color w:val="000000" w:themeColor="text1"/>
          <w:kern w:val="2"/>
        </w:rPr>
        <w:t>c</w:t>
      </w:r>
      <w:r w:rsidRPr="002657D1">
        <w:rPr>
          <w:rFonts w:ascii="Times New Roman" w:eastAsia="等线" w:hAnsi="Times New Roman" w:cs="Times New Roman"/>
          <w:color w:val="000000" w:themeColor="text1"/>
          <w:kern w:val="2"/>
        </w:rPr>
        <w:t>), Ti 2p (</w:t>
      </w:r>
      <w:r w:rsidRPr="002657D1">
        <w:rPr>
          <w:rFonts w:ascii="Times New Roman" w:eastAsia="等线" w:hAnsi="Times New Roman" w:cs="Times New Roman"/>
          <w:b/>
          <w:bCs/>
          <w:color w:val="000000" w:themeColor="text1"/>
          <w:kern w:val="2"/>
        </w:rPr>
        <w:t>d</w:t>
      </w:r>
      <w:r w:rsidRPr="002657D1">
        <w:rPr>
          <w:rFonts w:ascii="Times New Roman" w:eastAsia="等线" w:hAnsi="Times New Roman" w:cs="Times New Roman"/>
          <w:color w:val="000000" w:themeColor="text1"/>
          <w:kern w:val="2"/>
        </w:rPr>
        <w:t>), and F 1s (</w:t>
      </w:r>
      <w:r w:rsidRPr="002657D1">
        <w:rPr>
          <w:rFonts w:ascii="Times New Roman" w:eastAsia="等线" w:hAnsi="Times New Roman" w:cs="Times New Roman"/>
          <w:b/>
          <w:bCs/>
          <w:color w:val="000000" w:themeColor="text1"/>
          <w:kern w:val="2"/>
        </w:rPr>
        <w:t>e</w:t>
      </w:r>
      <w:r w:rsidRPr="002657D1">
        <w:rPr>
          <w:rFonts w:ascii="Times New Roman" w:eastAsia="等线" w:hAnsi="Times New Roman" w:cs="Times New Roman"/>
          <w:color w:val="000000" w:themeColor="text1"/>
          <w:kern w:val="2"/>
        </w:rPr>
        <w:t>) XPS spectra of</w:t>
      </w:r>
      <w:r w:rsidRPr="002657D1">
        <w:rPr>
          <w:rFonts w:ascii="Times New Roman" w:eastAsia="等线" w:hAnsi="Times New Roman" w:cs="Times New Roman"/>
          <w:color w:val="000000" w:themeColor="text1"/>
          <w:kern w:val="24"/>
        </w:rPr>
        <w:t xml:space="preserve"> the NCM811/LZC-10TF composite cathode before and after cycling at 1.0 C for 1000 cycles.</w:t>
      </w:r>
    </w:p>
    <w:p w14:paraId="740977C1" w14:textId="26B777B2" w:rsidR="0012007D" w:rsidRPr="002657D1" w:rsidRDefault="00851AF8" w:rsidP="00102B75">
      <w:pPr>
        <w:pStyle w:val="ac"/>
        <w:spacing w:before="120" w:beforeAutospacing="0" w:afterLines="50" w:after="156" w:afterAutospacing="0" w:line="360" w:lineRule="auto"/>
        <w:jc w:val="both"/>
        <w:rPr>
          <w:rFonts w:ascii="Times New Roman" w:hAnsi="Times New Roman" w:cs="Times New Roman"/>
          <w:color w:val="000000" w:themeColor="text1"/>
        </w:rPr>
      </w:pPr>
      <w:r w:rsidRPr="002657D1">
        <w:rPr>
          <w:rFonts w:ascii="Times New Roman" w:hAnsi="Times New Roman" w:cs="Times New Roman"/>
          <w:b/>
          <w:bCs/>
          <w:color w:val="000000" w:themeColor="text1"/>
        </w:rPr>
        <w:t>Discussion:</w:t>
      </w:r>
      <w:r w:rsidRPr="002657D1">
        <w:rPr>
          <w:rFonts w:ascii="Times New Roman" w:hAnsi="Times New Roman" w:cs="Times New Roman"/>
          <w:color w:val="000000" w:themeColor="text1"/>
        </w:rPr>
        <w:t xml:space="preserve"> </w:t>
      </w:r>
      <w:bookmarkStart w:id="84" w:name="OLE_LINK69"/>
      <w:r w:rsidR="00102B75" w:rsidRPr="002657D1">
        <w:rPr>
          <w:rFonts w:ascii="Times New Roman" w:hAnsi="Times New Roman" w:cs="Times New Roman"/>
          <w:color w:val="000000" w:themeColor="text1"/>
        </w:rPr>
        <w:t xml:space="preserve">To </w:t>
      </w:r>
      <w:r w:rsidR="004D7533" w:rsidRPr="002657D1">
        <w:rPr>
          <w:rFonts w:ascii="Times New Roman" w:hAnsi="Times New Roman" w:cs="Times New Roman"/>
          <w:color w:val="000000" w:themeColor="text1"/>
        </w:rPr>
        <w:t>probe</w:t>
      </w:r>
      <w:r w:rsidR="00102B75" w:rsidRPr="002657D1">
        <w:rPr>
          <w:rFonts w:ascii="Times New Roman" w:hAnsi="Times New Roman" w:cs="Times New Roman"/>
          <w:color w:val="000000" w:themeColor="text1"/>
        </w:rPr>
        <w:t xml:space="preserve"> the (electro)chemical stability of LZC-10TF electrolyte </w:t>
      </w:r>
      <w:r w:rsidR="004D7533" w:rsidRPr="002657D1">
        <w:rPr>
          <w:rFonts w:ascii="Times New Roman" w:hAnsi="Times New Roman" w:cs="Times New Roman"/>
          <w:color w:val="000000" w:themeColor="text1"/>
        </w:rPr>
        <w:t>with</w:t>
      </w:r>
      <w:r w:rsidR="00102B75" w:rsidRPr="002657D1">
        <w:rPr>
          <w:rFonts w:ascii="Times New Roman" w:hAnsi="Times New Roman" w:cs="Times New Roman"/>
          <w:color w:val="000000" w:themeColor="text1"/>
        </w:rPr>
        <w:t xml:space="preserve">in NCM811 composite cathode before and after cycling, </w:t>
      </w:r>
      <w:r w:rsidR="004D7533" w:rsidRPr="002657D1">
        <w:rPr>
          <w:rFonts w:ascii="Times New Roman" w:hAnsi="Times New Roman" w:cs="Times New Roman"/>
          <w:color w:val="000000" w:themeColor="text1"/>
        </w:rPr>
        <w:t xml:space="preserve">XPS analysis </w:t>
      </w:r>
      <w:r w:rsidR="00102B75" w:rsidRPr="002657D1">
        <w:rPr>
          <w:rFonts w:ascii="Times New Roman" w:hAnsi="Times New Roman" w:cs="Times New Roman"/>
          <w:color w:val="000000" w:themeColor="text1"/>
        </w:rPr>
        <w:t xml:space="preserve">was used. </w:t>
      </w:r>
      <w:r w:rsidR="004D7533" w:rsidRPr="002657D1">
        <w:rPr>
          <w:rFonts w:ascii="Times New Roman" w:hAnsi="Times New Roman" w:cs="Times New Roman"/>
          <w:color w:val="000000" w:themeColor="text1"/>
        </w:rPr>
        <w:t>Post-cycling Li 1s and F 1s spectra (</w:t>
      </w:r>
      <w:r w:rsidR="004D7533" w:rsidRPr="002657D1">
        <w:rPr>
          <w:rFonts w:ascii="Times New Roman" w:hAnsi="Times New Roman" w:cs="Times New Roman"/>
          <w:b/>
          <w:bCs/>
          <w:color w:val="000000" w:themeColor="text1"/>
        </w:rPr>
        <w:t xml:space="preserve">Supplementary Fig. </w:t>
      </w:r>
      <w:r w:rsidR="00C942A9" w:rsidRPr="002657D1">
        <w:rPr>
          <w:rFonts w:ascii="Times New Roman" w:hAnsi="Times New Roman" w:cs="Times New Roman" w:hint="eastAsia"/>
          <w:b/>
          <w:bCs/>
          <w:color w:val="000000" w:themeColor="text1"/>
        </w:rPr>
        <w:t>40</w:t>
      </w:r>
      <w:proofErr w:type="gramStart"/>
      <w:r w:rsidR="00C942A9" w:rsidRPr="002657D1">
        <w:rPr>
          <w:rFonts w:ascii="Times New Roman" w:hAnsi="Times New Roman" w:cs="Times New Roman"/>
          <w:b/>
          <w:bCs/>
          <w:color w:val="000000" w:themeColor="text1"/>
        </w:rPr>
        <w:t>a</w:t>
      </w:r>
      <w:r w:rsidR="004D7533" w:rsidRPr="002657D1">
        <w:rPr>
          <w:rFonts w:ascii="Times New Roman" w:hAnsi="Times New Roman" w:cs="Times New Roman"/>
          <w:b/>
          <w:bCs/>
          <w:color w:val="000000" w:themeColor="text1"/>
        </w:rPr>
        <w:t>,e</w:t>
      </w:r>
      <w:proofErr w:type="gramEnd"/>
      <w:r w:rsidR="004D7533" w:rsidRPr="002657D1">
        <w:rPr>
          <w:rFonts w:ascii="Times New Roman" w:hAnsi="Times New Roman" w:cs="Times New Roman"/>
          <w:color w:val="000000" w:themeColor="text1"/>
        </w:rPr>
        <w:t>) reveal trace LiF interphase formation, indicating suppression of interfacial degradation.</w:t>
      </w:r>
      <w:r w:rsidR="004D7533" w:rsidRPr="002657D1">
        <w:rPr>
          <w:rFonts w:ascii="Times New Roman" w:hAnsi="Times New Roman" w:cs="Times New Roman"/>
          <w:color w:val="000000" w:themeColor="text1"/>
          <w:sz w:val="32"/>
          <w:szCs w:val="32"/>
        </w:rPr>
        <w:t xml:space="preserve"> </w:t>
      </w:r>
      <w:r w:rsidR="004D7533" w:rsidRPr="002657D1">
        <w:rPr>
          <w:rFonts w:ascii="Times New Roman" w:hAnsi="Times New Roman" w:cs="Times New Roman"/>
          <w:color w:val="000000" w:themeColor="text1"/>
        </w:rPr>
        <w:t>Zr 3d and Cl 2p spectra (</w:t>
      </w:r>
      <w:r w:rsidR="004D7533" w:rsidRPr="002657D1">
        <w:rPr>
          <w:rFonts w:ascii="Times New Roman" w:hAnsi="Times New Roman" w:cs="Times New Roman"/>
          <w:b/>
          <w:bCs/>
          <w:color w:val="000000" w:themeColor="text1"/>
        </w:rPr>
        <w:t xml:space="preserve">Supplementary Fig. </w:t>
      </w:r>
      <w:r w:rsidR="00C942A9" w:rsidRPr="002657D1">
        <w:rPr>
          <w:rFonts w:ascii="Times New Roman" w:hAnsi="Times New Roman" w:cs="Times New Roman" w:hint="eastAsia"/>
          <w:b/>
          <w:bCs/>
          <w:color w:val="000000" w:themeColor="text1"/>
        </w:rPr>
        <w:t>40</w:t>
      </w:r>
      <w:proofErr w:type="gramStart"/>
      <w:r w:rsidR="00C942A9" w:rsidRPr="002657D1">
        <w:rPr>
          <w:rFonts w:ascii="Times New Roman" w:hAnsi="Times New Roman" w:cs="Times New Roman"/>
          <w:b/>
          <w:bCs/>
          <w:color w:val="000000" w:themeColor="text1"/>
        </w:rPr>
        <w:t>b</w:t>
      </w:r>
      <w:r w:rsidR="004D7533" w:rsidRPr="002657D1">
        <w:rPr>
          <w:rFonts w:ascii="Times New Roman" w:hAnsi="Times New Roman" w:cs="Times New Roman"/>
          <w:b/>
          <w:bCs/>
          <w:color w:val="000000" w:themeColor="text1"/>
        </w:rPr>
        <w:t>,c</w:t>
      </w:r>
      <w:proofErr w:type="gramEnd"/>
      <w:r w:rsidR="004D7533" w:rsidRPr="002657D1">
        <w:rPr>
          <w:rFonts w:ascii="Times New Roman" w:hAnsi="Times New Roman" w:cs="Times New Roman"/>
          <w:color w:val="000000" w:themeColor="text1"/>
        </w:rPr>
        <w:t>) show stable peak positions post-cycling, while Ti 2p spectra (</w:t>
      </w:r>
      <w:r w:rsidR="004D7533" w:rsidRPr="002657D1">
        <w:rPr>
          <w:rFonts w:ascii="Times New Roman" w:hAnsi="Times New Roman" w:cs="Times New Roman"/>
          <w:b/>
          <w:bCs/>
          <w:color w:val="000000" w:themeColor="text1"/>
        </w:rPr>
        <w:t xml:space="preserve">Supplementary Fig. </w:t>
      </w:r>
      <w:r w:rsidR="00C942A9" w:rsidRPr="002657D1">
        <w:rPr>
          <w:rFonts w:ascii="Times New Roman" w:hAnsi="Times New Roman" w:cs="Times New Roman" w:hint="eastAsia"/>
          <w:b/>
          <w:bCs/>
          <w:color w:val="000000" w:themeColor="text1"/>
        </w:rPr>
        <w:t>40</w:t>
      </w:r>
      <w:r w:rsidR="00C942A9" w:rsidRPr="002657D1">
        <w:rPr>
          <w:rFonts w:ascii="Times New Roman" w:hAnsi="Times New Roman" w:cs="Times New Roman"/>
          <w:b/>
          <w:bCs/>
          <w:color w:val="000000" w:themeColor="text1"/>
        </w:rPr>
        <w:t>d</w:t>
      </w:r>
      <w:r w:rsidR="004D7533" w:rsidRPr="002657D1">
        <w:rPr>
          <w:rFonts w:ascii="Times New Roman" w:hAnsi="Times New Roman" w:cs="Times New Roman"/>
          <w:color w:val="000000" w:themeColor="text1"/>
        </w:rPr>
        <w:t>) exhibit weak Ti</w:t>
      </w:r>
      <w:r w:rsidR="004D7533" w:rsidRPr="002657D1">
        <w:rPr>
          <w:rFonts w:ascii="Times New Roman" w:hAnsi="Times New Roman" w:cs="Times New Roman"/>
          <w:color w:val="000000" w:themeColor="text1"/>
          <w:vertAlign w:val="superscript"/>
        </w:rPr>
        <w:t>4+</w:t>
      </w:r>
      <w:r w:rsidR="004D7533" w:rsidRPr="002657D1">
        <w:rPr>
          <w:rFonts w:ascii="Times New Roman" w:hAnsi="Times New Roman" w:cs="Times New Roman"/>
          <w:color w:val="000000" w:themeColor="text1"/>
        </w:rPr>
        <w:t xml:space="preserve"> signals, suggesting limited irreversible oxidation of Ti</w:t>
      </w:r>
      <w:r w:rsidR="004D7533" w:rsidRPr="002657D1">
        <w:rPr>
          <w:rFonts w:ascii="Times New Roman" w:hAnsi="Times New Roman" w:cs="Times New Roman"/>
          <w:color w:val="000000" w:themeColor="text1"/>
          <w:vertAlign w:val="superscript"/>
        </w:rPr>
        <w:t>3+</w:t>
      </w:r>
      <w:r w:rsidR="004D7533" w:rsidRPr="002657D1">
        <w:rPr>
          <w:rFonts w:ascii="Times New Roman" w:hAnsi="Times New Roman" w:cs="Times New Roman"/>
          <w:color w:val="000000" w:themeColor="text1"/>
        </w:rPr>
        <w:t>. These results collectively confirm inhibited interfacial reactions at the NCM811/LZC-10TF interface, demonstrating the efficacy of TiF</w:t>
      </w:r>
      <w:r w:rsidR="004D7533" w:rsidRPr="002657D1">
        <w:rPr>
          <w:rFonts w:ascii="Times New Roman" w:hAnsi="Times New Roman" w:cs="Times New Roman"/>
          <w:color w:val="000000" w:themeColor="text1"/>
          <w:vertAlign w:val="subscript"/>
        </w:rPr>
        <w:t>3</w:t>
      </w:r>
      <w:r w:rsidR="004D7533" w:rsidRPr="002657D1">
        <w:rPr>
          <w:rFonts w:ascii="Times New Roman" w:hAnsi="Times New Roman" w:cs="Times New Roman"/>
          <w:color w:val="000000" w:themeColor="text1"/>
        </w:rPr>
        <w:t xml:space="preserve"> doping in stabilizing the cathode-electrolyte interface.</w:t>
      </w:r>
      <w:bookmarkEnd w:id="84"/>
      <w:r w:rsidRPr="002657D1">
        <w:rPr>
          <w:rFonts w:ascii="Times New Roman" w:hAnsi="Times New Roman" w:cs="Times New Roman"/>
          <w:color w:val="000000" w:themeColor="text1"/>
        </w:rPr>
        <w:br w:type="page"/>
      </w:r>
    </w:p>
    <w:p w14:paraId="076C2321" w14:textId="68751212" w:rsidR="00851AF8" w:rsidRPr="002657D1" w:rsidRDefault="00793BC9" w:rsidP="00772F18">
      <w:pPr>
        <w:widowControl/>
        <w:spacing w:before="120" w:afterLines="50" w:after="156" w:line="360" w:lineRule="auto"/>
        <w:rPr>
          <w:rFonts w:ascii="Times New Roman" w:hAnsi="Times New Roman" w:cs="Times New Roman"/>
          <w:color w:val="000000" w:themeColor="text1"/>
          <w:sz w:val="24"/>
          <w:szCs w:val="24"/>
        </w:rPr>
      </w:pPr>
      <w:r w:rsidRPr="002657D1">
        <w:rPr>
          <w:rFonts w:ascii="Times New Roman" w:hAnsi="Times New Roman" w:cs="Times New Roman"/>
          <w:noProof/>
          <w:color w:val="000000" w:themeColor="text1"/>
          <w:sz w:val="24"/>
          <w:szCs w:val="24"/>
        </w:rPr>
        <w:lastRenderedPageBreak/>
        <w:drawing>
          <wp:inline distT="0" distB="0" distL="0" distR="0" wp14:anchorId="6E43195F" wp14:editId="68DDBB58">
            <wp:extent cx="5274310" cy="1477010"/>
            <wp:effectExtent l="0" t="0" r="0" b="0"/>
            <wp:docPr id="183729637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296371" name="图片 1837296371"/>
                    <pic:cNvPicPr/>
                  </pic:nvPicPr>
                  <pic:blipFill>
                    <a:blip r:embed="rId55"/>
                    <a:stretch>
                      <a:fillRect/>
                    </a:stretch>
                  </pic:blipFill>
                  <pic:spPr>
                    <a:xfrm>
                      <a:off x="0" y="0"/>
                      <a:ext cx="5274310" cy="1477010"/>
                    </a:xfrm>
                    <a:prstGeom prst="rect">
                      <a:avLst/>
                    </a:prstGeom>
                  </pic:spPr>
                </pic:pic>
              </a:graphicData>
            </a:graphic>
          </wp:inline>
        </w:drawing>
      </w:r>
    </w:p>
    <w:p w14:paraId="120ABC08" w14:textId="7BC6BFD7" w:rsidR="00322E20" w:rsidRPr="002657D1" w:rsidRDefault="001E681B" w:rsidP="00322E20">
      <w:pPr>
        <w:pStyle w:val="ac"/>
        <w:spacing w:before="0" w:beforeAutospacing="0" w:after="0" w:afterAutospacing="0" w:line="360" w:lineRule="auto"/>
        <w:jc w:val="both"/>
        <w:rPr>
          <w:rFonts w:ascii="Times New Roman" w:eastAsia="等线" w:hAnsi="Times New Roman" w:cs="Times New Roman"/>
          <w:color w:val="000000" w:themeColor="text1"/>
          <w:kern w:val="2"/>
        </w:rPr>
      </w:pPr>
      <w:r w:rsidRPr="002657D1">
        <w:rPr>
          <w:rFonts w:ascii="Times New Roman" w:eastAsia="等线" w:hAnsi="Times New Roman" w:cs="Times New Roman"/>
          <w:b/>
          <w:bCs/>
          <w:color w:val="000000" w:themeColor="text1"/>
          <w:kern w:val="2"/>
        </w:rPr>
        <w:t xml:space="preserve">Supplementary Fig. </w:t>
      </w:r>
      <w:r w:rsidR="00112663" w:rsidRPr="002657D1">
        <w:rPr>
          <w:rFonts w:ascii="Times New Roman" w:eastAsia="等线" w:hAnsi="Times New Roman" w:cs="Times New Roman"/>
          <w:b/>
          <w:bCs/>
          <w:color w:val="000000" w:themeColor="text1"/>
          <w:kern w:val="2"/>
        </w:rPr>
        <w:t xml:space="preserve">41 </w:t>
      </w:r>
      <w:r w:rsidRPr="002657D1">
        <w:rPr>
          <w:rFonts w:ascii="Times New Roman" w:eastAsia="等线" w:hAnsi="Times New Roman" w:cs="Times New Roman"/>
          <w:b/>
          <w:bCs/>
          <w:color w:val="000000" w:themeColor="text1"/>
          <w:kern w:val="2"/>
        </w:rPr>
        <w:t>| Conductivity of NCM811 composite cathode.</w:t>
      </w:r>
      <w:r w:rsidRPr="002657D1">
        <w:rPr>
          <w:rFonts w:ascii="Times New Roman" w:eastAsia="等线" w:hAnsi="Times New Roman" w:cs="Times New Roman"/>
          <w:color w:val="000000" w:themeColor="text1"/>
          <w:kern w:val="2"/>
        </w:rPr>
        <w:t xml:space="preserve"> </w:t>
      </w:r>
      <w:r w:rsidRPr="002657D1">
        <w:rPr>
          <w:rFonts w:ascii="Times New Roman" w:eastAsia="等线" w:hAnsi="Times New Roman" w:cs="Times New Roman"/>
          <w:b/>
          <w:bCs/>
          <w:color w:val="000000" w:themeColor="text1"/>
          <w:kern w:val="2"/>
        </w:rPr>
        <w:t>a</w:t>
      </w:r>
      <w:r w:rsidRPr="002657D1">
        <w:rPr>
          <w:rFonts w:ascii="Times New Roman" w:eastAsia="等线" w:hAnsi="Times New Roman" w:cs="Times New Roman"/>
          <w:color w:val="000000" w:themeColor="text1"/>
          <w:kern w:val="2"/>
        </w:rPr>
        <w:t xml:space="preserve"> </w:t>
      </w:r>
      <w:proofErr w:type="spellStart"/>
      <w:r w:rsidR="00322E20" w:rsidRPr="002657D1">
        <w:rPr>
          <w:rFonts w:ascii="Times New Roman" w:eastAsia="等线" w:hAnsi="Times New Roman" w:cs="Times New Roman"/>
          <w:color w:val="000000" w:themeColor="text1"/>
          <w:kern w:val="2"/>
        </w:rPr>
        <w:t>A</w:t>
      </w:r>
      <w:proofErr w:type="spellEnd"/>
      <w:r w:rsidR="00322E20" w:rsidRPr="002657D1">
        <w:rPr>
          <w:rFonts w:ascii="Times New Roman" w:eastAsia="等线" w:hAnsi="Times New Roman" w:cs="Times New Roman"/>
          <w:color w:val="000000" w:themeColor="text1"/>
          <w:kern w:val="2"/>
        </w:rPr>
        <w:t xml:space="preserve"> current </w:t>
      </w:r>
      <w:r w:rsidRPr="002657D1">
        <w:rPr>
          <w:rFonts w:ascii="Times New Roman" w:eastAsia="等线" w:hAnsi="Times New Roman" w:cs="Times New Roman"/>
          <w:color w:val="000000" w:themeColor="text1"/>
          <w:kern w:val="2"/>
        </w:rPr>
        <w:t xml:space="preserve">vs. time </w:t>
      </w:r>
      <w:r w:rsidR="00322E20" w:rsidRPr="002657D1">
        <w:rPr>
          <w:rFonts w:ascii="Times New Roman" w:eastAsia="等线" w:hAnsi="Times New Roman" w:cs="Times New Roman"/>
          <w:color w:val="000000" w:themeColor="text1"/>
          <w:kern w:val="2"/>
        </w:rPr>
        <w:t>curve of the NCM811 composite cathode</w:t>
      </w:r>
      <w:r w:rsidRPr="002657D1">
        <w:rPr>
          <w:rFonts w:ascii="Times New Roman" w:eastAsia="等线" w:hAnsi="Times New Roman" w:cs="Times New Roman"/>
          <w:color w:val="000000" w:themeColor="text1"/>
          <w:kern w:val="2"/>
        </w:rPr>
        <w:t xml:space="preserve"> by DC polarization method with ionic blocking cells SS/NCM811 cathode/SS (SS refers to stainless steel) with a constant voltage of 400 mV. </w:t>
      </w:r>
      <w:r w:rsidRPr="002657D1">
        <w:rPr>
          <w:rFonts w:ascii="Times New Roman" w:eastAsia="等线" w:hAnsi="Times New Roman" w:cs="Times New Roman"/>
          <w:b/>
          <w:bCs/>
          <w:color w:val="000000" w:themeColor="text1"/>
          <w:kern w:val="2"/>
        </w:rPr>
        <w:t>b</w:t>
      </w:r>
      <w:r w:rsidRPr="002657D1">
        <w:rPr>
          <w:rFonts w:ascii="Times New Roman" w:eastAsia="等线" w:hAnsi="Times New Roman" w:cs="Times New Roman"/>
          <w:color w:val="000000" w:themeColor="text1"/>
          <w:kern w:val="2"/>
        </w:rPr>
        <w:t xml:space="preserve"> Nyquist plot of</w:t>
      </w:r>
      <w:r w:rsidR="00322E20" w:rsidRPr="002657D1">
        <w:rPr>
          <w:rFonts w:ascii="Times New Roman" w:eastAsia="等线" w:hAnsi="Times New Roman" w:cs="Times New Roman"/>
          <w:color w:val="000000" w:themeColor="text1"/>
          <w:kern w:val="2"/>
        </w:rPr>
        <w:t xml:space="preserve"> the NCM811 composite cathode. Electron-blocking Li/Li</w:t>
      </w:r>
      <w:r w:rsidR="00322E20" w:rsidRPr="002657D1">
        <w:rPr>
          <w:rFonts w:ascii="Times New Roman" w:eastAsia="等线" w:hAnsi="Times New Roman" w:cs="Times New Roman"/>
          <w:color w:val="000000" w:themeColor="text1"/>
          <w:kern w:val="2"/>
          <w:vertAlign w:val="subscript"/>
        </w:rPr>
        <w:t>6</w:t>
      </w:r>
      <w:r w:rsidR="00322E20" w:rsidRPr="002657D1">
        <w:rPr>
          <w:rFonts w:ascii="Times New Roman" w:eastAsia="等线" w:hAnsi="Times New Roman" w:cs="Times New Roman"/>
          <w:color w:val="000000" w:themeColor="text1"/>
          <w:kern w:val="2"/>
        </w:rPr>
        <w:t>PS</w:t>
      </w:r>
      <w:r w:rsidR="00322E20" w:rsidRPr="002657D1">
        <w:rPr>
          <w:rFonts w:ascii="Times New Roman" w:eastAsia="等线" w:hAnsi="Times New Roman" w:cs="Times New Roman"/>
          <w:color w:val="000000" w:themeColor="text1"/>
          <w:kern w:val="2"/>
          <w:vertAlign w:val="subscript"/>
        </w:rPr>
        <w:t>5</w:t>
      </w:r>
      <w:r w:rsidR="00322E20" w:rsidRPr="002657D1">
        <w:rPr>
          <w:rFonts w:ascii="Times New Roman" w:eastAsia="等线" w:hAnsi="Times New Roman" w:cs="Times New Roman"/>
          <w:color w:val="000000" w:themeColor="text1"/>
          <w:kern w:val="2"/>
        </w:rPr>
        <w:t>Cl/NCM811 cathode/Li</w:t>
      </w:r>
      <w:r w:rsidR="00322E20" w:rsidRPr="002657D1">
        <w:rPr>
          <w:rFonts w:ascii="Times New Roman" w:eastAsia="等线" w:hAnsi="Times New Roman" w:cs="Times New Roman"/>
          <w:color w:val="000000" w:themeColor="text1"/>
          <w:kern w:val="2"/>
          <w:vertAlign w:val="subscript"/>
        </w:rPr>
        <w:t>6</w:t>
      </w:r>
      <w:r w:rsidR="00322E20" w:rsidRPr="002657D1">
        <w:rPr>
          <w:rFonts w:ascii="Times New Roman" w:eastAsia="等线" w:hAnsi="Times New Roman" w:cs="Times New Roman"/>
          <w:color w:val="000000" w:themeColor="text1"/>
          <w:kern w:val="2"/>
        </w:rPr>
        <w:t>PS</w:t>
      </w:r>
      <w:r w:rsidR="00322E20" w:rsidRPr="002657D1">
        <w:rPr>
          <w:rFonts w:ascii="Times New Roman" w:eastAsia="等线" w:hAnsi="Times New Roman" w:cs="Times New Roman"/>
          <w:color w:val="000000" w:themeColor="text1"/>
          <w:kern w:val="2"/>
          <w:vertAlign w:val="subscript"/>
        </w:rPr>
        <w:t>5</w:t>
      </w:r>
      <w:r w:rsidR="00322E20" w:rsidRPr="002657D1">
        <w:rPr>
          <w:rFonts w:ascii="Times New Roman" w:eastAsia="等线" w:hAnsi="Times New Roman" w:cs="Times New Roman"/>
          <w:color w:val="000000" w:themeColor="text1"/>
          <w:kern w:val="2"/>
        </w:rPr>
        <w:t>Cl/Li cells were employed to measure Li</w:t>
      </w:r>
      <w:r w:rsidR="00322E20" w:rsidRPr="002657D1">
        <w:rPr>
          <w:rFonts w:ascii="Times New Roman" w:eastAsia="等线" w:hAnsi="Times New Roman" w:cs="Times New Roman"/>
          <w:color w:val="000000" w:themeColor="text1"/>
          <w:kern w:val="2"/>
          <w:vertAlign w:val="superscript"/>
        </w:rPr>
        <w:t>+</w:t>
      </w:r>
      <w:r w:rsidR="00322E20" w:rsidRPr="002657D1">
        <w:rPr>
          <w:rFonts w:ascii="Times New Roman" w:eastAsia="等线" w:hAnsi="Times New Roman" w:cs="Times New Roman"/>
          <w:color w:val="000000" w:themeColor="text1"/>
          <w:kern w:val="2"/>
        </w:rPr>
        <w:t xml:space="preserve"> conductivity of the cathode.</w:t>
      </w:r>
    </w:p>
    <w:p w14:paraId="7996AEE9" w14:textId="75335ED8" w:rsidR="00851AF8" w:rsidRPr="002657D1" w:rsidRDefault="001E681B" w:rsidP="00322E20">
      <w:pPr>
        <w:pStyle w:val="ac"/>
        <w:spacing w:before="0" w:beforeAutospacing="0" w:after="0" w:afterAutospacing="0" w:line="360" w:lineRule="auto"/>
        <w:jc w:val="both"/>
        <w:rPr>
          <w:rFonts w:ascii="Times New Roman" w:hAnsi="Times New Roman" w:cs="Times New Roman"/>
          <w:color w:val="000000" w:themeColor="text1"/>
          <w:sz w:val="21"/>
          <w:szCs w:val="21"/>
        </w:rPr>
      </w:pPr>
      <w:r w:rsidRPr="002657D1">
        <w:rPr>
          <w:rFonts w:ascii="Times New Roman" w:hAnsi="Times New Roman" w:cs="Times New Roman"/>
          <w:b/>
          <w:bCs/>
          <w:color w:val="000000" w:themeColor="text1"/>
        </w:rPr>
        <w:t>Discussion:</w:t>
      </w:r>
      <w:r w:rsidRPr="002657D1">
        <w:rPr>
          <w:rFonts w:ascii="Times New Roman" w:hAnsi="Times New Roman" w:cs="Times New Roman"/>
          <w:color w:val="000000" w:themeColor="text1"/>
        </w:rPr>
        <w:t xml:space="preserve"> Quantifying ion/electron conductivities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σ</m:t>
            </m:r>
          </m:e>
          <m:sub>
            <m:sSup>
              <m:sSupPr>
                <m:ctrlPr>
                  <w:rPr>
                    <w:rFonts w:ascii="Cambria Math" w:hAnsi="Cambria Math" w:cs="Times New Roman"/>
                    <w:i/>
                    <w:color w:val="000000" w:themeColor="text1"/>
                  </w:rPr>
                </m:ctrlPr>
              </m:sSupPr>
              <m:e>
                <m:r>
                  <w:rPr>
                    <w:rFonts w:ascii="Cambria Math" w:hAnsi="Cambria Math" w:cs="Times New Roman"/>
                    <w:color w:val="000000" w:themeColor="text1"/>
                  </w:rPr>
                  <m:t>e</m:t>
                </m:r>
              </m:e>
              <m:sup>
                <m:r>
                  <w:rPr>
                    <w:rFonts w:ascii="Cambria Math" w:hAnsi="Cambria Math" w:cs="Times New Roman"/>
                    <w:color w:val="000000" w:themeColor="text1"/>
                  </w:rPr>
                  <m:t>-</m:t>
                </m:r>
              </m:sup>
            </m:sSup>
          </m:sub>
        </m:sSub>
      </m:oMath>
      <w:r w:rsidRPr="002657D1">
        <w:rPr>
          <w:rFonts w:ascii="Times New Roman" w:hAnsi="Times New Roman" w:cs="Times New Roman"/>
          <w:color w:val="000000" w:themeColor="text1"/>
        </w:rPr>
        <w:t xml:space="preserve"> and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σ</m:t>
            </m:r>
          </m:e>
          <m:sub>
            <m:sSup>
              <m:sSupPr>
                <m:ctrlPr>
                  <w:rPr>
                    <w:rFonts w:ascii="Cambria Math" w:hAnsi="Cambria Math" w:cs="Times New Roman"/>
                    <w:i/>
                    <w:color w:val="000000" w:themeColor="text1"/>
                  </w:rPr>
                </m:ctrlPr>
              </m:sSupPr>
              <m:e>
                <m:r>
                  <w:rPr>
                    <w:rFonts w:ascii="Cambria Math" w:hAnsi="Cambria Math" w:cs="Times New Roman"/>
                    <w:color w:val="000000" w:themeColor="text1"/>
                  </w:rPr>
                  <m:t>Li</m:t>
                </m:r>
              </m:e>
              <m:sup>
                <m:r>
                  <w:rPr>
                    <w:rFonts w:ascii="Cambria Math" w:hAnsi="Cambria Math" w:cs="Times New Roman"/>
                    <w:color w:val="000000" w:themeColor="text1"/>
                  </w:rPr>
                  <m:t>+</m:t>
                </m:r>
              </m:sup>
            </m:sSup>
          </m:sub>
        </m:sSub>
      </m:oMath>
      <w:r w:rsidRPr="002657D1">
        <w:rPr>
          <w:rFonts w:ascii="Times New Roman" w:hAnsi="Times New Roman" w:cs="Times New Roman"/>
          <w:color w:val="000000" w:themeColor="text1"/>
        </w:rPr>
        <w:t>) of composite cathodes is essential for evaluating ASSLMB</w:t>
      </w:r>
      <w:r w:rsidR="001E722B" w:rsidRPr="002657D1">
        <w:rPr>
          <w:rFonts w:ascii="Times New Roman" w:hAnsi="Times New Roman" w:cs="Times New Roman"/>
          <w:color w:val="000000" w:themeColor="text1"/>
        </w:rPr>
        <w:t>s</w:t>
      </w:r>
      <w:r w:rsidRPr="002657D1">
        <w:rPr>
          <w:rFonts w:ascii="Times New Roman" w:hAnsi="Times New Roman" w:cs="Times New Roman"/>
          <w:color w:val="000000" w:themeColor="text1"/>
        </w:rPr>
        <w:t xml:space="preserve"> performance. The cathode comprised 70 wt% NCM811, 28 wt% LZC-10TF electrolyte, and 2 wt% VGCF. For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σ</m:t>
            </m:r>
          </m:e>
          <m:sub>
            <m:sSup>
              <m:sSupPr>
                <m:ctrlPr>
                  <w:rPr>
                    <w:rFonts w:ascii="Cambria Math" w:hAnsi="Cambria Math" w:cs="Times New Roman"/>
                    <w:i/>
                    <w:color w:val="000000" w:themeColor="text1"/>
                  </w:rPr>
                </m:ctrlPr>
              </m:sSupPr>
              <m:e>
                <m:r>
                  <w:rPr>
                    <w:rFonts w:ascii="Cambria Math" w:hAnsi="Cambria Math" w:cs="Times New Roman"/>
                    <w:color w:val="000000" w:themeColor="text1"/>
                  </w:rPr>
                  <m:t>e</m:t>
                </m:r>
              </m:e>
              <m:sup>
                <m:r>
                  <w:rPr>
                    <w:rFonts w:ascii="Cambria Math" w:hAnsi="Cambria Math" w:cs="Times New Roman"/>
                    <w:color w:val="000000" w:themeColor="text1"/>
                  </w:rPr>
                  <m:t>-</m:t>
                </m:r>
              </m:sup>
            </m:sSup>
          </m:sub>
        </m:sSub>
      </m:oMath>
      <w:r w:rsidRPr="002657D1">
        <w:rPr>
          <w:rFonts w:ascii="Times New Roman" w:hAnsi="Times New Roman" w:cs="Times New Roman"/>
          <w:color w:val="000000" w:themeColor="text1"/>
        </w:rPr>
        <w:t xml:space="preserve"> estimation, SS rods served as ion-blocking electrodes and current collectors. Based on steady-state currents under a 0.4 V bias, the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σ</m:t>
            </m:r>
          </m:e>
          <m:sub>
            <m:sSup>
              <m:sSupPr>
                <m:ctrlPr>
                  <w:rPr>
                    <w:rFonts w:ascii="Cambria Math" w:hAnsi="Cambria Math" w:cs="Times New Roman"/>
                    <w:i/>
                    <w:color w:val="000000" w:themeColor="text1"/>
                  </w:rPr>
                </m:ctrlPr>
              </m:sSupPr>
              <m:e>
                <m:r>
                  <w:rPr>
                    <w:rFonts w:ascii="Cambria Math" w:hAnsi="Cambria Math" w:cs="Times New Roman"/>
                    <w:color w:val="000000" w:themeColor="text1"/>
                  </w:rPr>
                  <m:t>e</m:t>
                </m:r>
              </m:e>
              <m:sup>
                <m:r>
                  <w:rPr>
                    <w:rFonts w:ascii="Cambria Math" w:hAnsi="Cambria Math" w:cs="Times New Roman"/>
                    <w:color w:val="000000" w:themeColor="text1"/>
                  </w:rPr>
                  <m:t>-</m:t>
                </m:r>
              </m:sup>
            </m:sSup>
          </m:sub>
        </m:sSub>
      </m:oMath>
      <w:r w:rsidRPr="002657D1">
        <w:rPr>
          <w:rFonts w:ascii="Times New Roman" w:hAnsi="Times New Roman" w:cs="Times New Roman"/>
          <w:color w:val="000000" w:themeColor="text1"/>
        </w:rPr>
        <w:t xml:space="preserve"> </w:t>
      </w:r>
      <w:r w:rsidR="00322E20" w:rsidRPr="002657D1">
        <w:rPr>
          <w:rFonts w:ascii="Times New Roman" w:hAnsi="Times New Roman" w:cs="Times New Roman"/>
          <w:color w:val="000000" w:themeColor="text1"/>
        </w:rPr>
        <w:t xml:space="preserve">value </w:t>
      </w:r>
      <w:r w:rsidRPr="002657D1">
        <w:rPr>
          <w:rFonts w:ascii="Times New Roman" w:hAnsi="Times New Roman" w:cs="Times New Roman"/>
          <w:color w:val="000000" w:themeColor="text1"/>
        </w:rPr>
        <w:t>of a 120 mg NCM811</w:t>
      </w:r>
      <w:r w:rsidR="00322E20" w:rsidRPr="002657D1">
        <w:rPr>
          <w:rFonts w:ascii="Times New Roman" w:hAnsi="Times New Roman" w:cs="Times New Roman"/>
          <w:color w:val="000000" w:themeColor="text1"/>
        </w:rPr>
        <w:t xml:space="preserve"> composite</w:t>
      </w:r>
      <w:r w:rsidRPr="002657D1">
        <w:rPr>
          <w:rFonts w:ascii="Times New Roman" w:hAnsi="Times New Roman" w:cs="Times New Roman"/>
          <w:color w:val="000000" w:themeColor="text1"/>
        </w:rPr>
        <w:t xml:space="preserve"> cathode was calculated </w:t>
      </w:r>
      <w:r w:rsidR="00322E20" w:rsidRPr="002657D1">
        <w:rPr>
          <w:rFonts w:ascii="Times New Roman" w:hAnsi="Times New Roman" w:cs="Times New Roman"/>
          <w:color w:val="000000" w:themeColor="text1"/>
        </w:rPr>
        <w:t xml:space="preserve">to be </w:t>
      </w:r>
      <w:r w:rsidRPr="002657D1">
        <w:rPr>
          <w:rFonts w:ascii="Times New Roman" w:hAnsi="Times New Roman" w:cs="Times New Roman"/>
          <w:color w:val="000000" w:themeColor="text1"/>
        </w:rPr>
        <w:t>2.37 mS cm</w:t>
      </w:r>
      <w:r w:rsidRPr="002657D1">
        <w:rPr>
          <w:rFonts w:ascii="Times New Roman" w:hAnsi="Times New Roman" w:cs="Times New Roman"/>
          <w:color w:val="000000" w:themeColor="text1"/>
          <w:vertAlign w:val="superscript"/>
        </w:rPr>
        <w:t>−1</w:t>
      </w:r>
      <w:r w:rsidRPr="002657D1">
        <w:rPr>
          <w:rFonts w:ascii="Times New Roman" w:hAnsi="Times New Roman" w:cs="Times New Roman"/>
          <w:color w:val="000000" w:themeColor="text1"/>
        </w:rPr>
        <w:t xml:space="preserve"> (</w:t>
      </w:r>
      <w:r w:rsidRPr="002657D1">
        <w:rPr>
          <w:rFonts w:ascii="Times New Roman" w:hAnsi="Times New Roman" w:cs="Times New Roman"/>
          <w:b/>
          <w:bCs/>
          <w:color w:val="000000" w:themeColor="text1"/>
        </w:rPr>
        <w:t xml:space="preserve">Supplementary Fig. </w:t>
      </w:r>
      <w:r w:rsidR="00C942A9" w:rsidRPr="002657D1">
        <w:rPr>
          <w:rFonts w:ascii="Times New Roman" w:hAnsi="Times New Roman" w:cs="Times New Roman"/>
          <w:b/>
          <w:bCs/>
          <w:color w:val="000000" w:themeColor="text1"/>
        </w:rPr>
        <w:t>41a</w:t>
      </w:r>
      <w:r w:rsidRPr="002657D1">
        <w:rPr>
          <w:rFonts w:ascii="Times New Roman" w:hAnsi="Times New Roman" w:cs="Times New Roman"/>
          <w:color w:val="000000" w:themeColor="text1"/>
        </w:rPr>
        <w:t xml:space="preserve">). For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σ</m:t>
            </m:r>
          </m:e>
          <m:sub>
            <m:sSup>
              <m:sSupPr>
                <m:ctrlPr>
                  <w:rPr>
                    <w:rFonts w:ascii="Cambria Math" w:hAnsi="Cambria Math" w:cs="Times New Roman"/>
                    <w:i/>
                    <w:color w:val="000000" w:themeColor="text1"/>
                  </w:rPr>
                </m:ctrlPr>
              </m:sSupPr>
              <m:e>
                <m:r>
                  <w:rPr>
                    <w:rFonts w:ascii="Cambria Math" w:hAnsi="Cambria Math" w:cs="Times New Roman"/>
                    <w:color w:val="000000" w:themeColor="text1"/>
                  </w:rPr>
                  <m:t>Li</m:t>
                </m:r>
              </m:e>
              <m:sup>
                <m:r>
                  <w:rPr>
                    <w:rFonts w:ascii="Cambria Math" w:hAnsi="Cambria Math" w:cs="Times New Roman"/>
                    <w:color w:val="000000" w:themeColor="text1"/>
                  </w:rPr>
                  <m:t>+</m:t>
                </m:r>
              </m:sup>
            </m:sSup>
          </m:sub>
        </m:sSub>
      </m:oMath>
      <w:r w:rsidRPr="002657D1">
        <w:rPr>
          <w:rFonts w:ascii="Times New Roman" w:hAnsi="Times New Roman" w:cs="Times New Roman"/>
          <w:color w:val="000000" w:themeColor="text1"/>
        </w:rPr>
        <w:t xml:space="preserve"> measurement, Li</w:t>
      </w:r>
      <w:r w:rsidRPr="002657D1">
        <w:rPr>
          <w:rFonts w:ascii="Times New Roman" w:hAnsi="Times New Roman" w:cs="Times New Roman"/>
          <w:color w:val="000000" w:themeColor="text1"/>
          <w:vertAlign w:val="subscript"/>
        </w:rPr>
        <w:t>6</w:t>
      </w:r>
      <w:r w:rsidRPr="002657D1">
        <w:rPr>
          <w:rFonts w:ascii="Times New Roman" w:hAnsi="Times New Roman" w:cs="Times New Roman"/>
          <w:color w:val="000000" w:themeColor="text1"/>
        </w:rPr>
        <w:t>PS</w:t>
      </w:r>
      <w:r w:rsidRPr="002657D1">
        <w:rPr>
          <w:rFonts w:ascii="Times New Roman" w:hAnsi="Times New Roman" w:cs="Times New Roman"/>
          <w:color w:val="000000" w:themeColor="text1"/>
          <w:vertAlign w:val="subscript"/>
        </w:rPr>
        <w:t>5</w:t>
      </w:r>
      <w:r w:rsidRPr="002657D1">
        <w:rPr>
          <w:rFonts w:ascii="Times New Roman" w:hAnsi="Times New Roman" w:cs="Times New Roman"/>
          <w:color w:val="000000" w:themeColor="text1"/>
        </w:rPr>
        <w:t xml:space="preserve">Cl </w:t>
      </w:r>
      <w:r w:rsidR="005B548D" w:rsidRPr="002657D1">
        <w:rPr>
          <w:rFonts w:ascii="Times New Roman" w:hAnsi="Times New Roman" w:cs="Times New Roman"/>
          <w:color w:val="000000" w:themeColor="text1"/>
        </w:rPr>
        <w:t xml:space="preserve">(LPSC) </w:t>
      </w:r>
      <w:r w:rsidRPr="002657D1">
        <w:rPr>
          <w:rFonts w:ascii="Times New Roman" w:hAnsi="Times New Roman" w:cs="Times New Roman"/>
          <w:color w:val="000000" w:themeColor="text1"/>
        </w:rPr>
        <w:t>powder (60 mg), Li foil (10 mm), and SS rods acted as electron-blocking electrodes, Li</w:t>
      </w:r>
      <w:r w:rsidRPr="002657D1">
        <w:rPr>
          <w:rFonts w:ascii="Times New Roman" w:hAnsi="Times New Roman" w:cs="Times New Roman"/>
          <w:color w:val="000000" w:themeColor="text1"/>
          <w:vertAlign w:val="superscript"/>
        </w:rPr>
        <w:t>+</w:t>
      </w:r>
      <w:r w:rsidRPr="002657D1">
        <w:rPr>
          <w:rFonts w:ascii="Times New Roman" w:hAnsi="Times New Roman" w:cs="Times New Roman"/>
          <w:color w:val="000000" w:themeColor="text1"/>
        </w:rPr>
        <w:t xml:space="preserve"> sources, and current collectors, respectively. The </w:t>
      </w:r>
      <w:r w:rsidRPr="002657D1">
        <w:rPr>
          <w:rFonts w:ascii="Times New Roman" w:eastAsia="等线" w:hAnsi="Times New Roman" w:cs="Times New Roman"/>
          <w:color w:val="000000" w:themeColor="text1"/>
          <w:kern w:val="2"/>
        </w:rPr>
        <w:t>Nyquist plot</w:t>
      </w:r>
      <w:r w:rsidRPr="002657D1">
        <w:rPr>
          <w:rFonts w:ascii="Times New Roman" w:hAnsi="Times New Roman" w:cs="Times New Roman"/>
          <w:color w:val="000000" w:themeColor="text1"/>
        </w:rPr>
        <w:t xml:space="preserve"> reveals a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σ</m:t>
            </m:r>
          </m:e>
          <m:sub>
            <m:sSup>
              <m:sSupPr>
                <m:ctrlPr>
                  <w:rPr>
                    <w:rFonts w:ascii="Cambria Math" w:hAnsi="Cambria Math" w:cs="Times New Roman"/>
                    <w:i/>
                    <w:color w:val="000000" w:themeColor="text1"/>
                  </w:rPr>
                </m:ctrlPr>
              </m:sSupPr>
              <m:e>
                <m:r>
                  <w:rPr>
                    <w:rFonts w:ascii="Cambria Math" w:hAnsi="Cambria Math" w:cs="Times New Roman"/>
                    <w:color w:val="000000" w:themeColor="text1"/>
                  </w:rPr>
                  <m:t>Li</m:t>
                </m:r>
              </m:e>
              <m:sup>
                <m:r>
                  <w:rPr>
                    <w:rFonts w:ascii="Cambria Math" w:hAnsi="Cambria Math" w:cs="Times New Roman"/>
                    <w:color w:val="000000" w:themeColor="text1"/>
                  </w:rPr>
                  <m:t>+</m:t>
                </m:r>
              </m:sup>
            </m:sSup>
          </m:sub>
        </m:sSub>
      </m:oMath>
      <w:r w:rsidRPr="002657D1">
        <w:rPr>
          <w:rFonts w:ascii="Times New Roman" w:hAnsi="Times New Roman" w:cs="Times New Roman"/>
          <w:color w:val="000000" w:themeColor="text1"/>
        </w:rPr>
        <w:t xml:space="preserve"> </w:t>
      </w:r>
      <w:r w:rsidR="00322E20" w:rsidRPr="002657D1">
        <w:rPr>
          <w:rFonts w:ascii="Times New Roman" w:hAnsi="Times New Roman" w:cs="Times New Roman"/>
          <w:color w:val="000000" w:themeColor="text1"/>
        </w:rPr>
        <w:t xml:space="preserve">value </w:t>
      </w:r>
      <w:r w:rsidRPr="002657D1">
        <w:rPr>
          <w:rFonts w:ascii="Times New Roman" w:hAnsi="Times New Roman" w:cs="Times New Roman"/>
          <w:color w:val="000000" w:themeColor="text1"/>
        </w:rPr>
        <w:t>of 0.16 mS cm</w:t>
      </w:r>
      <w:r w:rsidRPr="002657D1">
        <w:rPr>
          <w:rFonts w:ascii="Times New Roman" w:hAnsi="Times New Roman" w:cs="Times New Roman"/>
          <w:color w:val="000000" w:themeColor="text1"/>
          <w:vertAlign w:val="superscript"/>
        </w:rPr>
        <w:t>−1</w:t>
      </w:r>
      <w:r w:rsidRPr="002657D1">
        <w:rPr>
          <w:rFonts w:ascii="Times New Roman" w:hAnsi="Times New Roman" w:cs="Times New Roman"/>
          <w:color w:val="000000" w:themeColor="text1"/>
        </w:rPr>
        <w:t xml:space="preserve"> for the 60 mg NCM811 cathode (</w:t>
      </w:r>
      <w:r w:rsidRPr="002657D1">
        <w:rPr>
          <w:rFonts w:ascii="Times New Roman" w:eastAsia="等线" w:hAnsi="Times New Roman" w:cs="Times New Roman"/>
          <w:b/>
          <w:bCs/>
          <w:color w:val="000000" w:themeColor="text1"/>
          <w:kern w:val="2"/>
        </w:rPr>
        <w:t xml:space="preserve">Supplementary Fig. </w:t>
      </w:r>
      <w:r w:rsidR="00C942A9" w:rsidRPr="002657D1">
        <w:rPr>
          <w:rFonts w:ascii="Times New Roman" w:eastAsia="等线" w:hAnsi="Times New Roman" w:cs="Times New Roman"/>
          <w:b/>
          <w:bCs/>
          <w:color w:val="000000" w:themeColor="text1"/>
          <w:kern w:val="2"/>
        </w:rPr>
        <w:t>41b</w:t>
      </w:r>
      <w:r w:rsidRPr="002657D1">
        <w:rPr>
          <w:rFonts w:ascii="Times New Roman" w:hAnsi="Times New Roman" w:cs="Times New Roman"/>
          <w:color w:val="000000" w:themeColor="text1"/>
        </w:rPr>
        <w:t>).</w:t>
      </w:r>
      <w:r w:rsidR="00851AF8" w:rsidRPr="002657D1">
        <w:rPr>
          <w:rFonts w:ascii="Times New Roman" w:hAnsi="Times New Roman" w:cs="Times New Roman"/>
          <w:color w:val="000000" w:themeColor="text1"/>
          <w:sz w:val="21"/>
          <w:szCs w:val="21"/>
        </w:rPr>
        <w:br w:type="page"/>
      </w:r>
    </w:p>
    <w:p w14:paraId="01373EE6" w14:textId="65D19D40" w:rsidR="00851AF8" w:rsidRPr="002657D1" w:rsidRDefault="00777658" w:rsidP="0088264E">
      <w:pPr>
        <w:widowControl/>
        <w:spacing w:before="120" w:afterLines="50" w:after="156" w:line="360" w:lineRule="auto"/>
        <w:jc w:val="center"/>
        <w:rPr>
          <w:rFonts w:ascii="Times New Roman" w:hAnsi="Times New Roman" w:cs="Times New Roman"/>
          <w:color w:val="000000" w:themeColor="text1"/>
        </w:rPr>
      </w:pPr>
      <w:r w:rsidRPr="002657D1">
        <w:rPr>
          <w:rFonts w:ascii="Times New Roman" w:hAnsi="Times New Roman" w:cs="Times New Roman"/>
          <w:noProof/>
          <w:color w:val="000000" w:themeColor="text1"/>
        </w:rPr>
        <w:lastRenderedPageBreak/>
        <w:drawing>
          <wp:inline distT="0" distB="0" distL="0" distR="0" wp14:anchorId="3858C87E" wp14:editId="41104CE9">
            <wp:extent cx="4320000" cy="2738358"/>
            <wp:effectExtent l="0" t="0" r="0" b="0"/>
            <wp:docPr id="5432393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239384" name="图片 543239384"/>
                    <pic:cNvPicPr/>
                  </pic:nvPicPr>
                  <pic:blipFill>
                    <a:blip r:embed="rId56"/>
                    <a:stretch>
                      <a:fillRect/>
                    </a:stretch>
                  </pic:blipFill>
                  <pic:spPr>
                    <a:xfrm>
                      <a:off x="0" y="0"/>
                      <a:ext cx="4320000" cy="2738358"/>
                    </a:xfrm>
                    <a:prstGeom prst="rect">
                      <a:avLst/>
                    </a:prstGeom>
                  </pic:spPr>
                </pic:pic>
              </a:graphicData>
            </a:graphic>
          </wp:inline>
        </w:drawing>
      </w:r>
    </w:p>
    <w:p w14:paraId="0A6DD2EE" w14:textId="1563DCAF" w:rsidR="00851AF8" w:rsidRPr="002657D1" w:rsidRDefault="001E681B" w:rsidP="00851AF8">
      <w:pPr>
        <w:pStyle w:val="ac"/>
        <w:spacing w:before="0" w:beforeAutospacing="0" w:after="0" w:afterAutospacing="0" w:line="360" w:lineRule="auto"/>
        <w:jc w:val="both"/>
        <w:rPr>
          <w:rFonts w:ascii="Times New Roman" w:eastAsia="等线" w:hAnsi="Times New Roman" w:cs="Times New Roman"/>
          <w:color w:val="000000" w:themeColor="text1"/>
          <w:kern w:val="2"/>
        </w:rPr>
      </w:pPr>
      <w:r w:rsidRPr="002657D1">
        <w:rPr>
          <w:rFonts w:ascii="Times New Roman" w:eastAsia="等线" w:hAnsi="Times New Roman" w:cs="Times New Roman"/>
          <w:b/>
          <w:bCs/>
          <w:color w:val="000000" w:themeColor="text1"/>
          <w:kern w:val="2"/>
        </w:rPr>
        <w:t xml:space="preserve">Supplementary Fig. </w:t>
      </w:r>
      <w:r w:rsidR="00112663" w:rsidRPr="002657D1">
        <w:rPr>
          <w:rFonts w:ascii="Times New Roman" w:eastAsia="等线" w:hAnsi="Times New Roman" w:cs="Times New Roman" w:hint="eastAsia"/>
          <w:b/>
          <w:bCs/>
          <w:color w:val="000000" w:themeColor="text1"/>
          <w:kern w:val="2"/>
        </w:rPr>
        <w:t>42</w:t>
      </w:r>
      <w:r w:rsidR="00112663"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b/>
          <w:bCs/>
          <w:color w:val="000000" w:themeColor="text1"/>
          <w:kern w:val="2"/>
        </w:rPr>
        <w:t xml:space="preserve">| </w:t>
      </w:r>
      <w:proofErr w:type="spellStart"/>
      <w:proofErr w:type="gramStart"/>
      <w:r w:rsidRPr="002657D1">
        <w:rPr>
          <w:rFonts w:ascii="Times New Roman" w:eastAsia="等线" w:hAnsi="Times New Roman" w:cs="Times New Roman"/>
          <w:b/>
          <w:bCs/>
          <w:color w:val="000000" w:themeColor="text1"/>
          <w:kern w:val="2"/>
        </w:rPr>
        <w:t>a,b</w:t>
      </w:r>
      <w:proofErr w:type="spellEnd"/>
      <w:proofErr w:type="gramEnd"/>
      <w:r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color w:val="000000" w:themeColor="text1"/>
          <w:kern w:val="2"/>
        </w:rPr>
        <w:t>Typical cross-sectional SEM images and elemental analysis of the pristine (</w:t>
      </w:r>
      <w:r w:rsidRPr="002657D1">
        <w:rPr>
          <w:rFonts w:ascii="Times New Roman" w:eastAsia="等线" w:hAnsi="Times New Roman" w:cs="Times New Roman"/>
          <w:b/>
          <w:bCs/>
          <w:color w:val="000000" w:themeColor="text1"/>
          <w:kern w:val="2"/>
        </w:rPr>
        <w:t>a</w:t>
      </w:r>
      <w:r w:rsidRPr="002657D1">
        <w:rPr>
          <w:rFonts w:ascii="Times New Roman" w:eastAsia="等线" w:hAnsi="Times New Roman" w:cs="Times New Roman"/>
          <w:color w:val="000000" w:themeColor="text1"/>
          <w:kern w:val="2"/>
        </w:rPr>
        <w:t>) and cycled (</w:t>
      </w:r>
      <w:r w:rsidRPr="002657D1">
        <w:rPr>
          <w:rFonts w:ascii="Times New Roman" w:eastAsia="等线" w:hAnsi="Times New Roman" w:cs="Times New Roman"/>
          <w:b/>
          <w:bCs/>
          <w:color w:val="000000" w:themeColor="text1"/>
          <w:kern w:val="2"/>
        </w:rPr>
        <w:t>b</w:t>
      </w:r>
      <w:r w:rsidRPr="002657D1">
        <w:rPr>
          <w:rFonts w:ascii="Times New Roman" w:eastAsia="等线" w:hAnsi="Times New Roman" w:cs="Times New Roman"/>
          <w:color w:val="000000" w:themeColor="text1"/>
          <w:kern w:val="2"/>
        </w:rPr>
        <w:t>) NCM811 cathode/LZC-10TF electrolyte interfaces in NCM811/LZC-10TF/Li cells (</w:t>
      </w:r>
      <w:r w:rsidR="009D049B" w:rsidRPr="002657D1">
        <w:rPr>
          <w:rFonts w:ascii="Times New Roman" w:eastAsia="等线" w:hAnsi="Times New Roman" w:cs="Times New Roman" w:hint="eastAsia"/>
          <w:color w:val="000000" w:themeColor="text1"/>
          <w:kern w:val="2"/>
        </w:rPr>
        <w:t>NCM811</w:t>
      </w:r>
      <w:r w:rsidRPr="002657D1">
        <w:rPr>
          <w:rFonts w:ascii="Times New Roman" w:eastAsia="等线" w:hAnsi="Times New Roman" w:cs="Times New Roman"/>
          <w:color w:val="000000" w:themeColor="text1"/>
          <w:kern w:val="2"/>
        </w:rPr>
        <w:t xml:space="preserve"> loading: 8.9 mg cm</w:t>
      </w:r>
      <w:r w:rsidRPr="002657D1">
        <w:rPr>
          <w:rFonts w:ascii="Times New Roman" w:eastAsia="等线" w:hAnsi="Times New Roman" w:cs="Times New Roman"/>
          <w:color w:val="000000" w:themeColor="text1"/>
          <w:kern w:val="24"/>
          <w:vertAlign w:val="superscript"/>
        </w:rPr>
        <w:t>−2</w:t>
      </w:r>
      <w:r w:rsidRPr="002657D1">
        <w:rPr>
          <w:rFonts w:ascii="Times New Roman" w:eastAsia="等线" w:hAnsi="Times New Roman" w:cs="Times New Roman"/>
          <w:color w:val="000000" w:themeColor="text1"/>
          <w:kern w:val="2"/>
        </w:rPr>
        <w:t>).</w:t>
      </w:r>
      <w:r w:rsidR="00851AF8" w:rsidRPr="002657D1">
        <w:rPr>
          <w:rFonts w:ascii="Times New Roman" w:hAnsi="Times New Roman" w:cs="Times New Roman"/>
          <w:color w:val="000000" w:themeColor="text1"/>
        </w:rPr>
        <w:br w:type="page"/>
      </w:r>
    </w:p>
    <w:p w14:paraId="4255CB13" w14:textId="6234625C" w:rsidR="00DB01BB" w:rsidRPr="002657D1" w:rsidRDefault="00B10DDA" w:rsidP="00B37785">
      <w:pPr>
        <w:widowControl/>
        <w:spacing w:before="120" w:afterLines="50" w:after="156" w:line="360" w:lineRule="auto"/>
        <w:rPr>
          <w:rFonts w:ascii="Times New Roman" w:hAnsi="Times New Roman" w:cs="Times New Roman"/>
          <w:b/>
          <w:bCs/>
          <w:color w:val="000000" w:themeColor="text1"/>
          <w:sz w:val="24"/>
          <w:szCs w:val="24"/>
        </w:rPr>
      </w:pPr>
      <w:r w:rsidRPr="002657D1">
        <w:rPr>
          <w:rFonts w:ascii="Times New Roman" w:hAnsi="Times New Roman" w:cs="Times New Roman"/>
          <w:b/>
          <w:bCs/>
          <w:noProof/>
          <w:color w:val="000000" w:themeColor="text1"/>
          <w:sz w:val="24"/>
          <w:szCs w:val="24"/>
        </w:rPr>
        <w:lastRenderedPageBreak/>
        <w:drawing>
          <wp:inline distT="0" distB="0" distL="0" distR="0" wp14:anchorId="46EC505E" wp14:editId="72D3FB7D">
            <wp:extent cx="5274000" cy="1536689"/>
            <wp:effectExtent l="0" t="0" r="0" b="0"/>
            <wp:docPr id="127391275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912751" name="图片 1273912751"/>
                    <pic:cNvPicPr/>
                  </pic:nvPicPr>
                  <pic:blipFill rotWithShape="1">
                    <a:blip r:embed="rId57"/>
                    <a:srcRect l="842" r="4286"/>
                    <a:stretch>
                      <a:fillRect/>
                    </a:stretch>
                  </pic:blipFill>
                  <pic:spPr bwMode="auto">
                    <a:xfrm>
                      <a:off x="0" y="0"/>
                      <a:ext cx="5274000" cy="1536689"/>
                    </a:xfrm>
                    <a:prstGeom prst="rect">
                      <a:avLst/>
                    </a:prstGeom>
                    <a:ln>
                      <a:noFill/>
                    </a:ln>
                    <a:extLst>
                      <a:ext uri="{53640926-AAD7-44D8-BBD7-CCE9431645EC}">
                        <a14:shadowObscured xmlns:a14="http://schemas.microsoft.com/office/drawing/2010/main"/>
                      </a:ext>
                    </a:extLst>
                  </pic:spPr>
                </pic:pic>
              </a:graphicData>
            </a:graphic>
          </wp:inline>
        </w:drawing>
      </w:r>
    </w:p>
    <w:p w14:paraId="6E5E1B95" w14:textId="1E50D571" w:rsidR="00C16F22" w:rsidRPr="002657D1" w:rsidRDefault="001E681B" w:rsidP="00D21E84">
      <w:pPr>
        <w:pStyle w:val="ac"/>
        <w:spacing w:before="0" w:beforeAutospacing="0" w:after="0" w:afterAutospacing="0" w:line="360" w:lineRule="auto"/>
        <w:jc w:val="both"/>
        <w:rPr>
          <w:rFonts w:ascii="Times New Roman" w:hAnsi="Times New Roman" w:cs="Times New Roman"/>
          <w:color w:val="000000" w:themeColor="text1"/>
          <w:sz w:val="21"/>
          <w:szCs w:val="21"/>
        </w:rPr>
      </w:pPr>
      <w:r w:rsidRPr="002657D1">
        <w:rPr>
          <w:rFonts w:ascii="Times New Roman" w:eastAsia="等线" w:hAnsi="Times New Roman" w:cs="Times New Roman"/>
          <w:b/>
          <w:bCs/>
          <w:color w:val="000000" w:themeColor="text1"/>
          <w:kern w:val="2"/>
        </w:rPr>
        <w:t xml:space="preserve">Supplementary Fig. </w:t>
      </w:r>
      <w:r w:rsidR="00112663" w:rsidRPr="002657D1">
        <w:rPr>
          <w:rFonts w:ascii="Times New Roman" w:eastAsia="等线" w:hAnsi="Times New Roman" w:cs="Times New Roman" w:hint="eastAsia"/>
          <w:b/>
          <w:bCs/>
          <w:color w:val="000000" w:themeColor="text1"/>
          <w:kern w:val="2"/>
        </w:rPr>
        <w:t>43</w:t>
      </w:r>
      <w:r w:rsidR="00112663"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b/>
          <w:bCs/>
          <w:color w:val="000000" w:themeColor="text1"/>
          <w:kern w:val="2"/>
        </w:rPr>
        <w:t xml:space="preserve">| </w:t>
      </w:r>
      <w:proofErr w:type="spellStart"/>
      <w:proofErr w:type="gramStart"/>
      <w:r w:rsidRPr="002657D1">
        <w:rPr>
          <w:rFonts w:ascii="Times New Roman" w:eastAsia="等线" w:hAnsi="Times New Roman" w:cs="Times New Roman"/>
          <w:b/>
          <w:bCs/>
          <w:color w:val="000000" w:themeColor="text1"/>
          <w:kern w:val="2"/>
        </w:rPr>
        <w:t>a,b</w:t>
      </w:r>
      <w:proofErr w:type="spellEnd"/>
      <w:proofErr w:type="gramEnd"/>
      <w:r w:rsidRPr="002657D1">
        <w:rPr>
          <w:rFonts w:ascii="Times New Roman" w:eastAsia="等线" w:hAnsi="Times New Roman" w:cs="Times New Roman"/>
          <w:b/>
          <w:bCs/>
          <w:color w:val="000000" w:themeColor="text1"/>
          <w:kern w:val="2"/>
        </w:rPr>
        <w:t xml:space="preserve"> </w:t>
      </w:r>
      <w:r w:rsidR="001E722B" w:rsidRPr="002657D1">
        <w:rPr>
          <w:rFonts w:ascii="Times New Roman" w:eastAsia="等线" w:hAnsi="Times New Roman" w:cs="+mn-cs"/>
          <w:color w:val="000000" w:themeColor="text1"/>
          <w:kern w:val="2"/>
        </w:rPr>
        <w:t>Charge-discharge curves (</w:t>
      </w:r>
      <w:r w:rsidR="001E722B" w:rsidRPr="002657D1">
        <w:rPr>
          <w:rFonts w:ascii="Times New Roman" w:eastAsia="等线" w:hAnsi="Times New Roman" w:cs="+mn-cs"/>
          <w:b/>
          <w:bCs/>
          <w:color w:val="000000" w:themeColor="text1"/>
          <w:kern w:val="2"/>
        </w:rPr>
        <w:t>a</w:t>
      </w:r>
      <w:r w:rsidR="001E722B" w:rsidRPr="002657D1">
        <w:rPr>
          <w:rFonts w:ascii="Times New Roman" w:eastAsia="等线" w:hAnsi="Times New Roman" w:cs="+mn-cs"/>
          <w:color w:val="000000" w:themeColor="text1"/>
          <w:kern w:val="2"/>
        </w:rPr>
        <w:t>) and cycling performances</w:t>
      </w:r>
      <w:r w:rsidRPr="002657D1">
        <w:rPr>
          <w:rFonts w:ascii="Times New Roman" w:eastAsia="等线" w:hAnsi="Times New Roman" w:cs="Times New Roman"/>
          <w:color w:val="000000" w:themeColor="text1"/>
          <w:kern w:val="2"/>
        </w:rPr>
        <w:t xml:space="preserve"> of the high </w:t>
      </w:r>
      <w:r w:rsidR="009D049B" w:rsidRPr="002657D1">
        <w:rPr>
          <w:rFonts w:ascii="Times New Roman" w:eastAsia="等线" w:hAnsi="Times New Roman" w:cs="Times New Roman" w:hint="eastAsia"/>
          <w:color w:val="000000" w:themeColor="text1"/>
          <w:kern w:val="2"/>
        </w:rPr>
        <w:t>NCM811</w:t>
      </w:r>
      <w:r w:rsidRPr="002657D1">
        <w:rPr>
          <w:rFonts w:ascii="Times New Roman" w:eastAsia="等线" w:hAnsi="Times New Roman" w:cs="Times New Roman"/>
          <w:color w:val="000000" w:themeColor="text1"/>
          <w:kern w:val="2"/>
        </w:rPr>
        <w:t xml:space="preserve"> loading (18.7 mg cm</w:t>
      </w:r>
      <w:r w:rsidRPr="002657D1">
        <w:rPr>
          <w:rFonts w:ascii="Times New Roman" w:eastAsia="等线" w:hAnsi="Times New Roman" w:cs="Times New Roman"/>
          <w:color w:val="000000" w:themeColor="text1"/>
          <w:kern w:val="24"/>
          <w:vertAlign w:val="superscript"/>
        </w:rPr>
        <w:t>−2</w:t>
      </w:r>
      <w:r w:rsidRPr="002657D1">
        <w:rPr>
          <w:rFonts w:ascii="Times New Roman" w:eastAsia="等线" w:hAnsi="Times New Roman" w:cs="Times New Roman"/>
          <w:color w:val="000000" w:themeColor="text1"/>
          <w:kern w:val="2"/>
        </w:rPr>
        <w:t>) NCM811/LZC-10TF/Li cell at 0.2 C and 25 ℃.</w:t>
      </w:r>
      <w:r w:rsidR="00C16F22" w:rsidRPr="002657D1">
        <w:rPr>
          <w:rFonts w:ascii="Times New Roman" w:hAnsi="Times New Roman" w:cs="Times New Roman"/>
          <w:color w:val="000000" w:themeColor="text1"/>
          <w:sz w:val="21"/>
          <w:szCs w:val="21"/>
        </w:rPr>
        <w:br w:type="page"/>
      </w:r>
    </w:p>
    <w:p w14:paraId="4B58DEB6" w14:textId="4BEC0D9C" w:rsidR="00993698" w:rsidRPr="002657D1" w:rsidRDefault="00993698" w:rsidP="00993698">
      <w:pPr>
        <w:widowControl/>
        <w:spacing w:before="120" w:afterLines="50" w:after="156"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noProof/>
          <w:color w:val="000000" w:themeColor="text1"/>
          <w:sz w:val="24"/>
          <w:szCs w:val="24"/>
        </w:rPr>
        <w:lastRenderedPageBreak/>
        <w:drawing>
          <wp:inline distT="0" distB="0" distL="0" distR="0" wp14:anchorId="39D2F9BB" wp14:editId="573F9201">
            <wp:extent cx="4320000" cy="2507431"/>
            <wp:effectExtent l="0" t="0" r="0" b="0"/>
            <wp:docPr id="49762878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628782" name="图片 497628782"/>
                    <pic:cNvPicPr/>
                  </pic:nvPicPr>
                  <pic:blipFill>
                    <a:blip r:embed="rId58"/>
                    <a:stretch>
                      <a:fillRect/>
                    </a:stretch>
                  </pic:blipFill>
                  <pic:spPr>
                    <a:xfrm>
                      <a:off x="0" y="0"/>
                      <a:ext cx="4320000" cy="2507431"/>
                    </a:xfrm>
                    <a:prstGeom prst="rect">
                      <a:avLst/>
                    </a:prstGeom>
                  </pic:spPr>
                </pic:pic>
              </a:graphicData>
            </a:graphic>
          </wp:inline>
        </w:drawing>
      </w:r>
    </w:p>
    <w:p w14:paraId="575FE5DC" w14:textId="37B788E1" w:rsidR="00993698" w:rsidRPr="002657D1" w:rsidRDefault="001E681B" w:rsidP="00872C5C">
      <w:pPr>
        <w:pStyle w:val="ac"/>
        <w:spacing w:before="120" w:beforeAutospacing="0" w:afterLines="50" w:after="156" w:afterAutospacing="0" w:line="360" w:lineRule="auto"/>
        <w:jc w:val="both"/>
        <w:rPr>
          <w:rFonts w:ascii="Times New Roman" w:hAnsi="Times New Roman" w:cs="Times New Roman"/>
          <w:color w:val="000000" w:themeColor="text1"/>
          <w:sz w:val="32"/>
          <w:szCs w:val="32"/>
        </w:rPr>
      </w:pPr>
      <w:r w:rsidRPr="002657D1">
        <w:rPr>
          <w:rFonts w:ascii="Times New Roman" w:eastAsia="等线" w:hAnsi="Times New Roman" w:cs="Times New Roman"/>
          <w:b/>
          <w:bCs/>
          <w:color w:val="000000" w:themeColor="text1"/>
          <w:kern w:val="2"/>
        </w:rPr>
        <w:t xml:space="preserve">Supplementary Fig. </w:t>
      </w:r>
      <w:r w:rsidR="00112663" w:rsidRPr="002657D1">
        <w:rPr>
          <w:rFonts w:ascii="Times New Roman" w:eastAsia="等线" w:hAnsi="Times New Roman" w:cs="Times New Roman" w:hint="eastAsia"/>
          <w:b/>
          <w:bCs/>
          <w:color w:val="000000" w:themeColor="text1"/>
          <w:kern w:val="2"/>
        </w:rPr>
        <w:t>44</w:t>
      </w:r>
      <w:r w:rsidR="00112663"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b/>
          <w:bCs/>
          <w:color w:val="000000" w:themeColor="text1"/>
          <w:kern w:val="2"/>
        </w:rPr>
        <w:t xml:space="preserve">| a-c </w:t>
      </w:r>
      <w:r w:rsidRPr="002657D1">
        <w:rPr>
          <w:rFonts w:ascii="Times New Roman" w:eastAsia="等线" w:hAnsi="Times New Roman" w:cs="Times New Roman"/>
          <w:color w:val="000000" w:themeColor="text1"/>
          <w:kern w:val="24"/>
        </w:rPr>
        <w:t>Optical images of the freestanding dry films: NCM811 cathode (</w:t>
      </w:r>
      <w:r w:rsidRPr="002657D1">
        <w:rPr>
          <w:rFonts w:ascii="Times New Roman" w:eastAsia="等线" w:hAnsi="Times New Roman" w:cs="Times New Roman"/>
          <w:b/>
          <w:bCs/>
          <w:color w:val="000000" w:themeColor="text1"/>
          <w:kern w:val="24"/>
        </w:rPr>
        <w:t>a</w:t>
      </w:r>
      <w:r w:rsidRPr="002657D1">
        <w:rPr>
          <w:rFonts w:ascii="Times New Roman" w:eastAsia="等线" w:hAnsi="Times New Roman" w:cs="Times New Roman"/>
          <w:color w:val="000000" w:themeColor="text1"/>
          <w:kern w:val="24"/>
        </w:rPr>
        <w:t>), LZC-10TF electrolyte (</w:t>
      </w:r>
      <w:r w:rsidRPr="002657D1">
        <w:rPr>
          <w:rFonts w:ascii="Times New Roman" w:eastAsia="等线" w:hAnsi="Times New Roman" w:cs="Times New Roman"/>
          <w:b/>
          <w:bCs/>
          <w:color w:val="000000" w:themeColor="text1"/>
          <w:kern w:val="24"/>
        </w:rPr>
        <w:t>b</w:t>
      </w:r>
      <w:r w:rsidRPr="002657D1">
        <w:rPr>
          <w:rFonts w:ascii="Times New Roman" w:eastAsia="等线" w:hAnsi="Times New Roman" w:cs="Times New Roman"/>
          <w:color w:val="000000" w:themeColor="text1"/>
          <w:kern w:val="24"/>
        </w:rPr>
        <w:t>), and Li anode (</w:t>
      </w:r>
      <w:r w:rsidRPr="002657D1">
        <w:rPr>
          <w:rFonts w:ascii="Times New Roman" w:eastAsia="等线" w:hAnsi="Times New Roman" w:cs="Times New Roman"/>
          <w:b/>
          <w:bCs/>
          <w:color w:val="000000" w:themeColor="text1"/>
          <w:kern w:val="24"/>
        </w:rPr>
        <w:t>c</w:t>
      </w:r>
      <w:r w:rsidRPr="002657D1">
        <w:rPr>
          <w:rFonts w:ascii="Times New Roman" w:eastAsia="等线" w:hAnsi="Times New Roman" w:cs="Times New Roman"/>
          <w:color w:val="000000" w:themeColor="text1"/>
          <w:kern w:val="24"/>
        </w:rPr>
        <w:t xml:space="preserve">). </w:t>
      </w:r>
      <w:proofErr w:type="spellStart"/>
      <w:proofErr w:type="gramStart"/>
      <w:r w:rsidRPr="002657D1">
        <w:rPr>
          <w:rFonts w:ascii="Times New Roman" w:eastAsia="等线" w:hAnsi="Times New Roman" w:cs="Times New Roman"/>
          <w:b/>
          <w:bCs/>
          <w:color w:val="000000" w:themeColor="text1"/>
          <w:kern w:val="24"/>
        </w:rPr>
        <w:t>d</w:t>
      </w:r>
      <w:r w:rsidRPr="002657D1">
        <w:rPr>
          <w:rFonts w:ascii="Times New Roman" w:eastAsia="等线" w:hAnsi="Times New Roman" w:cs="Times New Roman"/>
          <w:color w:val="000000" w:themeColor="text1"/>
          <w:kern w:val="24"/>
        </w:rPr>
        <w:t>,</w:t>
      </w:r>
      <w:r w:rsidRPr="002657D1">
        <w:rPr>
          <w:rFonts w:ascii="Times New Roman" w:eastAsia="等线" w:hAnsi="Times New Roman" w:cs="Times New Roman"/>
          <w:b/>
          <w:bCs/>
          <w:color w:val="000000" w:themeColor="text1"/>
          <w:kern w:val="24"/>
        </w:rPr>
        <w:t>e</w:t>
      </w:r>
      <w:proofErr w:type="spellEnd"/>
      <w:proofErr w:type="gramEnd"/>
      <w:r w:rsidRPr="002657D1">
        <w:rPr>
          <w:rFonts w:ascii="Times New Roman" w:eastAsia="等线" w:hAnsi="Times New Roman" w:cs="Times New Roman"/>
          <w:color w:val="000000" w:themeColor="text1"/>
          <w:kern w:val="24"/>
        </w:rPr>
        <w:t xml:space="preserve"> images of the assembled dry-film based pouch cell with the configuration NCM811/LZC-10TF/Li before cycling.</w:t>
      </w:r>
      <w:r w:rsidRPr="002657D1">
        <w:rPr>
          <w:rFonts w:ascii="Times New Roman" w:hAnsi="Times New Roman" w:cs="Times New Roman"/>
          <w:color w:val="000000" w:themeColor="text1"/>
          <w:sz w:val="32"/>
          <w:szCs w:val="32"/>
        </w:rPr>
        <w:t xml:space="preserve"> </w:t>
      </w:r>
      <w:r w:rsidRPr="002657D1">
        <w:rPr>
          <w:rFonts w:ascii="Times New Roman" w:hAnsi="Times New Roman" w:cs="Times New Roman"/>
          <w:color w:val="000000" w:themeColor="text1"/>
        </w:rPr>
        <w:t xml:space="preserve">Specifications for the films are as follows: NCM811 film (mass ~630 mg, ~300 </w:t>
      </w:r>
      <w:proofErr w:type="spellStart"/>
      <w:r w:rsidRPr="002657D1">
        <w:rPr>
          <w:rFonts w:ascii="Times New Roman" w:hAnsi="Times New Roman" w:cs="Times New Roman"/>
          <w:color w:val="000000" w:themeColor="text1"/>
        </w:rPr>
        <w:t>μm</w:t>
      </w:r>
      <w:proofErr w:type="spellEnd"/>
      <w:r w:rsidRPr="002657D1">
        <w:rPr>
          <w:rFonts w:ascii="Times New Roman" w:hAnsi="Times New Roman" w:cs="Times New Roman"/>
          <w:color w:val="000000" w:themeColor="text1"/>
        </w:rPr>
        <w:t xml:space="preserve"> thickness, 4.5 cm × 4.2 cm area), LZC-10TF film (mass ~270 mg, ~100 </w:t>
      </w:r>
      <w:proofErr w:type="spellStart"/>
      <w:r w:rsidRPr="002657D1">
        <w:rPr>
          <w:rFonts w:ascii="Times New Roman" w:hAnsi="Times New Roman" w:cs="Times New Roman"/>
          <w:color w:val="000000" w:themeColor="text1"/>
        </w:rPr>
        <w:t>μm</w:t>
      </w:r>
      <w:proofErr w:type="spellEnd"/>
      <w:r w:rsidRPr="002657D1">
        <w:rPr>
          <w:rFonts w:ascii="Times New Roman" w:hAnsi="Times New Roman" w:cs="Times New Roman"/>
          <w:color w:val="000000" w:themeColor="text1"/>
        </w:rPr>
        <w:t xml:space="preserve"> thickness, 5.0 cm × 5.0 cm area), and Li foil (mass ~85 mg, ~100 </w:t>
      </w:r>
      <w:proofErr w:type="spellStart"/>
      <w:r w:rsidRPr="002657D1">
        <w:rPr>
          <w:rFonts w:ascii="Times New Roman" w:hAnsi="Times New Roman" w:cs="Times New Roman"/>
          <w:color w:val="000000" w:themeColor="text1"/>
        </w:rPr>
        <w:t>μm</w:t>
      </w:r>
      <w:proofErr w:type="spellEnd"/>
      <w:r w:rsidRPr="002657D1">
        <w:rPr>
          <w:rFonts w:ascii="Times New Roman" w:hAnsi="Times New Roman" w:cs="Times New Roman"/>
          <w:color w:val="000000" w:themeColor="text1"/>
        </w:rPr>
        <w:t xml:space="preserve"> thickness, 4.0 cm × 4.0 cm area).</w:t>
      </w:r>
      <w:r w:rsidR="00872C5C" w:rsidRPr="002657D1">
        <w:rPr>
          <w:rFonts w:ascii="Times New Roman" w:hAnsi="Times New Roman" w:cs="Times New Roman"/>
          <w:color w:val="000000" w:themeColor="text1"/>
        </w:rPr>
        <w:t xml:space="preserve"> </w:t>
      </w:r>
      <w:r w:rsidR="00993698" w:rsidRPr="002657D1">
        <w:rPr>
          <w:rFonts w:ascii="Times New Roman" w:hAnsi="Times New Roman" w:cs="Times New Roman"/>
          <w:color w:val="000000" w:themeColor="text1"/>
        </w:rPr>
        <w:br w:type="page"/>
      </w:r>
    </w:p>
    <w:p w14:paraId="0409DFEC" w14:textId="06C89A87" w:rsidR="00993698" w:rsidRPr="002657D1" w:rsidRDefault="00B10DDA" w:rsidP="00B37785">
      <w:pPr>
        <w:widowControl/>
        <w:spacing w:before="120" w:afterLines="50" w:after="156" w:line="360" w:lineRule="auto"/>
        <w:rPr>
          <w:rFonts w:ascii="Times New Roman" w:hAnsi="Times New Roman" w:cs="Times New Roman"/>
          <w:color w:val="000000" w:themeColor="text1"/>
          <w:sz w:val="24"/>
          <w:szCs w:val="24"/>
        </w:rPr>
      </w:pPr>
      <w:r w:rsidRPr="002657D1">
        <w:rPr>
          <w:rFonts w:ascii="Times New Roman" w:hAnsi="Times New Roman" w:cs="Times New Roman"/>
          <w:noProof/>
          <w:color w:val="000000" w:themeColor="text1"/>
          <w:sz w:val="24"/>
          <w:szCs w:val="24"/>
        </w:rPr>
        <w:lastRenderedPageBreak/>
        <w:drawing>
          <wp:inline distT="0" distB="0" distL="0" distR="0" wp14:anchorId="0A2E346D" wp14:editId="299DF95D">
            <wp:extent cx="5274000" cy="2998139"/>
            <wp:effectExtent l="0" t="0" r="0" b="0"/>
            <wp:docPr id="67135510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355105" name="图片 671355105"/>
                    <pic:cNvPicPr/>
                  </pic:nvPicPr>
                  <pic:blipFill rotWithShape="1">
                    <a:blip r:embed="rId59"/>
                    <a:srcRect l="1444" r="5369"/>
                    <a:stretch>
                      <a:fillRect/>
                    </a:stretch>
                  </pic:blipFill>
                  <pic:spPr bwMode="auto">
                    <a:xfrm>
                      <a:off x="0" y="0"/>
                      <a:ext cx="5274000" cy="2998139"/>
                    </a:xfrm>
                    <a:prstGeom prst="rect">
                      <a:avLst/>
                    </a:prstGeom>
                    <a:ln>
                      <a:noFill/>
                    </a:ln>
                    <a:extLst>
                      <a:ext uri="{53640926-AAD7-44D8-BBD7-CCE9431645EC}">
                        <a14:shadowObscured xmlns:a14="http://schemas.microsoft.com/office/drawing/2010/main"/>
                      </a:ext>
                    </a:extLst>
                  </pic:spPr>
                </pic:pic>
              </a:graphicData>
            </a:graphic>
          </wp:inline>
        </w:drawing>
      </w:r>
    </w:p>
    <w:p w14:paraId="13E33BCB" w14:textId="69EE0293" w:rsidR="001E681B" w:rsidRPr="002657D1" w:rsidRDefault="001E681B" w:rsidP="001E681B">
      <w:pPr>
        <w:pStyle w:val="ac"/>
        <w:spacing w:before="120" w:beforeAutospacing="0" w:afterLines="50" w:after="156" w:afterAutospacing="0" w:line="360" w:lineRule="auto"/>
        <w:jc w:val="both"/>
        <w:rPr>
          <w:rFonts w:ascii="Times New Roman" w:eastAsia="等线" w:hAnsi="Times New Roman" w:cs="Times New Roman"/>
          <w:color w:val="000000" w:themeColor="text1"/>
          <w:kern w:val="2"/>
        </w:rPr>
      </w:pPr>
      <w:r w:rsidRPr="002657D1">
        <w:rPr>
          <w:rFonts w:ascii="Times New Roman" w:eastAsia="等线" w:hAnsi="Times New Roman" w:cs="Times New Roman"/>
          <w:b/>
          <w:bCs/>
          <w:color w:val="000000" w:themeColor="text1"/>
          <w:kern w:val="2"/>
        </w:rPr>
        <w:t xml:space="preserve">Supplementary Fig. </w:t>
      </w:r>
      <w:r w:rsidR="00112663" w:rsidRPr="002657D1">
        <w:rPr>
          <w:rFonts w:ascii="Times New Roman" w:eastAsia="等线" w:hAnsi="Times New Roman" w:cs="Times New Roman"/>
          <w:b/>
          <w:bCs/>
          <w:color w:val="000000" w:themeColor="text1"/>
          <w:kern w:val="2"/>
        </w:rPr>
        <w:t>4</w:t>
      </w:r>
      <w:r w:rsidR="00112663" w:rsidRPr="002657D1">
        <w:rPr>
          <w:rFonts w:ascii="Times New Roman" w:eastAsia="等线" w:hAnsi="Times New Roman" w:cs="Times New Roman" w:hint="eastAsia"/>
          <w:b/>
          <w:bCs/>
          <w:color w:val="000000" w:themeColor="text1"/>
          <w:kern w:val="2"/>
        </w:rPr>
        <w:t>5</w:t>
      </w:r>
      <w:r w:rsidR="00112663"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b/>
          <w:bCs/>
          <w:color w:val="000000" w:themeColor="text1"/>
          <w:kern w:val="2"/>
        </w:rPr>
        <w:t>| Humidity tolerance of LZC-</w:t>
      </w:r>
      <w:proofErr w:type="spellStart"/>
      <w:r w:rsidRPr="002657D1">
        <w:rPr>
          <w:rFonts w:ascii="Times New Roman" w:eastAsia="等线" w:hAnsi="Times New Roman" w:cs="Times New Roman"/>
          <w:b/>
          <w:bCs/>
          <w:color w:val="000000" w:themeColor="text1"/>
          <w:kern w:val="2"/>
        </w:rPr>
        <w:t>xTF</w:t>
      </w:r>
      <w:proofErr w:type="spellEnd"/>
      <w:r w:rsidRPr="002657D1">
        <w:rPr>
          <w:rFonts w:ascii="Times New Roman" w:eastAsia="等线" w:hAnsi="Times New Roman" w:cs="Times New Roman"/>
          <w:b/>
          <w:bCs/>
          <w:color w:val="000000" w:themeColor="text1"/>
          <w:kern w:val="2"/>
        </w:rPr>
        <w:t>.</w:t>
      </w:r>
      <w:r w:rsidRPr="002657D1">
        <w:rPr>
          <w:rFonts w:ascii="Times New Roman" w:eastAsia="等线" w:hAnsi="Times New Roman" w:cs="Times New Roman"/>
          <w:color w:val="000000" w:themeColor="text1"/>
          <w:kern w:val="2"/>
        </w:rPr>
        <w:t xml:space="preserve"> </w:t>
      </w:r>
      <w:r w:rsidRPr="002657D1">
        <w:rPr>
          <w:rFonts w:ascii="Times New Roman" w:eastAsia="等线" w:hAnsi="Times New Roman" w:cs="Times New Roman"/>
          <w:b/>
          <w:bCs/>
          <w:color w:val="000000" w:themeColor="text1"/>
          <w:kern w:val="2"/>
        </w:rPr>
        <w:t>a-e</w:t>
      </w:r>
      <w:r w:rsidRPr="002657D1">
        <w:rPr>
          <w:rFonts w:ascii="Times New Roman" w:eastAsia="等线" w:hAnsi="Times New Roman" w:cs="Times New Roman"/>
          <w:color w:val="000000" w:themeColor="text1"/>
          <w:kern w:val="2"/>
        </w:rPr>
        <w:t xml:space="preserve"> XRD patterns of LZC </w:t>
      </w:r>
      <w:r w:rsidRPr="002657D1">
        <w:rPr>
          <w:rFonts w:ascii="Times New Roman" w:eastAsia="等线" w:hAnsi="Times New Roman" w:cs="Times New Roman"/>
          <w:color w:val="000000" w:themeColor="text1"/>
          <w:kern w:val="24"/>
        </w:rPr>
        <w:t>(</w:t>
      </w:r>
      <w:r w:rsidRPr="002657D1">
        <w:rPr>
          <w:rFonts w:ascii="Times New Roman" w:eastAsia="等线" w:hAnsi="Times New Roman" w:cs="Times New Roman"/>
          <w:b/>
          <w:bCs/>
          <w:color w:val="000000" w:themeColor="text1"/>
          <w:kern w:val="24"/>
        </w:rPr>
        <w:t>a</w:t>
      </w:r>
      <w:r w:rsidRPr="002657D1">
        <w:rPr>
          <w:rFonts w:ascii="Times New Roman" w:eastAsia="等线" w:hAnsi="Times New Roman" w:cs="Times New Roman"/>
          <w:color w:val="000000" w:themeColor="text1"/>
          <w:kern w:val="24"/>
        </w:rPr>
        <w:t>)</w:t>
      </w:r>
      <w:r w:rsidRPr="002657D1">
        <w:rPr>
          <w:rFonts w:ascii="Times New Roman" w:eastAsia="等线" w:hAnsi="Times New Roman" w:cs="Times New Roman"/>
          <w:color w:val="000000" w:themeColor="text1"/>
          <w:kern w:val="2"/>
        </w:rPr>
        <w:t xml:space="preserve">, LZC-10TF </w:t>
      </w:r>
      <w:r w:rsidRPr="002657D1">
        <w:rPr>
          <w:rFonts w:ascii="Times New Roman" w:eastAsia="等线" w:hAnsi="Times New Roman" w:cs="Times New Roman"/>
          <w:color w:val="000000" w:themeColor="text1"/>
          <w:kern w:val="24"/>
        </w:rPr>
        <w:t>(</w:t>
      </w:r>
      <w:r w:rsidRPr="002657D1">
        <w:rPr>
          <w:rFonts w:ascii="Times New Roman" w:eastAsia="等线" w:hAnsi="Times New Roman" w:cs="Times New Roman"/>
          <w:b/>
          <w:bCs/>
          <w:color w:val="000000" w:themeColor="text1"/>
          <w:kern w:val="24"/>
        </w:rPr>
        <w:t>b</w:t>
      </w:r>
      <w:r w:rsidRPr="002657D1">
        <w:rPr>
          <w:rFonts w:ascii="Times New Roman" w:eastAsia="等线" w:hAnsi="Times New Roman" w:cs="Times New Roman"/>
          <w:color w:val="000000" w:themeColor="text1"/>
          <w:kern w:val="24"/>
        </w:rPr>
        <w:t>)</w:t>
      </w:r>
      <w:r w:rsidRPr="002657D1">
        <w:rPr>
          <w:rFonts w:ascii="Times New Roman" w:eastAsia="等线" w:hAnsi="Times New Roman" w:cs="Times New Roman"/>
          <w:color w:val="000000" w:themeColor="text1"/>
          <w:kern w:val="2"/>
        </w:rPr>
        <w:t xml:space="preserve">, </w:t>
      </w:r>
      <w:r w:rsidRPr="002657D1">
        <w:rPr>
          <w:rFonts w:ascii="Times New Roman" w:eastAsia="等线" w:hAnsi="Times New Roman" w:cs="Times New Roman"/>
          <w:color w:val="000000" w:themeColor="text1"/>
          <w:kern w:val="24"/>
        </w:rPr>
        <w:t>LZC-20TF</w:t>
      </w:r>
      <w:r w:rsidRPr="002657D1">
        <w:rPr>
          <w:rFonts w:ascii="Times New Roman" w:eastAsia="等线" w:hAnsi="Times New Roman" w:cs="Times New Roman"/>
          <w:color w:val="000000" w:themeColor="text1"/>
          <w:kern w:val="2"/>
        </w:rPr>
        <w:t xml:space="preserve"> </w:t>
      </w:r>
      <w:r w:rsidRPr="002657D1">
        <w:rPr>
          <w:rFonts w:ascii="Times New Roman" w:eastAsia="等线" w:hAnsi="Times New Roman" w:cs="Times New Roman"/>
          <w:color w:val="000000" w:themeColor="text1"/>
          <w:kern w:val="24"/>
        </w:rPr>
        <w:t>(</w:t>
      </w:r>
      <w:r w:rsidRPr="002657D1">
        <w:rPr>
          <w:rFonts w:ascii="Times New Roman" w:eastAsia="等线" w:hAnsi="Times New Roman" w:cs="Times New Roman"/>
          <w:b/>
          <w:bCs/>
          <w:color w:val="000000" w:themeColor="text1"/>
          <w:kern w:val="24"/>
        </w:rPr>
        <w:t>c</w:t>
      </w:r>
      <w:r w:rsidRPr="002657D1">
        <w:rPr>
          <w:rFonts w:ascii="Times New Roman" w:eastAsia="等线" w:hAnsi="Times New Roman" w:cs="Times New Roman"/>
          <w:color w:val="000000" w:themeColor="text1"/>
          <w:kern w:val="24"/>
        </w:rPr>
        <w:t>), LZC-30TF (</w:t>
      </w:r>
      <w:r w:rsidRPr="002657D1">
        <w:rPr>
          <w:rFonts w:ascii="Times New Roman" w:eastAsia="等线" w:hAnsi="Times New Roman" w:cs="Times New Roman"/>
          <w:b/>
          <w:bCs/>
          <w:color w:val="000000" w:themeColor="text1"/>
          <w:kern w:val="24"/>
        </w:rPr>
        <w:t>d</w:t>
      </w:r>
      <w:r w:rsidRPr="002657D1">
        <w:rPr>
          <w:rFonts w:ascii="Times New Roman" w:eastAsia="等线" w:hAnsi="Times New Roman" w:cs="Times New Roman"/>
          <w:color w:val="000000" w:themeColor="text1"/>
          <w:kern w:val="24"/>
        </w:rPr>
        <w:t>), and LZC-40TF</w:t>
      </w:r>
      <w:r w:rsidRPr="002657D1">
        <w:rPr>
          <w:rFonts w:ascii="Times New Roman" w:eastAsia="等线" w:hAnsi="Times New Roman" w:cs="Times New Roman"/>
          <w:color w:val="000000" w:themeColor="text1"/>
          <w:kern w:val="2"/>
        </w:rPr>
        <w:t xml:space="preserve"> </w:t>
      </w:r>
      <w:r w:rsidRPr="002657D1">
        <w:rPr>
          <w:rFonts w:ascii="Times New Roman" w:eastAsia="等线" w:hAnsi="Times New Roman" w:cs="Times New Roman"/>
          <w:color w:val="000000" w:themeColor="text1"/>
          <w:kern w:val="24"/>
        </w:rPr>
        <w:t>(</w:t>
      </w:r>
      <w:r w:rsidRPr="002657D1">
        <w:rPr>
          <w:rFonts w:ascii="Times New Roman" w:eastAsia="等线" w:hAnsi="Times New Roman" w:cs="Times New Roman"/>
          <w:b/>
          <w:bCs/>
          <w:color w:val="000000" w:themeColor="text1"/>
          <w:kern w:val="24"/>
        </w:rPr>
        <w:t>e</w:t>
      </w:r>
      <w:r w:rsidRPr="002657D1">
        <w:rPr>
          <w:rFonts w:ascii="Times New Roman" w:eastAsia="等线" w:hAnsi="Times New Roman" w:cs="Times New Roman"/>
          <w:color w:val="000000" w:themeColor="text1"/>
          <w:kern w:val="24"/>
        </w:rPr>
        <w:t xml:space="preserve">) </w:t>
      </w:r>
      <w:r w:rsidRPr="002657D1">
        <w:rPr>
          <w:rFonts w:ascii="Times New Roman" w:eastAsia="等线" w:hAnsi="Times New Roman" w:cs="Times New Roman"/>
          <w:color w:val="000000" w:themeColor="text1"/>
          <w:kern w:val="2"/>
        </w:rPr>
        <w:t>before and after being exposed to the atmosphere with 5% RH.</w:t>
      </w:r>
    </w:p>
    <w:p w14:paraId="435879A5" w14:textId="0B4F8856" w:rsidR="00993698" w:rsidRPr="002657D1" w:rsidRDefault="001E681B" w:rsidP="006B7159">
      <w:pPr>
        <w:pStyle w:val="ac"/>
        <w:spacing w:before="0" w:beforeAutospacing="0" w:after="0" w:afterAutospacing="0" w:line="360" w:lineRule="auto"/>
        <w:jc w:val="both"/>
        <w:rPr>
          <w:rFonts w:ascii="Times New Roman" w:hAnsi="Times New Roman" w:cs="Times New Roman"/>
          <w:color w:val="000000" w:themeColor="text1"/>
        </w:rPr>
      </w:pPr>
      <w:r w:rsidRPr="002657D1">
        <w:rPr>
          <w:rFonts w:ascii="Times New Roman" w:hAnsi="Times New Roman" w:cs="Times New Roman"/>
          <w:b/>
          <w:bCs/>
          <w:color w:val="000000" w:themeColor="text1"/>
        </w:rPr>
        <w:t>Discussion:</w:t>
      </w:r>
      <w:r w:rsidRPr="002657D1">
        <w:rPr>
          <w:rFonts w:ascii="Times New Roman" w:hAnsi="Times New Roman" w:cs="Times New Roman"/>
          <w:color w:val="000000" w:themeColor="text1"/>
        </w:rPr>
        <w:t xml:space="preserve"> To examine the humidity resistance of LZC-</w:t>
      </w:r>
      <w:proofErr w:type="spellStart"/>
      <w:r w:rsidRPr="002657D1">
        <w:rPr>
          <w:rFonts w:ascii="Times New Roman" w:hAnsi="Times New Roman" w:cs="Times New Roman"/>
          <w:color w:val="000000" w:themeColor="text1"/>
        </w:rPr>
        <w:t>xTF</w:t>
      </w:r>
      <w:proofErr w:type="spellEnd"/>
      <w:r w:rsidRPr="002657D1">
        <w:rPr>
          <w:rFonts w:ascii="Times New Roman" w:hAnsi="Times New Roman" w:cs="Times New Roman"/>
          <w:color w:val="000000" w:themeColor="text1"/>
        </w:rPr>
        <w:t xml:space="preserve"> HSEs (where x = 0, 10, 20, 30, 40), they were exposed to air with 5% RH. After exposure to air with 5% RH for 12 h, the crystal structure of the various LZC-</w:t>
      </w:r>
      <w:proofErr w:type="spellStart"/>
      <w:r w:rsidRPr="002657D1">
        <w:rPr>
          <w:rFonts w:ascii="Times New Roman" w:hAnsi="Times New Roman" w:cs="Times New Roman"/>
          <w:color w:val="000000" w:themeColor="text1"/>
        </w:rPr>
        <w:t>xTF</w:t>
      </w:r>
      <w:proofErr w:type="spellEnd"/>
      <w:r w:rsidRPr="002657D1">
        <w:rPr>
          <w:rFonts w:ascii="Times New Roman" w:hAnsi="Times New Roman" w:cs="Times New Roman"/>
          <w:color w:val="000000" w:themeColor="text1"/>
        </w:rPr>
        <w:t xml:space="preserve"> HSEs all remained unaltered</w:t>
      </w:r>
      <w:r w:rsidRPr="002657D1">
        <w:rPr>
          <w:rFonts w:ascii="Times New Roman" w:hAnsi="Times New Roman" w:cs="Times New Roman"/>
          <w:color w:val="000000" w:themeColor="text1"/>
          <w:sz w:val="32"/>
          <w:szCs w:val="32"/>
        </w:rPr>
        <w:t xml:space="preserve"> </w:t>
      </w:r>
      <w:r w:rsidRPr="002657D1">
        <w:rPr>
          <w:rFonts w:ascii="Times New Roman" w:hAnsi="Times New Roman" w:cs="Times New Roman"/>
          <w:color w:val="000000" w:themeColor="text1"/>
        </w:rPr>
        <w:t>from the XRD patterns (</w:t>
      </w:r>
      <w:r w:rsidRPr="002657D1">
        <w:rPr>
          <w:rFonts w:ascii="Times New Roman" w:eastAsia="等线" w:hAnsi="Times New Roman" w:cs="Times New Roman"/>
          <w:b/>
          <w:bCs/>
          <w:color w:val="000000" w:themeColor="text1"/>
          <w:kern w:val="2"/>
        </w:rPr>
        <w:t xml:space="preserve">Supplementary Fig. </w:t>
      </w:r>
      <w:r w:rsidR="00C942A9" w:rsidRPr="002657D1">
        <w:rPr>
          <w:rFonts w:ascii="Times New Roman" w:eastAsia="等线" w:hAnsi="Times New Roman" w:cs="Times New Roman"/>
          <w:b/>
          <w:bCs/>
          <w:color w:val="000000" w:themeColor="text1"/>
          <w:kern w:val="2"/>
        </w:rPr>
        <w:t>4</w:t>
      </w:r>
      <w:r w:rsidR="00C942A9" w:rsidRPr="002657D1">
        <w:rPr>
          <w:rFonts w:ascii="Times New Roman" w:eastAsia="等线" w:hAnsi="Times New Roman" w:cs="Times New Roman" w:hint="eastAsia"/>
          <w:b/>
          <w:bCs/>
          <w:color w:val="000000" w:themeColor="text1"/>
          <w:kern w:val="2"/>
        </w:rPr>
        <w:t>5</w:t>
      </w:r>
      <w:r w:rsidRPr="002657D1">
        <w:rPr>
          <w:rFonts w:ascii="Times New Roman" w:hAnsi="Times New Roman" w:cs="Times New Roman"/>
          <w:color w:val="000000" w:themeColor="text1"/>
        </w:rPr>
        <w:t>), indicating that the TiF</w:t>
      </w:r>
      <w:r w:rsidRPr="002657D1">
        <w:rPr>
          <w:rFonts w:ascii="Times New Roman" w:hAnsi="Times New Roman" w:cs="Times New Roman"/>
          <w:color w:val="000000" w:themeColor="text1"/>
          <w:vertAlign w:val="subscript"/>
        </w:rPr>
        <w:t>3</w:t>
      </w:r>
      <w:r w:rsidRPr="002657D1">
        <w:rPr>
          <w:rFonts w:ascii="Times New Roman" w:hAnsi="Times New Roman" w:cs="Times New Roman"/>
          <w:color w:val="000000" w:themeColor="text1"/>
        </w:rPr>
        <w:t>-doping strategy effectively retains the humidity resistance intrinsic to LZC.</w:t>
      </w:r>
      <w:r w:rsidR="00993698" w:rsidRPr="002657D1">
        <w:rPr>
          <w:rFonts w:ascii="Times New Roman" w:hAnsi="Times New Roman" w:cs="Times New Roman"/>
          <w:color w:val="000000" w:themeColor="text1"/>
        </w:rPr>
        <w:br w:type="page"/>
      </w:r>
    </w:p>
    <w:p w14:paraId="75AD70C9" w14:textId="3A9A77A3" w:rsidR="006B7159" w:rsidRPr="002657D1" w:rsidRDefault="002C7E72" w:rsidP="00B37785">
      <w:pPr>
        <w:widowControl/>
        <w:rPr>
          <w:rFonts w:ascii="Times New Roman" w:hAnsi="Times New Roman" w:cs="Times New Roman"/>
          <w:color w:val="000000" w:themeColor="text1"/>
          <w:sz w:val="24"/>
          <w:szCs w:val="24"/>
        </w:rPr>
      </w:pPr>
      <w:r w:rsidRPr="002657D1">
        <w:rPr>
          <w:rFonts w:ascii="Times New Roman" w:hAnsi="Times New Roman" w:cs="Times New Roman"/>
          <w:noProof/>
          <w:color w:val="000000" w:themeColor="text1"/>
          <w:sz w:val="24"/>
          <w:szCs w:val="24"/>
        </w:rPr>
        <w:lastRenderedPageBreak/>
        <w:drawing>
          <wp:inline distT="0" distB="0" distL="0" distR="0" wp14:anchorId="52EC6EB9" wp14:editId="3909A7A3">
            <wp:extent cx="5274310" cy="4526280"/>
            <wp:effectExtent l="0" t="0" r="0" b="0"/>
            <wp:docPr id="93374517" name="图片 3"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74517" name="图片 3" descr="图表&#10;&#10;AI 生成的内容可能不正确。"/>
                    <pic:cNvPicPr/>
                  </pic:nvPicPr>
                  <pic:blipFill>
                    <a:blip r:embed="rId60"/>
                    <a:stretch>
                      <a:fillRect/>
                    </a:stretch>
                  </pic:blipFill>
                  <pic:spPr>
                    <a:xfrm>
                      <a:off x="0" y="0"/>
                      <a:ext cx="5274310" cy="4526280"/>
                    </a:xfrm>
                    <a:prstGeom prst="rect">
                      <a:avLst/>
                    </a:prstGeom>
                  </pic:spPr>
                </pic:pic>
              </a:graphicData>
            </a:graphic>
          </wp:inline>
        </w:drawing>
      </w:r>
    </w:p>
    <w:p w14:paraId="6D38444A" w14:textId="6F1759F9" w:rsidR="001E681B" w:rsidRPr="002657D1" w:rsidRDefault="001E681B" w:rsidP="001E681B">
      <w:pPr>
        <w:pStyle w:val="ac"/>
        <w:spacing w:before="120" w:beforeAutospacing="0" w:afterLines="50" w:after="156" w:afterAutospacing="0" w:line="360" w:lineRule="auto"/>
        <w:jc w:val="both"/>
        <w:rPr>
          <w:rFonts w:ascii="Times New Roman" w:eastAsia="等线" w:hAnsi="Times New Roman" w:cs="Times New Roman"/>
          <w:color w:val="000000" w:themeColor="text1"/>
          <w:kern w:val="24"/>
        </w:rPr>
      </w:pPr>
      <w:r w:rsidRPr="002657D1">
        <w:rPr>
          <w:rFonts w:ascii="Times New Roman" w:eastAsia="等线" w:hAnsi="Times New Roman" w:cs="Times New Roman"/>
          <w:b/>
          <w:bCs/>
          <w:color w:val="000000" w:themeColor="text1"/>
          <w:kern w:val="2"/>
        </w:rPr>
        <w:t xml:space="preserve">Supplementary Fig. </w:t>
      </w:r>
      <w:r w:rsidR="00112663" w:rsidRPr="002657D1">
        <w:rPr>
          <w:rFonts w:ascii="Times New Roman" w:eastAsia="等线" w:hAnsi="Times New Roman" w:cs="Times New Roman"/>
          <w:b/>
          <w:bCs/>
          <w:color w:val="000000" w:themeColor="text1"/>
          <w:kern w:val="2"/>
        </w:rPr>
        <w:t>4</w:t>
      </w:r>
      <w:r w:rsidR="00112663" w:rsidRPr="002657D1">
        <w:rPr>
          <w:rFonts w:ascii="Times New Roman" w:eastAsia="等线" w:hAnsi="Times New Roman" w:cs="Times New Roman" w:hint="eastAsia"/>
          <w:b/>
          <w:bCs/>
          <w:color w:val="000000" w:themeColor="text1"/>
          <w:kern w:val="2"/>
        </w:rPr>
        <w:t>6</w:t>
      </w:r>
      <w:r w:rsidR="00112663"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b/>
          <w:bCs/>
          <w:color w:val="000000" w:themeColor="text1"/>
          <w:kern w:val="2"/>
        </w:rPr>
        <w:t>| Humidity tolerance of LZC-10TF.</w:t>
      </w:r>
      <w:r w:rsidRPr="002657D1">
        <w:rPr>
          <w:rFonts w:ascii="Times New Roman" w:eastAsia="等线" w:hAnsi="Times New Roman" w:cs="Times New Roman"/>
          <w:color w:val="000000" w:themeColor="text1"/>
          <w:kern w:val="2"/>
        </w:rPr>
        <w:t xml:space="preserve"> </w:t>
      </w:r>
      <w:proofErr w:type="spellStart"/>
      <w:proofErr w:type="gramStart"/>
      <w:r w:rsidRPr="002657D1">
        <w:rPr>
          <w:rFonts w:ascii="Times New Roman" w:eastAsia="等线" w:hAnsi="Times New Roman" w:cs="Times New Roman"/>
          <w:b/>
          <w:bCs/>
          <w:color w:val="000000" w:themeColor="text1"/>
          <w:kern w:val="2"/>
        </w:rPr>
        <w:t>a</w:t>
      </w:r>
      <w:r w:rsidRPr="002657D1">
        <w:rPr>
          <w:rFonts w:ascii="Times New Roman" w:eastAsia="等线" w:hAnsi="Times New Roman" w:cs="Times New Roman"/>
          <w:color w:val="000000" w:themeColor="text1"/>
          <w:kern w:val="2"/>
        </w:rPr>
        <w:t>,</w:t>
      </w:r>
      <w:r w:rsidRPr="002657D1">
        <w:rPr>
          <w:rFonts w:ascii="Times New Roman" w:eastAsia="等线" w:hAnsi="Times New Roman" w:cs="Times New Roman"/>
          <w:b/>
          <w:bCs/>
          <w:color w:val="000000" w:themeColor="text1"/>
          <w:kern w:val="2"/>
        </w:rPr>
        <w:t>b</w:t>
      </w:r>
      <w:proofErr w:type="spellEnd"/>
      <w:proofErr w:type="gramEnd"/>
      <w:r w:rsidRPr="002657D1">
        <w:rPr>
          <w:rFonts w:ascii="Times New Roman" w:eastAsia="等线" w:hAnsi="Times New Roman" w:cs="Times New Roman"/>
          <w:color w:val="000000" w:themeColor="text1"/>
          <w:kern w:val="2"/>
        </w:rPr>
        <w:t xml:space="preserve"> Zr 3d (</w:t>
      </w:r>
      <w:r w:rsidRPr="002657D1">
        <w:rPr>
          <w:rFonts w:ascii="Times New Roman" w:eastAsia="等线" w:hAnsi="Times New Roman" w:cs="Times New Roman"/>
          <w:b/>
          <w:bCs/>
          <w:color w:val="000000" w:themeColor="text1"/>
          <w:kern w:val="2"/>
        </w:rPr>
        <w:t>a</w:t>
      </w:r>
      <w:r w:rsidRPr="002657D1">
        <w:rPr>
          <w:rFonts w:ascii="Times New Roman" w:eastAsia="等线" w:hAnsi="Times New Roman" w:cs="Times New Roman"/>
          <w:color w:val="000000" w:themeColor="text1"/>
          <w:kern w:val="2"/>
        </w:rPr>
        <w:t>) and Cl 2p (</w:t>
      </w:r>
      <w:r w:rsidRPr="002657D1">
        <w:rPr>
          <w:rFonts w:ascii="Times New Roman" w:eastAsia="等线" w:hAnsi="Times New Roman" w:cs="Times New Roman"/>
          <w:b/>
          <w:bCs/>
          <w:color w:val="000000" w:themeColor="text1"/>
          <w:kern w:val="2"/>
        </w:rPr>
        <w:t>b</w:t>
      </w:r>
      <w:r w:rsidRPr="002657D1">
        <w:rPr>
          <w:rFonts w:ascii="Times New Roman" w:eastAsia="等线" w:hAnsi="Times New Roman" w:cs="Times New Roman"/>
          <w:color w:val="000000" w:themeColor="text1"/>
          <w:kern w:val="2"/>
        </w:rPr>
        <w:t xml:space="preserve">) XPS of the LZC-10TF before and after being exposed to the atmosphere with 5% RH. </w:t>
      </w:r>
      <w:r w:rsidRPr="002657D1">
        <w:rPr>
          <w:rFonts w:ascii="Times New Roman" w:eastAsia="等线" w:hAnsi="Times New Roman" w:cs="Times New Roman"/>
          <w:b/>
          <w:bCs/>
          <w:color w:val="000000" w:themeColor="text1"/>
          <w:kern w:val="2"/>
        </w:rPr>
        <w:t>c-e</w:t>
      </w:r>
      <w:r w:rsidRPr="002657D1">
        <w:rPr>
          <w:rFonts w:ascii="Times New Roman" w:eastAsia="等线" w:hAnsi="Times New Roman" w:cs="Times New Roman"/>
          <w:color w:val="000000" w:themeColor="text1"/>
          <w:kern w:val="2"/>
        </w:rPr>
        <w:t xml:space="preserve"> XANES of Zr K-edge (</w:t>
      </w:r>
      <w:r w:rsidRPr="002657D1">
        <w:rPr>
          <w:rFonts w:ascii="Times New Roman" w:eastAsia="等线" w:hAnsi="Times New Roman" w:cs="Times New Roman"/>
          <w:b/>
          <w:bCs/>
          <w:color w:val="000000" w:themeColor="text1"/>
          <w:kern w:val="2"/>
        </w:rPr>
        <w:t>c</w:t>
      </w:r>
      <w:r w:rsidRPr="002657D1">
        <w:rPr>
          <w:rFonts w:ascii="Times New Roman" w:eastAsia="等线" w:hAnsi="Times New Roman" w:cs="Times New Roman"/>
          <w:color w:val="000000" w:themeColor="text1"/>
          <w:kern w:val="2"/>
        </w:rPr>
        <w:t xml:space="preserve">), </w:t>
      </w:r>
      <w:r w:rsidRPr="002657D1">
        <w:rPr>
          <w:rFonts w:ascii="Times New Roman" w:eastAsia="等线" w:hAnsi="Times New Roman" w:cs="Times New Roman"/>
          <w:color w:val="000000" w:themeColor="text1"/>
          <w:kern w:val="24"/>
        </w:rPr>
        <w:t>Ti K-edge</w:t>
      </w:r>
      <w:r w:rsidRPr="002657D1">
        <w:rPr>
          <w:rFonts w:ascii="Times New Roman" w:eastAsia="等线" w:hAnsi="Times New Roman" w:cs="Times New Roman"/>
          <w:color w:val="000000" w:themeColor="text1"/>
          <w:kern w:val="2"/>
        </w:rPr>
        <w:t xml:space="preserve"> (</w:t>
      </w:r>
      <w:r w:rsidRPr="002657D1">
        <w:rPr>
          <w:rFonts w:ascii="Times New Roman" w:eastAsia="等线" w:hAnsi="Times New Roman" w:cs="Times New Roman"/>
          <w:b/>
          <w:bCs/>
          <w:color w:val="000000" w:themeColor="text1"/>
          <w:kern w:val="2"/>
        </w:rPr>
        <w:t>d</w:t>
      </w:r>
      <w:r w:rsidRPr="002657D1">
        <w:rPr>
          <w:rFonts w:ascii="Times New Roman" w:eastAsia="等线" w:hAnsi="Times New Roman" w:cs="Times New Roman"/>
          <w:color w:val="000000" w:themeColor="text1"/>
          <w:kern w:val="2"/>
        </w:rPr>
        <w:t>)</w:t>
      </w:r>
      <w:r w:rsidRPr="002657D1">
        <w:rPr>
          <w:rFonts w:ascii="Times New Roman" w:eastAsia="等线" w:hAnsi="Times New Roman" w:cs="Times New Roman"/>
          <w:color w:val="000000" w:themeColor="text1"/>
          <w:kern w:val="24"/>
        </w:rPr>
        <w:t xml:space="preserve">, </w:t>
      </w:r>
      <w:r w:rsidRPr="002657D1">
        <w:rPr>
          <w:rFonts w:ascii="Times New Roman" w:eastAsia="等线" w:hAnsi="Times New Roman" w:cs="Times New Roman"/>
          <w:color w:val="000000" w:themeColor="text1"/>
          <w:kern w:val="2"/>
        </w:rPr>
        <w:t>and Cl K-edge (</w:t>
      </w:r>
      <w:r w:rsidRPr="002657D1">
        <w:rPr>
          <w:rFonts w:ascii="Times New Roman" w:eastAsia="等线" w:hAnsi="Times New Roman" w:cs="Times New Roman"/>
          <w:b/>
          <w:bCs/>
          <w:color w:val="000000" w:themeColor="text1"/>
          <w:kern w:val="2"/>
        </w:rPr>
        <w:t>e</w:t>
      </w:r>
      <w:r w:rsidRPr="002657D1">
        <w:rPr>
          <w:rFonts w:ascii="Times New Roman" w:eastAsia="等线" w:hAnsi="Times New Roman" w:cs="Times New Roman"/>
          <w:color w:val="000000" w:themeColor="text1"/>
          <w:kern w:val="2"/>
        </w:rPr>
        <w:t xml:space="preserve">) of the LZC-10TF before and after being exposed to the atmosphere with 5% RH. </w:t>
      </w:r>
      <w:r w:rsidRPr="002657D1">
        <w:rPr>
          <w:rFonts w:ascii="Times New Roman" w:eastAsia="等线" w:hAnsi="Times New Roman" w:cs="Times New Roman"/>
          <w:b/>
          <w:bCs/>
          <w:color w:val="000000" w:themeColor="text1"/>
          <w:kern w:val="2"/>
        </w:rPr>
        <w:t>f</w:t>
      </w:r>
      <w:r w:rsidRPr="002657D1">
        <w:rPr>
          <w:rFonts w:ascii="Times New Roman" w:eastAsia="等线" w:hAnsi="Times New Roman" w:cs="Times New Roman"/>
          <w:color w:val="000000" w:themeColor="text1"/>
          <w:kern w:val="2"/>
        </w:rPr>
        <w:t xml:space="preserve"> Arrhenius plots of the LZC-10TF before and after being exposed to the atmosphere with 5% RH.</w:t>
      </w:r>
      <w:r w:rsidRPr="002657D1">
        <w:rPr>
          <w:rFonts w:ascii="Times New Roman" w:eastAsia="等线" w:hAnsi="Times New Roman" w:cs="Times New Roman"/>
          <w:b/>
          <w:bCs/>
          <w:color w:val="000000" w:themeColor="text1"/>
          <w:kern w:val="2"/>
        </w:rPr>
        <w:t xml:space="preserve"> g </w:t>
      </w:r>
      <w:r w:rsidRPr="002657D1">
        <w:rPr>
          <w:rFonts w:ascii="Times New Roman" w:eastAsia="等线" w:hAnsi="Times New Roman" w:cs="Times New Roman"/>
          <w:color w:val="000000" w:themeColor="text1"/>
          <w:kern w:val="2"/>
        </w:rPr>
        <w:t>Initial v</w:t>
      </w:r>
      <w:r w:rsidRPr="002657D1">
        <w:rPr>
          <w:rFonts w:ascii="Times New Roman" w:eastAsia="等线" w:hAnsi="Times New Roman" w:cs="Times New Roman"/>
          <w:color w:val="000000" w:themeColor="text1"/>
          <w:kern w:val="24"/>
        </w:rPr>
        <w:t xml:space="preserve">oltage profiles of NCM811/LZC-10TF/Li ASSLMBs with LZC-10TF before and after air exposure to 5% RH for 12 h. </w:t>
      </w:r>
      <w:r w:rsidRPr="002657D1">
        <w:rPr>
          <w:rFonts w:ascii="Times New Roman" w:eastAsia="等线" w:hAnsi="Times New Roman" w:cs="Times New Roman"/>
          <w:b/>
          <w:bCs/>
          <w:color w:val="000000" w:themeColor="text1"/>
          <w:kern w:val="24"/>
        </w:rPr>
        <w:t>h</w:t>
      </w:r>
      <w:r w:rsidRPr="002657D1">
        <w:rPr>
          <w:rFonts w:ascii="Times New Roman" w:eastAsia="等线" w:hAnsi="Times New Roman" w:cs="Times New Roman"/>
          <w:color w:val="000000" w:themeColor="text1"/>
          <w:kern w:val="24"/>
        </w:rPr>
        <w:t xml:space="preserve"> Cycling performance of the </w:t>
      </w:r>
      <w:r w:rsidR="002D3E6B" w:rsidRPr="002657D1">
        <w:rPr>
          <w:rFonts w:ascii="Times New Roman" w:eastAsia="等线" w:hAnsi="Times New Roman" w:cs="Times New Roman" w:hint="eastAsia"/>
          <w:color w:val="000000" w:themeColor="text1"/>
          <w:kern w:val="24"/>
        </w:rPr>
        <w:t>NCM811</w:t>
      </w:r>
      <w:r w:rsidRPr="002657D1">
        <w:rPr>
          <w:rFonts w:ascii="Times New Roman" w:eastAsia="等线" w:hAnsi="Times New Roman" w:cs="Times New Roman"/>
          <w:color w:val="000000" w:themeColor="text1"/>
          <w:kern w:val="24"/>
        </w:rPr>
        <w:t>/LZC-10TF/Li battery at 0.1C with LZC-10TF after air exposure (5% RH).</w:t>
      </w:r>
    </w:p>
    <w:p w14:paraId="3938A915" w14:textId="5B2BEACB" w:rsidR="006B7159" w:rsidRPr="002657D1" w:rsidRDefault="001E681B" w:rsidP="00681C8B">
      <w:pPr>
        <w:pStyle w:val="ac"/>
        <w:spacing w:before="0" w:beforeAutospacing="0" w:after="0" w:afterAutospacing="0" w:line="360" w:lineRule="auto"/>
        <w:jc w:val="both"/>
        <w:rPr>
          <w:rFonts w:ascii="Times New Roman" w:hAnsi="Times New Roman" w:cs="Times New Roman"/>
          <w:color w:val="000000" w:themeColor="text1"/>
        </w:rPr>
      </w:pPr>
      <w:r w:rsidRPr="002657D1">
        <w:rPr>
          <w:rFonts w:ascii="Times New Roman" w:hAnsi="Times New Roman" w:cs="Times New Roman"/>
          <w:b/>
          <w:bCs/>
          <w:color w:val="000000" w:themeColor="text1"/>
        </w:rPr>
        <w:t>Discussion:</w:t>
      </w:r>
      <w:r w:rsidRPr="002657D1">
        <w:rPr>
          <w:rFonts w:ascii="Times New Roman" w:hAnsi="Times New Roman" w:cs="Times New Roman"/>
          <w:color w:val="000000" w:themeColor="text1"/>
        </w:rPr>
        <w:t xml:space="preserve"> To ascertain whether the LZC-10TF HSEs can satisfy the processing demands of dry room manufacturing, their resistance toward humid air was further probed.</w:t>
      </w:r>
      <w:r w:rsidRPr="002657D1">
        <w:rPr>
          <w:rFonts w:ascii="Times New Roman" w:hAnsi="Times New Roman" w:cs="Times New Roman"/>
          <w:color w:val="000000" w:themeColor="text1"/>
          <w:sz w:val="32"/>
          <w:szCs w:val="32"/>
        </w:rPr>
        <w:t xml:space="preserve"> </w:t>
      </w:r>
      <w:r w:rsidRPr="002657D1">
        <w:rPr>
          <w:rFonts w:ascii="Times New Roman" w:hAnsi="Times New Roman" w:cs="Times New Roman"/>
          <w:color w:val="000000" w:themeColor="text1"/>
        </w:rPr>
        <w:t>The unaltered crystal structure of LZC-10TF HSEs is also corroborated by XPS analysis, which revealed no noticeable change in the Zr 3d and Cl 2p spectra of the LZC-10TF HSEs after humidity exposure (</w:t>
      </w:r>
      <w:r w:rsidRPr="002657D1">
        <w:rPr>
          <w:rFonts w:ascii="Times New Roman" w:eastAsia="等线" w:hAnsi="Times New Roman" w:cs="Times New Roman"/>
          <w:b/>
          <w:bCs/>
          <w:color w:val="000000" w:themeColor="text1"/>
          <w:kern w:val="2"/>
        </w:rPr>
        <w:t xml:space="preserve">Supplementary Fig. </w:t>
      </w:r>
      <w:r w:rsidR="00C942A9" w:rsidRPr="002657D1">
        <w:rPr>
          <w:rFonts w:ascii="Times New Roman" w:eastAsia="等线" w:hAnsi="Times New Roman" w:cs="Times New Roman"/>
          <w:b/>
          <w:bCs/>
          <w:color w:val="000000" w:themeColor="text1"/>
          <w:kern w:val="2"/>
        </w:rPr>
        <w:t>4</w:t>
      </w:r>
      <w:r w:rsidR="00C942A9" w:rsidRPr="002657D1">
        <w:rPr>
          <w:rFonts w:ascii="Times New Roman" w:eastAsia="等线" w:hAnsi="Times New Roman" w:cs="Times New Roman" w:hint="eastAsia"/>
          <w:b/>
          <w:bCs/>
          <w:color w:val="000000" w:themeColor="text1"/>
          <w:kern w:val="2"/>
        </w:rPr>
        <w:t>6</w:t>
      </w:r>
      <w:r w:rsidR="00C942A9" w:rsidRPr="002657D1">
        <w:rPr>
          <w:rFonts w:ascii="Times New Roman" w:eastAsia="等线" w:hAnsi="Times New Roman" w:cs="Times New Roman"/>
          <w:b/>
          <w:bCs/>
          <w:color w:val="000000" w:themeColor="text1"/>
          <w:kern w:val="2"/>
        </w:rPr>
        <w:t>a</w:t>
      </w:r>
      <w:r w:rsidRPr="002657D1">
        <w:rPr>
          <w:rFonts w:ascii="Times New Roman" w:eastAsia="等线" w:hAnsi="Times New Roman" w:cs="Times New Roman"/>
          <w:b/>
          <w:bCs/>
          <w:color w:val="000000" w:themeColor="text1"/>
          <w:kern w:val="2"/>
        </w:rPr>
        <w:t>-b</w:t>
      </w:r>
      <w:r w:rsidRPr="002657D1">
        <w:rPr>
          <w:rFonts w:ascii="Times New Roman" w:hAnsi="Times New Roman" w:cs="Times New Roman"/>
          <w:color w:val="000000" w:themeColor="text1"/>
        </w:rPr>
        <w:t>).</w:t>
      </w:r>
      <w:r w:rsidRPr="002657D1">
        <w:rPr>
          <w:rFonts w:ascii="Times New Roman" w:hAnsi="Times New Roman" w:cs="Times New Roman"/>
          <w:color w:val="000000" w:themeColor="text1"/>
          <w:sz w:val="32"/>
          <w:szCs w:val="32"/>
        </w:rPr>
        <w:t xml:space="preserve"> </w:t>
      </w:r>
      <w:r w:rsidRPr="002657D1">
        <w:rPr>
          <w:rFonts w:ascii="Times New Roman" w:hAnsi="Times New Roman" w:cs="Times New Roman"/>
          <w:color w:val="000000" w:themeColor="text1"/>
        </w:rPr>
        <w:t xml:space="preserve">Therefore, the change caused by the moisture, if any, is too trivial to be detected by either XRD or </w:t>
      </w:r>
      <w:r w:rsidRPr="002657D1">
        <w:rPr>
          <w:rFonts w:ascii="Times New Roman" w:hAnsi="Times New Roman" w:cs="Times New Roman"/>
          <w:color w:val="000000" w:themeColor="text1"/>
        </w:rPr>
        <w:lastRenderedPageBreak/>
        <w:t xml:space="preserve">XPS. Given this, XANES measurements were further performed to validate the structure stability of LZC-10TF HSEs after exposure to humid air with 5% RH. Encouragingly, neither the peak intensity nor the peak-energy-position shift of Zr </w:t>
      </w:r>
      <w:r w:rsidRPr="002657D1">
        <w:rPr>
          <w:rFonts w:ascii="Times New Roman" w:hAnsi="Times New Roman" w:cs="Times New Roman"/>
          <w:i/>
          <w:iCs/>
          <w:color w:val="000000" w:themeColor="text1"/>
        </w:rPr>
        <w:t>K</w:t>
      </w:r>
      <w:r w:rsidRPr="002657D1">
        <w:rPr>
          <w:rFonts w:ascii="Times New Roman" w:hAnsi="Times New Roman" w:cs="Times New Roman"/>
          <w:color w:val="000000" w:themeColor="text1"/>
        </w:rPr>
        <w:t xml:space="preserve">-edge, Ti </w:t>
      </w:r>
      <w:r w:rsidRPr="002657D1">
        <w:rPr>
          <w:rFonts w:ascii="Times New Roman" w:hAnsi="Times New Roman" w:cs="Times New Roman"/>
          <w:i/>
          <w:iCs/>
          <w:color w:val="000000" w:themeColor="text1"/>
        </w:rPr>
        <w:t>K</w:t>
      </w:r>
      <w:r w:rsidRPr="002657D1">
        <w:rPr>
          <w:rFonts w:ascii="Times New Roman" w:hAnsi="Times New Roman" w:cs="Times New Roman"/>
          <w:color w:val="000000" w:themeColor="text1"/>
        </w:rPr>
        <w:t xml:space="preserve">-edge, and Cl </w:t>
      </w:r>
      <w:r w:rsidRPr="002657D1">
        <w:rPr>
          <w:rFonts w:ascii="Times New Roman" w:hAnsi="Times New Roman" w:cs="Times New Roman"/>
          <w:i/>
          <w:iCs/>
          <w:color w:val="000000" w:themeColor="text1"/>
        </w:rPr>
        <w:t>K</w:t>
      </w:r>
      <w:r w:rsidRPr="002657D1">
        <w:rPr>
          <w:rFonts w:ascii="Times New Roman" w:hAnsi="Times New Roman" w:cs="Times New Roman"/>
          <w:color w:val="000000" w:themeColor="text1"/>
        </w:rPr>
        <w:t>-edge for LZC-10TF HSEs presents any noticeable variation after humidity exposure (</w:t>
      </w:r>
      <w:r w:rsidRPr="002657D1">
        <w:rPr>
          <w:rFonts w:ascii="Times New Roman" w:eastAsia="等线" w:hAnsi="Times New Roman" w:cs="Times New Roman"/>
          <w:b/>
          <w:bCs/>
          <w:color w:val="000000" w:themeColor="text1"/>
          <w:kern w:val="2"/>
        </w:rPr>
        <w:t xml:space="preserve">Supplementary Fig. </w:t>
      </w:r>
      <w:r w:rsidR="00C942A9" w:rsidRPr="002657D1">
        <w:rPr>
          <w:rFonts w:ascii="Times New Roman" w:eastAsia="等线" w:hAnsi="Times New Roman" w:cs="Times New Roman"/>
          <w:b/>
          <w:bCs/>
          <w:color w:val="000000" w:themeColor="text1"/>
          <w:kern w:val="2"/>
        </w:rPr>
        <w:t>4</w:t>
      </w:r>
      <w:r w:rsidR="00C942A9" w:rsidRPr="002657D1">
        <w:rPr>
          <w:rFonts w:ascii="Times New Roman" w:eastAsia="等线" w:hAnsi="Times New Roman" w:cs="Times New Roman" w:hint="eastAsia"/>
          <w:b/>
          <w:bCs/>
          <w:color w:val="000000" w:themeColor="text1"/>
          <w:kern w:val="2"/>
        </w:rPr>
        <w:t>6</w:t>
      </w:r>
      <w:r w:rsidR="00C942A9" w:rsidRPr="002657D1">
        <w:rPr>
          <w:rFonts w:ascii="Times New Roman" w:eastAsia="等线" w:hAnsi="Times New Roman" w:cs="Times New Roman"/>
          <w:b/>
          <w:bCs/>
          <w:color w:val="000000" w:themeColor="text1"/>
          <w:kern w:val="2"/>
        </w:rPr>
        <w:t>c</w:t>
      </w:r>
      <w:r w:rsidRPr="002657D1">
        <w:rPr>
          <w:rFonts w:ascii="Times New Roman" w:eastAsia="等线" w:hAnsi="Times New Roman" w:cs="Times New Roman"/>
          <w:b/>
          <w:bCs/>
          <w:color w:val="000000" w:themeColor="text1"/>
          <w:kern w:val="2"/>
        </w:rPr>
        <w:t>-e</w:t>
      </w:r>
      <w:r w:rsidRPr="002657D1">
        <w:rPr>
          <w:rFonts w:ascii="Times New Roman" w:hAnsi="Times New Roman" w:cs="Times New Roman"/>
          <w:color w:val="000000" w:themeColor="text1"/>
        </w:rPr>
        <w:t>), further demonstrating the superior hydrolysis resistance of the prepared LZC-10TF electrolyte. Consistent with these observations, the prepared LZC-10TF retained its high ionic conductivity (</w:t>
      </w:r>
      <w:r w:rsidR="002C7E72" w:rsidRPr="002657D1">
        <w:rPr>
          <w:rFonts w:ascii="Times New Roman" w:hAnsi="Times New Roman" w:cs="Times New Roman" w:hint="eastAsia"/>
          <w:color w:val="000000" w:themeColor="text1"/>
        </w:rPr>
        <w:t>2.5</w:t>
      </w:r>
      <w:r w:rsidRPr="002657D1">
        <w:rPr>
          <w:rFonts w:ascii="Times New Roman" w:hAnsi="Times New Roman" w:cs="Times New Roman"/>
          <w:color w:val="000000" w:themeColor="text1"/>
        </w:rPr>
        <w:t xml:space="preserve"> </w:t>
      </w:r>
      <w:r w:rsidR="002C7E72" w:rsidRPr="002657D1">
        <w:rPr>
          <w:rFonts w:ascii="Times New Roman" w:hAnsi="Times New Roman" w:cs="Times New Roman" w:hint="eastAsia"/>
          <w:color w:val="000000" w:themeColor="text1"/>
        </w:rPr>
        <w:t>m</w:t>
      </w:r>
      <w:r w:rsidRPr="002657D1">
        <w:rPr>
          <w:rFonts w:ascii="Times New Roman" w:hAnsi="Times New Roman" w:cs="Times New Roman"/>
          <w:color w:val="000000" w:themeColor="text1"/>
        </w:rPr>
        <w:t>S cm⁻</w:t>
      </w:r>
      <w:r w:rsidRPr="002657D1">
        <w:rPr>
          <w:rFonts w:ascii="Times New Roman" w:hAnsi="Times New Roman" w:cs="Times New Roman"/>
          <w:color w:val="000000" w:themeColor="text1"/>
          <w:vertAlign w:val="superscript"/>
        </w:rPr>
        <w:t>1</w:t>
      </w:r>
      <w:r w:rsidRPr="002657D1">
        <w:rPr>
          <w:rFonts w:ascii="Times New Roman" w:hAnsi="Times New Roman" w:cs="Times New Roman"/>
          <w:color w:val="000000" w:themeColor="text1"/>
        </w:rPr>
        <w:t>) even after the exposure (</w:t>
      </w:r>
      <w:r w:rsidRPr="002657D1">
        <w:rPr>
          <w:rFonts w:ascii="Times New Roman" w:eastAsia="等线" w:hAnsi="Times New Roman" w:cs="Times New Roman"/>
          <w:b/>
          <w:bCs/>
          <w:color w:val="000000" w:themeColor="text1"/>
          <w:kern w:val="2"/>
        </w:rPr>
        <w:t xml:space="preserve">Supplementary Fig. </w:t>
      </w:r>
      <w:r w:rsidR="00C942A9" w:rsidRPr="002657D1">
        <w:rPr>
          <w:rFonts w:ascii="Times New Roman" w:eastAsia="等线" w:hAnsi="Times New Roman" w:cs="Times New Roman"/>
          <w:b/>
          <w:bCs/>
          <w:color w:val="000000" w:themeColor="text1"/>
          <w:kern w:val="2"/>
        </w:rPr>
        <w:t>4</w:t>
      </w:r>
      <w:r w:rsidR="00C942A9" w:rsidRPr="002657D1">
        <w:rPr>
          <w:rFonts w:ascii="Times New Roman" w:eastAsia="等线" w:hAnsi="Times New Roman" w:cs="Times New Roman" w:hint="eastAsia"/>
          <w:b/>
          <w:bCs/>
          <w:color w:val="000000" w:themeColor="text1"/>
          <w:kern w:val="2"/>
        </w:rPr>
        <w:t>6</w:t>
      </w:r>
      <w:r w:rsidR="00C942A9" w:rsidRPr="002657D1">
        <w:rPr>
          <w:rFonts w:ascii="Times New Roman" w:eastAsia="等线" w:hAnsi="Times New Roman" w:cs="Times New Roman"/>
          <w:b/>
          <w:bCs/>
          <w:color w:val="000000" w:themeColor="text1"/>
          <w:kern w:val="2"/>
        </w:rPr>
        <w:t>f</w:t>
      </w:r>
      <w:r w:rsidRPr="002657D1">
        <w:rPr>
          <w:rFonts w:ascii="Times New Roman" w:hAnsi="Times New Roman" w:cs="Times New Roman"/>
          <w:color w:val="000000" w:themeColor="text1"/>
        </w:rPr>
        <w:t xml:space="preserve">). Additionally, the performance of ASSLMBs assembled with the air-exposed LZC-10TF was also examined, as depicted in </w:t>
      </w:r>
      <w:r w:rsidRPr="002657D1">
        <w:rPr>
          <w:rFonts w:ascii="Times New Roman" w:eastAsia="等线" w:hAnsi="Times New Roman" w:cs="Times New Roman"/>
          <w:b/>
          <w:bCs/>
          <w:color w:val="000000" w:themeColor="text1"/>
          <w:kern w:val="2"/>
        </w:rPr>
        <w:t xml:space="preserve">Supplementary Fig. </w:t>
      </w:r>
      <w:r w:rsidR="00C942A9" w:rsidRPr="002657D1">
        <w:rPr>
          <w:rFonts w:ascii="Times New Roman" w:eastAsia="等线" w:hAnsi="Times New Roman" w:cs="Times New Roman"/>
          <w:b/>
          <w:bCs/>
          <w:color w:val="000000" w:themeColor="text1"/>
          <w:kern w:val="2"/>
        </w:rPr>
        <w:t>4</w:t>
      </w:r>
      <w:r w:rsidR="00C942A9" w:rsidRPr="002657D1">
        <w:rPr>
          <w:rFonts w:ascii="Times New Roman" w:eastAsia="等线" w:hAnsi="Times New Roman" w:cs="Times New Roman" w:hint="eastAsia"/>
          <w:b/>
          <w:bCs/>
          <w:color w:val="000000" w:themeColor="text1"/>
          <w:kern w:val="2"/>
        </w:rPr>
        <w:t>6</w:t>
      </w:r>
      <w:r w:rsidR="00C942A9" w:rsidRPr="002657D1">
        <w:rPr>
          <w:rFonts w:ascii="Times New Roman" w:eastAsia="等线" w:hAnsi="Times New Roman" w:cs="Times New Roman"/>
          <w:b/>
          <w:bCs/>
          <w:color w:val="000000" w:themeColor="text1"/>
          <w:kern w:val="2"/>
        </w:rPr>
        <w:t>g</w:t>
      </w:r>
      <w:r w:rsidRPr="002657D1">
        <w:rPr>
          <w:rFonts w:ascii="Times New Roman" w:eastAsia="等线" w:hAnsi="Times New Roman" w:cs="Times New Roman"/>
          <w:b/>
          <w:bCs/>
          <w:color w:val="000000" w:themeColor="text1"/>
          <w:kern w:val="2"/>
        </w:rPr>
        <w:t>-h</w:t>
      </w:r>
      <w:r w:rsidRPr="002657D1">
        <w:rPr>
          <w:rFonts w:ascii="Times New Roman" w:hAnsi="Times New Roman" w:cs="Times New Roman"/>
          <w:color w:val="000000" w:themeColor="text1"/>
        </w:rPr>
        <w:t>. The cell delivers negligible loss of capacity compared with that of the electrolyte before exposure and presents remarkable cycling stability over 100 cycles at 0.1 C.</w:t>
      </w:r>
      <w:r w:rsidR="00112663" w:rsidRPr="002657D1">
        <w:rPr>
          <w:rFonts w:hint="eastAsia"/>
          <w:color w:val="000000" w:themeColor="text1"/>
          <w:sz w:val="32"/>
          <w:szCs w:val="32"/>
        </w:rPr>
        <w:t xml:space="preserve"> </w:t>
      </w:r>
      <w:r w:rsidR="00112663" w:rsidRPr="002657D1">
        <w:rPr>
          <w:rFonts w:ascii="Times New Roman" w:hAnsi="Times New Roman" w:cs="Times New Roman" w:hint="eastAsia"/>
          <w:color w:val="000000" w:themeColor="text1"/>
        </w:rPr>
        <w:t>Humidity tolerance and electrochemical performance of LZC-10TF (</w:t>
      </w:r>
      <w:r w:rsidR="00112663" w:rsidRPr="002657D1">
        <w:rPr>
          <w:rFonts w:ascii="Times New Roman" w:hAnsi="Times New Roman" w:cs="Times New Roman"/>
          <w:b/>
          <w:bCs/>
          <w:color w:val="000000" w:themeColor="text1"/>
        </w:rPr>
        <w:t>Supplementary Fig. 4</w:t>
      </w:r>
      <w:r w:rsidR="00C942A9" w:rsidRPr="002657D1">
        <w:rPr>
          <w:rFonts w:ascii="Times New Roman" w:hAnsi="Times New Roman" w:cs="Times New Roman" w:hint="eastAsia"/>
          <w:b/>
          <w:bCs/>
          <w:color w:val="000000" w:themeColor="text1"/>
        </w:rPr>
        <w:t>5</w:t>
      </w:r>
      <w:r w:rsidR="00112663" w:rsidRPr="002657D1">
        <w:rPr>
          <w:rFonts w:ascii="Times New Roman" w:hAnsi="Times New Roman" w:cs="Times New Roman"/>
          <w:b/>
          <w:bCs/>
          <w:color w:val="000000" w:themeColor="text1"/>
        </w:rPr>
        <w:t>-4</w:t>
      </w:r>
      <w:r w:rsidR="00C942A9" w:rsidRPr="002657D1">
        <w:rPr>
          <w:rFonts w:ascii="Times New Roman" w:hAnsi="Times New Roman" w:cs="Times New Roman" w:hint="eastAsia"/>
          <w:b/>
          <w:bCs/>
          <w:color w:val="000000" w:themeColor="text1"/>
        </w:rPr>
        <w:t>6</w:t>
      </w:r>
      <w:r w:rsidR="00112663" w:rsidRPr="002657D1">
        <w:rPr>
          <w:rFonts w:ascii="Times New Roman" w:hAnsi="Times New Roman" w:cs="Times New Roman" w:hint="eastAsia"/>
          <w:color w:val="000000" w:themeColor="text1"/>
        </w:rPr>
        <w:t>) highlight that LZC-10TF possesses great potential for large-scale manufacturing in dry rooms and is attractive for deployment in state-of-the-art, high-energy battery systems.</w:t>
      </w:r>
      <w:r w:rsidR="006B7159" w:rsidRPr="002657D1">
        <w:rPr>
          <w:rFonts w:ascii="Times New Roman" w:hAnsi="Times New Roman" w:cs="Times New Roman"/>
          <w:color w:val="000000" w:themeColor="text1"/>
        </w:rPr>
        <w:br w:type="page"/>
      </w:r>
    </w:p>
    <w:p w14:paraId="37A78D36" w14:textId="2D6AC282" w:rsidR="005759D9" w:rsidRPr="002657D1" w:rsidRDefault="002B49B2" w:rsidP="003C42EB">
      <w:pPr>
        <w:widowControl/>
        <w:jc w:val="center"/>
        <w:rPr>
          <w:rFonts w:ascii="Times New Roman" w:hAnsi="Times New Roman" w:cs="Times New Roman"/>
          <w:b/>
          <w:bCs/>
          <w:color w:val="000000" w:themeColor="text1"/>
          <w:sz w:val="24"/>
          <w:szCs w:val="24"/>
        </w:rPr>
      </w:pPr>
      <w:r w:rsidRPr="002657D1">
        <w:rPr>
          <w:rFonts w:ascii="Times New Roman" w:hAnsi="Times New Roman" w:cs="Times New Roman" w:hint="eastAsia"/>
          <w:b/>
          <w:bCs/>
          <w:noProof/>
          <w:color w:val="000000" w:themeColor="text1"/>
          <w:sz w:val="24"/>
          <w:szCs w:val="24"/>
        </w:rPr>
        <w:lastRenderedPageBreak/>
        <w:drawing>
          <wp:inline distT="0" distB="0" distL="0" distR="0" wp14:anchorId="164D7C89" wp14:editId="15059970">
            <wp:extent cx="5274310" cy="1501775"/>
            <wp:effectExtent l="0" t="0" r="0" b="3175"/>
            <wp:docPr id="3978797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879744" name="图片 397879744"/>
                    <pic:cNvPicPr/>
                  </pic:nvPicPr>
                  <pic:blipFill>
                    <a:blip r:embed="rId61"/>
                    <a:stretch>
                      <a:fillRect/>
                    </a:stretch>
                  </pic:blipFill>
                  <pic:spPr>
                    <a:xfrm>
                      <a:off x="0" y="0"/>
                      <a:ext cx="5274310" cy="1501775"/>
                    </a:xfrm>
                    <a:prstGeom prst="rect">
                      <a:avLst/>
                    </a:prstGeom>
                  </pic:spPr>
                </pic:pic>
              </a:graphicData>
            </a:graphic>
          </wp:inline>
        </w:drawing>
      </w:r>
    </w:p>
    <w:p w14:paraId="19FA3ECD" w14:textId="27736A32" w:rsidR="002022BB" w:rsidRPr="002657D1" w:rsidRDefault="005759D9" w:rsidP="007E0C96">
      <w:pPr>
        <w:pStyle w:val="ac"/>
        <w:spacing w:before="120" w:beforeAutospacing="0" w:afterLines="50" w:after="156" w:afterAutospacing="0" w:line="360" w:lineRule="auto"/>
        <w:jc w:val="both"/>
        <w:rPr>
          <w:rFonts w:ascii="Times New Roman" w:eastAsia="等线" w:hAnsi="Times New Roman" w:cs="Times New Roman"/>
          <w:color w:val="000000" w:themeColor="text1"/>
          <w:kern w:val="2"/>
        </w:rPr>
      </w:pPr>
      <w:bookmarkStart w:id="85" w:name="OLE_LINK30"/>
      <w:r w:rsidRPr="002657D1">
        <w:rPr>
          <w:rFonts w:ascii="Times New Roman" w:eastAsia="等线" w:hAnsi="Times New Roman" w:cs="Times New Roman"/>
          <w:b/>
          <w:bCs/>
          <w:color w:val="000000" w:themeColor="text1"/>
          <w:kern w:val="2"/>
        </w:rPr>
        <w:t xml:space="preserve">Supplementary Fig. </w:t>
      </w:r>
      <w:bookmarkEnd w:id="85"/>
      <w:r w:rsidR="009E5579" w:rsidRPr="002657D1">
        <w:rPr>
          <w:rFonts w:ascii="Times New Roman" w:eastAsia="等线" w:hAnsi="Times New Roman" w:cs="Times New Roman"/>
          <w:b/>
          <w:bCs/>
          <w:color w:val="000000" w:themeColor="text1"/>
          <w:kern w:val="2"/>
        </w:rPr>
        <w:t>4</w:t>
      </w:r>
      <w:r w:rsidR="009E5579" w:rsidRPr="002657D1">
        <w:rPr>
          <w:rFonts w:ascii="Times New Roman" w:eastAsia="等线" w:hAnsi="Times New Roman" w:cs="Times New Roman" w:hint="eastAsia"/>
          <w:b/>
          <w:bCs/>
          <w:color w:val="000000" w:themeColor="text1"/>
          <w:kern w:val="2"/>
        </w:rPr>
        <w:t>7</w:t>
      </w:r>
      <w:r w:rsidR="009E5579" w:rsidRPr="002657D1">
        <w:rPr>
          <w:rFonts w:ascii="Times New Roman" w:eastAsia="等线" w:hAnsi="Times New Roman" w:cs="Times New Roman"/>
          <w:b/>
          <w:bCs/>
          <w:color w:val="000000" w:themeColor="text1"/>
          <w:kern w:val="2"/>
        </w:rPr>
        <w:t xml:space="preserve"> </w:t>
      </w:r>
      <w:r w:rsidRPr="002657D1">
        <w:rPr>
          <w:rFonts w:ascii="Times New Roman" w:eastAsia="等线" w:hAnsi="Times New Roman" w:cs="Times New Roman"/>
          <w:b/>
          <w:bCs/>
          <w:color w:val="000000" w:themeColor="text1"/>
          <w:kern w:val="2"/>
        </w:rPr>
        <w:t xml:space="preserve">| </w:t>
      </w:r>
      <w:bookmarkStart w:id="86" w:name="OLE_LINK58"/>
      <w:r w:rsidR="00EE31CC" w:rsidRPr="002657D1">
        <w:rPr>
          <w:rFonts w:ascii="Times New Roman" w:eastAsia="等线" w:hAnsi="Times New Roman" w:cs="Times New Roman" w:hint="eastAsia"/>
          <w:color w:val="000000" w:themeColor="text1"/>
          <w:kern w:val="2"/>
        </w:rPr>
        <w:t>Comprehensive comparative analysis of cost, ionic conductivity, Li-metal stability (</w:t>
      </w:r>
      <w:r w:rsidR="00566451" w:rsidRPr="002657D1">
        <w:rPr>
          <w:rFonts w:ascii="Times New Roman" w:eastAsia="等线" w:hAnsi="Times New Roman" w:cs="Times New Roman"/>
          <w:color w:val="000000" w:themeColor="text1"/>
          <w:kern w:val="2"/>
        </w:rPr>
        <w:t>evaluated</w:t>
      </w:r>
      <w:r w:rsidR="00EE31CC" w:rsidRPr="002657D1">
        <w:rPr>
          <w:rFonts w:ascii="Times New Roman" w:eastAsia="等线" w:hAnsi="Times New Roman" w:cs="Times New Roman" w:hint="eastAsia"/>
          <w:color w:val="000000" w:themeColor="text1"/>
          <w:kern w:val="2"/>
        </w:rPr>
        <w:t xml:space="preserve"> by cumulative plating capacity) between LZC-10TF and currently typical</w:t>
      </w:r>
      <w:r w:rsidR="00B81BF4" w:rsidRPr="002657D1">
        <w:rPr>
          <w:rFonts w:ascii="Times New Roman" w:eastAsia="等线" w:hAnsi="Times New Roman" w:cs="Times New Roman" w:hint="eastAsia"/>
          <w:color w:val="000000" w:themeColor="text1"/>
          <w:kern w:val="2"/>
        </w:rPr>
        <w:t xml:space="preserve"> HSEs</w:t>
      </w:r>
      <w:r w:rsidR="00EE31CC" w:rsidRPr="002657D1">
        <w:rPr>
          <w:rFonts w:ascii="Times New Roman" w:eastAsia="等线" w:hAnsi="Times New Roman" w:cs="Times New Roman" w:hint="eastAsia"/>
          <w:color w:val="000000" w:themeColor="text1"/>
          <w:kern w:val="2"/>
        </w:rPr>
        <w:t>.</w:t>
      </w:r>
      <w:bookmarkEnd w:id="86"/>
      <w:r w:rsidR="00AD5799" w:rsidRPr="002657D1">
        <w:rPr>
          <w:rFonts w:ascii="Times New Roman" w:eastAsia="等线" w:hAnsi="Times New Roman" w:cs="Times New Roman" w:hint="eastAsia"/>
          <w:color w:val="000000" w:themeColor="text1"/>
          <w:kern w:val="2"/>
        </w:rPr>
        <w:t xml:space="preserve"> </w:t>
      </w:r>
      <w:r w:rsidR="0049287C" w:rsidRPr="002657D1">
        <w:rPr>
          <w:rFonts w:ascii="Times New Roman" w:hAnsi="Times New Roman" w:cs="Times New Roman" w:hint="eastAsia"/>
          <w:color w:val="000000" w:themeColor="text1"/>
        </w:rPr>
        <w:t xml:space="preserve">Material prices were estimated based on elemental prices sourced from </w:t>
      </w:r>
      <w:r w:rsidR="0049287C" w:rsidRPr="002657D1">
        <w:rPr>
          <w:rFonts w:ascii="Times New Roman" w:hAnsi="Times New Roman" w:cs="Times New Roman" w:hint="eastAsia"/>
          <w:b/>
          <w:bCs/>
          <w:color w:val="000000" w:themeColor="text1"/>
        </w:rPr>
        <w:t>S</w:t>
      </w:r>
      <w:r w:rsidR="0049287C" w:rsidRPr="002657D1">
        <w:rPr>
          <w:rFonts w:ascii="Times New Roman" w:hAnsi="Times New Roman" w:cs="Times New Roman"/>
          <w:b/>
          <w:bCs/>
          <w:color w:val="000000" w:themeColor="text1"/>
        </w:rPr>
        <w:t>upplementary Table 10</w:t>
      </w:r>
      <w:r w:rsidR="0049287C" w:rsidRPr="002657D1">
        <w:rPr>
          <w:rFonts w:ascii="Times New Roman" w:hAnsi="Times New Roman" w:cs="Times New Roman" w:hint="eastAsia"/>
          <w:color w:val="000000" w:themeColor="text1"/>
        </w:rPr>
        <w:t xml:space="preserve">. The same </w:t>
      </w:r>
      <w:bookmarkStart w:id="87" w:name="OLE_LINK56"/>
      <w:r w:rsidR="0049287C" w:rsidRPr="002657D1">
        <w:rPr>
          <w:rFonts w:ascii="Times New Roman" w:hAnsi="Times New Roman" w:cs="Times New Roman" w:hint="eastAsia"/>
          <w:color w:val="000000" w:themeColor="text1"/>
        </w:rPr>
        <w:t>methodology</w:t>
      </w:r>
      <w:bookmarkEnd w:id="87"/>
      <w:r w:rsidR="0049287C" w:rsidRPr="002657D1">
        <w:rPr>
          <w:rFonts w:ascii="Times New Roman" w:hAnsi="Times New Roman" w:cs="Times New Roman" w:hint="eastAsia"/>
          <w:color w:val="000000" w:themeColor="text1"/>
        </w:rPr>
        <w:t xml:space="preserve"> was applied to calculate the prices of electrolytes in the </w:t>
      </w:r>
      <w:r w:rsidR="0049287C" w:rsidRPr="002657D1">
        <w:rPr>
          <w:rFonts w:ascii="Times New Roman" w:hAnsi="Times New Roman" w:cs="Times New Roman"/>
          <w:color w:val="000000" w:themeColor="text1"/>
        </w:rPr>
        <w:t>previous</w:t>
      </w:r>
      <w:r w:rsidR="0049287C" w:rsidRPr="002657D1">
        <w:rPr>
          <w:rFonts w:ascii="Times New Roman" w:hAnsi="Times New Roman" w:cs="Times New Roman" w:hint="eastAsia"/>
          <w:color w:val="000000" w:themeColor="text1"/>
        </w:rPr>
        <w:t xml:space="preserve"> studies (</w:t>
      </w:r>
      <w:r w:rsidR="0049287C" w:rsidRPr="002657D1">
        <w:rPr>
          <w:rFonts w:ascii="Times New Roman" w:hAnsi="Times New Roman" w:cs="Times New Roman"/>
          <w:color w:val="000000" w:themeColor="text1"/>
        </w:rPr>
        <w:t xml:space="preserve">Supplementary Fig. </w:t>
      </w:r>
      <w:r w:rsidR="0049287C" w:rsidRPr="002657D1">
        <w:rPr>
          <w:rFonts w:ascii="Times New Roman" w:hAnsi="Times New Roman" w:cs="Times New Roman" w:hint="eastAsia"/>
          <w:color w:val="000000" w:themeColor="text1"/>
        </w:rPr>
        <w:t xml:space="preserve">21 in </w:t>
      </w:r>
      <w:proofErr w:type="spellStart"/>
      <w:r w:rsidR="0049287C" w:rsidRPr="002657D1">
        <w:rPr>
          <w:rFonts w:ascii="Times New Roman" w:hAnsi="Times New Roman" w:cs="Times New Roman" w:hint="eastAsia"/>
          <w:color w:val="000000" w:themeColor="text1"/>
        </w:rPr>
        <w:t>Xueliang</w:t>
      </w:r>
      <w:proofErr w:type="spellEnd"/>
      <w:r w:rsidR="0049287C" w:rsidRPr="002657D1">
        <w:rPr>
          <w:rFonts w:ascii="Times New Roman" w:hAnsi="Times New Roman" w:cs="Times New Roman" w:hint="eastAsia"/>
          <w:color w:val="000000" w:themeColor="text1"/>
        </w:rPr>
        <w:t xml:space="preserve"> Sun</w:t>
      </w:r>
      <w:r w:rsidR="0049287C" w:rsidRPr="002657D1">
        <w:rPr>
          <w:rFonts w:ascii="Times New Roman" w:hAnsi="Times New Roman" w:cs="Times New Roman"/>
          <w:color w:val="000000" w:themeColor="text1"/>
        </w:rPr>
        <w:t>*, et al.,</w:t>
      </w:r>
      <w:r w:rsidR="0049287C" w:rsidRPr="002657D1">
        <w:rPr>
          <w:rFonts w:ascii="Times New Roman" w:hAnsi="Times New Roman" w:cs="Times New Roman" w:hint="eastAsia"/>
          <w:i/>
          <w:iCs/>
          <w:color w:val="000000" w:themeColor="text1"/>
        </w:rPr>
        <w:t xml:space="preserve"> Science</w:t>
      </w:r>
      <w:r w:rsidR="0049287C" w:rsidRPr="002657D1">
        <w:rPr>
          <w:rFonts w:ascii="Times New Roman" w:hAnsi="Times New Roman" w:cs="Times New Roman" w:hint="eastAsia"/>
          <w:color w:val="000000" w:themeColor="text1"/>
        </w:rPr>
        <w:t>, 2025, 390, 199-204). In addition, this method was previously used to calculate the prices of commercial cathode materials, including LiNi</w:t>
      </w:r>
      <w:r w:rsidR="0049287C" w:rsidRPr="002657D1">
        <w:rPr>
          <w:rFonts w:ascii="Times New Roman" w:hAnsi="Times New Roman" w:cs="Times New Roman" w:hint="eastAsia"/>
          <w:color w:val="000000" w:themeColor="text1"/>
          <w:vertAlign w:val="subscript"/>
        </w:rPr>
        <w:t>0.8</w:t>
      </w:r>
      <w:r w:rsidR="0049287C" w:rsidRPr="002657D1">
        <w:rPr>
          <w:rFonts w:ascii="Times New Roman" w:hAnsi="Times New Roman" w:cs="Times New Roman" w:hint="eastAsia"/>
          <w:color w:val="000000" w:themeColor="text1"/>
        </w:rPr>
        <w:t>Co</w:t>
      </w:r>
      <w:r w:rsidR="0049287C" w:rsidRPr="002657D1">
        <w:rPr>
          <w:rFonts w:ascii="Times New Roman" w:hAnsi="Times New Roman" w:cs="Times New Roman" w:hint="eastAsia"/>
          <w:color w:val="000000" w:themeColor="text1"/>
          <w:vertAlign w:val="subscript"/>
        </w:rPr>
        <w:t>0.15</w:t>
      </w:r>
      <w:r w:rsidR="0049287C" w:rsidRPr="002657D1">
        <w:rPr>
          <w:rFonts w:ascii="Times New Roman" w:hAnsi="Times New Roman" w:cs="Times New Roman" w:hint="eastAsia"/>
          <w:color w:val="000000" w:themeColor="text1"/>
        </w:rPr>
        <w:t>Al</w:t>
      </w:r>
      <w:r w:rsidR="0049287C" w:rsidRPr="002657D1">
        <w:rPr>
          <w:rFonts w:ascii="Times New Roman" w:hAnsi="Times New Roman" w:cs="Times New Roman" w:hint="eastAsia"/>
          <w:color w:val="000000" w:themeColor="text1"/>
          <w:vertAlign w:val="subscript"/>
        </w:rPr>
        <w:t>0.05</w:t>
      </w:r>
      <w:r w:rsidR="0049287C" w:rsidRPr="002657D1">
        <w:rPr>
          <w:rFonts w:ascii="Times New Roman" w:hAnsi="Times New Roman" w:cs="Times New Roman" w:hint="eastAsia"/>
          <w:color w:val="000000" w:themeColor="text1"/>
        </w:rPr>
        <w:t>O</w:t>
      </w:r>
      <w:r w:rsidR="0049287C" w:rsidRPr="002657D1">
        <w:rPr>
          <w:rFonts w:ascii="Times New Roman" w:hAnsi="Times New Roman" w:cs="Times New Roman" w:hint="eastAsia"/>
          <w:color w:val="000000" w:themeColor="text1"/>
          <w:vertAlign w:val="subscript"/>
        </w:rPr>
        <w:t>2</w:t>
      </w:r>
      <w:r w:rsidR="0049287C" w:rsidRPr="002657D1">
        <w:rPr>
          <w:rFonts w:ascii="Times New Roman" w:hAnsi="Times New Roman" w:cs="Times New Roman" w:hint="eastAsia"/>
          <w:color w:val="000000" w:themeColor="text1"/>
        </w:rPr>
        <w:t xml:space="preserve"> (NCA: 14.7 </w:t>
      </w:r>
      <w:r w:rsidR="0049287C" w:rsidRPr="002657D1">
        <w:rPr>
          <w:rFonts w:ascii="Times New Roman" w:eastAsia="等线" w:hAnsi="Times New Roman" w:cs="Times New Roman"/>
          <w:color w:val="000000" w:themeColor="text1"/>
        </w:rPr>
        <w:t>$ kg</w:t>
      </w:r>
      <w:r w:rsidR="0049287C" w:rsidRPr="002657D1">
        <w:rPr>
          <w:rFonts w:ascii="Times New Roman" w:hAnsi="Times New Roman" w:cs="Times New Roman"/>
          <w:color w:val="000000" w:themeColor="text1"/>
          <w:lang w:eastAsia="ja-JP"/>
        </w:rPr>
        <w:t>⁻</w:t>
      </w:r>
      <w:r w:rsidR="0049287C" w:rsidRPr="002657D1">
        <w:rPr>
          <w:rFonts w:ascii="Times New Roman" w:hAnsi="Times New Roman" w:cs="Times New Roman"/>
          <w:color w:val="000000" w:themeColor="text1"/>
          <w:vertAlign w:val="superscript"/>
        </w:rPr>
        <w:t>1</w:t>
      </w:r>
      <w:r w:rsidR="0049287C" w:rsidRPr="002657D1">
        <w:rPr>
          <w:rFonts w:ascii="Times New Roman" w:hAnsi="Times New Roman" w:cs="Times New Roman" w:hint="eastAsia"/>
          <w:color w:val="000000" w:themeColor="text1"/>
        </w:rPr>
        <w:t>), LiCoO</w:t>
      </w:r>
      <w:r w:rsidR="0049287C" w:rsidRPr="002657D1">
        <w:rPr>
          <w:rFonts w:ascii="Times New Roman" w:hAnsi="Times New Roman" w:cs="Times New Roman" w:hint="eastAsia"/>
          <w:color w:val="000000" w:themeColor="text1"/>
          <w:vertAlign w:val="subscript"/>
        </w:rPr>
        <w:t>2</w:t>
      </w:r>
      <w:r w:rsidR="0049287C" w:rsidRPr="002657D1">
        <w:rPr>
          <w:rFonts w:ascii="Times New Roman" w:hAnsi="Times New Roman" w:cs="Times New Roman" w:hint="eastAsia"/>
          <w:color w:val="000000" w:themeColor="text1"/>
        </w:rPr>
        <w:t xml:space="preserve"> (LCO: 23.3 </w:t>
      </w:r>
      <w:r w:rsidR="0049287C" w:rsidRPr="002657D1">
        <w:rPr>
          <w:rFonts w:ascii="Times New Roman" w:eastAsia="等线" w:hAnsi="Times New Roman" w:cs="Times New Roman"/>
          <w:color w:val="000000" w:themeColor="text1"/>
        </w:rPr>
        <w:t>$ kg</w:t>
      </w:r>
      <w:r w:rsidR="0049287C" w:rsidRPr="002657D1">
        <w:rPr>
          <w:rFonts w:ascii="Times New Roman" w:hAnsi="Times New Roman" w:cs="Times New Roman"/>
          <w:color w:val="000000" w:themeColor="text1"/>
          <w:lang w:eastAsia="ja-JP"/>
        </w:rPr>
        <w:t>⁻</w:t>
      </w:r>
      <w:r w:rsidR="0049287C" w:rsidRPr="002657D1">
        <w:rPr>
          <w:rFonts w:ascii="Times New Roman" w:hAnsi="Times New Roman" w:cs="Times New Roman"/>
          <w:color w:val="000000" w:themeColor="text1"/>
          <w:vertAlign w:val="superscript"/>
        </w:rPr>
        <w:t>1</w:t>
      </w:r>
      <w:r w:rsidR="0049287C" w:rsidRPr="002657D1">
        <w:rPr>
          <w:rFonts w:ascii="Times New Roman" w:hAnsi="Times New Roman" w:cs="Times New Roman" w:hint="eastAsia"/>
          <w:color w:val="000000" w:themeColor="text1"/>
        </w:rPr>
        <w:t>), and LiNi</w:t>
      </w:r>
      <w:r w:rsidR="0049287C" w:rsidRPr="002657D1">
        <w:rPr>
          <w:rFonts w:ascii="Times New Roman" w:hAnsi="Times New Roman" w:cs="Times New Roman" w:hint="eastAsia"/>
          <w:color w:val="000000" w:themeColor="text1"/>
          <w:vertAlign w:val="subscript"/>
        </w:rPr>
        <w:t>0.6</w:t>
      </w:r>
      <w:r w:rsidR="0049287C" w:rsidRPr="002657D1">
        <w:rPr>
          <w:rFonts w:ascii="Times New Roman" w:hAnsi="Times New Roman" w:cs="Times New Roman" w:hint="eastAsia"/>
          <w:color w:val="000000" w:themeColor="text1"/>
        </w:rPr>
        <w:t>Co</w:t>
      </w:r>
      <w:r w:rsidR="0049287C" w:rsidRPr="002657D1">
        <w:rPr>
          <w:rFonts w:ascii="Times New Roman" w:hAnsi="Times New Roman" w:cs="Times New Roman" w:hint="eastAsia"/>
          <w:color w:val="000000" w:themeColor="text1"/>
          <w:vertAlign w:val="subscript"/>
        </w:rPr>
        <w:t>0.2</w:t>
      </w:r>
      <w:r w:rsidR="0049287C" w:rsidRPr="002657D1">
        <w:rPr>
          <w:rFonts w:ascii="Times New Roman" w:hAnsi="Times New Roman" w:cs="Times New Roman" w:hint="eastAsia"/>
          <w:color w:val="000000" w:themeColor="text1"/>
        </w:rPr>
        <w:t>Mn</w:t>
      </w:r>
      <w:r w:rsidR="0049287C" w:rsidRPr="002657D1">
        <w:rPr>
          <w:rFonts w:ascii="Times New Roman" w:hAnsi="Times New Roman" w:cs="Times New Roman" w:hint="eastAsia"/>
          <w:color w:val="000000" w:themeColor="text1"/>
          <w:vertAlign w:val="subscript"/>
        </w:rPr>
        <w:t>0.2</w:t>
      </w:r>
      <w:r w:rsidR="0049287C" w:rsidRPr="002657D1">
        <w:rPr>
          <w:rFonts w:ascii="Times New Roman" w:hAnsi="Times New Roman" w:cs="Times New Roman" w:hint="eastAsia"/>
          <w:color w:val="000000" w:themeColor="text1"/>
        </w:rPr>
        <w:t>O</w:t>
      </w:r>
      <w:r w:rsidR="0049287C" w:rsidRPr="002657D1">
        <w:rPr>
          <w:rFonts w:ascii="Times New Roman" w:hAnsi="Times New Roman" w:cs="Times New Roman" w:hint="eastAsia"/>
          <w:color w:val="000000" w:themeColor="text1"/>
          <w:vertAlign w:val="subscript"/>
        </w:rPr>
        <w:t>2</w:t>
      </w:r>
      <w:r w:rsidR="0049287C" w:rsidRPr="002657D1">
        <w:rPr>
          <w:rFonts w:ascii="Times New Roman" w:hAnsi="Times New Roman" w:cs="Times New Roman" w:hint="eastAsia"/>
          <w:color w:val="000000" w:themeColor="text1"/>
        </w:rPr>
        <w:t xml:space="preserve"> (NCM622: 13.9 </w:t>
      </w:r>
      <w:r w:rsidR="0049287C" w:rsidRPr="002657D1">
        <w:rPr>
          <w:rFonts w:ascii="Times New Roman" w:eastAsia="等线" w:hAnsi="Times New Roman" w:cs="Times New Roman"/>
          <w:color w:val="000000" w:themeColor="text1"/>
        </w:rPr>
        <w:t>$ kg</w:t>
      </w:r>
      <w:r w:rsidR="0049287C" w:rsidRPr="002657D1">
        <w:rPr>
          <w:rFonts w:ascii="Times New Roman" w:hAnsi="Times New Roman" w:cs="Times New Roman"/>
          <w:color w:val="000000" w:themeColor="text1"/>
          <w:lang w:eastAsia="ja-JP"/>
        </w:rPr>
        <w:t>⁻</w:t>
      </w:r>
      <w:r w:rsidR="0049287C" w:rsidRPr="002657D1">
        <w:rPr>
          <w:rFonts w:ascii="Times New Roman" w:hAnsi="Times New Roman" w:cs="Times New Roman"/>
          <w:color w:val="000000" w:themeColor="text1"/>
          <w:vertAlign w:val="superscript"/>
        </w:rPr>
        <w:t>1</w:t>
      </w:r>
      <w:r w:rsidR="0049287C" w:rsidRPr="002657D1">
        <w:rPr>
          <w:rFonts w:ascii="Times New Roman" w:hAnsi="Times New Roman" w:cs="Times New Roman" w:hint="eastAsia"/>
          <w:color w:val="000000" w:themeColor="text1"/>
        </w:rPr>
        <w:t>). These estimated values are highly consistent with those reported in the literature</w:t>
      </w:r>
      <w:r w:rsidR="0049287C" w:rsidRPr="002657D1">
        <w:rPr>
          <w:rFonts w:ascii="Times New Roman" w:hAnsi="Times New Roman" w:cs="Times New Roman"/>
          <w:color w:val="000000" w:themeColor="text1"/>
        </w:rPr>
        <w:fldChar w:fldCharType="begin"/>
      </w:r>
      <w:r w:rsidR="0049287C" w:rsidRPr="002657D1">
        <w:rPr>
          <w:rFonts w:ascii="Times New Roman" w:hAnsi="Times New Roman" w:cs="Times New Roman"/>
          <w:color w:val="000000" w:themeColor="text1"/>
        </w:rPr>
        <w:instrText xml:space="preserve"> ADDIN ZOTERO_ITEM CSL_CITATION {"citationID":"a282f50bgdb","properties":{"formattedCitation":"\\super 6\\nosupersub{}","plainCitation":"6","noteIndex":0},"citationItems":[{"id":3250,"uris":["http://zotero.org/users/local/J1vikkcu/items/MJFWEKXU"],"itemData":{"id":3250,"type":"article-journal","abstract":"This review analyzes 53 publications that forecast battery cost and provides transparency on methodological and technological details.\n          , \n            \n              Rechargeable batteries are a key enabler to achieve the long-term goal to transform into a climate-neutral society. Within this transformation, battery costs are considered a main hurdle for the market-breakthrough of battery-powered products. Encouraged by this, various studies have been published attempting to predict these, providing the reader with a large variance of forecasted cost that results from differences in methods and assumptions. This article creates transparency by identifying 53 studies that provide time- or technology-specific estimates for lithium-ion, solid-state, lithium–sulfur and lithium–air batteries among more than 2000 publications related to the topic. The relevant publications are clustered according to four applied forecasting methods: technological learning, literature-based projections, expert elicitations and bottom-up modeling. Method-specific assumptions are analyzed in-depth and discussed with regard to their results and empirical evidence. Further, 360 extracted data points are consolidated into a pack cost trajectory that reaches a level of about 70 $ (kW h)\n              −1\n              in 2050, and 12 technology-specific forecast ranges that indicate cost potentials below 90 $ (kW h)\n              −1\n              for advanced lithium-ion and 70 $ (kW h)\n              −1\n              for lithium-metal based batteries. Recent studies show confidence in a more stable battery market growth and, across time-specific studies, authors expect continuously declining battery cost regardless of raw material price developments. However, large cost uncertainties are found to exist on technological and chronological levels that will remain a key challenge for researchers and industry in the future.","container-title":"Energy &amp; Environmental Science","DOI":"10.1039/D1EE01530C","ISSN":"1754-5692, 1754-5706","issue":"9","journalAbbreviation":"Energy Environ. Sci.","language":"en","page":"4712-4739","source":"DOI.org (Crossref)","title":"Battery cost forecasting: a review of methods and results with an outlook to 2050","title-short":"Battery cost forecasting","volume":"14","author":[{"family":"Mauler","given":"Lukas"},{"family":"Duffner","given":"Fabian"},{"family":"Zeier","given":"Wolfgang G."},{"family":"Leker","given":"Jens"}],"issued":{"date-parts":[["2021"]]}}}],"schema":"https://github.com/citation-style-language/schema/raw/master/csl-citation.json"} </w:instrText>
      </w:r>
      <w:r w:rsidR="0049287C" w:rsidRPr="002657D1">
        <w:rPr>
          <w:rFonts w:ascii="Times New Roman" w:hAnsi="Times New Roman" w:cs="Times New Roman"/>
          <w:color w:val="000000" w:themeColor="text1"/>
        </w:rPr>
        <w:fldChar w:fldCharType="separate"/>
      </w:r>
      <w:r w:rsidR="0049287C" w:rsidRPr="002657D1">
        <w:rPr>
          <w:rFonts w:ascii="Times New Roman" w:hAnsi="Times New Roman" w:cs="Times New Roman"/>
          <w:color w:val="000000" w:themeColor="text1"/>
          <w:vertAlign w:val="superscript"/>
        </w:rPr>
        <w:t>6</w:t>
      </w:r>
      <w:r w:rsidR="0049287C" w:rsidRPr="002657D1">
        <w:rPr>
          <w:rFonts w:ascii="Times New Roman" w:hAnsi="Times New Roman" w:cs="Times New Roman"/>
          <w:color w:val="000000" w:themeColor="text1"/>
        </w:rPr>
        <w:fldChar w:fldCharType="end"/>
      </w:r>
      <w:r w:rsidR="0049287C" w:rsidRPr="002657D1">
        <w:rPr>
          <w:rFonts w:ascii="Times New Roman" w:hAnsi="Times New Roman" w:cs="Times New Roman" w:hint="eastAsia"/>
          <w:color w:val="000000" w:themeColor="text1"/>
        </w:rPr>
        <w:t>, further confirming the reliability of our cost analysis.</w:t>
      </w:r>
    </w:p>
    <w:p w14:paraId="294D17E2" w14:textId="3D28BDFC" w:rsidR="005759D9" w:rsidRPr="002657D1" w:rsidRDefault="001104F7" w:rsidP="007E0C96">
      <w:pPr>
        <w:pStyle w:val="ac"/>
        <w:spacing w:before="120" w:beforeAutospacing="0" w:afterLines="50" w:after="156" w:afterAutospacing="0" w:line="360" w:lineRule="auto"/>
        <w:jc w:val="both"/>
        <w:rPr>
          <w:rFonts w:ascii="Times New Roman" w:hAnsi="Times New Roman" w:cs="Times New Roman"/>
          <w:color w:val="000000" w:themeColor="text1"/>
        </w:rPr>
      </w:pPr>
      <w:r w:rsidRPr="002657D1">
        <w:rPr>
          <w:rFonts w:ascii="Times New Roman" w:hAnsi="Times New Roman" w:cs="Times New Roman"/>
          <w:b/>
          <w:bCs/>
          <w:color w:val="000000" w:themeColor="text1"/>
        </w:rPr>
        <w:t xml:space="preserve">Discussion: </w:t>
      </w:r>
      <w:r w:rsidR="00DF1FC8" w:rsidRPr="002657D1">
        <w:rPr>
          <w:rFonts w:ascii="Times New Roman" w:hAnsi="Times New Roman" w:cs="Times New Roman"/>
          <w:color w:val="000000" w:themeColor="text1"/>
        </w:rPr>
        <w:t xml:space="preserve">To rigorously evaluate the practical viability of the LZC-10TF electrolyte, we conducted a comprehensive comparative analysis focusing on material cost, ionic conductivity, and Li-metal stability (evaluated by cumulative plating capacity), as summarized in </w:t>
      </w:r>
      <w:r w:rsidR="00DF1FC8" w:rsidRPr="002657D1">
        <w:rPr>
          <w:rFonts w:ascii="Times New Roman" w:hAnsi="Times New Roman" w:cs="Times New Roman"/>
          <w:b/>
          <w:bCs/>
          <w:color w:val="000000" w:themeColor="text1"/>
        </w:rPr>
        <w:t xml:space="preserve">Supplementary Fig. </w:t>
      </w:r>
      <w:r w:rsidR="00C942A9" w:rsidRPr="002657D1">
        <w:rPr>
          <w:rFonts w:ascii="Times New Roman" w:hAnsi="Times New Roman" w:cs="Times New Roman"/>
          <w:b/>
          <w:bCs/>
          <w:color w:val="000000" w:themeColor="text1"/>
        </w:rPr>
        <w:t>4</w:t>
      </w:r>
      <w:r w:rsidR="00C942A9" w:rsidRPr="002657D1">
        <w:rPr>
          <w:rFonts w:ascii="Times New Roman" w:hAnsi="Times New Roman" w:cs="Times New Roman" w:hint="eastAsia"/>
          <w:b/>
          <w:bCs/>
          <w:color w:val="000000" w:themeColor="text1"/>
        </w:rPr>
        <w:t>7</w:t>
      </w:r>
      <w:r w:rsidR="00C942A9" w:rsidRPr="002657D1">
        <w:rPr>
          <w:rFonts w:ascii="Times New Roman" w:hAnsi="Times New Roman" w:cs="Times New Roman"/>
          <w:b/>
          <w:bCs/>
          <w:color w:val="000000" w:themeColor="text1"/>
        </w:rPr>
        <w:t xml:space="preserve"> </w:t>
      </w:r>
      <w:r w:rsidR="00DF1FC8" w:rsidRPr="002657D1">
        <w:rPr>
          <w:rFonts w:ascii="Times New Roman" w:hAnsi="Times New Roman" w:cs="Times New Roman"/>
          <w:b/>
          <w:bCs/>
          <w:color w:val="000000" w:themeColor="text1"/>
        </w:rPr>
        <w:t>and</w:t>
      </w:r>
      <w:r w:rsidR="00DF1FC8" w:rsidRPr="002657D1">
        <w:rPr>
          <w:rFonts w:ascii="Times New Roman" w:hAnsi="Times New Roman" w:cs="Times New Roman"/>
          <w:color w:val="000000" w:themeColor="text1"/>
        </w:rPr>
        <w:t xml:space="preserve"> </w:t>
      </w:r>
      <w:r w:rsidR="00DF1FC8" w:rsidRPr="002657D1">
        <w:rPr>
          <w:rFonts w:ascii="Times New Roman" w:hAnsi="Times New Roman" w:cs="Times New Roman"/>
          <w:b/>
          <w:bCs/>
          <w:color w:val="000000" w:themeColor="text1"/>
        </w:rPr>
        <w:t>Table 1</w:t>
      </w:r>
      <w:r w:rsidR="00CA080A" w:rsidRPr="002657D1">
        <w:rPr>
          <w:rFonts w:ascii="Times New Roman" w:hAnsi="Times New Roman" w:cs="Times New Roman" w:hint="eastAsia"/>
          <w:b/>
          <w:bCs/>
          <w:color w:val="000000" w:themeColor="text1"/>
        </w:rPr>
        <w:t>1</w:t>
      </w:r>
      <w:r w:rsidR="00DF1FC8" w:rsidRPr="002657D1">
        <w:rPr>
          <w:rFonts w:ascii="Times New Roman" w:hAnsi="Times New Roman" w:cs="Times New Roman"/>
          <w:color w:val="000000" w:themeColor="text1"/>
        </w:rPr>
        <w:t>.</w:t>
      </w:r>
      <w:bookmarkStart w:id="88" w:name="_Hlk215586036"/>
      <w:r w:rsidR="00DF1FC8" w:rsidRPr="002657D1">
        <w:rPr>
          <w:rFonts w:ascii="Times New Roman" w:hAnsi="Times New Roman" w:cs="Times New Roman"/>
          <w:color w:val="000000" w:themeColor="text1"/>
        </w:rPr>
        <w:t xml:space="preserve"> </w:t>
      </w:r>
      <w:r w:rsidR="00DF1FC8" w:rsidRPr="002657D1">
        <w:rPr>
          <w:rFonts w:ascii="Times New Roman" w:hAnsi="Times New Roman" w:cs="Times New Roman"/>
          <w:b/>
          <w:bCs/>
          <w:color w:val="000000" w:themeColor="text1"/>
        </w:rPr>
        <w:t>Regarding economic competitiveness</w:t>
      </w:r>
      <w:bookmarkEnd w:id="88"/>
      <w:r w:rsidR="00CA080A" w:rsidRPr="002657D1">
        <w:rPr>
          <w:rFonts w:ascii="Times New Roman" w:hAnsi="Times New Roman" w:cs="Times New Roman" w:hint="eastAsia"/>
          <w:color w:val="000000" w:themeColor="text1"/>
        </w:rPr>
        <w:t>,</w:t>
      </w:r>
      <w:r w:rsidR="00CA080A" w:rsidRPr="002657D1">
        <w:rPr>
          <w:rFonts w:ascii="Times New Roman" w:hAnsi="Times New Roman" w:cs="Times New Roman"/>
          <w:color w:val="000000" w:themeColor="text1"/>
        </w:rPr>
        <w:t xml:space="preserve"> </w:t>
      </w:r>
      <w:r w:rsidR="00DF1FC8" w:rsidRPr="002657D1">
        <w:rPr>
          <w:rFonts w:ascii="Times New Roman" w:hAnsi="Times New Roman" w:cs="Times New Roman"/>
          <w:color w:val="000000" w:themeColor="text1"/>
        </w:rPr>
        <w:t>the raw material cost of LZC-10TF is estimated at approximately $8.67 kg⁻</w:t>
      </w:r>
      <w:r w:rsidR="00DF1FC8" w:rsidRPr="002657D1">
        <w:rPr>
          <w:rFonts w:ascii="Times New Roman" w:hAnsi="Times New Roman" w:cs="Times New Roman"/>
          <w:color w:val="000000" w:themeColor="text1"/>
          <w:vertAlign w:val="superscript"/>
        </w:rPr>
        <w:t>1</w:t>
      </w:r>
      <w:r w:rsidR="00DF1FC8" w:rsidRPr="002657D1">
        <w:rPr>
          <w:rFonts w:ascii="Times New Roman" w:hAnsi="Times New Roman" w:cs="Times New Roman"/>
          <w:color w:val="000000" w:themeColor="text1"/>
        </w:rPr>
        <w:t>, which is on par with Li</w:t>
      </w:r>
      <w:r w:rsidR="00DF1FC8" w:rsidRPr="002657D1">
        <w:rPr>
          <w:rFonts w:ascii="Times New Roman" w:hAnsi="Times New Roman" w:cs="Times New Roman"/>
          <w:color w:val="000000" w:themeColor="text1"/>
          <w:vertAlign w:val="subscript"/>
        </w:rPr>
        <w:t>2</w:t>
      </w:r>
      <w:r w:rsidR="00DF1FC8" w:rsidRPr="002657D1">
        <w:rPr>
          <w:rFonts w:ascii="Times New Roman" w:hAnsi="Times New Roman" w:cs="Times New Roman"/>
          <w:color w:val="000000" w:themeColor="text1"/>
        </w:rPr>
        <w:t>ZrCl</w:t>
      </w:r>
      <w:r w:rsidR="00DF1FC8" w:rsidRPr="002657D1">
        <w:rPr>
          <w:rFonts w:ascii="Times New Roman" w:hAnsi="Times New Roman" w:cs="Times New Roman"/>
          <w:color w:val="000000" w:themeColor="text1"/>
          <w:vertAlign w:val="subscript"/>
        </w:rPr>
        <w:t>6</w:t>
      </w:r>
      <w:r w:rsidR="00DF1FC8" w:rsidRPr="002657D1">
        <w:rPr>
          <w:rFonts w:ascii="Times New Roman" w:hAnsi="Times New Roman" w:cs="Times New Roman"/>
          <w:color w:val="000000" w:themeColor="text1"/>
        </w:rPr>
        <w:t xml:space="preserve"> ($8.68 kg⁻</w:t>
      </w:r>
      <w:r w:rsidR="00DF1FC8" w:rsidRPr="002657D1">
        <w:rPr>
          <w:rFonts w:ascii="Times New Roman" w:hAnsi="Times New Roman" w:cs="Times New Roman"/>
          <w:color w:val="000000" w:themeColor="text1"/>
          <w:vertAlign w:val="superscript"/>
        </w:rPr>
        <w:t>1</w:t>
      </w:r>
      <w:r w:rsidR="00DF1FC8" w:rsidRPr="002657D1">
        <w:rPr>
          <w:rFonts w:ascii="Times New Roman" w:hAnsi="Times New Roman" w:cs="Times New Roman"/>
          <w:color w:val="000000" w:themeColor="text1"/>
        </w:rPr>
        <w:t xml:space="preserve">)—widely recognized as one of the most cost-effective HSEs. This </w:t>
      </w:r>
      <w:r w:rsidR="00CA080A" w:rsidRPr="002657D1">
        <w:rPr>
          <w:rFonts w:ascii="Times New Roman" w:hAnsi="Times New Roman" w:cs="Times New Roman" w:hint="eastAsia"/>
          <w:color w:val="000000" w:themeColor="text1"/>
        </w:rPr>
        <w:t>cost</w:t>
      </w:r>
      <w:r w:rsidR="00DF1FC8" w:rsidRPr="002657D1">
        <w:rPr>
          <w:rFonts w:ascii="Times New Roman" w:hAnsi="Times New Roman" w:cs="Times New Roman"/>
          <w:color w:val="000000" w:themeColor="text1"/>
        </w:rPr>
        <w:t xml:space="preserve"> </w:t>
      </w:r>
      <w:r w:rsidR="00CA080A" w:rsidRPr="002657D1">
        <w:rPr>
          <w:rFonts w:ascii="Times New Roman" w:hAnsi="Times New Roman" w:cs="Times New Roman" w:hint="eastAsia"/>
          <w:color w:val="000000" w:themeColor="text1"/>
        </w:rPr>
        <w:t>provides</w:t>
      </w:r>
      <w:r w:rsidR="00CA080A" w:rsidRPr="002657D1">
        <w:rPr>
          <w:rFonts w:ascii="Times New Roman" w:hAnsi="Times New Roman" w:cs="Times New Roman"/>
          <w:color w:val="000000" w:themeColor="text1"/>
        </w:rPr>
        <w:t xml:space="preserve"> </w:t>
      </w:r>
      <w:r w:rsidR="00DF1FC8" w:rsidRPr="002657D1">
        <w:rPr>
          <w:rFonts w:ascii="Times New Roman" w:hAnsi="Times New Roman" w:cs="Times New Roman"/>
          <w:color w:val="000000" w:themeColor="text1"/>
        </w:rPr>
        <w:t>a significant economic advantage over</w:t>
      </w:r>
      <w:r w:rsidR="00CA080A" w:rsidRPr="002657D1">
        <w:rPr>
          <w:rFonts w:ascii="Times New Roman" w:hAnsi="Times New Roman" w:cs="Times New Roman" w:hint="eastAsia"/>
          <w:color w:val="000000" w:themeColor="text1"/>
        </w:rPr>
        <w:t xml:space="preserve"> typical In-, Ta-, Sc-</w:t>
      </w:r>
      <w:r w:rsidR="00DF1FC8" w:rsidRPr="002657D1">
        <w:rPr>
          <w:rFonts w:ascii="Times New Roman" w:hAnsi="Times New Roman" w:cs="Times New Roman"/>
          <w:color w:val="000000" w:themeColor="text1"/>
        </w:rPr>
        <w:t xml:space="preserve">based halides, such as the </w:t>
      </w:r>
      <w:r w:rsidR="00CA080A" w:rsidRPr="002657D1">
        <w:rPr>
          <w:rFonts w:ascii="Times New Roman" w:hAnsi="Times New Roman" w:cs="Times New Roman" w:hint="eastAsia"/>
          <w:color w:val="000000" w:themeColor="text1"/>
        </w:rPr>
        <w:t>Li</w:t>
      </w:r>
      <w:r w:rsidR="00CA080A" w:rsidRPr="002657D1">
        <w:rPr>
          <w:rFonts w:ascii="Times New Roman" w:hAnsi="Times New Roman" w:cs="Times New Roman"/>
          <w:color w:val="000000" w:themeColor="text1"/>
          <w:vertAlign w:val="subscript"/>
        </w:rPr>
        <w:t>3</w:t>
      </w:r>
      <w:r w:rsidR="00CA080A" w:rsidRPr="002657D1">
        <w:rPr>
          <w:rFonts w:ascii="Times New Roman" w:hAnsi="Times New Roman" w:cs="Times New Roman" w:hint="eastAsia"/>
          <w:color w:val="000000" w:themeColor="text1"/>
        </w:rPr>
        <w:t>InCl</w:t>
      </w:r>
      <w:r w:rsidR="00CA080A" w:rsidRPr="002657D1">
        <w:rPr>
          <w:rFonts w:ascii="Times New Roman" w:hAnsi="Times New Roman" w:cs="Times New Roman"/>
          <w:color w:val="000000" w:themeColor="text1"/>
          <w:vertAlign w:val="subscript"/>
        </w:rPr>
        <w:t>6</w:t>
      </w:r>
      <w:r w:rsidR="00CA080A" w:rsidRPr="002657D1">
        <w:rPr>
          <w:rFonts w:ascii="Times New Roman" w:hAnsi="Times New Roman" w:cs="Times New Roman" w:hint="eastAsia"/>
          <w:color w:val="000000" w:themeColor="text1"/>
        </w:rPr>
        <w:t xml:space="preserve"> (</w:t>
      </w:r>
      <w:r w:rsidR="00CA080A" w:rsidRPr="002657D1">
        <w:rPr>
          <w:rFonts w:ascii="Times New Roman" w:hAnsi="Times New Roman" w:cs="Times New Roman"/>
          <w:color w:val="000000" w:themeColor="text1"/>
        </w:rPr>
        <w:t>$</w:t>
      </w:r>
      <w:r w:rsidR="00CA080A" w:rsidRPr="002657D1">
        <w:rPr>
          <w:rFonts w:ascii="Times New Roman" w:hAnsi="Times New Roman" w:cs="Times New Roman" w:hint="eastAsia"/>
          <w:color w:val="000000" w:themeColor="text1"/>
        </w:rPr>
        <w:t>106.44</w:t>
      </w:r>
      <w:r w:rsidR="00CA080A" w:rsidRPr="002657D1">
        <w:rPr>
          <w:rFonts w:ascii="Times New Roman" w:hAnsi="Times New Roman" w:cs="Times New Roman"/>
          <w:color w:val="000000" w:themeColor="text1"/>
        </w:rPr>
        <w:t xml:space="preserve"> kg⁻</w:t>
      </w:r>
      <w:r w:rsidR="00CA080A" w:rsidRPr="002657D1">
        <w:rPr>
          <w:rFonts w:ascii="Times New Roman" w:hAnsi="Times New Roman" w:cs="Times New Roman"/>
          <w:color w:val="000000" w:themeColor="text1"/>
          <w:vertAlign w:val="superscript"/>
        </w:rPr>
        <w:t>1</w:t>
      </w:r>
      <w:r w:rsidR="00CA080A" w:rsidRPr="002657D1">
        <w:rPr>
          <w:rFonts w:ascii="Times New Roman" w:hAnsi="Times New Roman" w:cs="Times New Roman" w:hint="eastAsia"/>
          <w:color w:val="000000" w:themeColor="text1"/>
        </w:rPr>
        <w:t xml:space="preserve">), </w:t>
      </w:r>
      <w:r w:rsidR="00CA080A" w:rsidRPr="002657D1">
        <w:rPr>
          <w:rFonts w:ascii="Times New Roman" w:hAnsi="Times New Roman" w:cs="Times New Roman"/>
          <w:color w:val="000000" w:themeColor="text1"/>
        </w:rPr>
        <w:t>Li</w:t>
      </w:r>
      <w:r w:rsidR="00CA080A" w:rsidRPr="002657D1">
        <w:rPr>
          <w:rFonts w:ascii="Times New Roman" w:hAnsi="Times New Roman" w:cs="Times New Roman"/>
          <w:color w:val="000000" w:themeColor="text1"/>
          <w:vertAlign w:val="subscript"/>
        </w:rPr>
        <w:t>3</w:t>
      </w:r>
      <w:r w:rsidR="00CA080A" w:rsidRPr="002657D1">
        <w:rPr>
          <w:rFonts w:ascii="Times New Roman" w:hAnsi="Times New Roman" w:cs="Times New Roman"/>
          <w:color w:val="000000" w:themeColor="text1"/>
        </w:rPr>
        <w:t>Ta</w:t>
      </w:r>
      <w:r w:rsidR="00CA080A" w:rsidRPr="002657D1">
        <w:rPr>
          <w:rFonts w:ascii="Times New Roman" w:hAnsi="Times New Roman" w:cs="Times New Roman"/>
          <w:color w:val="000000" w:themeColor="text1"/>
          <w:vertAlign w:val="subscript"/>
        </w:rPr>
        <w:t>3</w:t>
      </w:r>
      <w:r w:rsidR="00CA080A" w:rsidRPr="002657D1">
        <w:rPr>
          <w:rFonts w:ascii="Times New Roman" w:hAnsi="Times New Roman" w:cs="Times New Roman"/>
          <w:color w:val="000000" w:themeColor="text1"/>
        </w:rPr>
        <w:t>O</w:t>
      </w:r>
      <w:r w:rsidR="00CA080A" w:rsidRPr="002657D1">
        <w:rPr>
          <w:rFonts w:ascii="Times New Roman" w:hAnsi="Times New Roman" w:cs="Times New Roman"/>
          <w:color w:val="000000" w:themeColor="text1"/>
          <w:vertAlign w:val="subscript"/>
        </w:rPr>
        <w:t>4</w:t>
      </w:r>
      <w:r w:rsidR="00CA080A" w:rsidRPr="002657D1">
        <w:rPr>
          <w:rFonts w:ascii="Times New Roman" w:hAnsi="Times New Roman" w:cs="Times New Roman"/>
          <w:color w:val="000000" w:themeColor="text1"/>
        </w:rPr>
        <w:t>Cl</w:t>
      </w:r>
      <w:r w:rsidR="00CA080A" w:rsidRPr="002657D1">
        <w:rPr>
          <w:rFonts w:ascii="Times New Roman" w:hAnsi="Times New Roman" w:cs="Times New Roman"/>
          <w:color w:val="000000" w:themeColor="text1"/>
          <w:vertAlign w:val="subscript"/>
        </w:rPr>
        <w:t>10</w:t>
      </w:r>
      <w:r w:rsidR="00CA080A" w:rsidRPr="002657D1">
        <w:rPr>
          <w:rFonts w:ascii="Times New Roman" w:hAnsi="Times New Roman" w:cs="Times New Roman"/>
          <w:color w:val="000000" w:themeColor="text1"/>
        </w:rPr>
        <w:t xml:space="preserve"> ($179.74 kg⁻</w:t>
      </w:r>
      <w:r w:rsidR="00CA080A" w:rsidRPr="002657D1">
        <w:rPr>
          <w:rFonts w:ascii="Times New Roman" w:hAnsi="Times New Roman" w:cs="Times New Roman"/>
          <w:color w:val="000000" w:themeColor="text1"/>
          <w:vertAlign w:val="superscript"/>
        </w:rPr>
        <w:t>1</w:t>
      </w:r>
      <w:r w:rsidR="00CA080A" w:rsidRPr="002657D1">
        <w:rPr>
          <w:rFonts w:ascii="Times New Roman" w:hAnsi="Times New Roman" w:cs="Times New Roman"/>
          <w:color w:val="000000" w:themeColor="text1"/>
        </w:rPr>
        <w:t>)</w:t>
      </w:r>
      <w:r w:rsidR="00CA080A" w:rsidRPr="002657D1">
        <w:rPr>
          <w:rFonts w:ascii="Times New Roman" w:hAnsi="Times New Roman" w:cs="Times New Roman" w:hint="eastAsia"/>
          <w:color w:val="000000" w:themeColor="text1"/>
        </w:rPr>
        <w:t>, and Li</w:t>
      </w:r>
      <w:r w:rsidR="00CA080A" w:rsidRPr="002657D1">
        <w:rPr>
          <w:rFonts w:ascii="Times New Roman" w:hAnsi="Times New Roman" w:cs="Times New Roman" w:hint="eastAsia"/>
          <w:color w:val="000000" w:themeColor="text1"/>
          <w:vertAlign w:val="subscript"/>
        </w:rPr>
        <w:t>3</w:t>
      </w:r>
      <w:r w:rsidR="00CA080A" w:rsidRPr="002657D1">
        <w:rPr>
          <w:rFonts w:ascii="Times New Roman" w:hAnsi="Times New Roman" w:cs="Times New Roman" w:hint="eastAsia"/>
          <w:color w:val="000000" w:themeColor="text1"/>
        </w:rPr>
        <w:t>ScCl</w:t>
      </w:r>
      <w:r w:rsidR="00CA080A" w:rsidRPr="002657D1">
        <w:rPr>
          <w:rFonts w:ascii="Times New Roman" w:hAnsi="Times New Roman" w:cs="Times New Roman" w:hint="eastAsia"/>
          <w:color w:val="000000" w:themeColor="text1"/>
          <w:vertAlign w:val="subscript"/>
        </w:rPr>
        <w:t>6</w:t>
      </w:r>
      <w:r w:rsidR="00CA080A" w:rsidRPr="002657D1">
        <w:rPr>
          <w:rFonts w:ascii="Times New Roman" w:hAnsi="Times New Roman" w:cs="Times New Roman" w:hint="eastAsia"/>
          <w:color w:val="000000" w:themeColor="text1"/>
        </w:rPr>
        <w:t xml:space="preserve"> (</w:t>
      </w:r>
      <w:r w:rsidR="00CA080A" w:rsidRPr="002657D1">
        <w:rPr>
          <w:rFonts w:ascii="Times New Roman" w:hAnsi="Times New Roman" w:cs="Times New Roman"/>
          <w:color w:val="000000" w:themeColor="text1"/>
        </w:rPr>
        <w:t>$</w:t>
      </w:r>
      <w:r w:rsidR="00CA080A" w:rsidRPr="002657D1">
        <w:rPr>
          <w:rFonts w:ascii="Times New Roman" w:hAnsi="Times New Roman" w:cs="Times New Roman" w:hint="eastAsia"/>
          <w:color w:val="000000" w:themeColor="text1"/>
        </w:rPr>
        <w:t>536</w:t>
      </w:r>
      <w:r w:rsidR="00CA080A" w:rsidRPr="002657D1">
        <w:rPr>
          <w:rFonts w:ascii="Times New Roman" w:hAnsi="Times New Roman" w:cs="Times New Roman"/>
          <w:color w:val="000000" w:themeColor="text1"/>
        </w:rPr>
        <w:t xml:space="preserve"> kg⁻</w:t>
      </w:r>
      <w:r w:rsidR="00CA080A" w:rsidRPr="002657D1">
        <w:rPr>
          <w:rFonts w:ascii="Times New Roman" w:hAnsi="Times New Roman" w:cs="Times New Roman"/>
          <w:color w:val="000000" w:themeColor="text1"/>
          <w:vertAlign w:val="superscript"/>
        </w:rPr>
        <w:t>1</w:t>
      </w:r>
      <w:r w:rsidR="00CA080A" w:rsidRPr="002657D1">
        <w:rPr>
          <w:rFonts w:ascii="Times New Roman" w:hAnsi="Times New Roman" w:cs="Times New Roman" w:hint="eastAsia"/>
          <w:color w:val="000000" w:themeColor="text1"/>
        </w:rPr>
        <w:t xml:space="preserve">). </w:t>
      </w:r>
      <w:bookmarkStart w:id="89" w:name="_Hlk215586071"/>
      <w:r w:rsidR="00DF1FC8" w:rsidRPr="002657D1">
        <w:rPr>
          <w:rFonts w:ascii="Times New Roman" w:hAnsi="Times New Roman" w:cs="Times New Roman"/>
          <w:b/>
          <w:bCs/>
          <w:color w:val="000000" w:themeColor="text1"/>
        </w:rPr>
        <w:t>Regarding ionic conductivity</w:t>
      </w:r>
      <w:bookmarkEnd w:id="89"/>
      <w:r w:rsidR="00DF1FC8" w:rsidRPr="002657D1">
        <w:rPr>
          <w:rFonts w:ascii="Times New Roman" w:hAnsi="Times New Roman" w:cs="Times New Roman"/>
          <w:color w:val="000000" w:themeColor="text1"/>
        </w:rPr>
        <w:t>, although Li</w:t>
      </w:r>
      <w:r w:rsidR="00DF1FC8" w:rsidRPr="002657D1">
        <w:rPr>
          <w:rFonts w:ascii="Times New Roman" w:hAnsi="Times New Roman" w:cs="Times New Roman"/>
          <w:color w:val="000000" w:themeColor="text1"/>
          <w:vertAlign w:val="subscript"/>
        </w:rPr>
        <w:t>3</w:t>
      </w:r>
      <w:r w:rsidR="00DF1FC8" w:rsidRPr="002657D1">
        <w:rPr>
          <w:rFonts w:ascii="Times New Roman" w:hAnsi="Times New Roman" w:cs="Times New Roman"/>
          <w:color w:val="000000" w:themeColor="text1"/>
        </w:rPr>
        <w:t>Ta</w:t>
      </w:r>
      <w:r w:rsidR="00DF1FC8" w:rsidRPr="002657D1">
        <w:rPr>
          <w:rFonts w:ascii="Times New Roman" w:hAnsi="Times New Roman" w:cs="Times New Roman"/>
          <w:color w:val="000000" w:themeColor="text1"/>
          <w:vertAlign w:val="subscript"/>
        </w:rPr>
        <w:t>3</w:t>
      </w:r>
      <w:r w:rsidR="00DF1FC8" w:rsidRPr="002657D1">
        <w:rPr>
          <w:rFonts w:ascii="Times New Roman" w:hAnsi="Times New Roman" w:cs="Times New Roman"/>
          <w:color w:val="000000" w:themeColor="text1"/>
        </w:rPr>
        <w:t>O</w:t>
      </w:r>
      <w:r w:rsidR="00DF1FC8" w:rsidRPr="002657D1">
        <w:rPr>
          <w:rFonts w:ascii="Times New Roman" w:hAnsi="Times New Roman" w:cs="Times New Roman"/>
          <w:color w:val="000000" w:themeColor="text1"/>
          <w:vertAlign w:val="subscript"/>
        </w:rPr>
        <w:t>4</w:t>
      </w:r>
      <w:r w:rsidR="00DF1FC8" w:rsidRPr="002657D1">
        <w:rPr>
          <w:rFonts w:ascii="Times New Roman" w:hAnsi="Times New Roman" w:cs="Times New Roman"/>
          <w:color w:val="000000" w:themeColor="text1"/>
        </w:rPr>
        <w:t>Cl</w:t>
      </w:r>
      <w:r w:rsidR="00DF1FC8" w:rsidRPr="002657D1">
        <w:rPr>
          <w:rFonts w:ascii="Times New Roman" w:hAnsi="Times New Roman" w:cs="Times New Roman"/>
          <w:color w:val="000000" w:themeColor="text1"/>
          <w:vertAlign w:val="subscript"/>
        </w:rPr>
        <w:t>10</w:t>
      </w:r>
      <w:r w:rsidR="00DF1FC8" w:rsidRPr="002657D1">
        <w:rPr>
          <w:rFonts w:ascii="Times New Roman" w:hAnsi="Times New Roman" w:cs="Times New Roman"/>
          <w:color w:val="000000" w:themeColor="text1"/>
        </w:rPr>
        <w:t xml:space="preserve"> exhibits the highest reported ionic conductivity (13.7 mS cm⁻</w:t>
      </w:r>
      <w:r w:rsidR="00DF1FC8" w:rsidRPr="002657D1">
        <w:rPr>
          <w:rFonts w:ascii="Times New Roman" w:hAnsi="Times New Roman" w:cs="Times New Roman"/>
          <w:color w:val="000000" w:themeColor="text1"/>
          <w:vertAlign w:val="superscript"/>
        </w:rPr>
        <w:t>1</w:t>
      </w:r>
      <w:r w:rsidR="00DF1FC8" w:rsidRPr="002657D1">
        <w:rPr>
          <w:rFonts w:ascii="Times New Roman" w:hAnsi="Times New Roman" w:cs="Times New Roman"/>
          <w:color w:val="000000" w:themeColor="text1"/>
        </w:rPr>
        <w:t xml:space="preserve">) among </w:t>
      </w:r>
      <w:r w:rsidR="00CA080A" w:rsidRPr="002657D1">
        <w:rPr>
          <w:rFonts w:ascii="Times New Roman" w:hAnsi="Times New Roman" w:cs="Times New Roman" w:hint="eastAsia"/>
          <w:color w:val="000000" w:themeColor="text1"/>
        </w:rPr>
        <w:t>HSEs</w:t>
      </w:r>
      <w:r w:rsidR="00DF1FC8" w:rsidRPr="002657D1">
        <w:rPr>
          <w:rFonts w:ascii="Times New Roman" w:hAnsi="Times New Roman" w:cs="Times New Roman"/>
          <w:color w:val="000000" w:themeColor="text1"/>
        </w:rPr>
        <w:t xml:space="preserve">, its poor compatibility with </w:t>
      </w:r>
      <w:r w:rsidR="00DF1FC8" w:rsidRPr="002657D1">
        <w:rPr>
          <w:rFonts w:ascii="Times New Roman" w:hAnsi="Times New Roman" w:cs="Times New Roman" w:hint="eastAsia"/>
          <w:color w:val="000000" w:themeColor="text1"/>
        </w:rPr>
        <w:t>Li</w:t>
      </w:r>
      <w:r w:rsidR="00DF1FC8" w:rsidRPr="002657D1">
        <w:rPr>
          <w:rFonts w:ascii="Times New Roman" w:hAnsi="Times New Roman" w:cs="Times New Roman"/>
          <w:color w:val="000000" w:themeColor="text1"/>
        </w:rPr>
        <w:t xml:space="preserve"> metal (cumulative </w:t>
      </w:r>
      <w:r w:rsidR="00CA080A" w:rsidRPr="002657D1">
        <w:rPr>
          <w:rFonts w:ascii="Times New Roman" w:hAnsi="Times New Roman" w:cs="Times New Roman" w:hint="eastAsia"/>
          <w:color w:val="000000" w:themeColor="text1"/>
        </w:rPr>
        <w:t xml:space="preserve">plating </w:t>
      </w:r>
      <w:r w:rsidR="00DF1FC8" w:rsidRPr="002657D1">
        <w:rPr>
          <w:rFonts w:ascii="Times New Roman" w:hAnsi="Times New Roman" w:cs="Times New Roman"/>
          <w:color w:val="000000" w:themeColor="text1"/>
        </w:rPr>
        <w:t>capacity of only 2.5 mAh cm⁻</w:t>
      </w:r>
      <w:r w:rsidR="00DF1FC8" w:rsidRPr="002657D1">
        <w:rPr>
          <w:rFonts w:ascii="Times New Roman" w:hAnsi="Times New Roman" w:cs="Times New Roman"/>
          <w:color w:val="000000" w:themeColor="text1"/>
          <w:vertAlign w:val="superscript"/>
        </w:rPr>
        <w:t>2</w:t>
      </w:r>
      <w:r w:rsidR="00DF1FC8" w:rsidRPr="002657D1">
        <w:rPr>
          <w:rFonts w:ascii="Times New Roman" w:hAnsi="Times New Roman" w:cs="Times New Roman"/>
          <w:color w:val="000000" w:themeColor="text1"/>
        </w:rPr>
        <w:t xml:space="preserve">) severely restricts its application in </w:t>
      </w:r>
      <w:r w:rsidR="00CA080A" w:rsidRPr="002657D1">
        <w:rPr>
          <w:rFonts w:ascii="Times New Roman" w:hAnsi="Times New Roman" w:cs="Times New Roman" w:hint="eastAsia"/>
          <w:color w:val="000000" w:themeColor="text1"/>
        </w:rPr>
        <w:t>ASSLMBs</w:t>
      </w:r>
      <w:r w:rsidR="00DF1FC8" w:rsidRPr="002657D1">
        <w:rPr>
          <w:rFonts w:ascii="Times New Roman" w:hAnsi="Times New Roman" w:cs="Times New Roman"/>
          <w:color w:val="000000" w:themeColor="text1"/>
        </w:rPr>
        <w:t>. In contrast, LZC-10TF delivers a satisfactory ionic conductivity of 2.9 mS cm⁻</w:t>
      </w:r>
      <w:r w:rsidR="00DF1FC8" w:rsidRPr="002657D1">
        <w:rPr>
          <w:rFonts w:ascii="Times New Roman" w:hAnsi="Times New Roman" w:cs="Times New Roman"/>
          <w:color w:val="000000" w:themeColor="text1"/>
          <w:vertAlign w:val="superscript"/>
        </w:rPr>
        <w:t>1</w:t>
      </w:r>
      <w:r w:rsidR="00DF1FC8" w:rsidRPr="002657D1">
        <w:rPr>
          <w:rFonts w:ascii="Times New Roman" w:hAnsi="Times New Roman" w:cs="Times New Roman"/>
          <w:color w:val="000000" w:themeColor="text1"/>
        </w:rPr>
        <w:t xml:space="preserve">, higher than that of the </w:t>
      </w:r>
      <w:r w:rsidR="00183E54" w:rsidRPr="002657D1">
        <w:rPr>
          <w:rFonts w:ascii="Times New Roman" w:hAnsi="Times New Roman" w:cs="Times New Roman" w:hint="eastAsia"/>
          <w:color w:val="000000" w:themeColor="text1"/>
        </w:rPr>
        <w:t>Li-</w:t>
      </w:r>
      <w:r w:rsidR="00183E54" w:rsidRPr="002657D1">
        <w:rPr>
          <w:rFonts w:ascii="Times New Roman" w:hAnsi="Times New Roman" w:cs="Times New Roman" w:hint="eastAsia"/>
          <w:color w:val="000000" w:themeColor="text1"/>
        </w:rPr>
        <w:lastRenderedPageBreak/>
        <w:t xml:space="preserve">unstable </w:t>
      </w:r>
      <w:r w:rsidR="00183E54" w:rsidRPr="002657D1">
        <w:rPr>
          <w:rFonts w:ascii="Times New Roman" w:hAnsi="Times New Roman" w:cs="Times New Roman"/>
          <w:color w:val="000000" w:themeColor="text1"/>
          <w:kern w:val="24"/>
        </w:rPr>
        <w:t>Li</w:t>
      </w:r>
      <w:r w:rsidR="00183E54" w:rsidRPr="002657D1">
        <w:rPr>
          <w:rFonts w:ascii="Times New Roman" w:hAnsi="Times New Roman" w:cs="Times New Roman"/>
          <w:color w:val="000000" w:themeColor="text1"/>
          <w:kern w:val="24"/>
          <w:vertAlign w:val="subscript"/>
        </w:rPr>
        <w:t>1.75</w:t>
      </w:r>
      <w:r w:rsidR="00183E54" w:rsidRPr="002657D1">
        <w:rPr>
          <w:rFonts w:ascii="Times New Roman" w:hAnsi="Times New Roman" w:cs="Times New Roman"/>
          <w:color w:val="000000" w:themeColor="text1"/>
          <w:kern w:val="24"/>
        </w:rPr>
        <w:t>ZrCl</w:t>
      </w:r>
      <w:r w:rsidR="00183E54" w:rsidRPr="002657D1">
        <w:rPr>
          <w:rFonts w:ascii="Times New Roman" w:hAnsi="Times New Roman" w:cs="Times New Roman"/>
          <w:color w:val="000000" w:themeColor="text1"/>
          <w:kern w:val="24"/>
          <w:vertAlign w:val="subscript"/>
        </w:rPr>
        <w:t>4.75</w:t>
      </w:r>
      <w:r w:rsidR="00183E54" w:rsidRPr="002657D1">
        <w:rPr>
          <w:rFonts w:ascii="Times New Roman" w:hAnsi="Times New Roman" w:cs="Times New Roman"/>
          <w:color w:val="000000" w:themeColor="text1"/>
          <w:kern w:val="24"/>
        </w:rPr>
        <w:t>O</w:t>
      </w:r>
      <w:r w:rsidR="00183E54" w:rsidRPr="002657D1">
        <w:rPr>
          <w:rFonts w:ascii="Times New Roman" w:hAnsi="Times New Roman" w:cs="Times New Roman"/>
          <w:color w:val="000000" w:themeColor="text1"/>
          <w:kern w:val="24"/>
          <w:vertAlign w:val="subscript"/>
        </w:rPr>
        <w:t>0.5</w:t>
      </w:r>
      <w:r w:rsidR="00DF1FC8" w:rsidRPr="002657D1">
        <w:rPr>
          <w:rFonts w:ascii="Times New Roman" w:hAnsi="Times New Roman" w:cs="Times New Roman"/>
          <w:color w:val="000000" w:themeColor="text1"/>
        </w:rPr>
        <w:t xml:space="preserve"> (</w:t>
      </w:r>
      <w:r w:rsidR="00183E54" w:rsidRPr="002657D1">
        <w:rPr>
          <w:rFonts w:ascii="Times New Roman" w:hAnsi="Times New Roman" w:cs="Times New Roman" w:hint="eastAsia"/>
          <w:color w:val="000000" w:themeColor="text1"/>
        </w:rPr>
        <w:t>2.42</w:t>
      </w:r>
      <w:r w:rsidR="00DF1FC8" w:rsidRPr="002657D1">
        <w:rPr>
          <w:rFonts w:ascii="Times New Roman" w:hAnsi="Times New Roman" w:cs="Times New Roman"/>
          <w:color w:val="000000" w:themeColor="text1"/>
        </w:rPr>
        <w:t xml:space="preserve"> mS cm⁻</w:t>
      </w:r>
      <w:r w:rsidR="00DF1FC8" w:rsidRPr="002657D1">
        <w:rPr>
          <w:rFonts w:ascii="Times New Roman" w:hAnsi="Times New Roman" w:cs="Times New Roman"/>
          <w:color w:val="000000" w:themeColor="text1"/>
          <w:vertAlign w:val="superscript"/>
        </w:rPr>
        <w:t>1</w:t>
      </w:r>
      <w:r w:rsidR="00DF1FC8" w:rsidRPr="002657D1">
        <w:rPr>
          <w:rFonts w:ascii="Times New Roman" w:hAnsi="Times New Roman" w:cs="Times New Roman"/>
          <w:color w:val="000000" w:themeColor="text1"/>
        </w:rPr>
        <w:t>).</w:t>
      </w:r>
      <w:r w:rsidR="00183E54" w:rsidRPr="002657D1">
        <w:rPr>
          <w:rFonts w:ascii="Times New Roman" w:hAnsi="Times New Roman" w:cs="Times New Roman" w:hint="eastAsia"/>
          <w:color w:val="000000" w:themeColor="text1"/>
        </w:rPr>
        <w:t xml:space="preserve"> </w:t>
      </w:r>
      <w:r w:rsidR="00DF1FC8" w:rsidRPr="002657D1">
        <w:rPr>
          <w:rFonts w:ascii="Times New Roman" w:hAnsi="Times New Roman" w:cs="Times New Roman"/>
          <w:b/>
          <w:bCs/>
          <w:color w:val="000000" w:themeColor="text1"/>
        </w:rPr>
        <w:t>Regarding Li-metal stability</w:t>
      </w:r>
      <w:r w:rsidR="00DF1FC8" w:rsidRPr="002657D1">
        <w:rPr>
          <w:rFonts w:ascii="Times New Roman" w:hAnsi="Times New Roman" w:cs="Times New Roman"/>
          <w:color w:val="000000" w:themeColor="text1"/>
        </w:rPr>
        <w:t xml:space="preserve">, LZC-10TF demonstrates exceptional interfacial </w:t>
      </w:r>
      <w:r w:rsidR="00CA080A" w:rsidRPr="002657D1">
        <w:rPr>
          <w:rFonts w:ascii="Times New Roman" w:hAnsi="Times New Roman" w:cs="Times New Roman" w:hint="eastAsia"/>
          <w:color w:val="000000" w:themeColor="text1"/>
        </w:rPr>
        <w:t xml:space="preserve">compatibility </w:t>
      </w:r>
      <w:r w:rsidR="00DF1FC8" w:rsidRPr="002657D1">
        <w:rPr>
          <w:rFonts w:ascii="Times New Roman" w:hAnsi="Times New Roman" w:cs="Times New Roman"/>
          <w:color w:val="000000" w:themeColor="text1"/>
        </w:rPr>
        <w:t>against Li metal, achieving an unprecedented cumulative Li plating capacity of 1000 mAh cm⁻</w:t>
      </w:r>
      <w:r w:rsidR="00DF1FC8" w:rsidRPr="002657D1">
        <w:rPr>
          <w:rFonts w:ascii="Times New Roman" w:hAnsi="Times New Roman" w:cs="Times New Roman"/>
          <w:color w:val="000000" w:themeColor="text1"/>
          <w:vertAlign w:val="superscript"/>
        </w:rPr>
        <w:t>2</w:t>
      </w:r>
      <w:r w:rsidR="00DF1FC8" w:rsidRPr="002657D1">
        <w:rPr>
          <w:rFonts w:ascii="Times New Roman" w:hAnsi="Times New Roman" w:cs="Times New Roman"/>
          <w:color w:val="000000" w:themeColor="text1"/>
        </w:rPr>
        <w:t>. This performance surpasses that of Li</w:t>
      </w:r>
      <w:r w:rsidR="00DF1FC8" w:rsidRPr="002657D1">
        <w:rPr>
          <w:rFonts w:ascii="Times New Roman" w:hAnsi="Times New Roman" w:cs="Times New Roman"/>
          <w:color w:val="000000" w:themeColor="text1"/>
          <w:vertAlign w:val="subscript"/>
        </w:rPr>
        <w:t>0.388</w:t>
      </w:r>
      <w:r w:rsidR="00DF1FC8" w:rsidRPr="002657D1">
        <w:rPr>
          <w:rFonts w:ascii="Times New Roman" w:hAnsi="Times New Roman" w:cs="Times New Roman"/>
          <w:color w:val="000000" w:themeColor="text1"/>
        </w:rPr>
        <w:t>Ta</w:t>
      </w:r>
      <w:r w:rsidR="00DF1FC8" w:rsidRPr="002657D1">
        <w:rPr>
          <w:rFonts w:ascii="Times New Roman" w:hAnsi="Times New Roman" w:cs="Times New Roman"/>
          <w:color w:val="000000" w:themeColor="text1"/>
          <w:vertAlign w:val="subscript"/>
        </w:rPr>
        <w:t>0.238</w:t>
      </w:r>
      <w:r w:rsidR="00DF1FC8" w:rsidRPr="002657D1">
        <w:rPr>
          <w:rFonts w:ascii="Times New Roman" w:hAnsi="Times New Roman" w:cs="Times New Roman"/>
          <w:color w:val="000000" w:themeColor="text1"/>
        </w:rPr>
        <w:t>La</w:t>
      </w:r>
      <w:r w:rsidR="00DF1FC8" w:rsidRPr="002657D1">
        <w:rPr>
          <w:rFonts w:ascii="Times New Roman" w:hAnsi="Times New Roman" w:cs="Times New Roman"/>
          <w:color w:val="000000" w:themeColor="text1"/>
          <w:vertAlign w:val="subscript"/>
        </w:rPr>
        <w:t>0.475</w:t>
      </w:r>
      <w:r w:rsidR="00DF1FC8" w:rsidRPr="002657D1">
        <w:rPr>
          <w:rFonts w:ascii="Times New Roman" w:hAnsi="Times New Roman" w:cs="Times New Roman"/>
          <w:color w:val="000000" w:themeColor="text1"/>
        </w:rPr>
        <w:t>Cl</w:t>
      </w:r>
      <w:r w:rsidR="00DF1FC8" w:rsidRPr="002657D1">
        <w:rPr>
          <w:rFonts w:ascii="Times New Roman" w:hAnsi="Times New Roman" w:cs="Times New Roman"/>
          <w:color w:val="000000" w:themeColor="text1"/>
          <w:vertAlign w:val="subscript"/>
        </w:rPr>
        <w:t>3</w:t>
      </w:r>
      <w:r w:rsidR="00DF1FC8" w:rsidRPr="002657D1">
        <w:rPr>
          <w:rFonts w:ascii="Times New Roman" w:hAnsi="Times New Roman" w:cs="Times New Roman"/>
          <w:color w:val="000000" w:themeColor="text1"/>
        </w:rPr>
        <w:t xml:space="preserve"> (500 mAh cm⁻</w:t>
      </w:r>
      <w:r w:rsidR="00DF1FC8" w:rsidRPr="002657D1">
        <w:rPr>
          <w:rFonts w:ascii="Times New Roman" w:hAnsi="Times New Roman" w:cs="Times New Roman"/>
          <w:color w:val="000000" w:themeColor="text1"/>
          <w:vertAlign w:val="superscript"/>
        </w:rPr>
        <w:t>2</w:t>
      </w:r>
      <w:r w:rsidR="00DF1FC8" w:rsidRPr="002657D1">
        <w:rPr>
          <w:rFonts w:ascii="Times New Roman" w:hAnsi="Times New Roman" w:cs="Times New Roman"/>
          <w:color w:val="000000" w:themeColor="text1"/>
        </w:rPr>
        <w:t>), which was previously reported as the best Li-metal-compatible halide electrolyte. Consequently, LZC-10TF stands out as</w:t>
      </w:r>
      <w:r w:rsidR="00DF1FC8" w:rsidRPr="002657D1">
        <w:rPr>
          <w:rFonts w:ascii="Times New Roman" w:hAnsi="Times New Roman" w:cs="Times New Roman" w:hint="eastAsia"/>
          <w:color w:val="000000" w:themeColor="text1"/>
        </w:rPr>
        <w:t xml:space="preserve"> </w:t>
      </w:r>
      <w:r w:rsidR="00DF1FC8" w:rsidRPr="002657D1">
        <w:rPr>
          <w:rFonts w:ascii="Times New Roman" w:hAnsi="Times New Roman" w:cs="Times New Roman"/>
          <w:color w:val="000000" w:themeColor="text1"/>
        </w:rPr>
        <w:t xml:space="preserve">the most promising candidate for practical </w:t>
      </w:r>
      <w:r w:rsidR="00CA080A" w:rsidRPr="002657D1">
        <w:rPr>
          <w:rFonts w:ascii="Times New Roman" w:hAnsi="Times New Roman" w:cs="Times New Roman" w:hint="eastAsia"/>
          <w:color w:val="000000" w:themeColor="text1"/>
        </w:rPr>
        <w:t>ASSLMBs</w:t>
      </w:r>
      <w:r w:rsidR="00DF1FC8" w:rsidRPr="002657D1">
        <w:rPr>
          <w:rFonts w:ascii="Times New Roman" w:hAnsi="Times New Roman" w:cs="Times New Roman"/>
          <w:color w:val="000000" w:themeColor="text1"/>
        </w:rPr>
        <w:t>, successfully reconciling the trade-offs between low cost, high ionic conductivity, and superior Li-metal stability.</w:t>
      </w:r>
      <w:r w:rsidR="005759D9" w:rsidRPr="002657D1">
        <w:rPr>
          <w:rFonts w:ascii="Times New Roman" w:hAnsi="Times New Roman" w:cs="Times New Roman"/>
          <w:b/>
          <w:bCs/>
          <w:color w:val="000000" w:themeColor="text1"/>
        </w:rPr>
        <w:br w:type="page"/>
      </w:r>
    </w:p>
    <w:p w14:paraId="53B5B50C" w14:textId="394C6BAB" w:rsidR="00296583" w:rsidRPr="002657D1" w:rsidRDefault="00296583" w:rsidP="00946A9F">
      <w:pPr>
        <w:spacing w:before="120" w:afterLines="50" w:after="156" w:line="360" w:lineRule="auto"/>
        <w:outlineLvl w:val="0"/>
        <w:rPr>
          <w:rFonts w:ascii="Calibri" w:hAnsi="Calibri" w:cs="Calibri"/>
          <w:b/>
          <w:bCs/>
          <w:color w:val="000000" w:themeColor="text1"/>
          <w:sz w:val="28"/>
          <w:szCs w:val="28"/>
        </w:rPr>
      </w:pPr>
      <w:bookmarkStart w:id="90" w:name="_Toc206419563"/>
      <w:bookmarkStart w:id="91" w:name="_Toc206419613"/>
      <w:bookmarkStart w:id="92" w:name="_Toc217638256"/>
      <w:r w:rsidRPr="002657D1">
        <w:rPr>
          <w:rFonts w:ascii="Calibri" w:hAnsi="Calibri" w:cs="Calibri" w:hint="eastAsia"/>
          <w:b/>
          <w:bCs/>
          <w:color w:val="000000" w:themeColor="text1"/>
          <w:sz w:val="28"/>
          <w:szCs w:val="28"/>
        </w:rPr>
        <w:lastRenderedPageBreak/>
        <w:t xml:space="preserve">3. </w:t>
      </w:r>
      <w:r w:rsidRPr="002657D1">
        <w:rPr>
          <w:rFonts w:ascii="Calibri" w:hAnsi="Calibri" w:cs="Calibri"/>
          <w:b/>
          <w:bCs/>
          <w:color w:val="000000" w:themeColor="text1"/>
          <w:sz w:val="28"/>
          <w:szCs w:val="28"/>
        </w:rPr>
        <w:t xml:space="preserve">Supplementary </w:t>
      </w:r>
      <w:r w:rsidRPr="002657D1">
        <w:rPr>
          <w:rFonts w:ascii="Calibri" w:hAnsi="Calibri" w:cs="Calibri" w:hint="eastAsia"/>
          <w:b/>
          <w:bCs/>
          <w:color w:val="000000" w:themeColor="text1"/>
          <w:sz w:val="28"/>
          <w:szCs w:val="28"/>
        </w:rPr>
        <w:t>Tables</w:t>
      </w:r>
      <w:bookmarkEnd w:id="90"/>
      <w:bookmarkEnd w:id="91"/>
      <w:bookmarkEnd w:id="92"/>
    </w:p>
    <w:p w14:paraId="6FB50AF8" w14:textId="5CBD2F92" w:rsidR="0046513C" w:rsidRPr="002657D1" w:rsidRDefault="0046513C" w:rsidP="0046513C">
      <w:pPr>
        <w:widowControl/>
        <w:spacing w:before="120" w:afterLines="50" w:after="156" w:line="360" w:lineRule="auto"/>
        <w:rPr>
          <w:rFonts w:ascii="Times New Roman" w:hAnsi="Times New Roman" w:cs="Times New Roman"/>
          <w:color w:val="000000" w:themeColor="text1"/>
          <w:sz w:val="24"/>
          <w:szCs w:val="24"/>
        </w:rPr>
      </w:pPr>
      <w:r w:rsidRPr="002657D1">
        <w:rPr>
          <w:rFonts w:ascii="Times New Roman" w:hAnsi="Times New Roman" w:cs="Times New Roman"/>
          <w:b/>
          <w:bCs/>
          <w:color w:val="000000" w:themeColor="text1"/>
          <w:sz w:val="24"/>
          <w:szCs w:val="24"/>
        </w:rPr>
        <w:t>Supplementary Table 1.</w:t>
      </w:r>
      <w:r w:rsidRPr="002657D1">
        <w:rPr>
          <w:rFonts w:ascii="Times New Roman" w:hAnsi="Times New Roman" w:cs="Times New Roman"/>
          <w:color w:val="000000" w:themeColor="text1"/>
          <w:sz w:val="24"/>
          <w:szCs w:val="24"/>
        </w:rPr>
        <w:t xml:space="preserve"> Comparison of </w:t>
      </w:r>
      <w:r w:rsidR="00285CB3" w:rsidRPr="002657D1">
        <w:rPr>
          <w:rFonts w:ascii="Times New Roman" w:hAnsi="Times New Roman" w:cs="Times New Roman"/>
          <w:color w:val="000000" w:themeColor="text1"/>
          <w:sz w:val="24"/>
          <w:szCs w:val="24"/>
        </w:rPr>
        <w:t xml:space="preserve">the </w:t>
      </w:r>
      <w:r w:rsidRPr="002657D1">
        <w:rPr>
          <w:rFonts w:ascii="Times New Roman" w:hAnsi="Times New Roman" w:cs="Times New Roman"/>
          <w:color w:val="000000" w:themeColor="text1"/>
          <w:sz w:val="24"/>
          <w:szCs w:val="24"/>
        </w:rPr>
        <w:t xml:space="preserve">ionic conductivity of </w:t>
      </w:r>
      <w:r w:rsidR="00285CB3" w:rsidRPr="002657D1">
        <w:rPr>
          <w:rFonts w:ascii="Times New Roman" w:hAnsi="Times New Roman" w:cs="Times New Roman"/>
          <w:color w:val="000000" w:themeColor="text1"/>
          <w:sz w:val="24"/>
          <w:szCs w:val="24"/>
        </w:rPr>
        <w:t xml:space="preserve">the </w:t>
      </w:r>
      <w:r w:rsidRPr="002657D1">
        <w:rPr>
          <w:rFonts w:ascii="Times New Roman" w:hAnsi="Times New Roman" w:cs="Times New Roman"/>
          <w:color w:val="000000" w:themeColor="text1"/>
          <w:sz w:val="24"/>
          <w:szCs w:val="24"/>
        </w:rPr>
        <w:t>prepared LZC-10TF electrolyte with previous HSEs.</w:t>
      </w:r>
    </w:p>
    <w:tbl>
      <w:tblPr>
        <w:tblStyle w:val="af7"/>
        <w:tblW w:w="8827" w:type="dxa"/>
        <w:jc w:val="center"/>
        <w:tblBorders>
          <w:left w:val="none" w:sz="0" w:space="0" w:color="auto"/>
          <w:right w:val="none" w:sz="0" w:space="0" w:color="auto"/>
          <w:insideV w:val="none" w:sz="0" w:space="0" w:color="auto"/>
        </w:tblBorders>
        <w:tblLook w:val="04A0" w:firstRow="1" w:lastRow="0" w:firstColumn="1" w:lastColumn="0" w:noHBand="0" w:noVBand="1"/>
      </w:tblPr>
      <w:tblGrid>
        <w:gridCol w:w="1175"/>
        <w:gridCol w:w="4656"/>
        <w:gridCol w:w="1608"/>
        <w:gridCol w:w="1388"/>
      </w:tblGrid>
      <w:tr w:rsidR="002657D1" w:rsidRPr="002657D1" w14:paraId="35AE09FA" w14:textId="77777777" w:rsidTr="002A5163">
        <w:trPr>
          <w:jc w:val="center"/>
        </w:trPr>
        <w:tc>
          <w:tcPr>
            <w:tcW w:w="1430" w:type="dxa"/>
            <w:tcBorders>
              <w:top w:val="single" w:sz="12" w:space="0" w:color="auto"/>
              <w:bottom w:val="single" w:sz="12" w:space="0" w:color="auto"/>
            </w:tcBorders>
            <w:vAlign w:val="center"/>
          </w:tcPr>
          <w:p w14:paraId="0F72C7E1" w14:textId="77777777"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Space Group</w:t>
            </w:r>
          </w:p>
        </w:tc>
        <w:tc>
          <w:tcPr>
            <w:tcW w:w="4101" w:type="dxa"/>
            <w:tcBorders>
              <w:top w:val="single" w:sz="12" w:space="0" w:color="auto"/>
              <w:bottom w:val="single" w:sz="12" w:space="0" w:color="auto"/>
            </w:tcBorders>
            <w:vAlign w:val="center"/>
          </w:tcPr>
          <w:p w14:paraId="416AB8E9" w14:textId="77777777"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Electrolytes</w:t>
            </w:r>
          </w:p>
        </w:tc>
        <w:tc>
          <w:tcPr>
            <w:tcW w:w="1755" w:type="dxa"/>
            <w:tcBorders>
              <w:top w:val="single" w:sz="12" w:space="0" w:color="auto"/>
              <w:bottom w:val="single" w:sz="12" w:space="0" w:color="auto"/>
            </w:tcBorders>
            <w:vAlign w:val="center"/>
          </w:tcPr>
          <w:p w14:paraId="3644A8FF" w14:textId="32A5D3DA"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 xml:space="preserve">Ionic </w:t>
            </w:r>
            <w:r w:rsidR="00D20FBA" w:rsidRPr="002657D1">
              <w:rPr>
                <w:rFonts w:ascii="Times New Roman" w:hAnsi="Times New Roman" w:cs="Times New Roman" w:hint="eastAsia"/>
                <w:color w:val="000000" w:themeColor="text1"/>
                <w:sz w:val="24"/>
                <w:szCs w:val="24"/>
              </w:rPr>
              <w:t>c</w:t>
            </w:r>
            <w:r w:rsidRPr="002657D1">
              <w:rPr>
                <w:rFonts w:ascii="Times New Roman" w:hAnsi="Times New Roman" w:cs="Times New Roman"/>
                <w:color w:val="000000" w:themeColor="text1"/>
                <w:sz w:val="24"/>
                <w:szCs w:val="24"/>
              </w:rPr>
              <w:t xml:space="preserve">onductivity (25 ℃; </w:t>
            </w:r>
            <w:r w:rsidR="002657D1">
              <w:rPr>
                <w:rFonts w:ascii="Times New Roman" w:hAnsi="Times New Roman" w:cs="Times New Roman"/>
                <w:sz w:val="24"/>
                <w:szCs w:val="24"/>
              </w:rPr>
              <w:t>mS cm</w:t>
            </w:r>
            <w:r w:rsidR="002657D1">
              <w:rPr>
                <w:rFonts w:ascii="Times New Roman" w:hAnsi="Times New Roman" w:cs="Times New Roman"/>
                <w:sz w:val="24"/>
                <w:szCs w:val="24"/>
                <w:vertAlign w:val="superscript"/>
              </w:rPr>
              <w:t>−1</w:t>
            </w:r>
            <w:r w:rsidRPr="002657D1">
              <w:rPr>
                <w:rFonts w:ascii="Times New Roman" w:hAnsi="Times New Roman" w:cs="Times New Roman"/>
                <w:color w:val="000000" w:themeColor="text1"/>
                <w:sz w:val="24"/>
                <w:szCs w:val="24"/>
              </w:rPr>
              <w:t>)</w:t>
            </w:r>
          </w:p>
        </w:tc>
        <w:tc>
          <w:tcPr>
            <w:tcW w:w="1541" w:type="dxa"/>
            <w:tcBorders>
              <w:top w:val="single" w:sz="12" w:space="0" w:color="auto"/>
              <w:bottom w:val="single" w:sz="12" w:space="0" w:color="auto"/>
            </w:tcBorders>
            <w:vAlign w:val="center"/>
          </w:tcPr>
          <w:p w14:paraId="03141D20" w14:textId="77777777"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Reference</w:t>
            </w:r>
          </w:p>
        </w:tc>
      </w:tr>
      <w:tr w:rsidR="002657D1" w:rsidRPr="002657D1" w14:paraId="6DDFADE0" w14:textId="77777777" w:rsidTr="002A5163">
        <w:trPr>
          <w:jc w:val="center"/>
        </w:trPr>
        <w:tc>
          <w:tcPr>
            <w:tcW w:w="1430" w:type="dxa"/>
            <w:vMerge w:val="restart"/>
            <w:tcBorders>
              <w:top w:val="single" w:sz="12" w:space="0" w:color="auto"/>
              <w:bottom w:val="nil"/>
            </w:tcBorders>
            <w:vAlign w:val="center"/>
          </w:tcPr>
          <w:p w14:paraId="70C17BE2"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m:oMathPara>
              <m:oMath>
                <m:r>
                  <w:rPr>
                    <w:rFonts w:ascii="Cambria Math" w:hAnsi="Cambria Math" w:cs="Times New Roman"/>
                    <w:color w:val="000000" w:themeColor="text1"/>
                    <w:sz w:val="24"/>
                    <w:szCs w:val="24"/>
                  </w:rPr>
                  <m:t>P</m:t>
                </m:r>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3</m:t>
                    </m:r>
                  </m:e>
                </m:acc>
                <m:r>
                  <w:rPr>
                    <w:rFonts w:ascii="Cambria Math" w:hAnsi="Cambria Math" w:cs="Times New Roman"/>
                    <w:color w:val="000000" w:themeColor="text1"/>
                    <w:sz w:val="24"/>
                    <w:szCs w:val="24"/>
                  </w:rPr>
                  <m:t>m</m:t>
                </m:r>
                <m:r>
                  <m:rPr>
                    <m:sty m:val="p"/>
                  </m:rPr>
                  <w:rPr>
                    <w:rFonts w:ascii="Cambria Math" w:hAnsi="Cambria Math" w:cs="Times New Roman"/>
                    <w:color w:val="000000" w:themeColor="text1"/>
                    <w:sz w:val="24"/>
                    <w:szCs w:val="24"/>
                  </w:rPr>
                  <m:t>1</m:t>
                </m:r>
              </m:oMath>
            </m:oMathPara>
          </w:p>
        </w:tc>
        <w:tc>
          <w:tcPr>
            <w:tcW w:w="4101" w:type="dxa"/>
            <w:tcBorders>
              <w:top w:val="single" w:sz="12" w:space="0" w:color="auto"/>
              <w:bottom w:val="nil"/>
            </w:tcBorders>
            <w:vAlign w:val="center"/>
          </w:tcPr>
          <w:p w14:paraId="49BA898F" w14:textId="77777777" w:rsidR="0046513C" w:rsidRPr="002657D1" w:rsidRDefault="0046513C" w:rsidP="00E27D34">
            <w:pPr>
              <w:widowControl/>
              <w:spacing w:line="360" w:lineRule="auto"/>
              <w:jc w:val="center"/>
              <w:rPr>
                <w:rFonts w:ascii="Times New Roman" w:hAnsi="Times New Roman" w:cs="Times New Roman"/>
                <w:b/>
                <w:bCs/>
                <w:color w:val="000000" w:themeColor="text1"/>
                <w:kern w:val="24"/>
                <w:sz w:val="24"/>
                <w:szCs w:val="24"/>
              </w:rPr>
            </w:pPr>
            <w:r w:rsidRPr="002657D1">
              <w:rPr>
                <w:rFonts w:ascii="Times New Roman" w:hAnsi="Times New Roman" w:cs="Times New Roman"/>
                <w:b/>
                <w:bCs/>
                <w:color w:val="000000" w:themeColor="text1"/>
                <w:kern w:val="24"/>
                <w:sz w:val="24"/>
                <w:szCs w:val="24"/>
              </w:rPr>
              <w:t>LZC-10TF</w:t>
            </w:r>
          </w:p>
        </w:tc>
        <w:tc>
          <w:tcPr>
            <w:tcW w:w="1755" w:type="dxa"/>
            <w:tcBorders>
              <w:top w:val="single" w:sz="12" w:space="0" w:color="auto"/>
              <w:bottom w:val="nil"/>
            </w:tcBorders>
            <w:vAlign w:val="center"/>
          </w:tcPr>
          <w:p w14:paraId="143C018D" w14:textId="3E29CE59" w:rsidR="0046513C" w:rsidRPr="002657D1" w:rsidRDefault="0046513C" w:rsidP="00E27D34">
            <w:pPr>
              <w:widowControl/>
              <w:spacing w:line="360" w:lineRule="auto"/>
              <w:jc w:val="center"/>
              <w:rPr>
                <w:rFonts w:ascii="Times New Roman" w:hAnsi="Times New Roman" w:cs="Times New Roman"/>
                <w:b/>
                <w:bCs/>
                <w:color w:val="000000" w:themeColor="text1"/>
                <w:kern w:val="24"/>
                <w:sz w:val="24"/>
                <w:szCs w:val="24"/>
              </w:rPr>
            </w:pPr>
            <w:r w:rsidRPr="002657D1">
              <w:rPr>
                <w:rFonts w:ascii="Times New Roman" w:hAnsi="Times New Roman" w:cs="Times New Roman"/>
                <w:b/>
                <w:bCs/>
                <w:color w:val="000000" w:themeColor="text1"/>
                <w:kern w:val="24"/>
                <w:sz w:val="24"/>
                <w:szCs w:val="24"/>
              </w:rPr>
              <w:t>2.</w:t>
            </w:r>
            <w:r w:rsidR="00BF2A5A" w:rsidRPr="002657D1">
              <w:rPr>
                <w:rFonts w:ascii="Times New Roman" w:hAnsi="Times New Roman" w:cs="Times New Roman" w:hint="eastAsia"/>
                <w:b/>
                <w:bCs/>
                <w:color w:val="000000" w:themeColor="text1"/>
                <w:kern w:val="24"/>
                <w:sz w:val="24"/>
                <w:szCs w:val="24"/>
              </w:rPr>
              <w:t>9</w:t>
            </w:r>
          </w:p>
        </w:tc>
        <w:tc>
          <w:tcPr>
            <w:tcW w:w="1541" w:type="dxa"/>
            <w:tcBorders>
              <w:top w:val="single" w:sz="12" w:space="0" w:color="auto"/>
              <w:bottom w:val="nil"/>
            </w:tcBorders>
            <w:vAlign w:val="center"/>
          </w:tcPr>
          <w:p w14:paraId="5D144674" w14:textId="77777777" w:rsidR="0046513C" w:rsidRPr="002657D1" w:rsidRDefault="0046513C" w:rsidP="00E27D34">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t>This work</w:t>
            </w:r>
          </w:p>
        </w:tc>
      </w:tr>
      <w:tr w:rsidR="002657D1" w:rsidRPr="002657D1" w14:paraId="5538DDEA" w14:textId="77777777" w:rsidTr="002A5163">
        <w:trPr>
          <w:jc w:val="center"/>
        </w:trPr>
        <w:tc>
          <w:tcPr>
            <w:tcW w:w="1430" w:type="dxa"/>
            <w:vMerge/>
            <w:tcBorders>
              <w:top w:val="nil"/>
              <w:bottom w:val="nil"/>
            </w:tcBorders>
            <w:vAlign w:val="center"/>
          </w:tcPr>
          <w:p w14:paraId="391E4D22"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5A81D469" w14:textId="77777777"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3</w:t>
            </w:r>
            <w:r w:rsidRPr="002657D1">
              <w:rPr>
                <w:rFonts w:ascii="Times New Roman" w:hAnsi="Times New Roman" w:cs="Times New Roman"/>
                <w:color w:val="000000" w:themeColor="text1"/>
                <w:kern w:val="24"/>
                <w:sz w:val="24"/>
                <w:szCs w:val="24"/>
              </w:rPr>
              <w:t>YCl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41BEAFCA" w14:textId="77777777"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0.51</w:t>
            </w:r>
          </w:p>
        </w:tc>
        <w:tc>
          <w:tcPr>
            <w:tcW w:w="1541" w:type="dxa"/>
            <w:tcBorders>
              <w:top w:val="nil"/>
              <w:bottom w:val="nil"/>
            </w:tcBorders>
            <w:vAlign w:val="center"/>
          </w:tcPr>
          <w:p w14:paraId="4B6AA496" w14:textId="41063447"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{"citationID":"y0kgUd6h","properties":{"formattedCitation":"\\super 7\\nosupersub{}","plainCitation":"7","noteIndex":0},"citationItems":[{"id":"IXaoCdHi/6lnzUoB1","uris":["http://zotero.org/users/local/As3BANDe/items/FQPXML</w:instrText>
            </w:r>
            <w:r w:rsidR="00E725CF" w:rsidRPr="002657D1">
              <w:rPr>
                <w:rFonts w:ascii="Times New Roman" w:hAnsi="Times New Roman" w:cs="Times New Roman" w:hint="eastAsia"/>
                <w:color w:val="000000" w:themeColor="text1"/>
                <w:sz w:val="24"/>
                <w:szCs w:val="24"/>
              </w:rPr>
              <w:instrText>JD"],"itemData":{"id":2781,"type":"article-journal","abstract":"Abstract\n            \n              New lithium halide 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electrolyte materials, Li\n              3\n              YCl\n              6\n              and Li\n              3\n              YBr\n              6\n              , are found to exhibit high lithium</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ion conductivity, high deformability, and high chemical and electrochemical stability, which are required properties for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battery (ASSB) applications, particularly</w:instrText>
            </w:r>
            <w:r w:rsidR="00E725CF" w:rsidRPr="002657D1">
              <w:rPr>
                <w:rFonts w:ascii="Times New Roman" w:hAnsi="Times New Roman" w:cs="Times New Roman"/>
                <w:color w:val="000000" w:themeColor="text1"/>
                <w:sz w:val="24"/>
                <w:szCs w:val="24"/>
              </w:rPr>
              <w:instrText xml:space="preserve"> for large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scale deployment. The lithium</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ion conductivities of cold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pressed powders surpass 1 mS cm\n              −1\n              at room temperature without additional intergrain or grain boundary resistances. Bulk</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type ASSB cells employing these new halide solid electrolyte materials exhibit coulombic efficiencies as high as 94% with an active cathode material of LiCoO\n              2\n              without any extra coating. These superior electrochemical characteristics, as well as their material stability, indicate that lithium halide salts are another promising candidate for ASSB solid electrolytes in addition to sulfides or oxides.","container-title":"Advanced Materials","DOI":"10.1002/adma.201803075","ISSN":"0935-9648, 1521-4095","issue":"44",</w:instrText>
            </w:r>
            <w:r w:rsidR="00E725CF" w:rsidRPr="002657D1">
              <w:rPr>
                <w:rFonts w:ascii="Times New Roman" w:hAnsi="Times New Roman" w:cs="Times New Roman" w:hint="eastAsia"/>
                <w:color w:val="000000" w:themeColor="text1"/>
                <w:sz w:val="24"/>
                <w:szCs w:val="24"/>
              </w:rPr>
              <w:instrText>"journalAbbreviation":"Advanced Materials","language":"en","page":"1803075","source":"DOI.org (Crossref)","title":"Solid Halide Electrolytes with High Lithium</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Ion Conductivity for Application in 4 V Class Bulk</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Type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Batteries","volume":"30"</w:instrText>
            </w:r>
            <w:r w:rsidR="00E725CF" w:rsidRPr="002657D1">
              <w:rPr>
                <w:rFonts w:ascii="Times New Roman" w:hAnsi="Times New Roman" w:cs="Times New Roman"/>
                <w:color w:val="000000" w:themeColor="text1"/>
                <w:sz w:val="24"/>
                <w:szCs w:val="24"/>
              </w:rPr>
              <w:instrText xml:space="preserve">,"author":[{"family":"Asano","given":"Tetsuya"},{"family":"Sakai","given":"Akihiro"},{"family":"Ouchi","given":"Satoru"},{"family":"Sakaida","given":"Masashi"},{"family":"Miyazaki","given":"Akinobu"},{"family":"Hasegawa","given":"Shinya"}],"issued":{"date-parts":[["2018",11]]}}}],"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285CB3" w:rsidRPr="002657D1">
              <w:rPr>
                <w:rFonts w:ascii="Times New Roman" w:hAnsi="Times New Roman" w:cs="Times New Roman"/>
                <w:color w:val="000000" w:themeColor="text1"/>
                <w:kern w:val="0"/>
                <w:sz w:val="24"/>
                <w:szCs w:val="24"/>
                <w:vertAlign w:val="superscript"/>
              </w:rPr>
              <w:t>7</w:t>
            </w:r>
            <w:r w:rsidRPr="002657D1">
              <w:rPr>
                <w:rFonts w:ascii="Times New Roman" w:hAnsi="Times New Roman" w:cs="Times New Roman"/>
                <w:color w:val="000000" w:themeColor="text1"/>
                <w:sz w:val="24"/>
                <w:szCs w:val="24"/>
              </w:rPr>
              <w:fldChar w:fldCharType="end"/>
            </w:r>
          </w:p>
        </w:tc>
      </w:tr>
      <w:tr w:rsidR="002657D1" w:rsidRPr="002657D1" w14:paraId="3EA0EFEA" w14:textId="77777777" w:rsidTr="002A5163">
        <w:trPr>
          <w:jc w:val="center"/>
        </w:trPr>
        <w:tc>
          <w:tcPr>
            <w:tcW w:w="1430" w:type="dxa"/>
            <w:vMerge/>
            <w:tcBorders>
              <w:top w:val="nil"/>
              <w:bottom w:val="nil"/>
            </w:tcBorders>
            <w:vAlign w:val="center"/>
          </w:tcPr>
          <w:p w14:paraId="01A64888"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633939CF" w14:textId="77777777"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3</w:t>
            </w:r>
            <w:r w:rsidRPr="002657D1">
              <w:rPr>
                <w:rFonts w:ascii="Times New Roman" w:hAnsi="Times New Roman" w:cs="Times New Roman"/>
                <w:color w:val="000000" w:themeColor="text1"/>
                <w:kern w:val="24"/>
                <w:sz w:val="24"/>
                <w:szCs w:val="24"/>
              </w:rPr>
              <w:t>TbCl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256BA114" w14:textId="77777777"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0.22</w:t>
            </w:r>
          </w:p>
        </w:tc>
        <w:tc>
          <w:tcPr>
            <w:tcW w:w="1541" w:type="dxa"/>
            <w:tcBorders>
              <w:top w:val="nil"/>
              <w:bottom w:val="nil"/>
            </w:tcBorders>
            <w:vAlign w:val="center"/>
          </w:tcPr>
          <w:p w14:paraId="2D0F4A44" w14:textId="2D924CE5" w:rsidR="0046513C" w:rsidRPr="002657D1" w:rsidRDefault="0070459F"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Pr="002657D1">
              <w:rPr>
                <w:rFonts w:ascii="Times New Roman" w:hAnsi="Times New Roman" w:cs="Times New Roman"/>
                <w:color w:val="000000" w:themeColor="text1"/>
                <w:sz w:val="24"/>
                <w:szCs w:val="24"/>
              </w:rPr>
              <w:instrText xml:space="preserve"> ADDIN ZOTERO_ITEM CSL_CITATION {"citationID":"a1q4jif43ld","properties":{"formattedCitation":"\\super 8\\nosupersub{}","plainCitation":"8","noteIndex":0},"citationItems":[{"id":791,"uris":["http://zotero.org/users/local/J1vikkcu/items/GI3PD49Y"],"itemData":{"id":791,"type":"article-journal","abstract":"The safety of lithium-ion batteries has caused notable concerns about their widespread adoption in electric vehicles. A nascent but promising approach to enhancing battery safety is using solid-state electrolytes (SSEs) to develop all-solid-state batteries, which exhibit unrivaled safety and superior energy density. A new family of SSEs based on halogen chemistry has recently gained renewed interest because of their high ionic conductivity, high-voltage stability, good deformability, and cost-effective and scalable synthesis routes. Here, we provide a comprehensive review of halide SSEs concerning their crystal structures, ion transport kinetics, and viability for mass production. Furthermore, their moisture sensitivity and interfacial challenges are summarized with corresponding effective strategies. Last, halide-based all-solid-state Li-ion and Li-S pouch cells with energy density targets of 400 and 500 Wh kg\n              −1\n              are projected to guide future endeavors. This work serves as a comprehensive guideline for developing halide SSEs from material design to practical application.\n            \n          , \n            Halide solid-state electrolytes show great prospects in developing all-solid-state batteries.","container-title":"Science Advances","DOI":"10.1126/sciadv.adc9516","ISSN":"2375-2548","issue":"36","journalAbbreviation":"Sci. Adv.","language":"en","page":"eadc9516","source":"DOI.org (Crossref)","title":"Prospects of halide-based all-solid-state batteries: From material design to practical application","title-short":"Prospects of halide-based all-solid-state batteries","volume":"8","author":[{"family":"Wang","given":"Changhong"},{"family":"Liang","given":"Jianwen"},{"family":"Kim","given":"Jung Tae"},{"family":"Sun","given":"Xueliang"}],"issued":{"date-parts":[["2022",9,9]]}}}],"schema":"https://github.com/citation-style-language/schema/raw/master/csl-citation.json"}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8</w:t>
            </w:r>
            <w:r w:rsidRPr="002657D1">
              <w:rPr>
                <w:rFonts w:ascii="Times New Roman" w:hAnsi="Times New Roman" w:cs="Times New Roman"/>
                <w:color w:val="000000" w:themeColor="text1"/>
                <w:sz w:val="24"/>
                <w:szCs w:val="24"/>
              </w:rPr>
              <w:fldChar w:fldCharType="end"/>
            </w:r>
          </w:p>
        </w:tc>
      </w:tr>
      <w:tr w:rsidR="002657D1" w:rsidRPr="002657D1" w14:paraId="5180C87A" w14:textId="77777777" w:rsidTr="002A5163">
        <w:trPr>
          <w:jc w:val="center"/>
        </w:trPr>
        <w:tc>
          <w:tcPr>
            <w:tcW w:w="1430" w:type="dxa"/>
            <w:vMerge/>
            <w:tcBorders>
              <w:top w:val="nil"/>
              <w:bottom w:val="nil"/>
            </w:tcBorders>
            <w:vAlign w:val="center"/>
          </w:tcPr>
          <w:p w14:paraId="3F20BC59"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65E68217" w14:textId="77777777"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3</w:t>
            </w:r>
            <w:r w:rsidRPr="002657D1">
              <w:rPr>
                <w:rFonts w:ascii="Times New Roman" w:hAnsi="Times New Roman" w:cs="Times New Roman"/>
                <w:color w:val="000000" w:themeColor="text1"/>
                <w:kern w:val="24"/>
                <w:sz w:val="24"/>
                <w:szCs w:val="24"/>
              </w:rPr>
              <w:t>ErCl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57198B70" w14:textId="77777777"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0.31</w:t>
            </w:r>
          </w:p>
        </w:tc>
        <w:tc>
          <w:tcPr>
            <w:tcW w:w="1541" w:type="dxa"/>
            <w:tcBorders>
              <w:top w:val="nil"/>
              <w:bottom w:val="nil"/>
            </w:tcBorders>
            <w:vAlign w:val="center"/>
          </w:tcPr>
          <w:p w14:paraId="0A0734C9" w14:textId="6143CCE8" w:rsidR="0046513C" w:rsidRPr="002657D1" w:rsidRDefault="00060453"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Pr="002657D1">
              <w:rPr>
                <w:rFonts w:ascii="Times New Roman" w:hAnsi="Times New Roman" w:cs="Times New Roman"/>
                <w:color w:val="000000" w:themeColor="text1"/>
                <w:sz w:val="24"/>
                <w:szCs w:val="24"/>
              </w:rPr>
              <w:instrText xml:space="preserve"> ADDIN ZOTERO_ITEM CSL_CITATION {"citationID":"a2c8s8p39gk","properties":{"formattedCitation":"\\super 9\\nosupersub{}","plainCitation":"9","noteIndex":0},"citationItems":[{"id":18,"uris":["http://zotero.org/users/local/J1vikkcu/items/4CLIUZ38"],"itemData</w:instrText>
            </w:r>
            <w:r w:rsidRPr="002657D1">
              <w:rPr>
                <w:rFonts w:ascii="Times New Roman" w:hAnsi="Times New Roman" w:cs="Times New Roman" w:hint="eastAsia"/>
                <w:color w:val="000000" w:themeColor="text1"/>
                <w:sz w:val="24"/>
                <w:szCs w:val="24"/>
              </w:rPr>
              <w:instrText>":{"id":18,"type":"article-journal","abstract":"Abstract\n            \n              The lithium</w:instrText>
            </w:r>
            <w:r w:rsidRPr="002657D1">
              <w:rPr>
                <w:rFonts w:ascii="Times New Roman" w:hAnsi="Times New Roman" w:cs="Times New Roman" w:hint="eastAsia"/>
                <w:color w:val="000000" w:themeColor="text1"/>
                <w:sz w:val="24"/>
                <w:szCs w:val="24"/>
              </w:rPr>
              <w:instrText>‐</w:instrText>
            </w:r>
            <w:r w:rsidRPr="002657D1">
              <w:rPr>
                <w:rFonts w:ascii="Times New Roman" w:hAnsi="Times New Roman" w:cs="Times New Roman" w:hint="eastAsia"/>
                <w:color w:val="000000" w:themeColor="text1"/>
                <w:sz w:val="24"/>
                <w:szCs w:val="24"/>
              </w:rPr>
              <w:instrText>conducting, rare</w:instrText>
            </w:r>
            <w:r w:rsidRPr="002657D1">
              <w:rPr>
                <w:rFonts w:ascii="Times New Roman" w:hAnsi="Times New Roman" w:cs="Times New Roman" w:hint="eastAsia"/>
                <w:color w:val="000000" w:themeColor="text1"/>
                <w:sz w:val="24"/>
                <w:szCs w:val="24"/>
              </w:rPr>
              <w:instrText>‐</w:instrText>
            </w:r>
            <w:r w:rsidRPr="002657D1">
              <w:rPr>
                <w:rFonts w:ascii="Times New Roman" w:hAnsi="Times New Roman" w:cs="Times New Roman" w:hint="eastAsia"/>
                <w:color w:val="000000" w:themeColor="text1"/>
                <w:sz w:val="24"/>
                <w:szCs w:val="24"/>
              </w:rPr>
              <w:instrText>earth halides, Li\n              3\n              MX\n              6\n              (M = Y, Er; X = Cl, Br), have garnered significantly ri</w:instrText>
            </w:r>
            <w:r w:rsidRPr="002657D1">
              <w:rPr>
                <w:rFonts w:ascii="Times New Roman" w:hAnsi="Times New Roman" w:cs="Times New Roman"/>
                <w:color w:val="000000" w:themeColor="text1"/>
                <w:sz w:val="24"/>
                <w:szCs w:val="24"/>
              </w:rPr>
              <w:instrText>sing interest recently, as they have been reported to have oxidative stability and high ionic conductivities. However, while a multitude of materials exhibit a superionic conductivity close to 1 mS cm\n              −1\n              , the exact design st</w:instrText>
            </w:r>
            <w:r w:rsidRPr="002657D1">
              <w:rPr>
                <w:rFonts w:ascii="Times New Roman" w:hAnsi="Times New Roman" w:cs="Times New Roman" w:hint="eastAsia"/>
                <w:color w:val="000000" w:themeColor="text1"/>
                <w:sz w:val="24"/>
                <w:szCs w:val="24"/>
              </w:rPr>
              <w:instrText>rategies to further improve the ionic transport properties have not been established yet. Here, the influence of the employed synthesis method of mechanochemical milling, compared to subsequent crystallization routines as well as classic solid</w:instrText>
            </w:r>
            <w:r w:rsidRPr="002657D1">
              <w:rPr>
                <w:rFonts w:ascii="Times New Roman" w:hAnsi="Times New Roman" w:cs="Times New Roman" w:hint="eastAsia"/>
                <w:color w:val="000000" w:themeColor="text1"/>
                <w:sz w:val="24"/>
                <w:szCs w:val="24"/>
              </w:rPr>
              <w:instrText>‐</w:instrText>
            </w:r>
            <w:r w:rsidRPr="002657D1">
              <w:rPr>
                <w:rFonts w:ascii="Times New Roman" w:hAnsi="Times New Roman" w:cs="Times New Roman" w:hint="eastAsia"/>
                <w:color w:val="000000" w:themeColor="text1"/>
                <w:sz w:val="24"/>
                <w:szCs w:val="24"/>
              </w:rPr>
              <w:instrText>state syntheses on the structure and resulting transport behavior of Li\n              3\n              ErCl\n              6\n              and Li\n              3\n              YCl\n              6\n              are explored. Using a combination of X</w:instrText>
            </w:r>
            <w:r w:rsidRPr="002657D1">
              <w:rPr>
                <w:rFonts w:ascii="Times New Roman" w:hAnsi="Times New Roman" w:cs="Times New Roman" w:hint="eastAsia"/>
                <w:color w:val="000000" w:themeColor="text1"/>
                <w:sz w:val="24"/>
                <w:szCs w:val="24"/>
              </w:rPr>
              <w:instrText>‐</w:instrText>
            </w:r>
            <w:r w:rsidRPr="002657D1">
              <w:rPr>
                <w:rFonts w:ascii="Times New Roman" w:hAnsi="Times New Roman" w:cs="Times New Roman" w:hint="eastAsia"/>
                <w:color w:val="000000" w:themeColor="text1"/>
                <w:sz w:val="24"/>
                <w:szCs w:val="24"/>
              </w:rPr>
              <w:instrText>ray diffrac</w:instrText>
            </w:r>
            <w:r w:rsidRPr="002657D1">
              <w:rPr>
                <w:rFonts w:ascii="Times New Roman" w:hAnsi="Times New Roman" w:cs="Times New Roman"/>
                <w:color w:val="000000" w:themeColor="text1"/>
                <w:sz w:val="24"/>
                <w:szCs w:val="24"/>
              </w:rPr>
              <w:instrText>tion, pair distribution function analysis, density functional theory, and impedance spectroscopy, insights into the average and local structural features that influence the underlying transport are provided. The existence of a cation defect within the structure in which Er/Y are disordered to a new position strongly benefits the transport properties. A synthetically tuned, increasing degree of this disordering leads to a decreasing activation energy and increasing ionic conductivity. This work sheds light on the possible synthesis strategies and helps to systematically understand and further improve the properties of this class of materials.","container-title":"Advanced Energy Materials","DOI":"10.1002/aenm.201903719","ISSN":"1614-6832, 1614-6840","issue":"6","journalAbbreviation":"Advanced Energy Materials","language":"en","page":"1903719","source":"DOI.org (Crossref)","title":"Mechanochemical Synthesis: A Tool to Tune Cation Site Disorder and Ionic Transport Properties of Li &lt;sub&gt;3&lt;/sub&gt; MCl &lt;sub&gt;6&lt;/sub&gt; (M = Y, Er) Superionic Conductors","title-short":"Mechanochemical Synthesis","volume":"10","author":[{"family":"Schlem","given":"Roman"},{"family":"Muy","given":"Sokseiha"},{"family":"Prinz","given":"Nils"},{"family":"Banik","given":"Ananya"},{"family":</w:instrText>
            </w:r>
            <w:r w:rsidRPr="002657D1">
              <w:rPr>
                <w:rFonts w:ascii="Times New Roman" w:hAnsi="Times New Roman" w:cs="Times New Roman" w:hint="eastAsia"/>
                <w:color w:val="000000" w:themeColor="text1"/>
                <w:sz w:val="24"/>
                <w:szCs w:val="24"/>
              </w:rPr>
              <w:instrText>"Shao</w:instrText>
            </w:r>
            <w:r w:rsidRPr="002657D1">
              <w:rPr>
                <w:rFonts w:ascii="Times New Roman" w:hAnsi="Times New Roman" w:cs="Times New Roman" w:hint="eastAsia"/>
                <w:color w:val="000000" w:themeColor="text1"/>
                <w:sz w:val="24"/>
                <w:szCs w:val="24"/>
              </w:rPr>
              <w:instrText>‐</w:instrText>
            </w:r>
            <w:r w:rsidRPr="002657D1">
              <w:rPr>
                <w:rFonts w:ascii="Times New Roman" w:hAnsi="Times New Roman" w:cs="Times New Roman" w:hint="eastAsia"/>
                <w:color w:val="000000" w:themeColor="text1"/>
                <w:sz w:val="24"/>
                <w:szCs w:val="24"/>
              </w:rPr>
              <w:instrText xml:space="preserve">Horn","given":"Yang"},{"family":"Zobel","given":"Mirijam"},{"family":"Zeier","given":"Wolfgang G."}],"issued":{"date-parts":[["2020",2]]}}}],"schema":"https://github.com/citation-style-language/schema/raw/master/csl-citation.json"}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9</w:t>
            </w:r>
            <w:r w:rsidRPr="002657D1">
              <w:rPr>
                <w:rFonts w:ascii="Times New Roman" w:hAnsi="Times New Roman" w:cs="Times New Roman"/>
                <w:color w:val="000000" w:themeColor="text1"/>
                <w:sz w:val="24"/>
                <w:szCs w:val="24"/>
              </w:rPr>
              <w:fldChar w:fldCharType="end"/>
            </w:r>
          </w:p>
        </w:tc>
      </w:tr>
      <w:tr w:rsidR="002657D1" w:rsidRPr="002657D1" w14:paraId="00BAE634" w14:textId="77777777" w:rsidTr="002A5163">
        <w:trPr>
          <w:jc w:val="center"/>
        </w:trPr>
        <w:tc>
          <w:tcPr>
            <w:tcW w:w="1430" w:type="dxa"/>
            <w:vMerge/>
            <w:tcBorders>
              <w:top w:val="nil"/>
              <w:bottom w:val="nil"/>
            </w:tcBorders>
            <w:vAlign w:val="center"/>
          </w:tcPr>
          <w:p w14:paraId="5497D8C5"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6063DF59" w14:textId="77777777"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3</w:t>
            </w:r>
            <w:r w:rsidRPr="002657D1">
              <w:rPr>
                <w:rFonts w:ascii="Times New Roman" w:hAnsi="Times New Roman" w:cs="Times New Roman"/>
                <w:color w:val="000000" w:themeColor="text1"/>
                <w:kern w:val="24"/>
                <w:sz w:val="24"/>
                <w:szCs w:val="24"/>
              </w:rPr>
              <w:t>DyCl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727C34BE" w14:textId="77777777"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0.12</w:t>
            </w:r>
          </w:p>
        </w:tc>
        <w:tc>
          <w:tcPr>
            <w:tcW w:w="1541" w:type="dxa"/>
            <w:tcBorders>
              <w:top w:val="nil"/>
              <w:bottom w:val="nil"/>
            </w:tcBorders>
            <w:vAlign w:val="center"/>
          </w:tcPr>
          <w:p w14:paraId="22004DF1" w14:textId="1DD03DD3" w:rsidR="0046513C" w:rsidRPr="002657D1" w:rsidRDefault="0070459F"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Pr="002657D1">
              <w:rPr>
                <w:rFonts w:ascii="Times New Roman" w:hAnsi="Times New Roman" w:cs="Times New Roman"/>
                <w:color w:val="000000" w:themeColor="text1"/>
                <w:sz w:val="24"/>
                <w:szCs w:val="24"/>
              </w:rPr>
              <w:instrText xml:space="preserve"> ADDIN ZOTERO_ITEM CSL_CITATION {"citationID":"a1h2ongb78o","properties":{"formattedCitation":"\\super 8\\nosupersub{}","plainCitation":"8","noteIndex":0},"citationItems":[{"id":791,"uris":["http://zotero.org/users/local/J1vikkcu/items/GI3PD49Y"],"itemData":{"id":791,"type":"article-journal","abstract":"The safety of lithium-ion batteries has caused notable concerns about their widespread adoption in electric vehicles. A nascent but promising approach to enhancing battery safety is using solid-state electrolytes (SSEs) to develop all-solid-state batteries, which exhibit unrivaled safety and superior energy density. A new family of SSEs based on halogen chemistry has recently gained renewed interest because of their high ionic conductivity, high-voltage stability, good deformability, and cost-effective and scalable synthesis routes. Here, we provide a comprehensive review of halide SSEs concerning their crystal structures, ion transport kinetics, and viability for mass production. Furthermore, their moisture sensitivity and interfacial challenges are summarized with corresponding effective strategies. Last, halide-based all-solid-state Li-ion and Li-S pouch cells with energy density targets of 400 and 500 Wh kg\n              −1\n              are projected to guide future endeavors. This work serves as a comprehensive guideline for developing halide SSEs from material design to practical application.\n            \n          , \n            Halide solid-state electrolytes show great prospects in developing all-solid-state batteries.","container-title":"Science Advances","DOI":"10.1126/sciadv.adc9516","ISSN":"2375-2548","issue":"36","journalAbbreviation":"Sci. Adv.","language":"en","page":"eadc9516","source":"DOI.org (Crossref)","title":"Prospects of halide-based all-solid-state batteries: From material design to practical application","title-short":"Prospects of halide-based all-solid-state batteries","volume":"8","author":[{"family":"Wang","given":"Changhong"},{"family":"Liang","given":"Jianwen"},{"family":"Kim","given":"Jung Tae"},{"family":"Sun","given":"Xueliang"}],"issued":{"date-parts":[["2022",9,9]]}}}],"schema":"https://github.com/citation-style-language/schema/raw/master/csl-citation.json"}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8</w:t>
            </w:r>
            <w:r w:rsidRPr="002657D1">
              <w:rPr>
                <w:rFonts w:ascii="Times New Roman" w:hAnsi="Times New Roman" w:cs="Times New Roman"/>
                <w:color w:val="000000" w:themeColor="text1"/>
                <w:sz w:val="24"/>
                <w:szCs w:val="24"/>
              </w:rPr>
              <w:fldChar w:fldCharType="end"/>
            </w:r>
          </w:p>
        </w:tc>
      </w:tr>
      <w:tr w:rsidR="002657D1" w:rsidRPr="002657D1" w14:paraId="43D2E4A3" w14:textId="77777777" w:rsidTr="002A5163">
        <w:trPr>
          <w:jc w:val="center"/>
        </w:trPr>
        <w:tc>
          <w:tcPr>
            <w:tcW w:w="1430" w:type="dxa"/>
            <w:vMerge/>
            <w:tcBorders>
              <w:top w:val="nil"/>
              <w:bottom w:val="nil"/>
            </w:tcBorders>
            <w:vAlign w:val="center"/>
          </w:tcPr>
          <w:p w14:paraId="1D1E0F97"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2548DE43" w14:textId="77777777"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3</w:t>
            </w:r>
            <w:r w:rsidRPr="002657D1">
              <w:rPr>
                <w:rFonts w:ascii="Times New Roman" w:hAnsi="Times New Roman" w:cs="Times New Roman"/>
                <w:color w:val="000000" w:themeColor="text1"/>
                <w:kern w:val="24"/>
                <w:sz w:val="24"/>
                <w:szCs w:val="24"/>
              </w:rPr>
              <w:t>HoCl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77837D7A" w14:textId="77777777"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0.29</w:t>
            </w:r>
          </w:p>
        </w:tc>
        <w:tc>
          <w:tcPr>
            <w:tcW w:w="1541" w:type="dxa"/>
            <w:tcBorders>
              <w:top w:val="nil"/>
              <w:bottom w:val="nil"/>
            </w:tcBorders>
            <w:vAlign w:val="center"/>
          </w:tcPr>
          <w:p w14:paraId="0A719E4F" w14:textId="49A74ECA"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{"citationID":"iGhH2JMF","properties":{"formattedCitation":"\\super 10\\nosupersub{}","plainCitation":"10","noteIndex":0},"citationItems":[{"id":"IXaoCdHi/9AebLTgV","uris":["http://zotero.org/users/local/As3BANDe/items/ECAIZHD7"],"itemData":{"id":2787,"type":"article-journal","abstract":"Abstract\n            \n              Understanding the relationship between structure, ionic conductivity, and synthesis is the key to the development of superionic conductors. Here, a series of Li\n              3</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 xml:space="preserve">3\n              \n                x\n              \n              M\n              1+\n              \n                x\n              \n              Cl\n              6\n              (−0.14 &lt;\n              x\n            </w:instrText>
            </w:r>
            <w:r w:rsidR="00E725CF" w:rsidRPr="002657D1">
              <w:rPr>
                <w:rFonts w:ascii="Times New Roman" w:hAnsi="Times New Roman" w:cs="Times New Roman" w:hint="eastAsia"/>
                <w:color w:val="000000" w:themeColor="text1"/>
                <w:sz w:val="24"/>
                <w:szCs w:val="24"/>
              </w:rPr>
              <w:instrText xml:space="preserve">   </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 xml:space="preserve"> 0.5, M = Tb, Dy, Ho, Y, Er, Tm) solid electrolytes with orthorhombic and trigonal structures are reported. The orthorhombic phase of 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M</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Cl shows an approximately one order of magnitude increase in ionic conductivities when compared to their trigonal phase. Using the 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Ho</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 xml:space="preserve">Cl components as an example, their structures, phase transition, ionic conductivity, and electrochemical stability are studied. Molecular dynamics simulations reveal the facile diffusion in the\n              z\n              </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direction in the orthorhombic structure, rationalizing the improved ionic conductivities.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batteries of NMC811/Li\n              2.73\n              Ho\n              1.09\n              Cl\n              6\n              /In demonstrate excel</w:instrText>
            </w:r>
            <w:r w:rsidR="00E725CF" w:rsidRPr="002657D1">
              <w:rPr>
                <w:rFonts w:ascii="Times New Roman" w:hAnsi="Times New Roman" w:cs="Times New Roman"/>
                <w:color w:val="000000" w:themeColor="text1"/>
                <w:sz w:val="24"/>
                <w:szCs w:val="24"/>
              </w:rPr>
              <w:instrText>lent electrochemical performance at both 25 and −10 °C. As relevant to the vast number of isostructural halide electrolytes, the present structure control strategy guides the design of halide superionic conductors.","container-title":"Advanced Energy Materials","DOI":"10.1002/aenm.202103921","ISSN":"1614-6832, 1614-6840","issue":"21","journalAbbreviation":"Advanced Energy Materials","language":"en","page":"2103921","source":"DOI.org (Crossref)","title":"A Series of Ternary Metal Chloride Superionic Conduc</w:instrText>
            </w:r>
            <w:r w:rsidR="00E725CF" w:rsidRPr="002657D1">
              <w:rPr>
                <w:rFonts w:ascii="Times New Roman" w:hAnsi="Times New Roman" w:cs="Times New Roman" w:hint="eastAsia"/>
                <w:color w:val="000000" w:themeColor="text1"/>
                <w:sz w:val="24"/>
                <w:szCs w:val="24"/>
              </w:rPr>
              <w:instrText>tors for High</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Performance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Lithium Batteries","volume":"12","author":[{"family":"Liang","given":"Jianwen"},{"family":"Van Der Maas","given":"Eveline"},{"family":"Luo","given":"Jing"},{"family":"Li","given":"Xiaona"},{"family":"Chen","given"</w:instrText>
            </w:r>
            <w:r w:rsidR="00E725CF" w:rsidRPr="002657D1">
              <w:rPr>
                <w:rFonts w:ascii="Times New Roman" w:hAnsi="Times New Roman" w:cs="Times New Roman"/>
                <w:color w:val="000000" w:themeColor="text1"/>
                <w:sz w:val="24"/>
                <w:szCs w:val="24"/>
              </w:rPr>
              <w:instrText xml:space="preserve">:"Ning"},{"family":"Adair","given":"Keegan R."},{"family":"Li","given":"Weihan"},{"family":"Li","given":"Junjie"},{"family":"Hu","given":"Yongfeng"},{"family":"Liu","given":"Jue"},{"family":"Zhang","given":"Li"},{"family":"Zhao","given":"Shangqian"},{"family":"Lu","given":"Shigang"},{"family":"Wang","given":"Jiantao"},{"family":"Huang","given":"Huan"},{"family":"Zhao","given":"Wenxuan"},{"family":"Parnell","given":"Steven"},{"family":"Smith","given":"Ronald I."},{"family":"Ganapathy","given":"Swapna"},{"family":"Wagemaker","given":"Marnix"},{"family":"Sun","given":"Xueliang"}],"issued":{"date-parts":[["2022",6]]}}}],"schema":"https://github.com/citation-style-language/schema/raw/master/csl-citation.json"}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10</w:t>
            </w:r>
            <w:r w:rsidRPr="002657D1">
              <w:rPr>
                <w:rFonts w:ascii="Times New Roman" w:hAnsi="Times New Roman" w:cs="Times New Roman"/>
                <w:color w:val="000000" w:themeColor="text1"/>
                <w:sz w:val="24"/>
                <w:szCs w:val="24"/>
              </w:rPr>
              <w:fldChar w:fldCharType="end"/>
            </w:r>
          </w:p>
        </w:tc>
      </w:tr>
      <w:tr w:rsidR="002657D1" w:rsidRPr="002657D1" w14:paraId="2E171B13" w14:textId="77777777" w:rsidTr="002A5163">
        <w:trPr>
          <w:jc w:val="center"/>
        </w:trPr>
        <w:tc>
          <w:tcPr>
            <w:tcW w:w="1430" w:type="dxa"/>
            <w:vMerge/>
            <w:tcBorders>
              <w:top w:val="nil"/>
              <w:bottom w:val="nil"/>
            </w:tcBorders>
            <w:vAlign w:val="center"/>
          </w:tcPr>
          <w:p w14:paraId="0C9A13F0"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0DFBA60C" w14:textId="77777777"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3</w:t>
            </w:r>
            <w:r w:rsidRPr="002657D1">
              <w:rPr>
                <w:rFonts w:ascii="Times New Roman" w:hAnsi="Times New Roman" w:cs="Times New Roman"/>
                <w:color w:val="000000" w:themeColor="text1"/>
                <w:kern w:val="24"/>
                <w:sz w:val="24"/>
                <w:szCs w:val="24"/>
              </w:rPr>
              <w:t>TmCl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0A1DD542" w14:textId="77777777"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0.11</w:t>
            </w:r>
          </w:p>
        </w:tc>
        <w:tc>
          <w:tcPr>
            <w:tcW w:w="1541" w:type="dxa"/>
            <w:tcBorders>
              <w:top w:val="nil"/>
              <w:bottom w:val="nil"/>
            </w:tcBorders>
            <w:vAlign w:val="center"/>
          </w:tcPr>
          <w:p w14:paraId="358AEF9D" w14:textId="0B1AB000" w:rsidR="0046513C" w:rsidRPr="002657D1" w:rsidRDefault="0065352F"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70459F" w:rsidRPr="002657D1">
              <w:rPr>
                <w:rFonts w:ascii="Times New Roman" w:hAnsi="Times New Roman" w:cs="Times New Roman"/>
                <w:color w:val="000000" w:themeColor="text1"/>
                <w:sz w:val="24"/>
                <w:szCs w:val="24"/>
              </w:rPr>
              <w:instrText xml:space="preserve"> ADDIN ZOTERO_ITEM CSL_CITATION {"citationID":"asqkvgu2m0","properties":{"formattedCitation":"\\super 8\\nosupersub{}","plainCitation":"8","noteIndex":0},"citationItems":[{"id":791,"uris":["http://zotero.org/users/local/J1vikkcu/items/GI3PD49Y"],"itemData":{"id":791,"type":"article-journal","abstract":"The safety of lithium-ion batteries has caused notable concerns about their widespread adoption in electric vehicles. A nascent but promising approach to enhancing battery safety is using solid-state electrolytes (SSEs) to develop all-solid-state batteries, which exhibit unrivaled safety and superior energy density. A new family of SSEs based on halogen chemistry has recently gained renewed interest because of their high ionic conductivity, high-voltage stability, good deformability, and cost-effective and scalable synthesis routes. Here, we provide a comprehensive review of halide SSEs concerning their crystal structures, ion transport kinetics, and viability for mass production. Furthermore, their moisture sensitivity and interfacial challenges are summarized with corresponding effective strategies. Last, halide-based all-solid-state Li-ion and Li-S pouch cells with energy density targets of 400 and 500 Wh kg\n              −1\n              are projected to guide future endeavors. This work serves as a comprehensive guideline for developing halide SSEs from material design to practical application.\n            \n          , \n            Halide solid-state electrolytes show great prospects in developing all-solid-state batteries.","container-title":"Science Advances","DOI":"10.1126/sciadv.adc9516","ISSN":"2375-2548","issue":"36","journalAbbreviation":"Sci. Adv.","language":"en","page":"eadc9516","source":"DOI.org (Crossref)","title":"Prospects of halide-based all-solid-state batteries: From material design to practical application","title-short":"Prospects of halide-based all-solid-state batteries","volume":"8","author":[{"family":"Wang","given":"Changhong"},{"family":"Liang","given":"Jianwen"},{"family":"Kim","given":"Jung Tae"},{"family":"Sun","given":"Xueliang"}],"issued":{"date-parts":[["2022",9,9]]}}}],"schema":"https://github.com/citation-style-language/schema/raw/master/csl-citation.json"}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8</w:t>
            </w:r>
            <w:r w:rsidRPr="002657D1">
              <w:rPr>
                <w:rFonts w:ascii="Times New Roman" w:hAnsi="Times New Roman" w:cs="Times New Roman"/>
                <w:color w:val="000000" w:themeColor="text1"/>
                <w:sz w:val="24"/>
                <w:szCs w:val="24"/>
              </w:rPr>
              <w:fldChar w:fldCharType="end"/>
            </w:r>
          </w:p>
        </w:tc>
      </w:tr>
      <w:tr w:rsidR="002657D1" w:rsidRPr="002657D1" w14:paraId="18F6F95A" w14:textId="77777777" w:rsidTr="002A5163">
        <w:trPr>
          <w:jc w:val="center"/>
        </w:trPr>
        <w:tc>
          <w:tcPr>
            <w:tcW w:w="1430" w:type="dxa"/>
            <w:vMerge/>
            <w:tcBorders>
              <w:top w:val="nil"/>
              <w:bottom w:val="nil"/>
            </w:tcBorders>
            <w:vAlign w:val="center"/>
          </w:tcPr>
          <w:p w14:paraId="477674DB"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266DBDF1" w14:textId="77777777"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3</w:t>
            </w:r>
            <w:r w:rsidRPr="002657D1">
              <w:rPr>
                <w:rFonts w:ascii="Times New Roman" w:hAnsi="Times New Roman" w:cs="Times New Roman"/>
                <w:color w:val="000000" w:themeColor="text1"/>
                <w:kern w:val="24"/>
                <w:sz w:val="24"/>
                <w:szCs w:val="24"/>
              </w:rPr>
              <w:t>YbCl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5B1C8BDC" w14:textId="6C54F306" w:rsidR="0046513C" w:rsidRPr="002657D1" w:rsidRDefault="0065352F"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hint="eastAsia"/>
                <w:color w:val="000000" w:themeColor="text1"/>
                <w:kern w:val="24"/>
                <w:sz w:val="24"/>
                <w:szCs w:val="24"/>
              </w:rPr>
              <w:t>0.1</w:t>
            </w:r>
          </w:p>
        </w:tc>
        <w:tc>
          <w:tcPr>
            <w:tcW w:w="1541" w:type="dxa"/>
            <w:tcBorders>
              <w:top w:val="nil"/>
              <w:bottom w:val="nil"/>
            </w:tcBorders>
            <w:vAlign w:val="center"/>
          </w:tcPr>
          <w:p w14:paraId="712E516F" w14:textId="7B875B36" w:rsidR="0046513C" w:rsidRPr="002657D1" w:rsidRDefault="0065352F"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70459F" w:rsidRPr="002657D1">
              <w:rPr>
                <w:rFonts w:ascii="Times New Roman" w:hAnsi="Times New Roman" w:cs="Times New Roman"/>
                <w:color w:val="000000" w:themeColor="text1"/>
                <w:sz w:val="24"/>
                <w:szCs w:val="24"/>
              </w:rPr>
              <w:instrText xml:space="preserve"> ADDIN ZOTERO_ITEM CSL_CITATION {"citationID":"au9u2pppsv","properties":{"formattedCitation":"\\super 11\\nosupersub{}","plainCitation":"11","noteIndex":0},"citationItems":[{"id":763,"uris":["http://zotero.org/users/local/J1vikkcu/items/S5SMBIPE"],"itemData":{"id":763,"type":"article-journal","container-title":"ACS Materials Letters","DOI":"10.1021/acsmaterialslett.1c00142","ISSN":"2639-4979, 2639-4979","issue":"7","journalAbbreviation":"ACS Materials Lett.","language":"en","license":"https://doi.org/10.15223/policy-029","page":"930-938","source":"DOI.org (Crossref)","title":"Lithium Ytterbium-Based Halide Solid Electrolytes for High Voltage All-Solid-State Batteries","volume":"3","author":[{"family":"Kim","given":"Se Young"},{"family":"Kaup","given":"Kavish"},{"family":"Park","given":"Kern-Ho"},{"family":"Assoud","given":"Abdeljalil"},{"family":"Zhou","given":"Laidong"},{"family":"Liu","given":"Jue"},{"family":"Wu","given":"Xiaohan"},{"family":"Nazar","given":"Linda F."}],"issued":{"date-parts":[["2021",7,5]]}}}],"schema":"https://github.com/citation-style-language/schema/raw/master/csl-citation.json"}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11</w:t>
            </w:r>
            <w:r w:rsidRPr="002657D1">
              <w:rPr>
                <w:rFonts w:ascii="Times New Roman" w:hAnsi="Times New Roman" w:cs="Times New Roman"/>
                <w:color w:val="000000" w:themeColor="text1"/>
                <w:sz w:val="24"/>
                <w:szCs w:val="24"/>
              </w:rPr>
              <w:fldChar w:fldCharType="end"/>
            </w:r>
          </w:p>
        </w:tc>
      </w:tr>
      <w:tr w:rsidR="002657D1" w:rsidRPr="002657D1" w14:paraId="0EA1F40D" w14:textId="77777777" w:rsidTr="002A5163">
        <w:trPr>
          <w:jc w:val="center"/>
        </w:trPr>
        <w:tc>
          <w:tcPr>
            <w:tcW w:w="1430" w:type="dxa"/>
            <w:vMerge/>
            <w:tcBorders>
              <w:top w:val="nil"/>
              <w:bottom w:val="nil"/>
            </w:tcBorders>
            <w:vAlign w:val="center"/>
          </w:tcPr>
          <w:p w14:paraId="55C8A612"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0D97D91C"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2</w:t>
            </w:r>
            <w:r w:rsidRPr="002657D1">
              <w:rPr>
                <w:rFonts w:ascii="Times New Roman" w:hAnsi="Times New Roman" w:cs="Times New Roman"/>
                <w:color w:val="000000" w:themeColor="text1"/>
                <w:kern w:val="24"/>
                <w:sz w:val="24"/>
                <w:szCs w:val="24"/>
              </w:rPr>
              <w:t>ZrCl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1570AF1D"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0.81</w:t>
            </w:r>
          </w:p>
        </w:tc>
        <w:tc>
          <w:tcPr>
            <w:tcW w:w="1541" w:type="dxa"/>
            <w:tcBorders>
              <w:top w:val="nil"/>
              <w:bottom w:val="nil"/>
            </w:tcBorders>
            <w:vAlign w:val="center"/>
          </w:tcPr>
          <w:p w14:paraId="1EFA97E5" w14:textId="11D150CF" w:rsidR="0046513C" w:rsidRPr="002657D1" w:rsidRDefault="00F903E4"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Pr="002657D1">
              <w:rPr>
                <w:rFonts w:ascii="Times New Roman" w:hAnsi="Times New Roman" w:cs="Times New Roman"/>
                <w:color w:val="000000" w:themeColor="text1"/>
                <w:sz w:val="24"/>
                <w:szCs w:val="24"/>
              </w:rPr>
              <w:instrText xml:space="preserve"> ADDIN ZOTERO_ITEM CSL_CITATION {"citationID":"au514ov7o3","properties":{"formattedCitation":"\\super 1\\nosupersub{}","plainCitation":"1","noteIndex":0},"citationItems":[{"id":29,"uris":["http://zotero.org/users/local/J1vikkcu/items/3R2LFZWA"],"itemData":{"id":29,"type":"article-journal","abstract":"Abstract\n            \n              Li-ion-conducting chloride solid electrolytes receive considerable attention due to their physicochemical characteristics such as high ionic conductivity, deformability and oxidative stability. However, the raw materials are expensive, and large-scale use of this class of inorganic superionic conductors seems unlikely. Here, a cost-effective chloride solid electrolyte, Li\n              2\n              ZrCl\n              6\n              , is reported. Its raw materials are several orders of magnitude cheaper than those for the state-of-the-art chloride solid electrolytes, but high ionic conductivity (0.81 mS cm\n              –1\n              at room temperature), deformability, and compatibility with 4V-class cathodes are still simultaneously achieved in Li\n              2\n              ZrCl\n              6\n              . Moreover, Li\n              2\n              ZrCl\n              6\n              demonstrates a humidity tolerance with no sign of moisture uptake or conductivity degradation after exposure to an atmosphere with 5% relative humidity. By combining Li\n              2\n              ZrCl\n              6\n              with the Li-In anode and the single-crystal LiNi\n              0.8\n              Mn\n              0.1\n              Co\n              0.1\n              O\n              2\n              cathode, we report a room-temperature all-solid-state cell with a stable specific capacity of about 150 mAh g\n              –1\n              for 200 cycles at 200 mA g\n              –1\n              .","container-title":"Nature Communications","DOI":"10.1038/s41467-021-24697-2","ISSN":"2041-1723","issue":"1","journalAbbreviation":"Nat Commun","language":"en","page":"4410","source":"DOI.org (Crossref)","title":"A cost-effective and humidity-tolerant chloride solid electrolyte for lithium batteries","volume":"12","author":[{"family":"Wang","given":"Kai"},{"family":"Ren","given":"Qingyong"},{"family":"Gu","given":"Zhenqi"},{"family":"Duan","given":"Chaomin"},{"family":"Wang","given":"Jinzhu"},{"family":"Zhu","given":"Feng"},{"family":"Fu","given":"Yuanyuan"},{"family":"Hao","given":"Jipeng"},{"family":"Zhu","given":"Jinfeng"},{"family":"He","given":"Lunhua"},{"family":"Wang","given":"Chin-Wei"},{"family":"Lu","given":"Yingying"},{"family":"Ma","given":"Jie"},{"family":"Ma","given":"Cheng"}],"issued":{"date-parts":[["2021",7,20]]}}}],"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1</w:t>
            </w:r>
            <w:r w:rsidRPr="002657D1">
              <w:rPr>
                <w:rFonts w:ascii="Times New Roman" w:hAnsi="Times New Roman" w:cs="Times New Roman"/>
                <w:color w:val="000000" w:themeColor="text1"/>
                <w:sz w:val="24"/>
                <w:szCs w:val="24"/>
              </w:rPr>
              <w:fldChar w:fldCharType="end"/>
            </w:r>
          </w:p>
        </w:tc>
      </w:tr>
      <w:tr w:rsidR="002657D1" w:rsidRPr="002657D1" w14:paraId="7896A663" w14:textId="77777777" w:rsidTr="00836447">
        <w:trPr>
          <w:jc w:val="center"/>
        </w:trPr>
        <w:tc>
          <w:tcPr>
            <w:tcW w:w="1430" w:type="dxa"/>
            <w:vMerge/>
            <w:tcBorders>
              <w:top w:val="nil"/>
              <w:bottom w:val="nil"/>
            </w:tcBorders>
            <w:vAlign w:val="center"/>
          </w:tcPr>
          <w:p w14:paraId="0B29C2F5" w14:textId="77777777" w:rsidR="00BA4A19" w:rsidRPr="002657D1" w:rsidRDefault="00BA4A19"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5C28EEF8" w14:textId="380B5124" w:rsidR="00BA4A19" w:rsidRPr="002657D1" w:rsidRDefault="00BA4A19"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3</w:t>
            </w:r>
            <w:r w:rsidRPr="002657D1">
              <w:rPr>
                <w:rFonts w:ascii="Times New Roman" w:hAnsi="Times New Roman" w:cs="Times New Roman" w:hint="eastAsia"/>
                <w:color w:val="000000" w:themeColor="text1"/>
                <w:kern w:val="24"/>
                <w:sz w:val="24"/>
                <w:szCs w:val="24"/>
              </w:rPr>
              <w:t>Er</w:t>
            </w:r>
            <w:r w:rsidRPr="002657D1">
              <w:rPr>
                <w:rFonts w:ascii="Times New Roman" w:hAnsi="Times New Roman" w:cs="Times New Roman"/>
                <w:color w:val="000000" w:themeColor="text1"/>
                <w:kern w:val="24"/>
                <w:sz w:val="24"/>
                <w:szCs w:val="24"/>
                <w:vertAlign w:val="subscript"/>
              </w:rPr>
              <w:t>0.95</w:t>
            </w:r>
            <w:r w:rsidRPr="002657D1">
              <w:rPr>
                <w:rFonts w:ascii="Times New Roman" w:hAnsi="Times New Roman" w:cs="Times New Roman" w:hint="eastAsia"/>
                <w:color w:val="000000" w:themeColor="text1"/>
                <w:kern w:val="24"/>
                <w:sz w:val="24"/>
                <w:szCs w:val="24"/>
              </w:rPr>
              <w:t>In</w:t>
            </w:r>
            <w:r w:rsidRPr="002657D1">
              <w:rPr>
                <w:rFonts w:ascii="Times New Roman" w:hAnsi="Times New Roman" w:cs="Times New Roman"/>
                <w:color w:val="000000" w:themeColor="text1"/>
                <w:kern w:val="24"/>
                <w:sz w:val="24"/>
                <w:szCs w:val="24"/>
                <w:vertAlign w:val="subscript"/>
              </w:rPr>
              <w:t>0.05</w:t>
            </w:r>
            <w:r w:rsidRPr="002657D1">
              <w:rPr>
                <w:rFonts w:ascii="Times New Roman" w:hAnsi="Times New Roman" w:cs="Times New Roman" w:hint="eastAsia"/>
                <w:color w:val="000000" w:themeColor="text1"/>
                <w:kern w:val="24"/>
                <w:sz w:val="24"/>
                <w:szCs w:val="24"/>
              </w:rPr>
              <w:t>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29648240" w14:textId="3DE58FBA" w:rsidR="00BA4A19" w:rsidRPr="002657D1" w:rsidRDefault="00BA4A19"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0.33</w:t>
            </w:r>
          </w:p>
        </w:tc>
        <w:tc>
          <w:tcPr>
            <w:tcW w:w="1541" w:type="dxa"/>
            <w:tcBorders>
              <w:top w:val="nil"/>
              <w:bottom w:val="nil"/>
            </w:tcBorders>
            <w:vAlign w:val="center"/>
          </w:tcPr>
          <w:p w14:paraId="0FE5A925" w14:textId="52423E2E" w:rsidR="00BA4A19" w:rsidRPr="002657D1" w:rsidRDefault="00BA4A19"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70459F" w:rsidRPr="002657D1">
              <w:rPr>
                <w:rFonts w:ascii="Times New Roman" w:hAnsi="Times New Roman" w:cs="Times New Roman"/>
                <w:color w:val="000000" w:themeColor="text1"/>
                <w:sz w:val="24"/>
                <w:szCs w:val="24"/>
              </w:rPr>
              <w:instrText xml:space="preserve"> ADDIN ZOTERO_ITEM CSL_CITATION {"citationID":"ahi16bhkpa","properties":{"formattedCitation":"\\super 12\\nosupersub{}","plainCitation":"12","noteIndex":0},"citationItems":[{"id":1158,"uris":["http://zotero.org/users/local/J1vikkcu/items/BWFXETR5"],"itemData":{"id":1158,"type":"article-journal","container-title":"Nature Communications","language":"en","source":"Zotero","title":"Structural regulation of halide superionic conductors for all-solid-state lithium batteries","author":[{"family":"Li","given":"Xiaona"}],"issued":{"date-parts":[["2024"]]}}}],"schema":"https://github.com/citation-style-language/schema/raw/master/csl-citation.json"}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12</w:t>
            </w:r>
            <w:r w:rsidRPr="002657D1">
              <w:rPr>
                <w:rFonts w:ascii="Times New Roman" w:hAnsi="Times New Roman" w:cs="Times New Roman"/>
                <w:color w:val="000000" w:themeColor="text1"/>
                <w:sz w:val="24"/>
                <w:szCs w:val="24"/>
              </w:rPr>
              <w:fldChar w:fldCharType="end"/>
            </w:r>
          </w:p>
        </w:tc>
      </w:tr>
      <w:tr w:rsidR="002657D1" w:rsidRPr="002657D1" w14:paraId="15A11AC2" w14:textId="77777777" w:rsidTr="002A5163">
        <w:trPr>
          <w:jc w:val="center"/>
        </w:trPr>
        <w:tc>
          <w:tcPr>
            <w:tcW w:w="1430" w:type="dxa"/>
            <w:vMerge/>
            <w:tcBorders>
              <w:top w:val="nil"/>
              <w:bottom w:val="nil"/>
            </w:tcBorders>
            <w:vAlign w:val="center"/>
          </w:tcPr>
          <w:p w14:paraId="761C519D"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3773EB66"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2</w:t>
            </w:r>
            <w:r w:rsidRPr="002657D1">
              <w:rPr>
                <w:rFonts w:ascii="Times New Roman" w:hAnsi="Times New Roman" w:cs="Times New Roman"/>
                <w:color w:val="000000" w:themeColor="text1"/>
                <w:kern w:val="24"/>
                <w:sz w:val="24"/>
                <w:szCs w:val="24"/>
              </w:rPr>
              <w:t>ZrCl</w:t>
            </w:r>
            <w:r w:rsidRPr="002657D1">
              <w:rPr>
                <w:rFonts w:ascii="Times New Roman" w:hAnsi="Times New Roman" w:cs="Times New Roman"/>
                <w:color w:val="000000" w:themeColor="text1"/>
                <w:kern w:val="24"/>
                <w:sz w:val="24"/>
                <w:szCs w:val="24"/>
                <w:vertAlign w:val="subscript"/>
              </w:rPr>
              <w:t>5.5</w:t>
            </w:r>
            <w:r w:rsidRPr="002657D1">
              <w:rPr>
                <w:rFonts w:ascii="Times New Roman" w:hAnsi="Times New Roman" w:cs="Times New Roman"/>
                <w:color w:val="000000" w:themeColor="text1"/>
                <w:kern w:val="24"/>
                <w:sz w:val="24"/>
                <w:szCs w:val="24"/>
              </w:rPr>
              <w:t>F</w:t>
            </w:r>
            <w:r w:rsidRPr="002657D1">
              <w:rPr>
                <w:rFonts w:ascii="Times New Roman" w:hAnsi="Times New Roman" w:cs="Times New Roman"/>
                <w:color w:val="000000" w:themeColor="text1"/>
                <w:kern w:val="24"/>
                <w:sz w:val="24"/>
                <w:szCs w:val="24"/>
                <w:vertAlign w:val="subscript"/>
              </w:rPr>
              <w:t>0.5</w:t>
            </w:r>
          </w:p>
        </w:tc>
        <w:tc>
          <w:tcPr>
            <w:tcW w:w="1755" w:type="dxa"/>
            <w:tcBorders>
              <w:top w:val="nil"/>
              <w:bottom w:val="nil"/>
            </w:tcBorders>
            <w:vAlign w:val="center"/>
          </w:tcPr>
          <w:p w14:paraId="751A692A"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0.16</w:t>
            </w:r>
          </w:p>
        </w:tc>
        <w:tc>
          <w:tcPr>
            <w:tcW w:w="1541" w:type="dxa"/>
            <w:tcBorders>
              <w:top w:val="nil"/>
              <w:bottom w:val="nil"/>
            </w:tcBorders>
            <w:vAlign w:val="center"/>
          </w:tcPr>
          <w:p w14:paraId="11416A8B" w14:textId="71ECB9A3"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{"citationID":"s5iZbuZD","properties":{"formattedCitation":"\\super 13\\nosupersub{}","plainCitation":"13","noteIndex":0},"citationItems":[{"id":"IXaoCdHi/M4TqEsCC","uris":["http://zotero.org/users/local/As3BANDe/items/BRZF9XW8"],"itemData":{"id":2792,"type":"article-journal","container-title":"ACS Applied Materials &amp; Interfaces","DOI":"10.1021/acsami.3c03513","ISSN":"1944-8244, 1944-8252","issue":"32","journalAbbreviation":"ACS Appl. Mater. Interfaces","language":"en","license":"https://creativecommons.org/licenses/by-nc-nd/4.0/","page":"38391-38402","source":"DOI.org (Crossref)","title":"Fluorine-Substituted Halide Solid Electrolytes with Enhanced Stability toward the Lithium Metal","volume":"15","author":[{"family":"Ganesan","given":"Priya"},{"family":"Soans","given":"Mervyn"},{"family":"Cambaz","given":"Musa Ali"},{"family":"Zimmermanns","given":"Ramon"},{"family":"Gond","given":"Ritambhara"},{"family":"Fuchs","given":"Stefan"},{"family":"Hu","given":"Yang"},{"family":"Baumgart","given":"Sebastian"},{"family":"Sotoudeh","given":"Mohsen"},{"family":"Stepien","given":"Dominik"},{"family":"Stein","given":"Helge"},{"family":"Groß","given":"Axel"},{"family":"Bresser","given":"Dominic"},{"family":"Varzi","given":"Alberto"},{"family":"Fichtner","given":"Maximilian"}],"issued":{"date-parts":[["2023",8,16]]}}}],"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13</w:t>
            </w:r>
            <w:r w:rsidRPr="002657D1">
              <w:rPr>
                <w:rFonts w:ascii="Times New Roman" w:hAnsi="Times New Roman" w:cs="Times New Roman"/>
                <w:color w:val="000000" w:themeColor="text1"/>
                <w:sz w:val="24"/>
                <w:szCs w:val="24"/>
              </w:rPr>
              <w:fldChar w:fldCharType="end"/>
            </w:r>
          </w:p>
        </w:tc>
      </w:tr>
      <w:tr w:rsidR="002657D1" w:rsidRPr="002657D1" w14:paraId="5DD5C74E" w14:textId="77777777" w:rsidTr="002A5163">
        <w:trPr>
          <w:jc w:val="center"/>
        </w:trPr>
        <w:tc>
          <w:tcPr>
            <w:tcW w:w="1430" w:type="dxa"/>
            <w:vMerge/>
            <w:tcBorders>
              <w:top w:val="nil"/>
              <w:bottom w:val="nil"/>
            </w:tcBorders>
            <w:vAlign w:val="center"/>
          </w:tcPr>
          <w:p w14:paraId="2CBF5DF5" w14:textId="77777777" w:rsidR="0065352F" w:rsidRPr="002657D1" w:rsidRDefault="0065352F" w:rsidP="0065352F">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44844BFB" w14:textId="55C168B4" w:rsidR="0065352F" w:rsidRPr="002657D1" w:rsidRDefault="0065352F" w:rsidP="0065352F">
            <w:pPr>
              <w:widowControl/>
              <w:spacing w:line="360" w:lineRule="auto"/>
              <w:jc w:val="center"/>
              <w:rPr>
                <w:rFonts w:ascii="Times New Roman" w:hAnsi="Times New Roman" w:cs="Times New Roman"/>
                <w:color w:val="000000" w:themeColor="text1"/>
                <w:kern w:val="24"/>
                <w:sz w:val="24"/>
                <w:szCs w:val="24"/>
              </w:rPr>
            </w:pPr>
            <w:bookmarkStart w:id="93" w:name="OLE_LINK82"/>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2.25</w:t>
            </w:r>
            <w:r w:rsidRPr="002657D1">
              <w:rPr>
                <w:rFonts w:ascii="Times New Roman" w:hAnsi="Times New Roman" w:cs="Times New Roman"/>
                <w:color w:val="000000" w:themeColor="text1"/>
                <w:kern w:val="24"/>
                <w:sz w:val="24"/>
                <w:szCs w:val="24"/>
              </w:rPr>
              <w:t>Zr</w:t>
            </w:r>
            <w:r w:rsidRPr="002657D1">
              <w:rPr>
                <w:rFonts w:ascii="Times New Roman" w:hAnsi="Times New Roman" w:cs="Times New Roman"/>
                <w:color w:val="000000" w:themeColor="text1"/>
                <w:kern w:val="24"/>
                <w:sz w:val="24"/>
                <w:szCs w:val="24"/>
                <w:vertAlign w:val="subscript"/>
              </w:rPr>
              <w:t>0.75</w:t>
            </w:r>
            <w:r w:rsidRPr="002657D1">
              <w:rPr>
                <w:rFonts w:ascii="Times New Roman" w:hAnsi="Times New Roman" w:cs="Times New Roman"/>
                <w:color w:val="000000" w:themeColor="text1"/>
                <w:kern w:val="24"/>
                <w:sz w:val="24"/>
                <w:szCs w:val="24"/>
              </w:rPr>
              <w:t>Fe</w:t>
            </w:r>
            <w:r w:rsidRPr="002657D1">
              <w:rPr>
                <w:rFonts w:ascii="Times New Roman" w:hAnsi="Times New Roman" w:cs="Times New Roman"/>
                <w:color w:val="000000" w:themeColor="text1"/>
                <w:kern w:val="24"/>
                <w:sz w:val="24"/>
                <w:szCs w:val="24"/>
                <w:vertAlign w:val="subscript"/>
              </w:rPr>
              <w:t>0.25</w:t>
            </w:r>
            <w:r w:rsidRPr="002657D1">
              <w:rPr>
                <w:rFonts w:ascii="Times New Roman" w:hAnsi="Times New Roman" w:cs="Times New Roman"/>
                <w:color w:val="000000" w:themeColor="text1"/>
                <w:kern w:val="24"/>
                <w:sz w:val="24"/>
                <w:szCs w:val="24"/>
              </w:rPr>
              <w:t>Cl</w:t>
            </w:r>
            <w:r w:rsidRPr="002657D1">
              <w:rPr>
                <w:rFonts w:ascii="Times New Roman" w:hAnsi="Times New Roman" w:cs="Times New Roman"/>
                <w:color w:val="000000" w:themeColor="text1"/>
                <w:kern w:val="24"/>
                <w:sz w:val="24"/>
                <w:szCs w:val="24"/>
                <w:vertAlign w:val="subscript"/>
              </w:rPr>
              <w:t>6</w:t>
            </w:r>
            <w:bookmarkEnd w:id="93"/>
          </w:p>
        </w:tc>
        <w:tc>
          <w:tcPr>
            <w:tcW w:w="1755" w:type="dxa"/>
            <w:tcBorders>
              <w:top w:val="nil"/>
              <w:bottom w:val="nil"/>
            </w:tcBorders>
            <w:vAlign w:val="center"/>
          </w:tcPr>
          <w:p w14:paraId="2263BD11" w14:textId="77DAA950" w:rsidR="0065352F" w:rsidRPr="002657D1" w:rsidRDefault="0065352F" w:rsidP="0065352F">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0.98</w:t>
            </w:r>
          </w:p>
        </w:tc>
        <w:tc>
          <w:tcPr>
            <w:tcW w:w="1541" w:type="dxa"/>
            <w:tcBorders>
              <w:top w:val="nil"/>
              <w:bottom w:val="nil"/>
            </w:tcBorders>
            <w:vAlign w:val="center"/>
          </w:tcPr>
          <w:p w14:paraId="675909B1" w14:textId="5E714641" w:rsidR="0065352F" w:rsidRPr="002657D1" w:rsidRDefault="0065352F" w:rsidP="0065352F">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70459F" w:rsidRPr="002657D1">
              <w:rPr>
                <w:rFonts w:ascii="Times New Roman" w:hAnsi="Times New Roman" w:cs="Times New Roman"/>
                <w:color w:val="000000" w:themeColor="text1"/>
                <w:sz w:val="24"/>
                <w:szCs w:val="24"/>
              </w:rPr>
              <w:instrText xml:space="preserve"> ADDIN ZOTERO_ITEM CSL_CITATION {"citationID":"a1k2philm0h","properties":{"formattedCitation":"\\super 14\\nosupersub{}","plainCitation":"14","noteIndex":0},"citationItems":[{"id":159,"uris":["http://zotero.org/users/local/J1vikkcu/items/HQHPVMVF"],"itemData":{"id":159,"type":"article-journal","abstract":"Abstract\n            \n              Owing to the combined advantages of sulfide and oxide solid electrolytes (SEs), that is, mechanical sinterability and excellent (electro)chemical stability, recently</w:instrText>
            </w:r>
            <w:r w:rsidR="0070459F" w:rsidRPr="002657D1">
              <w:rPr>
                <w:rFonts w:ascii="Times New Roman" w:hAnsi="Times New Roman" w:cs="Times New Roman" w:hint="eastAsia"/>
                <w:color w:val="000000" w:themeColor="text1"/>
                <w:sz w:val="24"/>
                <w:szCs w:val="24"/>
              </w:rPr>
              <w:instrText xml:space="preserve"> emerging halide SEs such as Li\n              3\n              YCl\n              6\n              are considered to be a game changer for the development of all</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solid</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state batteries. However, the use of expensive central metals hinders their practical applicability. Herein, a new halide superionic conductors are reported that are free of rare</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earth metals: hexagonal close</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 xml:space="preserve">packed (hcp) Li\n              2\n              ZrCl\n              6\n              and Fe\n              3+\n              </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substituted Li\n              2\n              ZrCl\n              6\n              , derived via a mechanochemical method. Conventional heat treatment yields cubic close</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 xml:space="preserve">packed monoclinic Li\n              2\n              ZrCl\n              6\n              </w:instrText>
            </w:r>
            <w:r w:rsidR="0070459F" w:rsidRPr="002657D1">
              <w:rPr>
                <w:rFonts w:ascii="Times New Roman" w:hAnsi="Times New Roman" w:cs="Times New Roman"/>
                <w:color w:val="000000" w:themeColor="text1"/>
                <w:sz w:val="24"/>
                <w:szCs w:val="24"/>
              </w:rPr>
              <w:instrText>with a low Li\n              +\n              conductivity of 5.7 × 10\n              −6\n              S cm\n              −1\n              at 30 °C. In contrast, hcp Li\n              2\n              ZrCl\n              6\n              with a high Li\n              +\n              conductivity of 4.0 × 10\n              −4\n              S cm\n              −1\n              is derived via ball</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color w:val="000000" w:themeColor="text1"/>
                <w:sz w:val="24"/>
                <w:szCs w:val="24"/>
              </w:rPr>
              <w:instrText xml:space="preserve">milling. More importantly, the aliovalent substitution of Li\n              2\n              ZrCl\n       </w:instrText>
            </w:r>
            <w:r w:rsidR="0070459F" w:rsidRPr="002657D1">
              <w:rPr>
                <w:rFonts w:ascii="Times New Roman" w:hAnsi="Times New Roman" w:cs="Times New Roman" w:hint="eastAsia"/>
                <w:color w:val="000000" w:themeColor="text1"/>
                <w:sz w:val="24"/>
                <w:szCs w:val="24"/>
              </w:rPr>
              <w:instrText xml:space="preserve">       6\n              with Fe\n              3+\n              , which is probed by complementary analyses using X</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ray diffraction, pair distribution function, X</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 xml:space="preserve">ray absorption spectroscopy, and Raman spectroscopy measurements, drastically enhances the </w:instrText>
            </w:r>
            <w:r w:rsidR="0070459F" w:rsidRPr="002657D1">
              <w:rPr>
                <w:rFonts w:ascii="Times New Roman" w:hAnsi="Times New Roman" w:cs="Times New Roman"/>
                <w:color w:val="000000" w:themeColor="text1"/>
                <w:sz w:val="24"/>
                <w:szCs w:val="24"/>
              </w:rPr>
              <w:instrText xml:space="preserve">Li\n              +\n              conductivity up to </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color w:val="000000" w:themeColor="text1"/>
                <w:sz w:val="24"/>
                <w:szCs w:val="24"/>
              </w:rPr>
              <w:instrText>1 mS cm\n              −1\n              for Li\n              2.25\n              Zr\n              0.75\n              Fe\n              0.25\n              Cl\n              6\n              . The superior interfacial stability when using Li\n              2+\n              \n                x\n              \n              Zr\n              1−\n              \n                x\n              \n              Fe\n              \n                x\n              \n              Cl\n              6\n              , as compared to that when using conventional Li\n              6\n              PS\n              5\n              Cl, is proved. Furthermore, an excellent electrochemical performance of th</w:instrText>
            </w:r>
            <w:r w:rsidR="0070459F" w:rsidRPr="002657D1">
              <w:rPr>
                <w:rFonts w:ascii="Times New Roman" w:hAnsi="Times New Roman" w:cs="Times New Roman" w:hint="eastAsia"/>
                <w:color w:val="000000" w:themeColor="text1"/>
                <w:sz w:val="24"/>
                <w:szCs w:val="24"/>
              </w:rPr>
              <w:instrText>e all</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solid</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state batteries is achieved via the combination of Li\n              2\n              ZrCl\n              6\n              and single</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crystalline LiNi\n              0.88\n              Co\n              0.11\n              Al\n              0</w:instrText>
            </w:r>
            <w:r w:rsidR="0070459F" w:rsidRPr="002657D1">
              <w:rPr>
                <w:rFonts w:ascii="Times New Roman" w:hAnsi="Times New Roman" w:cs="Times New Roman"/>
                <w:color w:val="000000" w:themeColor="text1"/>
                <w:sz w:val="24"/>
                <w:szCs w:val="24"/>
              </w:rPr>
              <w:instrText>.01\n              O\n              2\n              .","container-title":"Advanced Energy Materials","DOI":"10.1002/aenm.202003190","ISSN":"1614-6832, 1614-6840","issue":"12","journalAbbreviation":"Advanced Energy Materials","language":"en","page":"20031</w:instrText>
            </w:r>
            <w:r w:rsidR="0070459F" w:rsidRPr="002657D1">
              <w:rPr>
                <w:rFonts w:ascii="Times New Roman" w:hAnsi="Times New Roman" w:cs="Times New Roman" w:hint="eastAsia"/>
                <w:color w:val="000000" w:themeColor="text1"/>
                <w:sz w:val="24"/>
                <w:szCs w:val="24"/>
              </w:rPr>
              <w:instrText>90","source":"DOI.org (Crossref)","title":"New Cost</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Effective Halide Solid Electrolytes for All</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Solid</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 xml:space="preserve">State Batteries: Mechanochemically Prepared Fe &lt;sup&gt;3+&lt;/sup&gt; </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Substituted Li &lt;sub&gt;2&lt;/sub&gt; ZrCl &lt;sub&gt;6&lt;/sub&gt;","title-short":"New Cost</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Effective Halide Solid Electrolytes for All</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Solid</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State Batteries","volume":"11","author":[{"family":"Kwak","given":"Hiram"},{"family":"Han","given":"Daseul"},{"family":"Lyoo","given":"Jeyne"},{"family":"Park","given":"Juhyoun"},{"family":"Jung","given":"Sung Hoo"},{"family":"Han","given":"Yoonjae"},{"family":"Kwon","given":"Gihan"},{"family":"Kim","given":"Hansu"},{"family":"Hong","given":"Seung</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Tae"},{"family":"Nam","given":"Kyung</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Wan"},{"family":"Jung","given":"Yoon Seok"}],"issued":{"date-parts":[["2021",3]]}}}],"schema"</w:instrText>
            </w:r>
            <w:r w:rsidR="0070459F" w:rsidRPr="002657D1">
              <w:rPr>
                <w:rFonts w:ascii="Times New Roman" w:hAnsi="Times New Roman" w:cs="Times New Roman"/>
                <w:color w:val="000000" w:themeColor="text1"/>
                <w:sz w:val="24"/>
                <w:szCs w:val="24"/>
              </w:rPr>
              <w:instrText xml:space="preserve">:"https://github.com/citation-style-language/schema/raw/master/csl-citation.json"}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14</w:t>
            </w:r>
            <w:r w:rsidRPr="002657D1">
              <w:rPr>
                <w:rFonts w:ascii="Times New Roman" w:hAnsi="Times New Roman" w:cs="Times New Roman"/>
                <w:color w:val="000000" w:themeColor="text1"/>
                <w:sz w:val="24"/>
                <w:szCs w:val="24"/>
              </w:rPr>
              <w:fldChar w:fldCharType="end"/>
            </w:r>
          </w:p>
        </w:tc>
      </w:tr>
      <w:tr w:rsidR="002657D1" w:rsidRPr="002657D1" w14:paraId="007DA309" w14:textId="77777777" w:rsidTr="002A5163">
        <w:trPr>
          <w:jc w:val="center"/>
        </w:trPr>
        <w:tc>
          <w:tcPr>
            <w:tcW w:w="1430" w:type="dxa"/>
            <w:vMerge/>
            <w:tcBorders>
              <w:top w:val="nil"/>
              <w:bottom w:val="nil"/>
            </w:tcBorders>
            <w:vAlign w:val="center"/>
          </w:tcPr>
          <w:p w14:paraId="608C4A29"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0105DDE4"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3</w:t>
            </w:r>
            <w:r w:rsidRPr="002657D1">
              <w:rPr>
                <w:rFonts w:ascii="Times New Roman" w:hAnsi="Times New Roman" w:cs="Times New Roman"/>
                <w:color w:val="000000" w:themeColor="text1"/>
                <w:kern w:val="24"/>
                <w:sz w:val="24"/>
                <w:szCs w:val="24"/>
              </w:rPr>
              <w:t>ZrCl</w:t>
            </w:r>
            <w:r w:rsidRPr="002657D1">
              <w:rPr>
                <w:rFonts w:ascii="Times New Roman" w:hAnsi="Times New Roman" w:cs="Times New Roman"/>
                <w:color w:val="000000" w:themeColor="text1"/>
                <w:kern w:val="24"/>
                <w:sz w:val="24"/>
                <w:szCs w:val="24"/>
                <w:vertAlign w:val="subscript"/>
              </w:rPr>
              <w:t>4</w:t>
            </w:r>
            <w:r w:rsidRPr="002657D1">
              <w:rPr>
                <w:rFonts w:ascii="Times New Roman" w:hAnsi="Times New Roman" w:cs="Times New Roman"/>
                <w:color w:val="000000" w:themeColor="text1"/>
                <w:kern w:val="24"/>
                <w:sz w:val="24"/>
                <w:szCs w:val="24"/>
              </w:rPr>
              <w:t>O</w:t>
            </w:r>
            <w:r w:rsidRPr="002657D1">
              <w:rPr>
                <w:rFonts w:ascii="Times New Roman" w:hAnsi="Times New Roman" w:cs="Times New Roman"/>
                <w:color w:val="000000" w:themeColor="text1"/>
                <w:kern w:val="24"/>
                <w:sz w:val="24"/>
                <w:szCs w:val="24"/>
                <w:vertAlign w:val="subscript"/>
              </w:rPr>
              <w:t>1.5</w:t>
            </w:r>
          </w:p>
        </w:tc>
        <w:tc>
          <w:tcPr>
            <w:tcW w:w="1755" w:type="dxa"/>
            <w:tcBorders>
              <w:top w:val="nil"/>
              <w:bottom w:val="nil"/>
            </w:tcBorders>
            <w:vAlign w:val="center"/>
          </w:tcPr>
          <w:p w14:paraId="591E22E2"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1.35</w:t>
            </w:r>
          </w:p>
        </w:tc>
        <w:tc>
          <w:tcPr>
            <w:tcW w:w="1541" w:type="dxa"/>
            <w:tcBorders>
              <w:top w:val="nil"/>
              <w:bottom w:val="nil"/>
            </w:tcBorders>
            <w:vAlign w:val="center"/>
          </w:tcPr>
          <w:p w14:paraId="742D14A3" w14:textId="543DEF1B"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{"citationID":"YBKxz0gE","properties":{"formattedCitation":"\\super 15\\nosupersub{}","plainCitation":"15","noteIndex":0},"citationItems":[{"id":"IXaoCdHi/2sK7F87Z","uris":["http://zotero.org/users/local/As3BANDe/items/F6NHWEYZ"],"itemData":{"id":2796,"type":"article-journal","container-title":"Journal of the American Chemical Society","DOI":"10.1021/jacs.3c07343","ISSN":"0002-7863, 1520-5126","issue":"5","journalAbbreviation":"J. Am. Chem. Soc.","language":"en","license":"https://doi.org/10.15223/policy-029","page":"2977-2985","source":"DOI.org (Crossref)","title":"Amorphous Oxyhalide Matters for Achieving Lithium Superionic Conduction","volume":"146","author":[{"family":"Zhang","given":"Shumin"},{"family":"Zhao","given":"Feipeng"},{"family":"Chang","given":"Lo-Yueh"},{"family":"Chuang","given":"Yu-Chun"},{"family":"Zhang","given":"Zhen"},{"family":"Zhu","given":"Yuanmin"},{"family":"Hao","given":"Xiaoge"},{"family":"Fu","given":"Jiamin"},{"family":"Chen","given":"Jiatang"},{"family":"Luo","given":"Jing"},{"family":"Li","given":"Minsi"},{"family":"Gao","given":"Yingjie"},{"family":"Huang","given":"Yining"},{"family":"Sham","given":"Tsun-Kong"},{"family":"Gu","given":"M. Danny"},{"family":"Zhang","given":"Yuanpeng"},{"family":"King","given":"Graham"},{"family":"Sun","given":"Xueliang"}],"issued":{"date-parts":[["2024",2,7]]}}}],"schema":"https://github.com/citation-style-language/schema/raw/master/csl-citation.json"}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15</w:t>
            </w:r>
            <w:r w:rsidRPr="002657D1">
              <w:rPr>
                <w:rFonts w:ascii="Times New Roman" w:hAnsi="Times New Roman" w:cs="Times New Roman"/>
                <w:color w:val="000000" w:themeColor="text1"/>
                <w:sz w:val="24"/>
                <w:szCs w:val="24"/>
              </w:rPr>
              <w:fldChar w:fldCharType="end"/>
            </w:r>
          </w:p>
        </w:tc>
      </w:tr>
      <w:tr w:rsidR="002657D1" w:rsidRPr="002657D1" w14:paraId="7208258E" w14:textId="77777777" w:rsidTr="002A5163">
        <w:trPr>
          <w:jc w:val="center"/>
        </w:trPr>
        <w:tc>
          <w:tcPr>
            <w:tcW w:w="1430" w:type="dxa"/>
            <w:vMerge/>
            <w:tcBorders>
              <w:top w:val="nil"/>
              <w:bottom w:val="nil"/>
            </w:tcBorders>
            <w:vAlign w:val="center"/>
          </w:tcPr>
          <w:p w14:paraId="6EE44072"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45894DC0"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3</w:t>
            </w:r>
            <w:r w:rsidRPr="002657D1">
              <w:rPr>
                <w:rFonts w:ascii="Times New Roman" w:hAnsi="Times New Roman" w:cs="Times New Roman"/>
                <w:color w:val="000000" w:themeColor="text1"/>
                <w:kern w:val="24"/>
                <w:sz w:val="24"/>
                <w:szCs w:val="24"/>
              </w:rPr>
              <w:t>Y</w:t>
            </w:r>
            <w:r w:rsidRPr="002657D1">
              <w:rPr>
                <w:rFonts w:ascii="Times New Roman" w:hAnsi="Times New Roman" w:cs="Times New Roman"/>
                <w:color w:val="000000" w:themeColor="text1"/>
                <w:kern w:val="24"/>
                <w:sz w:val="24"/>
                <w:szCs w:val="24"/>
                <w:vertAlign w:val="subscript"/>
              </w:rPr>
              <w:t>0.2</w:t>
            </w:r>
            <w:r w:rsidRPr="002657D1">
              <w:rPr>
                <w:rFonts w:ascii="Times New Roman" w:hAnsi="Times New Roman" w:cs="Times New Roman"/>
                <w:color w:val="000000" w:themeColor="text1"/>
                <w:kern w:val="24"/>
                <w:sz w:val="24"/>
                <w:szCs w:val="24"/>
              </w:rPr>
              <w:t>Zr</w:t>
            </w:r>
            <w:r w:rsidRPr="002657D1">
              <w:rPr>
                <w:rFonts w:ascii="Times New Roman" w:hAnsi="Times New Roman" w:cs="Times New Roman"/>
                <w:color w:val="000000" w:themeColor="text1"/>
                <w:kern w:val="24"/>
                <w:sz w:val="24"/>
                <w:szCs w:val="24"/>
                <w:vertAlign w:val="subscript"/>
              </w:rPr>
              <w:t>0.6</w:t>
            </w:r>
            <w:r w:rsidRPr="002657D1">
              <w:rPr>
                <w:rFonts w:ascii="Times New Roman" w:hAnsi="Times New Roman" w:cs="Times New Roman"/>
                <w:color w:val="000000" w:themeColor="text1"/>
                <w:kern w:val="24"/>
                <w:sz w:val="24"/>
                <w:szCs w:val="24"/>
              </w:rPr>
              <w:t>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3F789930"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1.19</w:t>
            </w:r>
          </w:p>
        </w:tc>
        <w:tc>
          <w:tcPr>
            <w:tcW w:w="1541" w:type="dxa"/>
            <w:tcBorders>
              <w:top w:val="nil"/>
              <w:bottom w:val="nil"/>
            </w:tcBorders>
            <w:vAlign w:val="center"/>
          </w:tcPr>
          <w:p w14:paraId="1099A97F" w14:textId="5AAF6149"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{"citationID":"0AZGuQWd","properties":{"formattedCitation":"\\super 16\\nosupersub{}","plainCitation":"16","noteIndex":0},"citationItems":[{"id":"IXaoCdHi/cbaPksOw","uris":["http://zotero.org/users/local/As3BANDe/items/4XAGW5XM"],"itemData":{"id":2793,"type":"article-journal","abstract":"Lithium-metal-halides have emerged as a class of solid electrolytes that can deliver superionic conductivity comparable to that of state-of-the-art sulfide electrolytes, as well as electrochemical stability that is suitable for high-voltage (&gt;4 volt) operations. We show that the superionic conduction in a trigonal halide, such as Li\n              3\n              MCl\n              6\n              [where metal (M) is Y or Er], is governed by the in-plane lithium percolation paths and stacking interlayer distance. These two factors are inversely correlated with each other by the partial occupancy of M, serving as both a diffusion inhibitor and pillar for maintaining interlayer distance. These findings suggest that a critical range or ordering of M exists in trigonal halides, and we showcase the achievement of high ionic conductivity by adjusting the simple M ratio (per Cl or Li). We provide general design criteria for superionic trigonal halide electrolytes.\n            \n          , \n            Editor’s summary\n            \n              Lithium-metal-halides behave as superionic conductors and show stability at high operating voltages, thus making them suitable candidates for solid state batteries. Although several mechanisms for this behavior have been suggested, a detailed analysis of each one and its overall significance has been lacking. Yu\n              et al\n              . studied a family of hexagonal close-packed stacked trigonal halides with the general formula of Li\n              3\n              MCl\n              6\n              , where M is a metal ion such as yttrium (see the Perspective by Van der Ven). Using a combination of computational methods, the authors observed the importance of having partial occupancy of the metal in developing two critical structural characteristics: the existence of a percolating network and the maintenance of an appropriate interlayer distance. —Marc S. Lavine\n            \n          , \n            Diffusion mechanisms of a halide superionic conductor have been unveiled through first-principles calculations and experiments.","container-title":"Science","DOI":"10.1126/science.adg6591","ISSN":"0036-8075, 1095-9203","issue":"6670","journalAbbreviation":"Science","language":"en","page":"573-579","source":"DOI.org (Crossref)","title":"Design of a trigonal halide superionic conductor by regulating cation order-disorder","volume":"382","author":[{"family":"Yu","given":"Seungju"},{"family":"Noh","given":"Joohyeon"},{"family":"Kim","given":"Byunghoon"},{"family":"Song","given":"Jun-Hyuk"},{"family":"Oh","given":"Kyungbae"},{"family":"Yoo","given":"Jaekyun"},{"family":"Lee","given":"Sunyoung"},{"family":"Park","given":"Sung-O"},{"family":"Kim","given":"Wonju"},{"family":"Kang","given":"Byungwook"},{"family":"Kil","given":"Donghyun"},{"family":"Kang","given":"Kisuk"}],"issued":{"date-parts":[["2023",11,3]]}}}],"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16</w:t>
            </w:r>
            <w:r w:rsidRPr="002657D1">
              <w:rPr>
                <w:rFonts w:ascii="Times New Roman" w:hAnsi="Times New Roman" w:cs="Times New Roman"/>
                <w:color w:val="000000" w:themeColor="text1"/>
                <w:sz w:val="24"/>
                <w:szCs w:val="24"/>
              </w:rPr>
              <w:fldChar w:fldCharType="end"/>
            </w:r>
          </w:p>
        </w:tc>
      </w:tr>
      <w:tr w:rsidR="002657D1" w:rsidRPr="002657D1" w14:paraId="18E8B22E" w14:textId="77777777" w:rsidTr="002A5163">
        <w:trPr>
          <w:jc w:val="center"/>
        </w:trPr>
        <w:tc>
          <w:tcPr>
            <w:tcW w:w="1430" w:type="dxa"/>
            <w:vMerge/>
            <w:tcBorders>
              <w:top w:val="nil"/>
              <w:bottom w:val="nil"/>
            </w:tcBorders>
            <w:vAlign w:val="center"/>
          </w:tcPr>
          <w:p w14:paraId="3D95B02C"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32945DEE"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2.4</w:t>
            </w:r>
            <w:r w:rsidRPr="002657D1">
              <w:rPr>
                <w:rFonts w:ascii="Times New Roman" w:hAnsi="Times New Roman" w:cs="Times New Roman"/>
                <w:color w:val="000000" w:themeColor="text1"/>
                <w:kern w:val="24"/>
                <w:sz w:val="24"/>
                <w:szCs w:val="24"/>
              </w:rPr>
              <w:t>Y</w:t>
            </w:r>
            <w:r w:rsidRPr="002657D1">
              <w:rPr>
                <w:rFonts w:ascii="Times New Roman" w:hAnsi="Times New Roman" w:cs="Times New Roman"/>
                <w:color w:val="000000" w:themeColor="text1"/>
                <w:kern w:val="24"/>
                <w:sz w:val="24"/>
                <w:szCs w:val="24"/>
                <w:vertAlign w:val="subscript"/>
              </w:rPr>
              <w:t>0.4</w:t>
            </w:r>
            <w:r w:rsidRPr="002657D1">
              <w:rPr>
                <w:rFonts w:ascii="Times New Roman" w:hAnsi="Times New Roman" w:cs="Times New Roman"/>
                <w:color w:val="000000" w:themeColor="text1"/>
                <w:kern w:val="24"/>
                <w:sz w:val="24"/>
                <w:szCs w:val="24"/>
              </w:rPr>
              <w:t>Hf</w:t>
            </w:r>
            <w:r w:rsidRPr="002657D1">
              <w:rPr>
                <w:rFonts w:ascii="Times New Roman" w:hAnsi="Times New Roman" w:cs="Times New Roman"/>
                <w:color w:val="000000" w:themeColor="text1"/>
                <w:kern w:val="24"/>
                <w:sz w:val="24"/>
                <w:szCs w:val="24"/>
                <w:vertAlign w:val="subscript"/>
              </w:rPr>
              <w:t>0.6</w:t>
            </w:r>
            <w:r w:rsidRPr="002657D1">
              <w:rPr>
                <w:rFonts w:ascii="Times New Roman" w:hAnsi="Times New Roman" w:cs="Times New Roman"/>
                <w:color w:val="000000" w:themeColor="text1"/>
                <w:kern w:val="24"/>
                <w:sz w:val="24"/>
                <w:szCs w:val="24"/>
              </w:rPr>
              <w:t>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00E4340E"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1.49</w:t>
            </w:r>
          </w:p>
        </w:tc>
        <w:tc>
          <w:tcPr>
            <w:tcW w:w="1541" w:type="dxa"/>
            <w:tcBorders>
              <w:top w:val="nil"/>
              <w:bottom w:val="nil"/>
            </w:tcBorders>
            <w:vAlign w:val="center"/>
          </w:tcPr>
          <w:p w14:paraId="4DADA03A" w14:textId="452BA0B2"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{"citationID":"WibBccUL","properties":{"formattedCitation":"\\super 17\\nosupersub{}","plainCitation":"17","noteIndex":0},"citationItems":[{"id":"IXaoCdHi/jmDMoQSy","uris":["http://zotero.org/users/local/As3BANDe/items/BQNPMK93"],"itemData":{"id":2794,"type":"article-journal","abstract":"Novel mixed-metal Li\n              \n                3−\n                x\n              \n              Y\n              \n                1−\n                x\n              \n              Hf\n              \n                x\n              \n              Cl\n              6\n              has been subtly designed by doping engineering to achieve superionic halide conductors for all-solid-state lithium-metal based batteries.\n            \n          , \n            \n              Rechargeable all-solid-state batteries (ASSBs) are considered as promising candidates for next-generation energy storage due to their high energy density and excellent safety performance. However, the low ionic conductivity of the solid-state electrolytes (SSEs) and interfacial issues are still challenging. Herein, we report a series of new mixed-metal halide superionic conductors Li\n              \n                3−\n                x\n              \n              Y\n              \n                1−\n                x\n              \n              Hf\n              \n                x\n              \n              Cl\n              6\n              (0 </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 xml:space="preserve">\n              x\n              &lt; 1) with high ionic conductivity up to 1.49 mS cm\n              −1\n              at room temperature. Using various experimental characterization techniques and bond-valence energy landscape (BVEL) calculations, we gain insights into the aliovalent substitution of Hf for Y in halide Li\n              3\n              YCl\n              6\n              that influences the local structural environment and the underlying lithium-ion transport. Importantly, it is found that the existence of prevalent cation site disorder and defect structure as well as the synthetically optimized (Y/Hf)Cl\n              6\n              framework with a more covalent feature in Hf\n              4+\n              -substituted Li\n              3\n              YCl\n              6\n              strongly benefits the transport properties. In particular, the formation of an infinitely 3D connected Li\n              +\n              ion diffusion pathway consisting of face-sharing octahedra within the lattice of Hf\n              4+\n              -substituted Li\n              3\n              YCl\n              6\n              is revealed by structural elucidation and theoretical calculations. Additionally, owing to the exceptional interfacial stability of the as-milled SSEs against high-voltage cathode materials, all-solid-state lithium-ion batteries with a LiCoO\n              2\n              cathode and Li–In anode exhibit outstanding electrochemical performance.","container-title":"Journal of Materials Chemistry A","DOI":"10.1039/D3TA02781C","ISSN":"2050-7488, 2050-7496","issue":"29","journalAbbreviation":"J. Mater. Chem. A","language":"en","page":"15651-15662","source":"DOI.org (Crossref)","title":"New superionic halide solid electrolytes enabled by aliovalent substitution in Li &lt;sub&gt; 3− &lt;i&gt;x&lt;/i&gt; &lt;/sub&gt; Y &lt;sub&gt; 1− &lt;i&gt;x&lt;/i&gt; &lt;/sub&gt; Hf &lt;sub&gt; &lt;i&gt;x&lt;/i&gt; &lt;/sub&gt; Cl &lt;sub&gt;6&lt;/sub&gt; for all-solid-state lithium metal based batteries","volume":"11","author":[{"family":"Tuo","given":"Kaiyong"},{"family":"Sun","given":"Chunwen"},{"family":"López","given":"C. A."},{"family":"Fernández-Díaz","given":"Maria Teresa"},{"family":"Alonso","given":"José Antonio"}],"issued":{"date-parts":[["2023"]]}}}],"schema":"https://github.com/citation-style-language/schema/raw/master/csl-citation.json"}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17</w:t>
            </w:r>
            <w:r w:rsidRPr="002657D1">
              <w:rPr>
                <w:rFonts w:ascii="Times New Roman" w:hAnsi="Times New Roman" w:cs="Times New Roman"/>
                <w:color w:val="000000" w:themeColor="text1"/>
                <w:sz w:val="24"/>
                <w:szCs w:val="24"/>
              </w:rPr>
              <w:fldChar w:fldCharType="end"/>
            </w:r>
          </w:p>
        </w:tc>
      </w:tr>
      <w:tr w:rsidR="002657D1" w:rsidRPr="002657D1" w14:paraId="02835C19" w14:textId="77777777" w:rsidTr="002A5163">
        <w:trPr>
          <w:jc w:val="center"/>
        </w:trPr>
        <w:tc>
          <w:tcPr>
            <w:tcW w:w="1430" w:type="dxa"/>
            <w:vMerge/>
            <w:tcBorders>
              <w:top w:val="nil"/>
              <w:bottom w:val="nil"/>
            </w:tcBorders>
            <w:vAlign w:val="center"/>
          </w:tcPr>
          <w:p w14:paraId="32085D3D"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05EDAE6D"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ZrO</w:t>
            </w:r>
            <w:r w:rsidRPr="002657D1">
              <w:rPr>
                <w:rFonts w:ascii="Times New Roman" w:hAnsi="Times New Roman" w:cs="Times New Roman"/>
                <w:color w:val="000000" w:themeColor="text1"/>
                <w:kern w:val="24"/>
                <w:sz w:val="24"/>
                <w:szCs w:val="24"/>
                <w:vertAlign w:val="subscript"/>
              </w:rPr>
              <w:t>2</w:t>
            </w:r>
            <w:r w:rsidRPr="002657D1">
              <w:rPr>
                <w:rFonts w:ascii="Times New Roman" w:hAnsi="Times New Roman" w:cs="Times New Roman"/>
                <w:color w:val="000000" w:themeColor="text1"/>
                <w:kern w:val="24"/>
                <w:sz w:val="24"/>
                <w:szCs w:val="24"/>
              </w:rPr>
              <w:t>-2LiCl-Li</w:t>
            </w:r>
            <w:r w:rsidRPr="002657D1">
              <w:rPr>
                <w:rFonts w:ascii="Times New Roman" w:hAnsi="Times New Roman" w:cs="Times New Roman"/>
                <w:color w:val="000000" w:themeColor="text1"/>
                <w:kern w:val="24"/>
                <w:sz w:val="24"/>
                <w:szCs w:val="24"/>
                <w:vertAlign w:val="subscript"/>
              </w:rPr>
              <w:t>2</w:t>
            </w:r>
            <w:r w:rsidRPr="002657D1">
              <w:rPr>
                <w:rFonts w:ascii="Times New Roman" w:hAnsi="Times New Roman" w:cs="Times New Roman"/>
                <w:color w:val="000000" w:themeColor="text1"/>
                <w:kern w:val="24"/>
                <w:sz w:val="24"/>
                <w:szCs w:val="24"/>
              </w:rPr>
              <w:t>ZrCl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0A494718"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1.3</w:t>
            </w:r>
          </w:p>
        </w:tc>
        <w:tc>
          <w:tcPr>
            <w:tcW w:w="1541" w:type="dxa"/>
            <w:tcBorders>
              <w:top w:val="nil"/>
              <w:bottom w:val="nil"/>
            </w:tcBorders>
            <w:vAlign w:val="center"/>
          </w:tcPr>
          <w:p w14:paraId="38391FBD" w14:textId="0D53CD82"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{"citationID":"yhjMJrHX","properties":{"formattedCitation":"\\super 18\\nosupersub{}","plainCitation":"18","noteIndex":0},"citationItems":[{"id":"IXaoCdHi/P70jFSTE","uris":["http://zotero.org/users/local/As3BANDe/items/TSMH92RU"],"itemData":{"id":18,"type":"article-journal","abstract":"Abstract\n            \n              Designing highly conductive and (electro)chemical stable inorganic solid electrolytes using cost-effective materials is crucial for developing all-solid-state batteries. Here, we report halide nanocomposite solid electrolytes (HNSEs) ZrO\n              2\n              (-ACl)-A\n              2\n              ZrCl\n              6\n              (A = Li or Na) that demonstrate improved ionic conductivities at 30 °C, from 0.40 to 1.3 mS cm\n              −1\n              and from 0.011 to 0.11 mS cm\n              −1\n              for Li\n              +\n              and Na\n              +\n              , respectively, compared to A\n              2\n              ZrCl\n              6\n              , and improved compatibility with sulfide solid electrolytes. The mechanochemical method employing Li\n              2\n              O for the HNSEs synthesis enables the formation of nanostructured networks that promote interfacial superionic conduction. Via density functional theory calculations combined with synchrotron X-ray and\n              6\n              Li nuclear magnetic resonance measurements and analyses, we demonstrate that interfacial oxygen-substituted compounds are responsible for the boosted interfacial conduction mechanism. Compared to state-of-the-art Li\n              2\n              ZrCl\n              6\n              , the fluorinated ZrO\n              2\n              −2Li\n              2\n              ZrCl\n              5\n              F HNSE shows improved high-voltage stability and interfacial compatibility with Li\n              6\n              PS\n              5\n              Cl and layered lithium transition metal oxide-based positive electrodes without detrimentally affecting Li\n              +\n              conductivity. We also report the assembly and testing of a Li-In||LiNi\n              0.88\n              Co\n              0.11\n              Mn\n              0.01\n              O\n              2\n              all-solid-state lab-scale cell operating at 30 °C and 70 MPa and capable of delivering a specific discharge of 115 mAh g\n              −1\n              after almost 2000 cycles at 400 mA g\n              −1\n              .","container-title":"Nature Communications","DOI":"10.1038/s41467-023-38037-z","ISSN":"2041-1723","issue":"1","journalAbbreviation":"Nat Commun","language":"en","page":"2459","source":"DOI.org (Crossref)","title":"Boosting the interfacial superionic conduction of halide solid electrolytes for all-solid-state batteries","volume":"14","author":[{"family":"Kwak","given":"Hiram"},{"family":"Kim","given":"Jae-Seung"},{"family":"Han","given":"Daseul"},{"family":"Kim","given":"Jong Seok"},{"family":"Park","given":"Juhyoun"},{"family":"Kwon","given":"Gihan"},{"family":"Bak","given":"Seong-Min"},{"family":"Heo","given":"Unseon"},{"family":"Park","given":"Changhyun"},{"family":"Lee","given":"Hyun-Wook"},{"family":"Nam","given":"Kyung-Wan"},{"family":"Seo","given":"Dong-Hwa"},{"family":"Jung","given":"Yoon Seok"}],"issued":{"date-parts":[["2023",4,28]]}}}],"schema":"https://github.com/citation-style-language/schema/raw/master/csl-citation.json"}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18</w:t>
            </w:r>
            <w:r w:rsidRPr="002657D1">
              <w:rPr>
                <w:rFonts w:ascii="Times New Roman" w:hAnsi="Times New Roman" w:cs="Times New Roman"/>
                <w:color w:val="000000" w:themeColor="text1"/>
                <w:sz w:val="24"/>
                <w:szCs w:val="24"/>
              </w:rPr>
              <w:fldChar w:fldCharType="end"/>
            </w:r>
          </w:p>
        </w:tc>
      </w:tr>
      <w:tr w:rsidR="002657D1" w:rsidRPr="002657D1" w14:paraId="712358B9" w14:textId="77777777" w:rsidTr="002A5163">
        <w:trPr>
          <w:jc w:val="center"/>
        </w:trPr>
        <w:tc>
          <w:tcPr>
            <w:tcW w:w="1430" w:type="dxa"/>
            <w:vMerge/>
            <w:tcBorders>
              <w:top w:val="nil"/>
              <w:bottom w:val="nil"/>
            </w:tcBorders>
            <w:vAlign w:val="center"/>
          </w:tcPr>
          <w:p w14:paraId="0470D4AC"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779B76B1"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bookmarkStart w:id="94" w:name="_Hlk209027758"/>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2.6</w:t>
            </w:r>
            <w:r w:rsidRPr="002657D1">
              <w:rPr>
                <w:rFonts w:ascii="Times New Roman" w:hAnsi="Times New Roman" w:cs="Times New Roman"/>
                <w:color w:val="000000" w:themeColor="text1"/>
                <w:kern w:val="24"/>
                <w:sz w:val="24"/>
                <w:szCs w:val="24"/>
              </w:rPr>
              <w:t>Er</w:t>
            </w:r>
            <w:r w:rsidRPr="002657D1">
              <w:rPr>
                <w:rFonts w:ascii="Times New Roman" w:hAnsi="Times New Roman" w:cs="Times New Roman"/>
                <w:color w:val="000000" w:themeColor="text1"/>
                <w:kern w:val="24"/>
                <w:sz w:val="24"/>
                <w:szCs w:val="24"/>
                <w:vertAlign w:val="subscript"/>
              </w:rPr>
              <w:t>0.6</w:t>
            </w:r>
            <w:r w:rsidRPr="002657D1">
              <w:rPr>
                <w:rFonts w:ascii="Times New Roman" w:hAnsi="Times New Roman" w:cs="Times New Roman"/>
                <w:color w:val="000000" w:themeColor="text1"/>
                <w:kern w:val="24"/>
                <w:sz w:val="24"/>
                <w:szCs w:val="24"/>
              </w:rPr>
              <w:t>Zr</w:t>
            </w:r>
            <w:r w:rsidRPr="002657D1">
              <w:rPr>
                <w:rFonts w:ascii="Times New Roman" w:hAnsi="Times New Roman" w:cs="Times New Roman"/>
                <w:color w:val="000000" w:themeColor="text1"/>
                <w:kern w:val="24"/>
                <w:sz w:val="24"/>
                <w:szCs w:val="24"/>
                <w:vertAlign w:val="subscript"/>
              </w:rPr>
              <w:t>0.4</w:t>
            </w:r>
            <w:r w:rsidRPr="002657D1">
              <w:rPr>
                <w:rFonts w:ascii="Times New Roman" w:hAnsi="Times New Roman" w:cs="Times New Roman"/>
                <w:color w:val="000000" w:themeColor="text1"/>
                <w:kern w:val="24"/>
                <w:sz w:val="24"/>
                <w:szCs w:val="24"/>
              </w:rPr>
              <w:t>Cl</w:t>
            </w:r>
            <w:r w:rsidRPr="002657D1">
              <w:rPr>
                <w:rFonts w:ascii="Times New Roman" w:hAnsi="Times New Roman" w:cs="Times New Roman"/>
                <w:color w:val="000000" w:themeColor="text1"/>
                <w:kern w:val="24"/>
                <w:sz w:val="24"/>
                <w:szCs w:val="24"/>
                <w:vertAlign w:val="subscript"/>
              </w:rPr>
              <w:t>6</w:t>
            </w:r>
            <w:bookmarkEnd w:id="94"/>
          </w:p>
        </w:tc>
        <w:tc>
          <w:tcPr>
            <w:tcW w:w="1755" w:type="dxa"/>
            <w:tcBorders>
              <w:top w:val="nil"/>
              <w:bottom w:val="nil"/>
            </w:tcBorders>
            <w:vAlign w:val="center"/>
          </w:tcPr>
          <w:p w14:paraId="22255B94"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1.13</w:t>
            </w:r>
          </w:p>
        </w:tc>
        <w:tc>
          <w:tcPr>
            <w:tcW w:w="1541" w:type="dxa"/>
            <w:tcBorders>
              <w:top w:val="nil"/>
              <w:bottom w:val="nil"/>
            </w:tcBorders>
            <w:vAlign w:val="center"/>
          </w:tcPr>
          <w:p w14:paraId="0E370E11" w14:textId="4293D34C"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{"citationID":"K7dwz7cL","properties":{"unsorted":true,"formattedCitation":"\\super 19\\nosupersub{}","plainCitation":"19","noteIndex":0},"citationItems":[{"id":"IXaoCdHi/QJQQk6RM","uris":["http://zotero.org/users/local/As3BANDe/items/BWBIGCMQ"],"itemData":{"id":2795,"type":"article-journal","container-title":"ACS Applied Materials &amp; Interfaces","DOI":"10.1021/acsami.1c25087","ISSN":"1944-8244, 1944-8252","issue":"6","journalAbbreviation":"ACS Appl. Mater. Interfaces","language":"en","license":"https://doi.org/10.15223/policy-029","page":"8095-8105","source":"DOI.org (Crossref)","title":"New Insights into the Effects of Zr Substitution and Carbon Additive on Li &lt;sub&gt; 3– &lt;i&gt;x&lt;/i&gt; &lt;/sub&gt; Er &lt;sub&gt; 1– &lt;i&gt;x&lt;/i&gt; &lt;/sub&gt; Zr &lt;sub&gt; &lt;i&gt;x&lt;/i&gt; &lt;/sub&gt; Cl &lt;sub&gt;6&lt;/sub&gt; Halide Solid Electrolytes","volume":"14","author":[{"family":"Shao","given":"Qinong"},{"family":"Yan","given":"Chenhui"},{"family":"Gao","given":"Mingxi"},{"family":"Du","given":"Wubin"},{"family":"Chen","given":"Jian"},{"family":"Yang","given":"Yaxiong"},{"family":"Gan","given":"Jiantuo"},{"family":"Wu","given":"Zhijun"},{"family":"Sun","given":"Wenping"},{"family":"Jiang","given":"Yinzhu"},{"family":"Liu","given":"Yongfeng"},{"family":"Gao","given":"Mingxia"},{"family":"Pan","given":"Hongge"}],"issued":{"date-parts":[["2022",2,16]]}}}],"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19</w:t>
            </w:r>
            <w:r w:rsidRPr="002657D1">
              <w:rPr>
                <w:rFonts w:ascii="Times New Roman" w:hAnsi="Times New Roman" w:cs="Times New Roman"/>
                <w:color w:val="000000" w:themeColor="text1"/>
                <w:sz w:val="24"/>
                <w:szCs w:val="24"/>
              </w:rPr>
              <w:fldChar w:fldCharType="end"/>
            </w:r>
          </w:p>
        </w:tc>
      </w:tr>
      <w:tr w:rsidR="002657D1" w:rsidRPr="002657D1" w14:paraId="366E55DE" w14:textId="77777777" w:rsidTr="002A5163">
        <w:trPr>
          <w:jc w:val="center"/>
        </w:trPr>
        <w:tc>
          <w:tcPr>
            <w:tcW w:w="1430" w:type="dxa"/>
            <w:vMerge/>
            <w:tcBorders>
              <w:top w:val="nil"/>
              <w:bottom w:val="nil"/>
            </w:tcBorders>
            <w:vAlign w:val="center"/>
          </w:tcPr>
          <w:p w14:paraId="740F9409"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14AF0D97"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2.2</w:t>
            </w:r>
            <w:r w:rsidRPr="002657D1">
              <w:rPr>
                <w:rFonts w:ascii="Times New Roman" w:hAnsi="Times New Roman" w:cs="Times New Roman"/>
                <w:color w:val="000000" w:themeColor="text1"/>
                <w:kern w:val="24"/>
                <w:sz w:val="24"/>
                <w:szCs w:val="24"/>
              </w:rPr>
              <w:t>Zr</w:t>
            </w:r>
            <w:r w:rsidRPr="002657D1">
              <w:rPr>
                <w:rFonts w:ascii="Times New Roman" w:hAnsi="Times New Roman" w:cs="Times New Roman"/>
                <w:color w:val="000000" w:themeColor="text1"/>
                <w:kern w:val="24"/>
                <w:sz w:val="24"/>
                <w:szCs w:val="24"/>
                <w:vertAlign w:val="subscript"/>
              </w:rPr>
              <w:t>0.9</w:t>
            </w:r>
            <w:r w:rsidRPr="002657D1">
              <w:rPr>
                <w:rFonts w:ascii="Times New Roman" w:hAnsi="Times New Roman" w:cs="Times New Roman"/>
                <w:color w:val="000000" w:themeColor="text1"/>
                <w:kern w:val="24"/>
                <w:sz w:val="24"/>
                <w:szCs w:val="24"/>
              </w:rPr>
              <w:t>Cu</w:t>
            </w:r>
            <w:r w:rsidRPr="002657D1">
              <w:rPr>
                <w:rFonts w:ascii="Times New Roman" w:hAnsi="Times New Roman" w:cs="Times New Roman"/>
                <w:color w:val="000000" w:themeColor="text1"/>
                <w:kern w:val="24"/>
                <w:sz w:val="24"/>
                <w:szCs w:val="24"/>
                <w:vertAlign w:val="subscript"/>
              </w:rPr>
              <w:t>0.1</w:t>
            </w:r>
            <w:r w:rsidRPr="002657D1">
              <w:rPr>
                <w:rFonts w:ascii="Times New Roman" w:hAnsi="Times New Roman" w:cs="Times New Roman"/>
                <w:color w:val="000000" w:themeColor="text1"/>
                <w:kern w:val="24"/>
                <w:sz w:val="24"/>
                <w:szCs w:val="24"/>
              </w:rPr>
              <w:t>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1AA91820" w14:textId="064D8265"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0.</w:t>
            </w:r>
            <w:r w:rsidR="00303226" w:rsidRPr="002657D1">
              <w:rPr>
                <w:rFonts w:ascii="Times New Roman" w:hAnsi="Times New Roman" w:cs="Times New Roman"/>
                <w:color w:val="000000" w:themeColor="text1"/>
                <w:kern w:val="24"/>
                <w:sz w:val="24"/>
                <w:szCs w:val="24"/>
              </w:rPr>
              <w:t>75</w:t>
            </w:r>
          </w:p>
        </w:tc>
        <w:tc>
          <w:tcPr>
            <w:tcW w:w="1541" w:type="dxa"/>
            <w:tcBorders>
              <w:top w:val="nil"/>
              <w:bottom w:val="nil"/>
            </w:tcBorders>
            <w:vAlign w:val="center"/>
          </w:tcPr>
          <w:p w14:paraId="640F34ED" w14:textId="54856D67" w:rsidR="0046513C" w:rsidRPr="002657D1" w:rsidRDefault="0090707D"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{"citationID":"DfYH65zF","properties":{"formattedCitation":"\\super 20\\nosupersub{}","plainCitation":"20","noteIndex":0},"citationItems":[{"id":"IXaoCdHi/pDfMN2Vz","uris":["http://zotero.org/users/local/As3BANDe/items/VJK7XNCH"],"itemData":{"id":5062,"type":"article-journal","abstract":"Emerging solid electrolytes, represented by Li2ZrCl6 (LZC), hold great potential due to their lower costs and superior electrochemical stability compared to sulfide SEs (e.g. Li5.4PS4.4Cl1.6). However, challenges such as relatively low ionic conductivity and instability with lithium hinder its widespread application. This work develops a cost-effective strategy by substituting Cu2+ for Zr4+ in LZC electrolyte. The evolution of electrolyte structure at varying substitution levels is comprehensively investigated by synchrotron X-ray diffraction and Raman spectroscopy. The optimized Cu2+-substituted LZC achieves a notable ionic conductivity of 0.75 mS cm− 1 due to a reduced energy barrier for Li+ migration confirmed by first-principles calculations. Symmetric lithium cells with the Cu2+-substituted LZC exhibit enhanced inhibition to lithium dendrites than those with Li5.4PS4.4Cl1.6. X-ray photoelectron spectroscopy unveils the key role of Cu2+ reduction in the inhibition of the lithium dendrite, enabling the cell to stably cycle at 0.5 mA cm− 2. Moreover, the Cu2+-substituted LZC exhibits improved electrochemical stability, marked by small anodic current exceeding 4 V, reduced polarization, and rapid lithium-ion diffusion kinetics. All-solid-state batteries fabricated with the Cu2+-substituted LZC and Li/ LiNi0.8Mn0.1Co0.1O2 electrodes present a high reversible capacity of 139.2 mAh g− 1 with retention rate of 96.9 % after 200 cycles at 0.5 C.","container-title":"Energy Storage Materials","DOI":"10.1016/j.ensm.2024.103673","ISSN":"24058297","journalAbbreviation":"Energy Storage Materials","language":"en","page":"103673","source":"DOI.org (Crossref)","title":"One stone, three birds: Cu2+-substituted chloride electrolyte for high-performance all-solid-state lithium batteries","title-short":"One stone, three birds","volume":"71","author":[{"family":"Li","given":"Guoyao"},{"family":"Shen","given":"Yeqing"},{"family":"Tamerd","given":"Mohamed Ait"},{"family":"Gao","given":"Chenlong"},{"family":"Yang","given":"Menghao"},{"family":"Wen","given":"Wen"},{"family":"Yang","given":"Tieying"},{"family":"Liu","given":"Hezhou"},{"family":"Duan","given":"Huanan"}],"issued":{"date-parts":[["2024",8]]}}}],"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20</w:t>
            </w:r>
            <w:r w:rsidRPr="002657D1">
              <w:rPr>
                <w:rFonts w:ascii="Times New Roman" w:hAnsi="Times New Roman" w:cs="Times New Roman"/>
                <w:color w:val="000000" w:themeColor="text1"/>
                <w:sz w:val="24"/>
                <w:szCs w:val="24"/>
              </w:rPr>
              <w:fldChar w:fldCharType="end"/>
            </w:r>
          </w:p>
        </w:tc>
      </w:tr>
      <w:tr w:rsidR="002657D1" w:rsidRPr="002657D1" w14:paraId="3542850C" w14:textId="77777777" w:rsidTr="002A5163">
        <w:trPr>
          <w:jc w:val="center"/>
        </w:trPr>
        <w:tc>
          <w:tcPr>
            <w:tcW w:w="1430" w:type="dxa"/>
            <w:vMerge/>
            <w:tcBorders>
              <w:top w:val="nil"/>
              <w:bottom w:val="nil"/>
            </w:tcBorders>
            <w:vAlign w:val="center"/>
          </w:tcPr>
          <w:p w14:paraId="41E10375"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704E893A"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2.4</w:t>
            </w:r>
            <w:r w:rsidRPr="002657D1">
              <w:rPr>
                <w:rFonts w:ascii="Times New Roman" w:hAnsi="Times New Roman" w:cs="Times New Roman"/>
                <w:color w:val="000000" w:themeColor="text1"/>
                <w:kern w:val="24"/>
                <w:sz w:val="24"/>
                <w:szCs w:val="24"/>
              </w:rPr>
              <w:t>Zr</w:t>
            </w:r>
            <w:r w:rsidRPr="002657D1">
              <w:rPr>
                <w:rFonts w:ascii="Times New Roman" w:hAnsi="Times New Roman" w:cs="Times New Roman"/>
                <w:color w:val="000000" w:themeColor="text1"/>
                <w:kern w:val="24"/>
                <w:sz w:val="24"/>
                <w:szCs w:val="24"/>
                <w:vertAlign w:val="subscript"/>
              </w:rPr>
              <w:t>0.8</w:t>
            </w:r>
            <w:r w:rsidRPr="002657D1">
              <w:rPr>
                <w:rFonts w:ascii="Times New Roman" w:hAnsi="Times New Roman" w:cs="Times New Roman"/>
                <w:color w:val="000000" w:themeColor="text1"/>
                <w:kern w:val="24"/>
                <w:sz w:val="24"/>
                <w:szCs w:val="24"/>
              </w:rPr>
              <w:t>Zn</w:t>
            </w:r>
            <w:r w:rsidRPr="002657D1">
              <w:rPr>
                <w:rFonts w:ascii="Times New Roman" w:hAnsi="Times New Roman" w:cs="Times New Roman"/>
                <w:color w:val="000000" w:themeColor="text1"/>
                <w:kern w:val="24"/>
                <w:sz w:val="24"/>
                <w:szCs w:val="24"/>
                <w:vertAlign w:val="subscript"/>
              </w:rPr>
              <w:t>0.2</w:t>
            </w:r>
            <w:r w:rsidRPr="002657D1">
              <w:rPr>
                <w:rFonts w:ascii="Times New Roman" w:hAnsi="Times New Roman" w:cs="Times New Roman"/>
                <w:color w:val="000000" w:themeColor="text1"/>
                <w:kern w:val="24"/>
                <w:sz w:val="24"/>
                <w:szCs w:val="24"/>
              </w:rPr>
              <w:t>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0FF35B3A" w14:textId="3090ECE5" w:rsidR="0090707D" w:rsidRPr="002657D1" w:rsidRDefault="00EB1F8C" w:rsidP="0090707D">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0.93</w:t>
            </w:r>
          </w:p>
        </w:tc>
        <w:tc>
          <w:tcPr>
            <w:tcW w:w="1541" w:type="dxa"/>
            <w:tcBorders>
              <w:top w:val="nil"/>
              <w:bottom w:val="nil"/>
            </w:tcBorders>
            <w:vAlign w:val="center"/>
          </w:tcPr>
          <w:p w14:paraId="05FF7BF1" w14:textId="27312A9C" w:rsidR="0046513C" w:rsidRPr="002657D1" w:rsidRDefault="0090707D"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{"citationID":"a2pdeur3d5n","properties":{"formattedCitation":"\\super 21\\nosupersub{}","plainCitation":"21","noteIndex":0},"citationItems":[{"id":"IXaoCdHi/5SGgiljo","uris":["http://zotero.org/users/local/As3BANDe/items/U3PND4F7"],"itemData":{"id":5533,"type":"article-journal","abstract":"Abstract\n            \n              The recently emerged chloride solid electrolytes have garnered significant attention due to their superior ionic conductivity, wide electrochemical </w:instrText>
            </w:r>
            <w:r w:rsidR="00E725CF" w:rsidRPr="002657D1">
              <w:rPr>
                <w:rFonts w:ascii="Times New Roman" w:hAnsi="Times New Roman" w:cs="Times New Roman" w:hint="eastAsia"/>
                <w:color w:val="000000" w:themeColor="text1"/>
                <w:sz w:val="24"/>
                <w:szCs w:val="24"/>
              </w:rPr>
              <w:instrText>stability window, and exceptional compatibility with high</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voltage oxide cathodes. Nevertheless, the currently cost</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effective Zr</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 xml:space="preserve">based chloride solid electrolytes face significant challenges, including low ionic conductivity and poor moisture stability. Herein, a versatile Zn\n              2+\n              </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doped Zr</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 xml:space="preserve">based chloride electrolyte is presented, designed to meet the aforementioned requirements. The optimized Li\n              2.4\n              Zr\n              0.8\n              Zn\n        </w:instrText>
            </w:r>
            <w:r w:rsidR="00E725CF" w:rsidRPr="002657D1">
              <w:rPr>
                <w:rFonts w:ascii="Times New Roman" w:hAnsi="Times New Roman" w:cs="Times New Roman"/>
                <w:color w:val="000000" w:themeColor="text1"/>
                <w:sz w:val="24"/>
                <w:szCs w:val="24"/>
              </w:rPr>
              <w:instrText xml:space="preserve">      0.2\n              Cl\n              6\n              exhibits an improved ionic conductivity of 1.13 mS cm\n              −1\n              at 30 °C. Simultaneously, the Li\n              2.4\n              Zr\n              0.8\n              Zn\n              0.2\n              Cl\n              6\n              also demonstrates impressive moisture stability, maintaining its structural integrity after exposure to humid air. The mechanism underlying the enhanced moisture stability of Li\n              2.4\n              Zr\n              0.8\n              Zn\n              0.2\n              Cl\n              6\n              is further elucidated by density functional theory calculations. Most notably, whether coupled with LiCoO\n              2\n              or LiNi\n              0.8\n              Mn\n              0.1\n              Co\n              0.1\n              O\n              2\n              cathodes, Li\n              2.4\n              Zr\n              0.8\n              Zn\n</w:instrText>
            </w:r>
            <w:r w:rsidR="00E725CF" w:rsidRPr="002657D1">
              <w:rPr>
                <w:rFonts w:ascii="Times New Roman" w:hAnsi="Times New Roman" w:cs="Times New Roman" w:hint="eastAsia"/>
                <w:color w:val="000000" w:themeColor="text1"/>
                <w:sz w:val="24"/>
                <w:szCs w:val="24"/>
              </w:rPr>
              <w:instrText xml:space="preserve">              0.2\n              Cl\n              6\n              </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based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batteries demonstrate exceptional cycling stability and rate performance. This high ionic conduction and moisture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resistant chloride electrolyte holds great promise for significantly advancing the commercialization of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lithium batteries.","container-title":"Advanced Energy Materials","DOI":"10.1002/aenm.202405760","ISSN":"1614-6832, 1614-6840","issue":"24","journalAbbreviation":"Advanced Energy Materials","language":"en","page":"2405760","source":"DOI.org (Crossref)","title":"Boosting Ion Conduction and Moisture Stability Through Zn&lt;sup&gt;2+&lt;/sup&gt; Substitution of Chloride Electrolytes for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Lithium Batteries","volume":"15","author":[{"fami</w:instrText>
            </w:r>
            <w:r w:rsidR="00E725CF" w:rsidRPr="002657D1">
              <w:rPr>
                <w:rFonts w:ascii="Times New Roman" w:hAnsi="Times New Roman" w:cs="Times New Roman"/>
                <w:color w:val="000000" w:themeColor="text1"/>
                <w:sz w:val="24"/>
                <w:szCs w:val="24"/>
              </w:rPr>
              <w:instrText>ly":"Lei","given":"Peng"},{"family":"Wu","given":"Gang"},{"family":"Liu","given":"Hong"},{"family":"Qi","given":"Xiang"},{"family":"Wu","given":"Meng"},{"family":"Li","given":"Dabing"},{"family":"Li","given":"Yang"},{"family":"Gao","given":"Lei"},{"family</w:instrText>
            </w:r>
            <w:r w:rsidR="00E725CF" w:rsidRPr="002657D1">
              <w:rPr>
                <w:rFonts w:ascii="Times New Roman" w:hAnsi="Times New Roman" w:cs="Times New Roman" w:hint="eastAsia"/>
                <w:color w:val="000000" w:themeColor="text1"/>
                <w:sz w:val="24"/>
                <w:szCs w:val="24"/>
              </w:rPr>
              <w:instrText>":"Nan","given":"Ce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Wen"},{"family":"Fan","given":"Li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 xml:space="preserve">Zhen"}],"issued":{"date-parts":[["2025",6]]}}}],"schema":"https://github.com/citation-style-language/schema/raw/master/csl-citation.json"}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21</w:t>
            </w:r>
            <w:r w:rsidRPr="002657D1">
              <w:rPr>
                <w:rFonts w:ascii="Times New Roman" w:hAnsi="Times New Roman" w:cs="Times New Roman"/>
                <w:color w:val="000000" w:themeColor="text1"/>
                <w:sz w:val="24"/>
                <w:szCs w:val="24"/>
              </w:rPr>
              <w:fldChar w:fldCharType="end"/>
            </w:r>
          </w:p>
        </w:tc>
      </w:tr>
      <w:tr w:rsidR="002657D1" w:rsidRPr="002657D1" w14:paraId="40772238" w14:textId="77777777" w:rsidTr="002A5163">
        <w:trPr>
          <w:jc w:val="center"/>
        </w:trPr>
        <w:tc>
          <w:tcPr>
            <w:tcW w:w="1430" w:type="dxa"/>
            <w:vMerge/>
            <w:tcBorders>
              <w:top w:val="nil"/>
              <w:bottom w:val="nil"/>
            </w:tcBorders>
            <w:vAlign w:val="center"/>
          </w:tcPr>
          <w:p w14:paraId="53F6F58D"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4436F40B"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2.25</w:t>
            </w:r>
            <w:r w:rsidRPr="002657D1">
              <w:rPr>
                <w:rFonts w:ascii="Times New Roman" w:hAnsi="Times New Roman" w:cs="Times New Roman"/>
                <w:color w:val="000000" w:themeColor="text1"/>
                <w:kern w:val="24"/>
                <w:sz w:val="24"/>
                <w:szCs w:val="24"/>
              </w:rPr>
              <w:t>Zr</w:t>
            </w:r>
            <w:r w:rsidRPr="002657D1">
              <w:rPr>
                <w:rFonts w:ascii="Times New Roman" w:hAnsi="Times New Roman" w:cs="Times New Roman"/>
                <w:color w:val="000000" w:themeColor="text1"/>
                <w:kern w:val="24"/>
                <w:sz w:val="24"/>
                <w:szCs w:val="24"/>
                <w:vertAlign w:val="subscript"/>
              </w:rPr>
              <w:t>0.75</w:t>
            </w:r>
            <w:r w:rsidRPr="002657D1">
              <w:rPr>
                <w:rFonts w:ascii="Times New Roman" w:hAnsi="Times New Roman" w:cs="Times New Roman"/>
                <w:color w:val="000000" w:themeColor="text1"/>
                <w:kern w:val="24"/>
                <w:sz w:val="24"/>
                <w:szCs w:val="24"/>
              </w:rPr>
              <w:t>Al</w:t>
            </w:r>
            <w:r w:rsidRPr="002657D1">
              <w:rPr>
                <w:rFonts w:ascii="Times New Roman" w:hAnsi="Times New Roman" w:cs="Times New Roman"/>
                <w:color w:val="000000" w:themeColor="text1"/>
                <w:kern w:val="24"/>
                <w:sz w:val="24"/>
                <w:szCs w:val="24"/>
                <w:vertAlign w:val="subscript"/>
              </w:rPr>
              <w:t>0.25</w:t>
            </w:r>
            <w:r w:rsidRPr="002657D1">
              <w:rPr>
                <w:rFonts w:ascii="Times New Roman" w:hAnsi="Times New Roman" w:cs="Times New Roman"/>
                <w:color w:val="000000" w:themeColor="text1"/>
                <w:kern w:val="24"/>
                <w:sz w:val="24"/>
                <w:szCs w:val="24"/>
              </w:rPr>
              <w:t>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0B3D3153"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1.13</w:t>
            </w:r>
          </w:p>
        </w:tc>
        <w:tc>
          <w:tcPr>
            <w:tcW w:w="1541" w:type="dxa"/>
            <w:tcBorders>
              <w:top w:val="nil"/>
              <w:bottom w:val="nil"/>
            </w:tcBorders>
            <w:vAlign w:val="center"/>
          </w:tcPr>
          <w:p w14:paraId="459A0323" w14:textId="1A7F4941" w:rsidR="0046513C" w:rsidRPr="002657D1" w:rsidRDefault="0090707D"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{"citationID":"adkqp4n622","properties":{"formattedCitation":"\\super 22\\nosupersub{}","plainCitation":"22","noteIndex":0},"citationItems":[{"id":"IXaoCdHi/PwdrulFb","uris":["http://zotero.org/users/local/As3BANDe/items/6EMSY67F"],"itemData":{"id":4609,"type":"article-journal","abstract":"Halide solid electrolytes, known for their stability to 4 V-class cathodes and deformability, emerge as promising candidates for high-performance all-solid-state batteries. Unfortunately, their synthesis often involves expensive elements, limiting mass production and cost-effectiveness. In this study, aliovalent-substituted Li2ZrCl6 with Al3+ is fabricated by one-step ball milling, exhibiting lower cost, higher ionic conductivity and a wider electro­ chemical window. The cost is reduced by approximately 13.4 % through a 25 % aliovalent substitution. Li+ conductivity of Li2+xZr1-xAlxCl6 increases from 0.12 mS/cm (x = 0) to a peak of 1.13 mS/cm (x = 0.25) at 25 ◦C, and activation energy (Ea) reduces from 0.43 eV to 0.29 eV, which is attributed to the extension of Li+ migration pathways along intra- and inter- ab-plane around Al sites as revealed by AIMD and BVSE calculations. Both experimental result and calculation indicate that the substitution of Al3+ improves the oxidation potential from 4.1 V in Li2ZrCl6 to 4.3 V in Li2.25Zr0.75Al0.25Cl6. Furthermore, the excellent electrochemical performance of allsolid-state batteries is demonstrated using Al3+-substituted Li2ZrCl6 and commercial LiNi0.8Co0.1Mn0.1O2. The unravelled multifaceted effects of Al3+ aliovalent substitution in Li2ZrCl6 solid electrolyte endow it highly ad­ vantageous for future applications in halide-based all-solid-state lithium batteries.","container-title":"Energy Storage Materials","DOI":"10.1016/j.ensm.2024.103444","ISSN":"24058297","journalAbbreviation":"Energy Storage Materials","language":"en","page":"103444","source":"DOI.org (Crossref)","title":"Aliovalent substitution of Al3+ in Li2ZrCl6 solid electrolyte towards large-scale application","volume":"70","author":[{"family":"Gao","given":"Kang-Ning"},{"family":"Bai","given":"Fan"},{"family":"Sun","given":"Zhuang"},{"family":"Zhang","given":"Tao"}],"issued":{"date-parts":[["2024",6]]}}}],"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22</w:t>
            </w:r>
            <w:r w:rsidRPr="002657D1">
              <w:rPr>
                <w:rFonts w:ascii="Times New Roman" w:hAnsi="Times New Roman" w:cs="Times New Roman"/>
                <w:color w:val="000000" w:themeColor="text1"/>
                <w:sz w:val="24"/>
                <w:szCs w:val="24"/>
              </w:rPr>
              <w:fldChar w:fldCharType="end"/>
            </w:r>
          </w:p>
        </w:tc>
      </w:tr>
      <w:tr w:rsidR="002657D1" w:rsidRPr="002657D1" w14:paraId="1C08BE1F" w14:textId="77777777" w:rsidTr="002A5163">
        <w:trPr>
          <w:jc w:val="center"/>
        </w:trPr>
        <w:tc>
          <w:tcPr>
            <w:tcW w:w="1430" w:type="dxa"/>
            <w:vMerge/>
            <w:tcBorders>
              <w:top w:val="nil"/>
              <w:bottom w:val="nil"/>
            </w:tcBorders>
            <w:vAlign w:val="center"/>
          </w:tcPr>
          <w:p w14:paraId="35688347"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058118D5"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1.7</w:t>
            </w:r>
            <w:r w:rsidRPr="002657D1">
              <w:rPr>
                <w:rFonts w:ascii="Times New Roman" w:hAnsi="Times New Roman" w:cs="Times New Roman"/>
                <w:color w:val="000000" w:themeColor="text1"/>
                <w:kern w:val="24"/>
                <w:sz w:val="24"/>
                <w:szCs w:val="24"/>
              </w:rPr>
              <w:t>Zr</w:t>
            </w:r>
            <w:r w:rsidRPr="002657D1">
              <w:rPr>
                <w:rFonts w:ascii="Times New Roman" w:hAnsi="Times New Roman" w:cs="Times New Roman"/>
                <w:color w:val="000000" w:themeColor="text1"/>
                <w:kern w:val="24"/>
                <w:sz w:val="24"/>
                <w:szCs w:val="24"/>
                <w:vertAlign w:val="subscript"/>
              </w:rPr>
              <w:t>0.7</w:t>
            </w:r>
            <w:r w:rsidRPr="002657D1">
              <w:rPr>
                <w:rFonts w:ascii="Times New Roman" w:hAnsi="Times New Roman" w:cs="Times New Roman"/>
                <w:color w:val="000000" w:themeColor="text1"/>
                <w:kern w:val="24"/>
                <w:sz w:val="24"/>
                <w:szCs w:val="24"/>
              </w:rPr>
              <w:t>Ta</w:t>
            </w:r>
            <w:r w:rsidRPr="002657D1">
              <w:rPr>
                <w:rFonts w:ascii="Times New Roman" w:hAnsi="Times New Roman" w:cs="Times New Roman"/>
                <w:color w:val="000000" w:themeColor="text1"/>
                <w:kern w:val="24"/>
                <w:sz w:val="24"/>
                <w:szCs w:val="24"/>
                <w:vertAlign w:val="subscript"/>
              </w:rPr>
              <w:t>0.3</w:t>
            </w:r>
            <w:r w:rsidRPr="002657D1">
              <w:rPr>
                <w:rFonts w:ascii="Times New Roman" w:hAnsi="Times New Roman" w:cs="Times New Roman"/>
                <w:color w:val="000000" w:themeColor="text1"/>
                <w:kern w:val="24"/>
                <w:sz w:val="24"/>
                <w:szCs w:val="24"/>
              </w:rPr>
              <w:t>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44A25548"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1.68</w:t>
            </w:r>
          </w:p>
        </w:tc>
        <w:tc>
          <w:tcPr>
            <w:tcW w:w="1541" w:type="dxa"/>
            <w:tcBorders>
              <w:top w:val="nil"/>
              <w:bottom w:val="nil"/>
            </w:tcBorders>
            <w:vAlign w:val="center"/>
          </w:tcPr>
          <w:p w14:paraId="22AE83F3" w14:textId="3E8AD504" w:rsidR="0046513C" w:rsidRPr="002657D1" w:rsidRDefault="007F1CC7"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{"citationID":"a2ofc1pgl7p","properties":{"formattedCitation":"\\super 23\\nosupersub{}","plainCitation":"23","noteIndex":0},"citationItems":[{"id":"IXaoCdHi/Vhb5erkD","uris":["http://zotero.org/users/local/As3BANDe/items/XCACNHEE"],"itemData":{"id":5064,"type":"article-journal","abstract":"Zirconium-based halide solid electrolyte, Li2ZrCl6, with low raw-material cost and high oxidative stability is a promising candidate for next-generation energy storage devices. However, the low ionic conductivity hinders its practical applicability. Herein, we report a new zirconium-based superionic conductor based on high-valence Ta5+ doping strategy. The optimized Li1.7Zr0.7Ta0.3Cl6 (LZTC) exhibits excellent ionic conductivity of 1.42 mS cm-1 at 25 ◦C. Moreover, it can be further increased up to 1.68 mS cm-1 with a low activation energy of 0.28 eV by slightly tuning Li+ concentration. In addition, LZTC possesses a big compact density of 2.67 g cm-3 under 250 MPa and is compatible with 4V-class cathodes. Density function theory (DFT) and bond valence site energy (BVSE) calculations reveal Ta5+ substitution significantly reduces the migration energy barrier of lithium ions due to the distortions and defects of local structural environment. The assembled all-solid-state batteries with Li1.7Zr0.7Ta0.3Cl6 as electrolyte and scNCM811 as cathode show excellent cycling performance for 600 cycles at 1C with a high-capacity retention of 85.7%.","container-title":"Energy Storage Materials","DOI":"10.1016/j.ensm.2024.103737","ISSN":"24058297","journalAbbreviation":"Energy Storage Materials","language":"en","page":"103737","source":"DOI.org (Crossref)","title":"Superionic halide solid electrolyte Li1.7Zr0.7Ta0.3Cl6 for durable all-solid-state lithium batteries","volume":"72","author":[{"family":"Liu","given":"Xing-kun"},{"family":"Zhou","given":"Yi-xuan"},{"family":"Mi","given":"Fang-hui"},{"family":"Ma","given":"Xue-lu"},{"family":"Sun","given":"Chun-wen"}],"issued":{"date-parts":[["2024",9]]}}}],"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23</w:t>
            </w:r>
            <w:r w:rsidRPr="002657D1">
              <w:rPr>
                <w:rFonts w:ascii="Times New Roman" w:hAnsi="Times New Roman" w:cs="Times New Roman"/>
                <w:color w:val="000000" w:themeColor="text1"/>
                <w:sz w:val="24"/>
                <w:szCs w:val="24"/>
              </w:rPr>
              <w:fldChar w:fldCharType="end"/>
            </w:r>
          </w:p>
        </w:tc>
      </w:tr>
      <w:tr w:rsidR="002657D1" w:rsidRPr="002657D1" w14:paraId="6C45B2FC" w14:textId="77777777" w:rsidTr="002A5163">
        <w:trPr>
          <w:jc w:val="center"/>
        </w:trPr>
        <w:tc>
          <w:tcPr>
            <w:tcW w:w="1430" w:type="dxa"/>
            <w:vMerge/>
            <w:tcBorders>
              <w:top w:val="nil"/>
              <w:bottom w:val="nil"/>
            </w:tcBorders>
            <w:vAlign w:val="center"/>
          </w:tcPr>
          <w:p w14:paraId="1672719F"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3F7DA9BE"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2.1</w:t>
            </w:r>
            <w:r w:rsidRPr="002657D1">
              <w:rPr>
                <w:rFonts w:ascii="Times New Roman" w:hAnsi="Times New Roman" w:cs="Times New Roman"/>
                <w:color w:val="000000" w:themeColor="text1"/>
                <w:kern w:val="24"/>
                <w:sz w:val="24"/>
                <w:szCs w:val="24"/>
              </w:rPr>
              <w:t>Zr</w:t>
            </w:r>
            <w:r w:rsidRPr="002657D1">
              <w:rPr>
                <w:rFonts w:ascii="Times New Roman" w:hAnsi="Times New Roman" w:cs="Times New Roman"/>
                <w:color w:val="000000" w:themeColor="text1"/>
                <w:kern w:val="24"/>
                <w:sz w:val="24"/>
                <w:szCs w:val="24"/>
                <w:vertAlign w:val="subscript"/>
              </w:rPr>
              <w:t>0.8</w:t>
            </w:r>
            <w:r w:rsidRPr="002657D1">
              <w:rPr>
                <w:rFonts w:ascii="Times New Roman" w:hAnsi="Times New Roman" w:cs="Times New Roman"/>
                <w:color w:val="000000" w:themeColor="text1"/>
                <w:kern w:val="24"/>
                <w:sz w:val="24"/>
                <w:szCs w:val="24"/>
              </w:rPr>
              <w:t>Dy</w:t>
            </w:r>
            <w:r w:rsidRPr="002657D1">
              <w:rPr>
                <w:rFonts w:ascii="Times New Roman" w:hAnsi="Times New Roman" w:cs="Times New Roman"/>
                <w:color w:val="000000" w:themeColor="text1"/>
                <w:kern w:val="24"/>
                <w:sz w:val="24"/>
                <w:szCs w:val="24"/>
                <w:vertAlign w:val="subscript"/>
              </w:rPr>
              <w:t>0.15</w:t>
            </w:r>
            <w:r w:rsidRPr="002657D1">
              <w:rPr>
                <w:rFonts w:ascii="Times New Roman" w:hAnsi="Times New Roman" w:cs="Times New Roman"/>
                <w:color w:val="000000" w:themeColor="text1"/>
                <w:kern w:val="24"/>
                <w:sz w:val="24"/>
                <w:szCs w:val="24"/>
              </w:rPr>
              <w:t>Ta</w:t>
            </w:r>
            <w:r w:rsidRPr="002657D1">
              <w:rPr>
                <w:rFonts w:ascii="Times New Roman" w:hAnsi="Times New Roman" w:cs="Times New Roman"/>
                <w:color w:val="000000" w:themeColor="text1"/>
                <w:kern w:val="24"/>
                <w:sz w:val="24"/>
                <w:szCs w:val="24"/>
                <w:vertAlign w:val="subscript"/>
              </w:rPr>
              <w:t>0.05</w:t>
            </w:r>
            <w:r w:rsidRPr="002657D1">
              <w:rPr>
                <w:rFonts w:ascii="Times New Roman" w:hAnsi="Times New Roman" w:cs="Times New Roman"/>
                <w:color w:val="000000" w:themeColor="text1"/>
                <w:kern w:val="24"/>
                <w:sz w:val="24"/>
                <w:szCs w:val="24"/>
              </w:rPr>
              <w:t>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52E5B4B7"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1.67</w:t>
            </w:r>
          </w:p>
        </w:tc>
        <w:tc>
          <w:tcPr>
            <w:tcW w:w="1541" w:type="dxa"/>
            <w:tcBorders>
              <w:top w:val="nil"/>
              <w:bottom w:val="nil"/>
            </w:tcBorders>
            <w:vAlign w:val="center"/>
          </w:tcPr>
          <w:p w14:paraId="5152B063" w14:textId="54D759C7" w:rsidR="0046513C" w:rsidRPr="002657D1" w:rsidRDefault="009D3288"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{"citationID":"a1dc9hhshri","properties":{"formattedCitation":"\\super 24\\nosupersub{}","plainCitation":"24","noteIndex":0},"citationItems":[{"id":"IXaoCdHi/S6NbUZGB","uris":["http://zotero.org/users/local/As3BANDe/items/K6M3B6PL"],"itemData":{"id":5076,"type":"article-journal","abstract":"Abstract\n            \n              Li\n              2\n              ZrCl\n              6\n              (LZC) solid electrolyte has been recognized as a promising candidate for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state batteries (ASSBs), owing to its remarkable compatibility with high</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voltage cathodes and the cost advantage among halide electrolytes. However, the ionic conductivity of LZC (</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0.4 mS cm\n              −1\n              ) requires enhancement. Herein, rare earth metal elements (La, Ce, Pr, Nd, Sm, Eu, Gd, Tb, Dy, Ho, Er, Yb, Y) have been doped into LZC, resulting in a doubling of the ionic conductivity. Moreover, Ta\n              5+\n              is utilized to further modulate the concentrat</w:instrText>
            </w:r>
            <w:r w:rsidR="00E725CF" w:rsidRPr="002657D1">
              <w:rPr>
                <w:rFonts w:ascii="Times New Roman" w:hAnsi="Times New Roman" w:cs="Times New Roman" w:hint="eastAsia"/>
                <w:color w:val="000000" w:themeColor="text1"/>
                <w:sz w:val="24"/>
                <w:szCs w:val="24"/>
              </w:rPr>
              <w:instrText>ion of Li\n              +\n              to enhance the ionic conductivity and reduce the dosage of expensive rare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earth metal. Using the 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Zr</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Dy</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Cl component as a case study, 16 types of Dy\n              3+\n              and Ta\n              5+\n              co</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 xml:space="preserve">doped electrolytes have been synthesized and the optimal Li\n              2.1\n              Zr\n              0.8\n              Dy\n              0.15\n              Ta\n              0.05\n              Cl\n              6\n             </w:instrText>
            </w:r>
            <w:r w:rsidR="00E725CF" w:rsidRPr="002657D1">
              <w:rPr>
                <w:rFonts w:ascii="Times New Roman" w:hAnsi="Times New Roman" w:cs="Times New Roman"/>
                <w:color w:val="000000" w:themeColor="text1"/>
                <w:sz w:val="24"/>
                <w:szCs w:val="24"/>
              </w:rPr>
              <w:instrText xml:space="preserve"> (LZDTC) exhibits the ionic conductivity of 1.67 mS cm\n              −1\n              . Three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dimensional 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ion transport pathways in LZDTC has been revealed. The dual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substitution of Dy and Ta at Zr site changes length of 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Cl bond and Li occupation, thereby reducing the resistance to Li\n              +\n              migration. ASSBs of 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In/LGPS</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LZDTC/NCM811 demonstrate a capacity of 117 mA h g\n              −1\n              after 500 cycle at 0.5 C with a 74% retention rate, highlighting the e</w:instrText>
            </w:r>
            <w:r w:rsidR="00E725CF" w:rsidRPr="002657D1">
              <w:rPr>
                <w:rFonts w:ascii="Times New Roman" w:hAnsi="Times New Roman" w:cs="Times New Roman" w:hint="eastAsia"/>
                <w:color w:val="000000" w:themeColor="text1"/>
                <w:sz w:val="24"/>
                <w:szCs w:val="24"/>
              </w:rPr>
              <w:instrText>ffectiveness of the dual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doping strategy for creating superionic conductors for ASSBs.","container-title":"Advanced Functional Materials","DOI":"10.1002/adfm.202426053","ISSN":"1616-301X, 1616-3028","journalAbbreviation":"Adv Funct Materials","language":"en","page":"2426053","source":"DOI.org (Crossref)","title":"Rare Earth Metal Ion</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Doped Halide Solid Electrolytes plus Ta&lt;sup&gt;5+&lt;/sup&gt; Substitution for Long Cycling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Batteries","author":[{"family":"Jia","given":"Qixiang"},{"family":"Yao","gi</w:instrText>
            </w:r>
            <w:r w:rsidR="00E725CF" w:rsidRPr="002657D1">
              <w:rPr>
                <w:rFonts w:ascii="Times New Roman" w:hAnsi="Times New Roman" w:cs="Times New Roman"/>
                <w:color w:val="000000" w:themeColor="text1"/>
                <w:sz w:val="24"/>
                <w:szCs w:val="24"/>
              </w:rPr>
              <w:instrText xml:space="preserve">ven":"Zhujun"},{"family":"Xiang","given":"Jiayuan"},{"family":"Shi","given":"Juntao"},{"family":"Zhou","given":"Yan"},{"family":"Huang","given":"Jianhao"},{"family":"Zhang","given":"Hongliang"},{"family":"Zhang","given":"Xiaoxiao"},{"family":"Yang","given":"Yefeng"},{"family":"Tu","given":"Jiangping"}],"issued":{"date-parts":[["2025",1,16]]}}}],"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24</w:t>
            </w:r>
            <w:r w:rsidRPr="002657D1">
              <w:rPr>
                <w:rFonts w:ascii="Times New Roman" w:hAnsi="Times New Roman" w:cs="Times New Roman"/>
                <w:color w:val="000000" w:themeColor="text1"/>
                <w:sz w:val="24"/>
                <w:szCs w:val="24"/>
              </w:rPr>
              <w:fldChar w:fldCharType="end"/>
            </w:r>
          </w:p>
        </w:tc>
      </w:tr>
      <w:tr w:rsidR="002657D1" w:rsidRPr="002657D1" w14:paraId="140BB72C" w14:textId="77777777" w:rsidTr="002A5163">
        <w:trPr>
          <w:jc w:val="center"/>
        </w:trPr>
        <w:tc>
          <w:tcPr>
            <w:tcW w:w="1430" w:type="dxa"/>
            <w:vMerge/>
            <w:tcBorders>
              <w:top w:val="nil"/>
              <w:bottom w:val="nil"/>
            </w:tcBorders>
            <w:vAlign w:val="center"/>
          </w:tcPr>
          <w:p w14:paraId="48F05266"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4695FFC7"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2.1</w:t>
            </w:r>
            <w:r w:rsidRPr="002657D1">
              <w:rPr>
                <w:rFonts w:ascii="Times New Roman" w:hAnsi="Times New Roman" w:cs="Times New Roman"/>
                <w:color w:val="000000" w:themeColor="text1"/>
                <w:kern w:val="24"/>
                <w:sz w:val="24"/>
                <w:szCs w:val="24"/>
              </w:rPr>
              <w:t>Zr</w:t>
            </w:r>
            <w:r w:rsidRPr="002657D1">
              <w:rPr>
                <w:rFonts w:ascii="Times New Roman" w:hAnsi="Times New Roman" w:cs="Times New Roman"/>
                <w:color w:val="000000" w:themeColor="text1"/>
                <w:kern w:val="24"/>
                <w:sz w:val="24"/>
                <w:szCs w:val="24"/>
                <w:vertAlign w:val="subscript"/>
              </w:rPr>
              <w:t>0.6</w:t>
            </w:r>
            <w:r w:rsidRPr="002657D1">
              <w:rPr>
                <w:rFonts w:ascii="Times New Roman" w:hAnsi="Times New Roman" w:cs="Times New Roman"/>
                <w:color w:val="000000" w:themeColor="text1"/>
                <w:kern w:val="24"/>
                <w:sz w:val="24"/>
                <w:szCs w:val="24"/>
              </w:rPr>
              <w:t>Al</w:t>
            </w:r>
            <w:r w:rsidRPr="002657D1">
              <w:rPr>
                <w:rFonts w:ascii="Times New Roman" w:hAnsi="Times New Roman" w:cs="Times New Roman"/>
                <w:color w:val="000000" w:themeColor="text1"/>
                <w:kern w:val="24"/>
                <w:sz w:val="24"/>
                <w:szCs w:val="24"/>
                <w:vertAlign w:val="subscript"/>
              </w:rPr>
              <w:t>0.2</w:t>
            </w:r>
            <w:r w:rsidRPr="002657D1">
              <w:rPr>
                <w:rFonts w:ascii="Times New Roman" w:hAnsi="Times New Roman" w:cs="Times New Roman"/>
                <w:color w:val="000000" w:themeColor="text1"/>
                <w:kern w:val="24"/>
                <w:sz w:val="24"/>
                <w:szCs w:val="24"/>
              </w:rPr>
              <w:t>Y</w:t>
            </w:r>
            <w:r w:rsidRPr="002657D1">
              <w:rPr>
                <w:rFonts w:ascii="Times New Roman" w:hAnsi="Times New Roman" w:cs="Times New Roman"/>
                <w:color w:val="000000" w:themeColor="text1"/>
                <w:kern w:val="24"/>
                <w:sz w:val="24"/>
                <w:szCs w:val="24"/>
                <w:vertAlign w:val="subscript"/>
              </w:rPr>
              <w:t>0.2</w:t>
            </w:r>
            <w:r w:rsidRPr="002657D1">
              <w:rPr>
                <w:rFonts w:ascii="Times New Roman" w:hAnsi="Times New Roman" w:cs="Times New Roman"/>
                <w:color w:val="000000" w:themeColor="text1"/>
                <w:kern w:val="24"/>
                <w:sz w:val="24"/>
                <w:szCs w:val="24"/>
              </w:rPr>
              <w:t>Cl</w:t>
            </w:r>
            <w:r w:rsidRPr="002657D1">
              <w:rPr>
                <w:rFonts w:ascii="Times New Roman" w:hAnsi="Times New Roman" w:cs="Times New Roman"/>
                <w:color w:val="000000" w:themeColor="text1"/>
                <w:kern w:val="24"/>
                <w:sz w:val="24"/>
                <w:szCs w:val="24"/>
                <w:vertAlign w:val="subscript"/>
              </w:rPr>
              <w:t>5.7</w:t>
            </w:r>
          </w:p>
        </w:tc>
        <w:tc>
          <w:tcPr>
            <w:tcW w:w="1755" w:type="dxa"/>
            <w:tcBorders>
              <w:top w:val="nil"/>
              <w:bottom w:val="nil"/>
            </w:tcBorders>
            <w:vAlign w:val="center"/>
          </w:tcPr>
          <w:p w14:paraId="03823E47"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1.81</w:t>
            </w:r>
          </w:p>
        </w:tc>
        <w:tc>
          <w:tcPr>
            <w:tcW w:w="1541" w:type="dxa"/>
            <w:tcBorders>
              <w:top w:val="nil"/>
              <w:bottom w:val="nil"/>
            </w:tcBorders>
            <w:vAlign w:val="center"/>
          </w:tcPr>
          <w:p w14:paraId="369BDA1F" w14:textId="6E1D9962" w:rsidR="0046513C" w:rsidRPr="002657D1" w:rsidRDefault="00E61CDF"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{"citationID":"a23dnm155bl","properties":{"formattedCitation":"\\super 25\\nosupersub{}","plainCitation":"25","noteIndex":0},"citationItems":[{"id":"IXaoCdHi/u9FouPmK","uris":["http://zotero.org/users/local/As3BANDe/items/LKSSDWZK"],"itemData":{"id":5537,"type":"article-journal","abstract":"Developing solid-state electrolytes (SSEs) is a critical task for advancing all-solid-state batteries (ASSBs) that promise a high energy density and improved safety. The dominant strategy in engineering advanced SSEs has been substitutional doping, where foreign atoms are introduced into the atomic lattice of a host material to enhance ionic conduction. This enhancement is typically attributed to optimized charge carriers’ concentration or lattice structure alterations. In this study, we extend the concept of substitutional doping to explore its effects on chemical bond modulation and the resulting impact on ionic conduction in halide SSEs. As a case of study, we demonstrate that cation dopants with high charge density indices (e.g., Al3+ and Fe3+) can increase the covalency of metal−halide (M−X) bonds and induce the local asymmetric field of force, resulting in higher site energy and lower migration barriers, which significantly enhance the ionic conduction in halide frameworks. Specifically, we developed a series of halide SSEs with ionic conductivities exceeding the benchmark value of 1 mS cm−1 at room temperature. Detailed investigations, including neutron powder diffraction, pair distribution function analysis, and first-principles calculations, are performed to gain an insight into the mechanisms behind this adjustment. Furthermore, these materials exhibit enhanced deformability due to increased covalency of the metal halide framework, enabling high-performance ASSB prototypes operatable at low stacking pressures (&lt;10 MPa). These advancements deepen our understanding of superionic conduction in halide SSEs and mark an important step toward the practical application of ASSBs in the future.","container-title":"ACS Nano","DOI":"10.1021/acsnano.4c16514","ISSN":"1936-0851, 1936-086X","issue":"6","journalAbbreviation":"ACS Nano","language":"en","license":"https://doi.org/10.15223/policy-029","page":"6399-6411","source":"DOI.org (Crossref)","title":"Regulating Chemical Bonds in Halide Frameworks for Lithium Superionic Conductors","volume":"19","author":[{"family":"Jin","given":"Hailun"},{"family":"Lei","given":"Jiuwei"},{"family":"Hussain","given":"Fiaz"},{"family":"Tang","given":"Wen"},{"family":"Zhao","given":"Chunlei"},{"family":"Yu","given":"Pengcheng"},{"family":"Li","given":"Yuhang"},{"family":"Liu","given":"Ming"},{"family":"Zhang","given":"Jiaxu"},{"family":"Yin","given":"Wen"},{"family":"Xia","given":"Wei"},{"family":"Zhao","given":"Yusheng"}],"issued":{"date-parts":[["2025",2,18]]}}}],"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25</w:t>
            </w:r>
            <w:r w:rsidRPr="002657D1">
              <w:rPr>
                <w:rFonts w:ascii="Times New Roman" w:hAnsi="Times New Roman" w:cs="Times New Roman"/>
                <w:color w:val="000000" w:themeColor="text1"/>
                <w:sz w:val="24"/>
                <w:szCs w:val="24"/>
              </w:rPr>
              <w:fldChar w:fldCharType="end"/>
            </w:r>
          </w:p>
        </w:tc>
      </w:tr>
      <w:tr w:rsidR="002657D1" w:rsidRPr="002657D1" w14:paraId="64452D7F" w14:textId="77777777" w:rsidTr="002A5163">
        <w:trPr>
          <w:jc w:val="center"/>
        </w:trPr>
        <w:tc>
          <w:tcPr>
            <w:tcW w:w="1430" w:type="dxa"/>
            <w:vMerge/>
            <w:tcBorders>
              <w:top w:val="nil"/>
              <w:bottom w:val="nil"/>
            </w:tcBorders>
            <w:vAlign w:val="center"/>
          </w:tcPr>
          <w:p w14:paraId="207ED9A5"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3D704D6F"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2</w:t>
            </w:r>
            <w:r w:rsidRPr="002657D1">
              <w:rPr>
                <w:rFonts w:ascii="Times New Roman" w:hAnsi="Times New Roman" w:cs="Times New Roman"/>
                <w:color w:val="000000" w:themeColor="text1"/>
                <w:kern w:val="24"/>
                <w:sz w:val="24"/>
                <w:szCs w:val="24"/>
              </w:rPr>
              <w:t>Zr</w:t>
            </w:r>
            <w:r w:rsidRPr="002657D1">
              <w:rPr>
                <w:rFonts w:ascii="Times New Roman" w:hAnsi="Times New Roman" w:cs="Times New Roman"/>
                <w:color w:val="000000" w:themeColor="text1"/>
                <w:kern w:val="24"/>
                <w:sz w:val="24"/>
                <w:szCs w:val="24"/>
                <w:vertAlign w:val="subscript"/>
              </w:rPr>
              <w:t>0.75</w:t>
            </w:r>
            <w:r w:rsidRPr="002657D1">
              <w:rPr>
                <w:rFonts w:ascii="Times New Roman" w:hAnsi="Times New Roman" w:cs="Times New Roman"/>
                <w:color w:val="000000" w:themeColor="text1"/>
                <w:kern w:val="24"/>
                <w:sz w:val="24"/>
                <w:szCs w:val="24"/>
              </w:rPr>
              <w:t>Ta</w:t>
            </w:r>
            <w:r w:rsidRPr="002657D1">
              <w:rPr>
                <w:rFonts w:ascii="Times New Roman" w:hAnsi="Times New Roman" w:cs="Times New Roman"/>
                <w:color w:val="000000" w:themeColor="text1"/>
                <w:kern w:val="24"/>
                <w:sz w:val="24"/>
                <w:szCs w:val="24"/>
                <w:vertAlign w:val="subscript"/>
              </w:rPr>
              <w:t>0.2</w:t>
            </w:r>
            <w:r w:rsidRPr="002657D1">
              <w:rPr>
                <w:rFonts w:ascii="Times New Roman" w:hAnsi="Times New Roman" w:cs="Times New Roman"/>
                <w:color w:val="000000" w:themeColor="text1"/>
                <w:kern w:val="24"/>
                <w:sz w:val="24"/>
                <w:szCs w:val="24"/>
              </w:rPr>
              <w:t>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18576189"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1.74</w:t>
            </w:r>
          </w:p>
        </w:tc>
        <w:tc>
          <w:tcPr>
            <w:tcW w:w="1541" w:type="dxa"/>
            <w:tcBorders>
              <w:top w:val="nil"/>
              <w:bottom w:val="nil"/>
            </w:tcBorders>
            <w:vAlign w:val="center"/>
          </w:tcPr>
          <w:p w14:paraId="6B457FD0" w14:textId="0E05241F" w:rsidR="0046513C" w:rsidRPr="002657D1" w:rsidRDefault="00DD236A"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{"citationID":"a22meqbnqg3","properties":{"formattedCitation":"\\super 26\\nosupersub{}","plainCitation":"26","noteIndex":0},"citationItems":[{"id":"IXaoCdHi/IltmoBRL","uris":["http://zotero.org/users/local/As3BANDe/items/4</w:instrText>
            </w:r>
            <w:r w:rsidR="00E725CF" w:rsidRPr="002657D1">
              <w:rPr>
                <w:rFonts w:ascii="Times New Roman" w:hAnsi="Times New Roman" w:cs="Times New Roman" w:hint="eastAsia"/>
                <w:color w:val="000000" w:themeColor="text1"/>
                <w:sz w:val="24"/>
                <w:szCs w:val="24"/>
              </w:rPr>
              <w:instrText>4GGY9UI"],"itemData":{"id":5535,"type":"article-journal","abstract":"Abstract\n            \n              Halide solid electrolytes (SEs) have emerged as promising candidates for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batteries (ASSBs) owing to their considerable ionic conductivity, mechanical deformability, and compatibility with high</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voltage cathodes. However, the conventional equimolar substitution strategy for developing halide SEs has limitations, as it fails to simultaneously ensure the presence of abundant vacancies and mobile 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ions, which are two critical factors governing ionic conductivity. Herein, a non</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equimolar substitution strategy is adopted to design a Li and vacancy co</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 xml:space="preserve">enriched Li\n              2\n              Zr\n              0.75\n              Ta\n    </w:instrText>
            </w:r>
            <w:r w:rsidR="00E725CF" w:rsidRPr="002657D1">
              <w:rPr>
                <w:rFonts w:ascii="Times New Roman" w:hAnsi="Times New Roman" w:cs="Times New Roman"/>
                <w:color w:val="000000" w:themeColor="text1"/>
                <w:sz w:val="24"/>
                <w:szCs w:val="24"/>
              </w:rPr>
              <w:instrText xml:space="preserve">          0.2\n              Cl\n              6\n              with high ionic conductivity (1.74 mS cm\n              −1\n              ) and compatibility with high</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voltage Ni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rich cathode. Specifically, more Zr\n              4+\n              is subs</w:instrText>
            </w:r>
            <w:r w:rsidR="00E725CF" w:rsidRPr="002657D1">
              <w:rPr>
                <w:rFonts w:ascii="Times New Roman" w:hAnsi="Times New Roman" w:cs="Times New Roman" w:hint="eastAsia"/>
                <w:color w:val="000000" w:themeColor="text1"/>
                <w:sz w:val="24"/>
                <w:szCs w:val="24"/>
              </w:rPr>
              <w:instrText>tituted with less Ta\n              5+\n              to generate Zr</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vacancies without depleting 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ion content while maintaining charge neutrality. Under the 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rich state, abundant Zr</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vacancies provide additional 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ion migration pathways within the non</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centered octahedral framework and promote uniform and efficient 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ion transport. ASSBs assembled with single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 xml:space="preserve">crystalline LiNi\n              0.8\n              Co\n              0.1\n              Mn\n              0.1\n              O\n             </w:instrText>
            </w:r>
            <w:r w:rsidR="00E725CF" w:rsidRPr="002657D1">
              <w:rPr>
                <w:rFonts w:ascii="Times New Roman" w:hAnsi="Times New Roman" w:cs="Times New Roman"/>
                <w:color w:val="000000" w:themeColor="text1"/>
                <w:sz w:val="24"/>
                <w:szCs w:val="24"/>
              </w:rPr>
              <w:instrText xml:space="preserve"> 2\n              (scNCM811) cathode demonstrate exceptional cycling stability with high</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capacity retention (80.0% over 7800 cycles) and maintain stable cycling over 12 000 cycles at a high rate of 5 C. Notably, even under high loading conditions (20.62 mg cm\n              −2\n              scNCM811), the ASSBs maintained a capacity retention of 80.8% over 800 cycles and 70.1% over 2300 cycles at a high rate of 1 C.","container-title":"Advanced Energy Materials","DOI":"10.1002/aenm.202501255","ISSN":"161</w:instrText>
            </w:r>
            <w:r w:rsidR="00E725CF" w:rsidRPr="002657D1">
              <w:rPr>
                <w:rFonts w:ascii="Times New Roman" w:hAnsi="Times New Roman" w:cs="Times New Roman" w:hint="eastAsia"/>
                <w:color w:val="000000" w:themeColor="text1"/>
                <w:sz w:val="24"/>
                <w:szCs w:val="24"/>
              </w:rPr>
              <w:instrText>4-6832, 1614-6840","journalAbbreviation":"Advanced Energy Materials","language":"en","page":"2501255","source":"DOI.org (Crossref)","title":"Li and Vacancy Co</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Enriched Halide Electrolytes via Non</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Equimolar Substitution for Stable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Lithium B</w:instrText>
            </w:r>
            <w:r w:rsidR="00E725CF" w:rsidRPr="002657D1">
              <w:rPr>
                <w:rFonts w:ascii="Times New Roman" w:hAnsi="Times New Roman" w:cs="Times New Roman"/>
                <w:color w:val="000000" w:themeColor="text1"/>
                <w:sz w:val="24"/>
                <w:szCs w:val="24"/>
              </w:rPr>
              <w:instrText xml:space="preserve">atteries","author":[{"family":"Tang","given":"Mingyi"},{"family":"Sun","given":"Jianqi"},{"family":"He","given":"Caohua"},{"family":"Hou","given":"Chengyi"},{"family":"Zhang","given":"Qinghong"},{"family":"Li","given":"Yaogang"},{"family":"Qin","given":"Zongyi"},{"family":"Li","given":"Kerui"},{"family":"Wang","given":"Hongzhi"}],"issued":{"date-parts":[["2025",7,2]]}}}],"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26</w:t>
            </w:r>
            <w:r w:rsidRPr="002657D1">
              <w:rPr>
                <w:rFonts w:ascii="Times New Roman" w:hAnsi="Times New Roman" w:cs="Times New Roman"/>
                <w:color w:val="000000" w:themeColor="text1"/>
                <w:sz w:val="24"/>
                <w:szCs w:val="24"/>
              </w:rPr>
              <w:fldChar w:fldCharType="end"/>
            </w:r>
          </w:p>
        </w:tc>
      </w:tr>
      <w:tr w:rsidR="002657D1" w:rsidRPr="002657D1" w14:paraId="59DA9D5E" w14:textId="77777777" w:rsidTr="002A5163">
        <w:trPr>
          <w:jc w:val="center"/>
        </w:trPr>
        <w:tc>
          <w:tcPr>
            <w:tcW w:w="1430" w:type="dxa"/>
            <w:vMerge/>
            <w:tcBorders>
              <w:top w:val="nil"/>
              <w:bottom w:val="single" w:sz="8" w:space="0" w:color="auto"/>
            </w:tcBorders>
            <w:vAlign w:val="center"/>
          </w:tcPr>
          <w:p w14:paraId="4CEF405F"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single" w:sz="8" w:space="0" w:color="auto"/>
            </w:tcBorders>
            <w:vAlign w:val="center"/>
          </w:tcPr>
          <w:p w14:paraId="1185512F"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1.75</w:t>
            </w:r>
            <w:r w:rsidRPr="002657D1">
              <w:rPr>
                <w:rFonts w:ascii="Times New Roman" w:hAnsi="Times New Roman" w:cs="Times New Roman"/>
                <w:color w:val="000000" w:themeColor="text1"/>
                <w:kern w:val="24"/>
                <w:sz w:val="24"/>
                <w:szCs w:val="24"/>
              </w:rPr>
              <w:t>ZrCl</w:t>
            </w:r>
            <w:r w:rsidRPr="002657D1">
              <w:rPr>
                <w:rFonts w:ascii="Times New Roman" w:hAnsi="Times New Roman" w:cs="Times New Roman"/>
                <w:color w:val="000000" w:themeColor="text1"/>
                <w:kern w:val="24"/>
                <w:sz w:val="24"/>
                <w:szCs w:val="24"/>
                <w:vertAlign w:val="subscript"/>
              </w:rPr>
              <w:t>4.75</w:t>
            </w:r>
            <w:r w:rsidRPr="002657D1">
              <w:rPr>
                <w:rFonts w:ascii="Times New Roman" w:hAnsi="Times New Roman" w:cs="Times New Roman"/>
                <w:color w:val="000000" w:themeColor="text1"/>
                <w:kern w:val="24"/>
                <w:sz w:val="24"/>
                <w:szCs w:val="24"/>
              </w:rPr>
              <w:t>O</w:t>
            </w:r>
            <w:r w:rsidRPr="002657D1">
              <w:rPr>
                <w:rFonts w:ascii="Times New Roman" w:hAnsi="Times New Roman" w:cs="Times New Roman"/>
                <w:color w:val="000000" w:themeColor="text1"/>
                <w:kern w:val="24"/>
                <w:sz w:val="24"/>
                <w:szCs w:val="24"/>
                <w:vertAlign w:val="subscript"/>
              </w:rPr>
              <w:t>0.5</w:t>
            </w:r>
          </w:p>
        </w:tc>
        <w:tc>
          <w:tcPr>
            <w:tcW w:w="1755" w:type="dxa"/>
            <w:tcBorders>
              <w:top w:val="nil"/>
              <w:bottom w:val="single" w:sz="8" w:space="0" w:color="auto"/>
            </w:tcBorders>
            <w:vAlign w:val="center"/>
          </w:tcPr>
          <w:p w14:paraId="4288354A"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2.42</w:t>
            </w:r>
          </w:p>
        </w:tc>
        <w:tc>
          <w:tcPr>
            <w:tcW w:w="1541" w:type="dxa"/>
            <w:tcBorders>
              <w:top w:val="nil"/>
              <w:bottom w:val="single" w:sz="8" w:space="0" w:color="auto"/>
            </w:tcBorders>
            <w:vAlign w:val="center"/>
          </w:tcPr>
          <w:p w14:paraId="7E714114" w14:textId="26C3CB70"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{"citationID":"xjoxJX9z","properties":{"formattedCitation":"\\super 27\\nosupersub{}","plainCitation":"27","noteIndex":0},"citationItems":[{"id":"IXaoCdHi/uH4nRAUi","uris":["http://zotero.org/users/local/As3BANDe/items/8Y3L3AFH"],"itemData":{"id":21,"type":"article-journal","abstract":"Abstract\n            \n              To enable the development of all-solid-state batteries, an inorganic solid-state electrolyte should demonstrate high ionic conductivity (i.e., &gt; 1 mS cm\n              −1\n              at 25 °C), compressibility (e.g., &gt; 90% density under 250−350 MPa), and cost-effectiveness (e.g., &lt; $50/kg). Here we report the development and preparation of Li\n              1.75\n              ZrCl\n              4.75\n              O\n              0.5\n              oxychloride solid-state electrolyte that demonstrates an ionic conductivity of 2.42 mS cm\n              −1\n              at 25 °C, a compressibility enabling 94.2% density under 300 MPa and an estimated raw materials cost of $11.60/kg. As proof of concept, the Li\n              1.75\n              ZrCl\n              4.75\n              O\n              0.5\n              is tested in combination with a LiNi\n              0.8\n              Mn\n              0.1\n              Co\n              0.1\n              O\n              2\n              -based positive electrode and a Li\n              6\n              PS\n              5\n              Cl-coated Li-In negative electrode in lab-scale cell configuration. This all-solid-state cell delivers a discharge capacity retention of 70.34% (final discharge capacity of 70.2 mAh g\n              −1\n              ) after 2082 cycles at 1 A g\n              −1\n              , 25 °C and 1.5 tons of stacking pressure.","container-title":"Nature Communications","DOI":"10.1038/s41467-023-39522-1","ISSN":"2041-1723","issue":"1","journalAbbreviation":"Nat Commun","language":"en","page":"3807","source":"DOI.org (Crossref)","title":"A cost-effective, ionically conductive and compressible oxychloride solid-state electrolyte for stable all-solid-state lithium-based batteries","volume":"14","author":[{"family":"Hu","given":"Lv"},{"family":"Wang","given":"Jinzhu"},{"family":"Wang","given":"Kai"},{"family":"Gu","given":"Zhenqi"},{"family":"Xi","given":"Zhiwei"},{"family":"Li","given":"Hui"},{"family":"Chen","given":"Fang"},{"family":"Wang","given":"Youxi"},{"family":"Li","given":"Zhenyu"},{"family":"Ma","given":"Cheng"}],"issued":{"date-parts":[["2023",6,27]]}}}],"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27</w:t>
            </w:r>
            <w:r w:rsidRPr="002657D1">
              <w:rPr>
                <w:rFonts w:ascii="Times New Roman" w:hAnsi="Times New Roman" w:cs="Times New Roman"/>
                <w:color w:val="000000" w:themeColor="text1"/>
                <w:sz w:val="24"/>
                <w:szCs w:val="24"/>
              </w:rPr>
              <w:fldChar w:fldCharType="end"/>
            </w:r>
          </w:p>
        </w:tc>
      </w:tr>
      <w:tr w:rsidR="002657D1" w:rsidRPr="002657D1" w14:paraId="41AEDE64" w14:textId="77777777" w:rsidTr="002A5163">
        <w:trPr>
          <w:jc w:val="center"/>
        </w:trPr>
        <w:tc>
          <w:tcPr>
            <w:tcW w:w="1430" w:type="dxa"/>
            <w:vMerge w:val="restart"/>
            <w:tcBorders>
              <w:top w:val="single" w:sz="8" w:space="0" w:color="auto"/>
              <w:bottom w:val="nil"/>
            </w:tcBorders>
            <w:vAlign w:val="center"/>
          </w:tcPr>
          <w:p w14:paraId="32D3F7CA" w14:textId="77777777" w:rsidR="0046513C" w:rsidRPr="002657D1" w:rsidRDefault="0046513C" w:rsidP="00E27D34">
            <w:pPr>
              <w:widowControl/>
              <w:spacing w:line="360" w:lineRule="auto"/>
              <w:rPr>
                <w:rFonts w:ascii="Times New Roman" w:hAnsi="Times New Roman" w:cs="Times New Roman"/>
                <w:color w:val="000000" w:themeColor="text1"/>
                <w:kern w:val="24"/>
                <w:sz w:val="24"/>
                <w:szCs w:val="24"/>
              </w:rPr>
            </w:pPr>
          </w:p>
          <w:p w14:paraId="08D5D5A8" w14:textId="77777777" w:rsidR="0046513C" w:rsidRPr="002657D1" w:rsidRDefault="0046513C" w:rsidP="00E27D34">
            <w:pPr>
              <w:widowControl/>
              <w:spacing w:line="360" w:lineRule="auto"/>
              <w:rPr>
                <w:rFonts w:ascii="Times New Roman" w:hAnsi="Times New Roman" w:cs="Times New Roman"/>
                <w:color w:val="000000" w:themeColor="text1"/>
                <w:kern w:val="24"/>
                <w:sz w:val="24"/>
                <w:szCs w:val="24"/>
              </w:rPr>
            </w:pPr>
          </w:p>
          <w:p w14:paraId="0E723645" w14:textId="77777777" w:rsidR="0046513C" w:rsidRPr="002657D1" w:rsidRDefault="0046513C" w:rsidP="00E27D34">
            <w:pPr>
              <w:widowControl/>
              <w:spacing w:line="360" w:lineRule="auto"/>
              <w:rPr>
                <w:rFonts w:ascii="Times New Roman" w:hAnsi="Times New Roman" w:cs="Times New Roman"/>
                <w:color w:val="000000" w:themeColor="text1"/>
                <w:kern w:val="24"/>
                <w:sz w:val="24"/>
                <w:szCs w:val="24"/>
              </w:rPr>
            </w:pPr>
          </w:p>
          <w:p w14:paraId="4E98BD4C" w14:textId="77777777" w:rsidR="0046513C" w:rsidRPr="002657D1" w:rsidRDefault="0046513C" w:rsidP="00E27D34">
            <w:pPr>
              <w:widowControl/>
              <w:spacing w:line="360" w:lineRule="auto"/>
              <w:rPr>
                <w:rFonts w:ascii="Times New Roman" w:hAnsi="Times New Roman" w:cs="Times New Roman"/>
                <w:color w:val="000000" w:themeColor="text1"/>
                <w:kern w:val="24"/>
                <w:sz w:val="24"/>
                <w:szCs w:val="24"/>
              </w:rPr>
            </w:pPr>
            <m:oMathPara>
              <m:oMath>
                <m:r>
                  <w:rPr>
                    <w:rFonts w:ascii="Cambria Math" w:hAnsi="Cambria Math" w:cs="Times New Roman"/>
                    <w:color w:val="000000" w:themeColor="text1"/>
                    <w:kern w:val="24"/>
                    <w:sz w:val="24"/>
                    <w:szCs w:val="24"/>
                  </w:rPr>
                  <m:t>C2/m</m:t>
                </m:r>
              </m:oMath>
            </m:oMathPara>
          </w:p>
        </w:tc>
        <w:tc>
          <w:tcPr>
            <w:tcW w:w="4101" w:type="dxa"/>
            <w:tcBorders>
              <w:top w:val="single" w:sz="8" w:space="0" w:color="auto"/>
              <w:bottom w:val="nil"/>
            </w:tcBorders>
            <w:vAlign w:val="center"/>
          </w:tcPr>
          <w:p w14:paraId="54A2EA58" w14:textId="77777777" w:rsidR="0046513C" w:rsidRPr="002657D1" w:rsidRDefault="0046513C" w:rsidP="00E27D34">
            <w:pPr>
              <w:pStyle w:val="ac"/>
              <w:spacing w:before="0" w:beforeAutospacing="0" w:after="0" w:afterAutospacing="0"/>
              <w:jc w:val="center"/>
              <w:rPr>
                <w:rFonts w:ascii="Times New Roman" w:hAnsi="Times New Roman" w:cs="Times New Roman"/>
                <w:color w:val="000000" w:themeColor="text1"/>
                <w:kern w:val="24"/>
              </w:rPr>
            </w:pPr>
            <w:r w:rsidRPr="002657D1">
              <w:rPr>
                <w:rFonts w:ascii="Times New Roman" w:eastAsiaTheme="minorEastAsia" w:hAnsi="Times New Roman" w:cs="Times New Roman"/>
                <w:color w:val="000000" w:themeColor="text1"/>
                <w:kern w:val="24"/>
              </w:rPr>
              <w:t>Li</w:t>
            </w:r>
            <w:r w:rsidRPr="002657D1">
              <w:rPr>
                <w:rFonts w:ascii="Times New Roman" w:eastAsiaTheme="minorEastAsia" w:hAnsi="Times New Roman" w:cs="Times New Roman"/>
                <w:color w:val="000000" w:themeColor="text1"/>
                <w:kern w:val="24"/>
                <w:vertAlign w:val="subscript"/>
              </w:rPr>
              <w:t>3</w:t>
            </w:r>
            <w:r w:rsidRPr="002657D1">
              <w:rPr>
                <w:rFonts w:ascii="Times New Roman" w:eastAsiaTheme="minorEastAsia" w:hAnsi="Times New Roman" w:cs="Times New Roman"/>
                <w:color w:val="000000" w:themeColor="text1"/>
                <w:kern w:val="24"/>
              </w:rPr>
              <w:t>YBr</w:t>
            </w:r>
            <w:r w:rsidRPr="002657D1">
              <w:rPr>
                <w:rFonts w:ascii="Times New Roman" w:eastAsiaTheme="minorEastAsia" w:hAnsi="Times New Roman" w:cs="Times New Roman"/>
                <w:color w:val="000000" w:themeColor="text1"/>
                <w:kern w:val="24"/>
                <w:vertAlign w:val="subscript"/>
              </w:rPr>
              <w:t>6</w:t>
            </w:r>
          </w:p>
        </w:tc>
        <w:tc>
          <w:tcPr>
            <w:tcW w:w="1755" w:type="dxa"/>
            <w:tcBorders>
              <w:top w:val="single" w:sz="8" w:space="0" w:color="auto"/>
              <w:bottom w:val="nil"/>
            </w:tcBorders>
            <w:vAlign w:val="center"/>
          </w:tcPr>
          <w:p w14:paraId="090514BA" w14:textId="358DEB3E" w:rsidR="0046513C" w:rsidRPr="002657D1" w:rsidRDefault="0065352F" w:rsidP="00E27D34">
            <w:pPr>
              <w:pStyle w:val="ac"/>
              <w:spacing w:before="0" w:beforeAutospacing="0" w:after="0" w:afterAutospacing="0"/>
              <w:jc w:val="center"/>
              <w:rPr>
                <w:rFonts w:ascii="Times New Roman" w:hAnsi="Times New Roman" w:cs="Times New Roman"/>
                <w:color w:val="000000" w:themeColor="text1"/>
                <w:kern w:val="24"/>
              </w:rPr>
            </w:pPr>
            <w:r w:rsidRPr="002657D1">
              <w:rPr>
                <w:rFonts w:ascii="Times New Roman" w:eastAsiaTheme="minorEastAsia" w:hAnsi="Times New Roman" w:cs="Times New Roman" w:hint="eastAsia"/>
                <w:color w:val="000000" w:themeColor="text1"/>
                <w:kern w:val="24"/>
              </w:rPr>
              <w:t>1.7</w:t>
            </w:r>
          </w:p>
        </w:tc>
        <w:tc>
          <w:tcPr>
            <w:tcW w:w="1541" w:type="dxa"/>
            <w:tcBorders>
              <w:top w:val="single" w:sz="8" w:space="0" w:color="auto"/>
              <w:bottom w:val="nil"/>
            </w:tcBorders>
            <w:vAlign w:val="center"/>
          </w:tcPr>
          <w:p w14:paraId="22F8E67C" w14:textId="7E9EEC96"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{"citationID":"xySIW134","properties":{"formattedCitation":"\\super 7\\nosupersub{}","plainCitation":"7","noteIndex":0},"citationItems":[{"id":"IXaoCdHi/6lnzUoB1","uris":["http://zotero.org/users/local/As3BANDe/items/FQPXML</w:instrText>
            </w:r>
            <w:r w:rsidR="00E725CF" w:rsidRPr="002657D1">
              <w:rPr>
                <w:rFonts w:ascii="Times New Roman" w:hAnsi="Times New Roman" w:cs="Times New Roman" w:hint="eastAsia"/>
                <w:color w:val="000000" w:themeColor="text1"/>
                <w:sz w:val="24"/>
                <w:szCs w:val="24"/>
              </w:rPr>
              <w:instrText>JD"],"itemData":{"id":2781,"type":"article-journal","abstract":"Abstract\n            \n              New lithium halide 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electrolyte materials, Li\n              3\n              YCl\n              6\n              and Li\n              3\n              YBr\n              6\n              , are found to exhibit high lithium</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ion conductivity, high deformability, and high chemical and electrochemical stability, which are required properties for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battery (ASSB) applications, particularly</w:instrText>
            </w:r>
            <w:r w:rsidR="00E725CF" w:rsidRPr="002657D1">
              <w:rPr>
                <w:rFonts w:ascii="Times New Roman" w:hAnsi="Times New Roman" w:cs="Times New Roman"/>
                <w:color w:val="000000" w:themeColor="text1"/>
                <w:sz w:val="24"/>
                <w:szCs w:val="24"/>
              </w:rPr>
              <w:instrText xml:space="preserve"> for large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scale deployment. The lithium</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ion conductivities of cold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pressed powders surpass 1 mS cm\n              −1\n              at room temperature without additional intergrain or grain boundary resistances. Bulk</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type ASSB cells employing these new halide solid electrolyte materials exhibit coulombic efficiencies as high as 94% with an active cathode material of LiCoO\n              2\n              without any extra coating. These superior electrochemical characteristics, as well as their material stability, indicate that lithium halide salts are another promising candidate for ASSB solid electrolytes in addition to sulfides or oxides.","container-title":"Advanced Materials","DOI":"10.1002/adma.201803075","ISSN":"0935-9648, 1521-4095","issue":"44",</w:instrText>
            </w:r>
            <w:r w:rsidR="00E725CF" w:rsidRPr="002657D1">
              <w:rPr>
                <w:rFonts w:ascii="Times New Roman" w:hAnsi="Times New Roman" w:cs="Times New Roman" w:hint="eastAsia"/>
                <w:color w:val="000000" w:themeColor="text1"/>
                <w:sz w:val="24"/>
                <w:szCs w:val="24"/>
              </w:rPr>
              <w:instrText>"journalAbbreviation":"Advanced Materials","language":"en","page":"1803075","source":"DOI.org (Crossref)","title":"Solid Halide Electrolytes with High Lithium</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Ion Conductivity for Application in 4 V Class Bulk</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Type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Batteries","volume":"30"</w:instrText>
            </w:r>
            <w:r w:rsidR="00E725CF" w:rsidRPr="002657D1">
              <w:rPr>
                <w:rFonts w:ascii="Times New Roman" w:hAnsi="Times New Roman" w:cs="Times New Roman"/>
                <w:color w:val="000000" w:themeColor="text1"/>
                <w:sz w:val="24"/>
                <w:szCs w:val="24"/>
              </w:rPr>
              <w:instrText xml:space="preserve">,"author":[{"family":"Asano","given":"Tetsuya"},{"family":"Sakai","given":"Akihiro"},{"family":"Ouchi","given":"Satoru"},{"family":"Sakaida","given":"Masashi"},{"family":"Miyazaki","given":"Akinobu"},{"family":"Hasegawa","given":"Shinya"}],"issued":{"date-parts":[["2018",11]]}}}],"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285CB3" w:rsidRPr="002657D1">
              <w:rPr>
                <w:rFonts w:ascii="Times New Roman" w:hAnsi="Times New Roman" w:cs="Times New Roman"/>
                <w:color w:val="000000" w:themeColor="text1"/>
                <w:kern w:val="0"/>
                <w:sz w:val="24"/>
                <w:szCs w:val="24"/>
                <w:vertAlign w:val="superscript"/>
              </w:rPr>
              <w:t>7</w:t>
            </w:r>
            <w:r w:rsidRPr="002657D1">
              <w:rPr>
                <w:rFonts w:ascii="Times New Roman" w:hAnsi="Times New Roman" w:cs="Times New Roman"/>
                <w:color w:val="000000" w:themeColor="text1"/>
                <w:sz w:val="24"/>
                <w:szCs w:val="24"/>
              </w:rPr>
              <w:fldChar w:fldCharType="end"/>
            </w:r>
          </w:p>
        </w:tc>
      </w:tr>
      <w:tr w:rsidR="002657D1" w:rsidRPr="002657D1" w14:paraId="75553C04" w14:textId="77777777" w:rsidTr="002A5163">
        <w:trPr>
          <w:jc w:val="center"/>
        </w:trPr>
        <w:tc>
          <w:tcPr>
            <w:tcW w:w="1430" w:type="dxa"/>
            <w:vMerge/>
            <w:tcBorders>
              <w:top w:val="nil"/>
              <w:bottom w:val="nil"/>
            </w:tcBorders>
            <w:vAlign w:val="center"/>
          </w:tcPr>
          <w:p w14:paraId="6C9676C5"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6357589A" w14:textId="77777777" w:rsidR="0046513C" w:rsidRPr="002657D1" w:rsidRDefault="0046513C" w:rsidP="00E27D34">
            <w:pPr>
              <w:pStyle w:val="ac"/>
              <w:spacing w:before="0" w:beforeAutospacing="0" w:after="0" w:afterAutospacing="0"/>
              <w:jc w:val="center"/>
              <w:rPr>
                <w:rFonts w:ascii="Times New Roman" w:hAnsi="Times New Roman" w:cs="Times New Roman"/>
                <w:color w:val="000000" w:themeColor="text1"/>
                <w:kern w:val="24"/>
              </w:rPr>
            </w:pPr>
            <w:r w:rsidRPr="002657D1">
              <w:rPr>
                <w:rFonts w:ascii="Times New Roman" w:eastAsiaTheme="minorEastAsia" w:hAnsi="Times New Roman" w:cs="Times New Roman"/>
                <w:color w:val="000000" w:themeColor="text1"/>
                <w:kern w:val="24"/>
              </w:rPr>
              <w:t>Li</w:t>
            </w:r>
            <w:r w:rsidRPr="002657D1">
              <w:rPr>
                <w:rFonts w:ascii="Times New Roman" w:eastAsiaTheme="minorEastAsia" w:hAnsi="Times New Roman" w:cs="Times New Roman"/>
                <w:color w:val="000000" w:themeColor="text1"/>
                <w:kern w:val="24"/>
                <w:vertAlign w:val="subscript"/>
              </w:rPr>
              <w:t>3</w:t>
            </w:r>
            <w:r w:rsidRPr="002657D1">
              <w:rPr>
                <w:rFonts w:ascii="Times New Roman" w:eastAsiaTheme="minorEastAsia" w:hAnsi="Times New Roman" w:cs="Times New Roman"/>
                <w:color w:val="000000" w:themeColor="text1"/>
                <w:kern w:val="24"/>
              </w:rPr>
              <w:t>YBr</w:t>
            </w:r>
            <w:r w:rsidRPr="002657D1">
              <w:rPr>
                <w:rFonts w:ascii="Times New Roman" w:eastAsiaTheme="minorEastAsia" w:hAnsi="Times New Roman" w:cs="Times New Roman"/>
                <w:color w:val="000000" w:themeColor="text1"/>
                <w:kern w:val="24"/>
                <w:vertAlign w:val="subscript"/>
              </w:rPr>
              <w:t>5.7</w:t>
            </w:r>
            <w:r w:rsidRPr="002657D1">
              <w:rPr>
                <w:rFonts w:ascii="Times New Roman" w:eastAsiaTheme="minorEastAsia" w:hAnsi="Times New Roman" w:cs="Times New Roman"/>
                <w:color w:val="000000" w:themeColor="text1"/>
                <w:kern w:val="24"/>
              </w:rPr>
              <w:t>F</w:t>
            </w:r>
            <w:r w:rsidRPr="002657D1">
              <w:rPr>
                <w:rFonts w:ascii="Times New Roman" w:eastAsiaTheme="minorEastAsia" w:hAnsi="Times New Roman" w:cs="Times New Roman"/>
                <w:color w:val="000000" w:themeColor="text1"/>
                <w:kern w:val="24"/>
                <w:vertAlign w:val="subscript"/>
              </w:rPr>
              <w:t>0.3</w:t>
            </w:r>
          </w:p>
        </w:tc>
        <w:tc>
          <w:tcPr>
            <w:tcW w:w="1755" w:type="dxa"/>
            <w:tcBorders>
              <w:top w:val="nil"/>
              <w:bottom w:val="nil"/>
            </w:tcBorders>
            <w:vAlign w:val="center"/>
          </w:tcPr>
          <w:p w14:paraId="28EF01A9" w14:textId="77777777" w:rsidR="0046513C" w:rsidRPr="002657D1" w:rsidRDefault="0046513C" w:rsidP="00E27D34">
            <w:pPr>
              <w:pStyle w:val="ac"/>
              <w:spacing w:before="0" w:beforeAutospacing="0" w:after="0" w:afterAutospacing="0"/>
              <w:jc w:val="center"/>
              <w:rPr>
                <w:rFonts w:ascii="Times New Roman" w:hAnsi="Times New Roman" w:cs="Times New Roman"/>
                <w:color w:val="000000" w:themeColor="text1"/>
                <w:kern w:val="24"/>
              </w:rPr>
            </w:pPr>
            <w:r w:rsidRPr="002657D1">
              <w:rPr>
                <w:rFonts w:ascii="Times New Roman" w:eastAsiaTheme="minorEastAsia" w:hAnsi="Times New Roman" w:cs="Times New Roman"/>
                <w:color w:val="000000" w:themeColor="text1"/>
                <w:kern w:val="24"/>
              </w:rPr>
              <w:t>1.8</w:t>
            </w:r>
          </w:p>
        </w:tc>
        <w:tc>
          <w:tcPr>
            <w:tcW w:w="1541" w:type="dxa"/>
            <w:tcBorders>
              <w:top w:val="nil"/>
              <w:bottom w:val="nil"/>
            </w:tcBorders>
            <w:vAlign w:val="center"/>
          </w:tcPr>
          <w:p w14:paraId="741F7194" w14:textId="5DAEEA62"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{"citationID":"Y7hg18HX","properties":{"formattedCitation":"\\super 28\\nosupersub{}","plainCitation":"28","noteIndex":0},"citationItems":[{"id":"IXaoCdHi/nusVTCKG","uris":["http://zotero.org/users/local/As3BANDe/items/PGQE</w:instrText>
            </w:r>
            <w:r w:rsidR="00E725CF" w:rsidRPr="002657D1">
              <w:rPr>
                <w:rFonts w:ascii="Times New Roman" w:hAnsi="Times New Roman" w:cs="Times New Roman" w:hint="eastAsia"/>
                <w:color w:val="000000" w:themeColor="text1"/>
                <w:sz w:val="24"/>
                <w:szCs w:val="24"/>
              </w:rPr>
              <w:instrText>PSXT"],"itemData":{"id":2814,"type":"article-journal","abstract":"Abstract\n            \n              The halide 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electrolytes (SSEs) have received significant attention due to their high ionic conductivity and desirable compatibility with ca</w:instrText>
            </w:r>
            <w:r w:rsidR="00E725CF" w:rsidRPr="002657D1">
              <w:rPr>
                <w:rFonts w:ascii="Times New Roman" w:hAnsi="Times New Roman" w:cs="Times New Roman"/>
                <w:color w:val="000000" w:themeColor="text1"/>
                <w:sz w:val="24"/>
                <w:szCs w:val="24"/>
              </w:rPr>
              <w:instrText>thode materials. However, the reduction potential of the halide is still &gt;0.6 V (versus Li/Li\n              +\n              ). Reduction stability is still one of the challenges that need to be addressed. The fluorides have a wide electrochemical stability window due to the large electronegativity of F\n              –\n              . In contrast, Li\n              3\n              YBr\n              6\n              (LYB) bromides have a narrower electrochemical window, although they have high lithium</w:instrText>
            </w:r>
            <w:r w:rsidR="00E725CF" w:rsidRPr="002657D1">
              <w:rPr>
                <w:rFonts w:ascii="Times New Roman" w:hAnsi="Times New Roman" w:cs="Times New Roman" w:hint="eastAsia"/>
                <w:color w:val="000000" w:themeColor="text1"/>
                <w:sz w:val="24"/>
                <w:szCs w:val="24"/>
              </w:rPr>
              <w:instrText xml:space="preserve"> ion conductivity (&gt;10\n              </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 xml:space="preserve">3\n              S cm\n              </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1\n              ). Herein, a fluorine doping strategy is employed. The interfacial stability between fluoride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 xml:space="preserve">doped bromides and lithium metal is researched by cycling of lithium symmetric cells. Li plating/stripping can maintain over 1000 h at 0.75 mA cm\n              </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2\n              . Interfacial protection mechanisms investigated by X</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ray photoelectron spectroscopy. A fluoride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rich interfacial layer is formed in situ durin</w:instrText>
            </w:r>
            <w:r w:rsidR="00E725CF" w:rsidRPr="002657D1">
              <w:rPr>
                <w:rFonts w:ascii="Times New Roman" w:hAnsi="Times New Roman" w:cs="Times New Roman"/>
                <w:color w:val="000000" w:themeColor="text1"/>
                <w:sz w:val="24"/>
                <w:szCs w:val="24"/>
              </w:rPr>
              <w:instrText xml:space="preserve">g the cycle, which achieves inhibition of the reduction. The Li metal treated fluorine doping of LYB exhibits significant potential in full cells. In fact, the induction of a stable in situ interfacial layer by fluorine doping can effectively improve the </w:instrText>
            </w:r>
            <w:r w:rsidR="00E725CF" w:rsidRPr="002657D1">
              <w:rPr>
                <w:rFonts w:ascii="Times New Roman" w:hAnsi="Times New Roman" w:cs="Times New Roman" w:hint="eastAsia"/>
                <w:color w:val="000000" w:themeColor="text1"/>
                <w:sz w:val="24"/>
                <w:szCs w:val="24"/>
              </w:rPr>
              <w:instrText>interfacial stability of bromides to lithium metal. Fluorine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doped modification offers a new attempt to realize lithium metal applications in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lithium batteries.","container-title":"Advanced Energy Materials","DOI":"10.1002/aenm.202101915","ISSN":"1614-6832, 1614-6840","issue":"36","journalAbbreviation":"Advanced Energy Materials","language":"en","page":"2101915","source":"DOI.org (Crossref)","title":"Superionic Fluorinated Halide Solid Electrolytes for Highly Stable 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Metal in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w:instrText>
            </w:r>
            <w:r w:rsidR="00E725CF" w:rsidRPr="002657D1">
              <w:rPr>
                <w:rFonts w:ascii="Times New Roman" w:hAnsi="Times New Roman" w:cs="Times New Roman"/>
                <w:color w:val="000000" w:themeColor="text1"/>
                <w:sz w:val="24"/>
                <w:szCs w:val="24"/>
              </w:rPr>
              <w:instrText xml:space="preserve">tate Li Batteries","volume":"11","author":[{"family":"Yu","given":"Tianwei"},{"family":"Liang","given":"Jianwen"},{"family":"Luo","given":"Liang"},{"family":"Wang","given":"Limin"},{"family":"Zhao","given":"Feipeng"},{"family":"Xu","given":"Guofeng"},{"family":"Bai","given":"Xiangtao"},{"family":"Yang","given":"Rong"},{"family":"Zhao","given":"Shangqian"},{"family":"Wang","given":"Jiantao"},{"family":"Yu","given":"Jinqiu"},{"family":"Sun","given":"Xueliang"}],"issued":{"date-parts":[["2021",9]]}}}],"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28</w:t>
            </w:r>
            <w:r w:rsidRPr="002657D1">
              <w:rPr>
                <w:rFonts w:ascii="Times New Roman" w:hAnsi="Times New Roman" w:cs="Times New Roman"/>
                <w:color w:val="000000" w:themeColor="text1"/>
                <w:sz w:val="24"/>
                <w:szCs w:val="24"/>
              </w:rPr>
              <w:fldChar w:fldCharType="end"/>
            </w:r>
          </w:p>
        </w:tc>
      </w:tr>
      <w:tr w:rsidR="002657D1" w:rsidRPr="002657D1" w14:paraId="20A67CDD" w14:textId="77777777" w:rsidTr="002A5163">
        <w:trPr>
          <w:jc w:val="center"/>
        </w:trPr>
        <w:tc>
          <w:tcPr>
            <w:tcW w:w="1430" w:type="dxa"/>
            <w:vMerge/>
            <w:tcBorders>
              <w:top w:val="nil"/>
              <w:bottom w:val="nil"/>
            </w:tcBorders>
            <w:vAlign w:val="center"/>
          </w:tcPr>
          <w:p w14:paraId="61EC4C07"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412D9C02" w14:textId="77777777" w:rsidR="0046513C" w:rsidRPr="002657D1" w:rsidRDefault="0046513C" w:rsidP="00E27D34">
            <w:pPr>
              <w:pStyle w:val="ac"/>
              <w:spacing w:before="0" w:beforeAutospacing="0" w:after="0" w:afterAutospacing="0"/>
              <w:jc w:val="center"/>
              <w:rPr>
                <w:rFonts w:ascii="Times New Roman" w:hAnsi="Times New Roman" w:cs="Times New Roman"/>
                <w:color w:val="000000" w:themeColor="text1"/>
              </w:rPr>
            </w:pPr>
            <w:r w:rsidRPr="002657D1">
              <w:rPr>
                <w:rFonts w:ascii="Times New Roman" w:eastAsiaTheme="minorEastAsia" w:hAnsi="Times New Roman" w:cs="Times New Roman"/>
                <w:color w:val="000000" w:themeColor="text1"/>
                <w:kern w:val="24"/>
              </w:rPr>
              <w:t>Li</w:t>
            </w:r>
            <w:r w:rsidRPr="002657D1">
              <w:rPr>
                <w:rFonts w:ascii="Times New Roman" w:eastAsiaTheme="minorEastAsia" w:hAnsi="Times New Roman" w:cs="Times New Roman"/>
                <w:color w:val="000000" w:themeColor="text1"/>
                <w:kern w:val="24"/>
                <w:vertAlign w:val="subscript"/>
              </w:rPr>
              <w:t>3</w:t>
            </w:r>
            <w:r w:rsidRPr="002657D1">
              <w:rPr>
                <w:rFonts w:ascii="Times New Roman" w:eastAsiaTheme="minorEastAsia" w:hAnsi="Times New Roman" w:cs="Times New Roman"/>
                <w:color w:val="000000" w:themeColor="text1"/>
                <w:kern w:val="24"/>
              </w:rPr>
              <w:t>YBr</w:t>
            </w:r>
            <w:r w:rsidRPr="002657D1">
              <w:rPr>
                <w:rFonts w:ascii="Times New Roman" w:eastAsiaTheme="minorEastAsia" w:hAnsi="Times New Roman" w:cs="Times New Roman"/>
                <w:color w:val="000000" w:themeColor="text1"/>
                <w:kern w:val="24"/>
                <w:vertAlign w:val="subscript"/>
              </w:rPr>
              <w:t>2</w:t>
            </w:r>
            <w:r w:rsidRPr="002657D1">
              <w:rPr>
                <w:rFonts w:ascii="Times New Roman" w:eastAsiaTheme="minorEastAsia" w:hAnsi="Times New Roman" w:cs="Times New Roman"/>
                <w:color w:val="000000" w:themeColor="text1"/>
                <w:kern w:val="24"/>
              </w:rPr>
              <w:t>Cl</w:t>
            </w:r>
            <w:r w:rsidRPr="002657D1">
              <w:rPr>
                <w:rFonts w:ascii="Times New Roman" w:eastAsiaTheme="minorEastAsia" w:hAnsi="Times New Roman" w:cs="Times New Roman"/>
                <w:color w:val="000000" w:themeColor="text1"/>
                <w:kern w:val="24"/>
                <w:vertAlign w:val="subscript"/>
              </w:rPr>
              <w:t>4</w:t>
            </w:r>
          </w:p>
        </w:tc>
        <w:tc>
          <w:tcPr>
            <w:tcW w:w="1755" w:type="dxa"/>
            <w:tcBorders>
              <w:top w:val="nil"/>
              <w:bottom w:val="nil"/>
            </w:tcBorders>
            <w:vAlign w:val="center"/>
          </w:tcPr>
          <w:p w14:paraId="0DC6CF0C" w14:textId="77777777" w:rsidR="0046513C" w:rsidRPr="002657D1" w:rsidRDefault="0046513C" w:rsidP="00E27D34">
            <w:pPr>
              <w:pStyle w:val="ac"/>
              <w:spacing w:before="0" w:beforeAutospacing="0" w:after="0" w:afterAutospacing="0"/>
              <w:jc w:val="center"/>
              <w:rPr>
                <w:rFonts w:ascii="Times New Roman" w:hAnsi="Times New Roman" w:cs="Times New Roman"/>
                <w:color w:val="000000" w:themeColor="text1"/>
                <w:kern w:val="24"/>
              </w:rPr>
            </w:pPr>
            <w:r w:rsidRPr="002657D1">
              <w:rPr>
                <w:rFonts w:ascii="Times New Roman" w:eastAsiaTheme="minorEastAsia" w:hAnsi="Times New Roman" w:cs="Times New Roman"/>
                <w:color w:val="000000" w:themeColor="text1"/>
                <w:kern w:val="24"/>
              </w:rPr>
              <w:t>1.27</w:t>
            </w:r>
          </w:p>
        </w:tc>
        <w:tc>
          <w:tcPr>
            <w:tcW w:w="1541" w:type="dxa"/>
            <w:tcBorders>
              <w:top w:val="nil"/>
              <w:bottom w:val="nil"/>
            </w:tcBorders>
            <w:vAlign w:val="center"/>
          </w:tcPr>
          <w:p w14:paraId="1F01BC6E" w14:textId="3D40E13F"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{"citationID":"d5dANbkL","properties":{"formattedCitation":"\\super 29\\nosupersub{}","plainCitation":"29","noteIndex":0},"citationItems":[{"id":"IXaoCdHi/D2cDtn1X","uris":["http://zotero.org/users/local/As3BANDe/items/45AMBIJ9"],"itemData":{"id":2815,"type":"article-journal","container-title":"ACS Energy Letters","DOI":"10.1021/acsenergylett.3c02513","ISSN":"2380-8195, 2380-8195","journalAbbreviation":"ACS Energy Lett.","language":"en","license":"https://doi.org/10.15223/policy-029","page":"454-460","source":"DOI.org (Crossref)","title":"Atmospheric-Pressure Operation of All-Solid-State Batteries Enabled by Halide Solid Electrolyte","author":[{"family":"Hennequart","given":"Benjamin"},{"family":"Platonova","given":"Maria"},{"family":"Chometon","given":"Ronan"},{"family":"Marchandier","given":"Thomas"},{"family":"Benedetto","given":"Alessandro"},{"family":"Quemin","given":"Elisa"},{"family":"Dugas","given":"Romain"},{"family":"Lethien","given":"Christophe"},{"family":"Tarascon","given":"Jean-Marie"}],"issued":{"date-parts":[["2024",1,12]]}}}],"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29</w:t>
            </w:r>
            <w:r w:rsidRPr="002657D1">
              <w:rPr>
                <w:rFonts w:ascii="Times New Roman" w:hAnsi="Times New Roman" w:cs="Times New Roman"/>
                <w:color w:val="000000" w:themeColor="text1"/>
                <w:sz w:val="24"/>
                <w:szCs w:val="24"/>
              </w:rPr>
              <w:fldChar w:fldCharType="end"/>
            </w:r>
          </w:p>
        </w:tc>
      </w:tr>
      <w:tr w:rsidR="002657D1" w:rsidRPr="002657D1" w14:paraId="2740C53E" w14:textId="77777777" w:rsidTr="002A5163">
        <w:trPr>
          <w:jc w:val="center"/>
        </w:trPr>
        <w:tc>
          <w:tcPr>
            <w:tcW w:w="1430" w:type="dxa"/>
            <w:vMerge/>
            <w:tcBorders>
              <w:top w:val="nil"/>
              <w:bottom w:val="nil"/>
            </w:tcBorders>
            <w:vAlign w:val="center"/>
          </w:tcPr>
          <w:p w14:paraId="5EDD0F68" w14:textId="77777777" w:rsidR="0065352F" w:rsidRPr="002657D1" w:rsidRDefault="0065352F" w:rsidP="0065352F">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61A4FBF2" w14:textId="1FA6F9DB" w:rsidR="0065352F" w:rsidRPr="002657D1" w:rsidRDefault="0065352F" w:rsidP="0065352F">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3</w:t>
            </w:r>
            <w:r w:rsidRPr="002657D1">
              <w:rPr>
                <w:rFonts w:ascii="Times New Roman" w:hAnsi="Times New Roman" w:cs="Times New Roman"/>
                <w:color w:val="000000" w:themeColor="text1"/>
                <w:kern w:val="24"/>
                <w:sz w:val="24"/>
                <w:szCs w:val="24"/>
              </w:rPr>
              <w:t>GdBr</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116253B9" w14:textId="63CC1382" w:rsidR="0065352F" w:rsidRPr="002657D1" w:rsidRDefault="0065352F" w:rsidP="0065352F">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1.4</w:t>
            </w:r>
          </w:p>
        </w:tc>
        <w:tc>
          <w:tcPr>
            <w:tcW w:w="1541" w:type="dxa"/>
            <w:tcBorders>
              <w:top w:val="nil"/>
              <w:bottom w:val="nil"/>
            </w:tcBorders>
            <w:vAlign w:val="center"/>
          </w:tcPr>
          <w:p w14:paraId="0432ADC3" w14:textId="5B4C0E22" w:rsidR="0065352F" w:rsidRPr="002657D1" w:rsidRDefault="006E2B03" w:rsidP="0065352F">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70459F" w:rsidRPr="002657D1">
              <w:rPr>
                <w:rFonts w:ascii="Times New Roman" w:hAnsi="Times New Roman" w:cs="Times New Roman"/>
                <w:color w:val="000000" w:themeColor="text1"/>
                <w:sz w:val="24"/>
                <w:szCs w:val="24"/>
              </w:rPr>
              <w:instrText xml:space="preserve"> ADDIN ZOTERO_ITEM CSL_CITATION {"citationID":"a1ho4tia3sg","properties":{"formattedCitation":"\\super 30\\nosupersub{}","plainCitation":"30","noteIndex":0},"citationItems":[{"id":1984,"uris":["http://zotero.org/users/local/J1vikkcu/items/G78KBGNC"],"itemData":{"id":1984,"type":"article-journal","abstract":"All-solid-state lithium-based batteries (ASSLBs) with good safety and high energy density are valuable. To realize stable and high-efficiency ASSLBs, high-performance solid-state electrolytes (SEs) with good processability are necessary. Bromide (Br)-based rare-earth halide SEs (RE-HSEs) exhibit good deformability for large radii of RE and Br ions. Here, the influence of RE ions on the crystalline structure and mechanical properties of Br-based RE-HSEs (RE = Y, Gd, Tb, Ho, or Er) was analyzed in detail, and Li3GdBr6 (LGdB) showed the softest lattice and the best deformability due to having the longest RE−Br bond length. Furthermore, LGdB exhibits satisfactory ionic conduction ability (1.4 mS cm−1), and the assembled ASSLBs exhibit a reversible redox process, excellent fastcharging performance, and superior cycling stability for 6000 cycles at 10 C. This study indicates that the relationship between the RE and deformability of Br-based RE-HSEs is significant for the rational design and improvement of HSEs in ASSLBs.","container-title":"Nano Letters","DOI":"10.1021/acs.nanolett.5c00509","ISSN":"1530-6984, 1530-6992","issue":"19","journalAbbreviation":"Nano Lett.","language":"en","license":"https://doi.org/10.15223/policy-029","page":"7725-7731","source":"DOI.org (Crossref)","title":"Rare-Earth Ions Regulating Lattice-Softened Bromide Solid Electrolytes for Highly Stable Fast-Charging Solid-State Batteries","volume":"25","author":[{"family":"Shi","given":"Xiaomeng"},{"family":"Zeng","given":"Zhichao"},{"family":"Zhang","given":"Qian"},{"family":"Du","given":"Yaping"}],"issued":{"date-parts":[["2025",5,14]]}}}],"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30</w:t>
            </w:r>
            <w:r w:rsidRPr="002657D1">
              <w:rPr>
                <w:rFonts w:ascii="Times New Roman" w:hAnsi="Times New Roman" w:cs="Times New Roman"/>
                <w:color w:val="000000" w:themeColor="text1"/>
                <w:sz w:val="24"/>
                <w:szCs w:val="24"/>
              </w:rPr>
              <w:fldChar w:fldCharType="end"/>
            </w:r>
          </w:p>
        </w:tc>
      </w:tr>
      <w:tr w:rsidR="002657D1" w:rsidRPr="002657D1" w14:paraId="2AE1DA17" w14:textId="77777777" w:rsidTr="002A5163">
        <w:trPr>
          <w:jc w:val="center"/>
        </w:trPr>
        <w:tc>
          <w:tcPr>
            <w:tcW w:w="1430" w:type="dxa"/>
            <w:vMerge/>
            <w:tcBorders>
              <w:top w:val="nil"/>
              <w:bottom w:val="nil"/>
            </w:tcBorders>
            <w:vAlign w:val="center"/>
          </w:tcPr>
          <w:p w14:paraId="7ADBA639" w14:textId="77777777" w:rsidR="0065352F" w:rsidRPr="002657D1" w:rsidRDefault="0065352F"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5784DC94" w14:textId="6C9ED5A3" w:rsidR="0065352F" w:rsidRPr="002657D1" w:rsidRDefault="006E2B03"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2.73</w:t>
            </w:r>
            <w:r w:rsidRPr="002657D1">
              <w:rPr>
                <w:rFonts w:ascii="Times New Roman" w:hAnsi="Times New Roman" w:cs="Times New Roman"/>
                <w:color w:val="000000" w:themeColor="text1"/>
                <w:kern w:val="24"/>
                <w:sz w:val="24"/>
                <w:szCs w:val="24"/>
              </w:rPr>
              <w:t>Ho</w:t>
            </w:r>
            <w:r w:rsidRPr="002657D1">
              <w:rPr>
                <w:rFonts w:ascii="Times New Roman" w:hAnsi="Times New Roman" w:cs="Times New Roman"/>
                <w:color w:val="000000" w:themeColor="text1"/>
                <w:kern w:val="24"/>
                <w:sz w:val="24"/>
                <w:szCs w:val="24"/>
                <w:vertAlign w:val="subscript"/>
              </w:rPr>
              <w:t>1.09</w:t>
            </w:r>
            <w:r w:rsidRPr="002657D1">
              <w:rPr>
                <w:rFonts w:ascii="Times New Roman" w:hAnsi="Times New Roman" w:cs="Times New Roman"/>
                <w:color w:val="000000" w:themeColor="text1"/>
                <w:kern w:val="24"/>
                <w:sz w:val="24"/>
                <w:szCs w:val="24"/>
              </w:rPr>
              <w:t>Cl</w:t>
            </w:r>
            <w:r w:rsidRPr="002657D1">
              <w:rPr>
                <w:rFonts w:ascii="Times New Roman" w:hAnsi="Times New Roman" w:cs="Times New Roman"/>
                <w:color w:val="000000" w:themeColor="text1"/>
                <w:kern w:val="24"/>
                <w:sz w:val="24"/>
                <w:szCs w:val="24"/>
                <w:vertAlign w:val="subscript"/>
              </w:rPr>
              <w:t>3.27</w:t>
            </w:r>
            <w:r w:rsidRPr="002657D1">
              <w:rPr>
                <w:rFonts w:ascii="Times New Roman" w:hAnsi="Times New Roman" w:cs="Times New Roman"/>
                <w:color w:val="000000" w:themeColor="text1"/>
                <w:kern w:val="24"/>
                <w:sz w:val="24"/>
                <w:szCs w:val="24"/>
              </w:rPr>
              <w:t>Br</w:t>
            </w:r>
            <w:r w:rsidRPr="002657D1">
              <w:rPr>
                <w:rFonts w:ascii="Times New Roman" w:hAnsi="Times New Roman" w:cs="Times New Roman"/>
                <w:color w:val="000000" w:themeColor="text1"/>
                <w:kern w:val="24"/>
                <w:sz w:val="24"/>
                <w:szCs w:val="24"/>
                <w:vertAlign w:val="subscript"/>
              </w:rPr>
              <w:t>2.73</w:t>
            </w:r>
          </w:p>
        </w:tc>
        <w:tc>
          <w:tcPr>
            <w:tcW w:w="1755" w:type="dxa"/>
            <w:tcBorders>
              <w:top w:val="nil"/>
              <w:bottom w:val="nil"/>
            </w:tcBorders>
            <w:vAlign w:val="center"/>
          </w:tcPr>
          <w:p w14:paraId="1F0F0DFB" w14:textId="0CBEE994" w:rsidR="0065352F" w:rsidRPr="002657D1" w:rsidRDefault="006E2B03"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3.8</w:t>
            </w:r>
          </w:p>
        </w:tc>
        <w:tc>
          <w:tcPr>
            <w:tcW w:w="1541" w:type="dxa"/>
            <w:tcBorders>
              <w:top w:val="nil"/>
              <w:bottom w:val="nil"/>
            </w:tcBorders>
            <w:vAlign w:val="center"/>
          </w:tcPr>
          <w:p w14:paraId="1F982576" w14:textId="225B0E99" w:rsidR="0065352F" w:rsidRPr="002657D1" w:rsidRDefault="006E2B03"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70459F" w:rsidRPr="002657D1">
              <w:rPr>
                <w:rFonts w:ascii="Times New Roman" w:hAnsi="Times New Roman" w:cs="Times New Roman"/>
                <w:color w:val="000000" w:themeColor="text1"/>
                <w:sz w:val="24"/>
                <w:szCs w:val="24"/>
              </w:rPr>
              <w:instrText xml:space="preserve"> ADDIN ZOTERO_ITEM CSL_CITATION {"citationID":"a8ucot87tb","properties":{"formattedCitation":"\\super 31\\nosupersub{}","plainCitation":"31","noteIndex":0},"citationItems":[{"id":1986,"uris":["http://zotero.org/users/local/J1vikkcu/items/WTHTQJQY"],"itemD</w:instrText>
            </w:r>
            <w:r w:rsidR="0070459F" w:rsidRPr="002657D1">
              <w:rPr>
                <w:rFonts w:ascii="Times New Roman" w:hAnsi="Times New Roman" w:cs="Times New Roman" w:hint="eastAsia"/>
                <w:color w:val="000000" w:themeColor="text1"/>
                <w:sz w:val="24"/>
                <w:szCs w:val="24"/>
              </w:rPr>
              <w:instrText>ata":{"id":1986,"type":"article-journal","abstract":"Abstract\n            \n              Localized atomistic disorder in halide</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 xml:space="preserve">based solid electrolytes (SEs) can be leveraged to boost Li\n              +\n              mobility. In this study, Li\n    </w:instrText>
            </w:r>
            <w:r w:rsidR="0070459F" w:rsidRPr="002657D1">
              <w:rPr>
                <w:rFonts w:ascii="Times New Roman" w:hAnsi="Times New Roman" w:cs="Times New Roman"/>
                <w:color w:val="000000" w:themeColor="text1"/>
                <w:sz w:val="24"/>
                <w:szCs w:val="24"/>
              </w:rPr>
              <w:instrText xml:space="preserve">          +\n              transport in structurally modified Li\n              3\n              HoCl\n              6\n              , via Br\n              −\n              introduction and Li\n              +\n              deficiency, is explored. The</w:instrText>
            </w:r>
            <w:r w:rsidR="0070459F" w:rsidRPr="002657D1">
              <w:rPr>
                <w:rFonts w:ascii="Times New Roman" w:hAnsi="Times New Roman" w:cs="Times New Roman" w:hint="eastAsia"/>
                <w:color w:val="000000" w:themeColor="text1"/>
                <w:sz w:val="24"/>
                <w:szCs w:val="24"/>
              </w:rPr>
              <w:instrText xml:space="preserve"> optimized Li\n              3</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3\n              \n                y\n              \n              Ho\n              1+\n              \n                y\n              \n              Cl\n              6</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 xml:space="preserve">\n              \n                x\n            </w:instrText>
            </w:r>
            <w:r w:rsidR="0070459F" w:rsidRPr="002657D1">
              <w:rPr>
                <w:rFonts w:ascii="Times New Roman" w:hAnsi="Times New Roman" w:cs="Times New Roman"/>
                <w:color w:val="000000" w:themeColor="text1"/>
                <w:sz w:val="24"/>
                <w:szCs w:val="24"/>
              </w:rPr>
              <w:instrText xml:space="preserve">  \n              Br\n              \n                x\n              \n              achieves an ionic conductivity of 3.8 mS cm\n              −1\n              at 25 °C, the highest reported for holmium halide materials.\n              6,7\n          </w:instrText>
            </w:r>
            <w:r w:rsidR="0070459F" w:rsidRPr="002657D1">
              <w:rPr>
                <w:rFonts w:ascii="Times New Roman" w:hAnsi="Times New Roman" w:cs="Times New Roman" w:hint="eastAsia"/>
                <w:color w:val="000000" w:themeColor="text1"/>
                <w:sz w:val="24"/>
                <w:szCs w:val="24"/>
              </w:rPr>
              <w:instrText xml:space="preserve">    Li nuclear magnetic resonance and relaxometry investigations unveil enhanced ion dynamics with bromination, attaining a Li\n              +\n              motional rate neighboring 116 MHz. X</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ray diffraction analyses reveal mixed</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anion</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induced phase transitions with disproportionate octahedral expansions and distortions, creating Ho</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 xml:space="preserve">free planes with favorable energetics for Li\n              +\n              migration. Bond valence site energy analysis highlights preferred Li\n              +\n       </w:instrText>
            </w:r>
            <w:r w:rsidR="0070459F" w:rsidRPr="002657D1">
              <w:rPr>
                <w:rFonts w:ascii="Times New Roman" w:hAnsi="Times New Roman" w:cs="Times New Roman"/>
                <w:color w:val="000000" w:themeColor="text1"/>
                <w:sz w:val="24"/>
                <w:szCs w:val="24"/>
              </w:rPr>
              <w:instrText xml:space="preserve">       transport pathways, particularly in structural planes devoid of Ho\n              3+\n              blocking effects. Molecular dynamics simulations corroborate enhanced Li\n              +\n              diffusion with Br\n              −\n       </w:instrText>
            </w:r>
            <w:r w:rsidR="0070459F" w:rsidRPr="002657D1">
              <w:rPr>
                <w:rFonts w:ascii="Times New Roman" w:hAnsi="Times New Roman" w:cs="Times New Roman" w:hint="eastAsia"/>
                <w:color w:val="000000" w:themeColor="text1"/>
                <w:sz w:val="24"/>
                <w:szCs w:val="24"/>
              </w:rPr>
              <w:instrText xml:space="preserve">       introduction into Li\n              3\n              HoCl\n              6\n              . Li</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Ho electrostatic repulsions in the (001) plane presumably drive Li\n              +\n              diffusion into the Ho</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free (002) layer, enabling rapid intraplanar Li\n              +\n              motion and exchange between the 2d and 4h sites. Li\n              3</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3\n              \n                y\n              \n              Ho\n              1+\n              \n                y\n              \n              Cl\n              6</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\n              \n                x\n              \n              Br\n              \n                x\n              \n              also demonstrates good battery cycling stability. These findings offer valuable insights into the intricate correlations between structure and ion transport and will help guide the design of high</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performance fast ion conductors for all</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solid</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state batteries.","container-title":"Advanced Science","DOI":"10.1002/advs.202409668","ISSN":"2198-3844, 2198-3844","issue":"7","journalAbbreviation":"Advanced Science","language":"en","page":"2409668","source":"DOI.org (Crossref)","title":"Tailoring Ion Transport in Li&lt;sub&gt;3</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3y&lt;/sub&gt; Ho&lt;sub&gt;1+y&lt;/sub&gt; Cl&lt;sub&gt;6</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x&lt;/sub&gt; Br &lt;i&gt;&lt;sub&gt;x&lt;/sub&gt; &lt;/i&gt; via Transition</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Metal Free Structural Planes and Charge Carrier Distribution","volume":"12","author":[{"family":"Ogbolu","given":"Bright O."},{"family":"Poudel","given":"Tej P."},{"family":"Dikella","given":"Thilina N. D. D."},{"family":"Truong","given":"Erica"}</w:instrText>
            </w:r>
            <w:r w:rsidR="0070459F" w:rsidRPr="002657D1">
              <w:rPr>
                <w:rFonts w:ascii="Times New Roman" w:hAnsi="Times New Roman" w:cs="Times New Roman"/>
                <w:color w:val="000000" w:themeColor="text1"/>
                <w:sz w:val="24"/>
                <w:szCs w:val="24"/>
              </w:rPr>
              <w:instrText>,{"family":"Chen","given":"Yudan"},{"family":"Hou","given":"Dewen"},{"family":"Li","given":"Tianyi"},{"family":"Liu","given":"Yuzi"},{"family":"Gabriel","given":"Eric"},{"family":"Xiong","given":"Hui"},{"family":"Huang","given":"Chen"},{"family":"Hu","giv</w:instrText>
            </w:r>
            <w:r w:rsidR="0070459F" w:rsidRPr="002657D1">
              <w:rPr>
                <w:rFonts w:ascii="Times New Roman" w:hAnsi="Times New Roman" w:cs="Times New Roman" w:hint="eastAsia"/>
                <w:color w:val="000000" w:themeColor="text1"/>
                <w:sz w:val="24"/>
                <w:szCs w:val="24"/>
              </w:rPr>
              <w:instrText>en":"Yan</w:instrText>
            </w:r>
            <w:r w:rsidR="0070459F" w:rsidRPr="002657D1">
              <w:rPr>
                <w:rFonts w:ascii="Times New Roman" w:hAnsi="Times New Roman" w:cs="Times New Roman" w:hint="eastAsia"/>
                <w:color w:val="000000" w:themeColor="text1"/>
                <w:sz w:val="24"/>
                <w:szCs w:val="24"/>
              </w:rPr>
              <w:instrText>‐</w:instrText>
            </w:r>
            <w:r w:rsidR="0070459F" w:rsidRPr="002657D1">
              <w:rPr>
                <w:rFonts w:ascii="Times New Roman" w:hAnsi="Times New Roman" w:cs="Times New Roman" w:hint="eastAsia"/>
                <w:color w:val="000000" w:themeColor="text1"/>
                <w:sz w:val="24"/>
                <w:szCs w:val="24"/>
              </w:rPr>
              <w:instrText xml:space="preserve">Yan"}],"issued":{"date-parts":[["2025",2]]}}}],"schema":"https://github.com/citation-style-language/schema/raw/master/csl-citation.json"}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31</w:t>
            </w:r>
            <w:r w:rsidRPr="002657D1">
              <w:rPr>
                <w:rFonts w:ascii="Times New Roman" w:hAnsi="Times New Roman" w:cs="Times New Roman"/>
                <w:color w:val="000000" w:themeColor="text1"/>
                <w:sz w:val="24"/>
                <w:szCs w:val="24"/>
              </w:rPr>
              <w:fldChar w:fldCharType="end"/>
            </w:r>
          </w:p>
        </w:tc>
      </w:tr>
      <w:tr w:rsidR="002657D1" w:rsidRPr="002657D1" w14:paraId="33F7C16F" w14:textId="77777777" w:rsidTr="002A5163">
        <w:trPr>
          <w:jc w:val="center"/>
        </w:trPr>
        <w:tc>
          <w:tcPr>
            <w:tcW w:w="1430" w:type="dxa"/>
            <w:vMerge/>
            <w:tcBorders>
              <w:top w:val="nil"/>
              <w:bottom w:val="nil"/>
            </w:tcBorders>
            <w:vAlign w:val="center"/>
          </w:tcPr>
          <w:p w14:paraId="2DB75694" w14:textId="77777777" w:rsidR="006E2B03" w:rsidRPr="002657D1" w:rsidRDefault="006E2B03" w:rsidP="006E2B03">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6D81405B" w14:textId="7E009828" w:rsidR="006E2B03" w:rsidRPr="002657D1" w:rsidRDefault="006E2B03" w:rsidP="006E2B03">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3</w:t>
            </w:r>
            <w:r w:rsidRPr="002657D1">
              <w:rPr>
                <w:rFonts w:ascii="Times New Roman" w:hAnsi="Times New Roman" w:cs="Times New Roman"/>
                <w:color w:val="000000" w:themeColor="text1"/>
                <w:kern w:val="24"/>
                <w:sz w:val="24"/>
                <w:szCs w:val="24"/>
              </w:rPr>
              <w:t>HoCl</w:t>
            </w:r>
            <w:r w:rsidRPr="002657D1">
              <w:rPr>
                <w:rFonts w:ascii="Times New Roman" w:hAnsi="Times New Roman" w:cs="Times New Roman"/>
                <w:color w:val="000000" w:themeColor="text1"/>
                <w:kern w:val="24"/>
                <w:sz w:val="24"/>
                <w:szCs w:val="24"/>
                <w:vertAlign w:val="subscript"/>
              </w:rPr>
              <w:t>3</w:t>
            </w:r>
            <w:r w:rsidRPr="002657D1">
              <w:rPr>
                <w:rFonts w:ascii="Times New Roman" w:hAnsi="Times New Roman" w:cs="Times New Roman"/>
                <w:color w:val="000000" w:themeColor="text1"/>
                <w:kern w:val="24"/>
                <w:sz w:val="24"/>
                <w:szCs w:val="24"/>
              </w:rPr>
              <w:t>Br</w:t>
            </w:r>
            <w:r w:rsidRPr="002657D1">
              <w:rPr>
                <w:rFonts w:ascii="Times New Roman" w:hAnsi="Times New Roman" w:cs="Times New Roman"/>
                <w:color w:val="000000" w:themeColor="text1"/>
                <w:kern w:val="24"/>
                <w:sz w:val="24"/>
                <w:szCs w:val="24"/>
                <w:vertAlign w:val="subscript"/>
              </w:rPr>
              <w:t>3</w:t>
            </w:r>
          </w:p>
        </w:tc>
        <w:tc>
          <w:tcPr>
            <w:tcW w:w="1755" w:type="dxa"/>
            <w:tcBorders>
              <w:top w:val="nil"/>
              <w:bottom w:val="nil"/>
            </w:tcBorders>
            <w:vAlign w:val="center"/>
          </w:tcPr>
          <w:p w14:paraId="128EE609" w14:textId="77DA2738" w:rsidR="006E2B03" w:rsidRPr="002657D1" w:rsidRDefault="006E2B03" w:rsidP="006E2B03">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4.1</w:t>
            </w:r>
          </w:p>
        </w:tc>
        <w:tc>
          <w:tcPr>
            <w:tcW w:w="1541" w:type="dxa"/>
            <w:tcBorders>
              <w:top w:val="nil"/>
              <w:bottom w:val="nil"/>
            </w:tcBorders>
            <w:vAlign w:val="center"/>
          </w:tcPr>
          <w:p w14:paraId="0F1BAE3B" w14:textId="6483E28E" w:rsidR="006E2B03" w:rsidRPr="002657D1" w:rsidRDefault="006E2B03" w:rsidP="006E2B03">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70459F" w:rsidRPr="002657D1">
              <w:rPr>
                <w:rFonts w:ascii="Times New Roman" w:hAnsi="Times New Roman" w:cs="Times New Roman"/>
                <w:color w:val="000000" w:themeColor="text1"/>
                <w:sz w:val="24"/>
                <w:szCs w:val="24"/>
              </w:rPr>
              <w:instrText xml:space="preserve"> ADDIN ZOTERO_ITEM CSL_CITATION {"citationID":"a1n3ro4iubc","properties":{"formattedCitation":"\\super 32\\nosupersub{}","plainCitation":"32","noteIndex":0},"citationItems":[{"id":1341,"uris":["http://zotero.org/users/local/J1vikkcu/items/VSZAJQXY"],"itemData":{"id":1341,"type":"article-journal","abstract":"The development of all-solid-state batteries is limited by the low ionic conductivity of solid electrolytes. Beyond sulﬁdes and oxides, halides represent another family of solid electrolytes with high Li+ conductivity and good stability. Here we report the design, synthesis, electrochemical testing, and crystal structure characterization of a halide compound, Li3Y(Br3Cl3). A room-temperature conductivity of 7.2 mS/cm is achieved in Li3Y(Br3Cl3) via hot-pressing at 170 °C. Crystal structure characterizations using synchrotron X-ray and neutron diﬀraction reveal the existence of Li at the tetrahedral sites and the 3D diﬀusion pathways. Electrochemical impedance spectroscopy results reveal the improved grain boundary contact and the lower grain boundary resistance after the hotpressing process, which also boost the overall conductivity. All-solid-state batteries using Li3Y(Br3Cl3) as the electrolyte demonstrate high capacity and good rate performance at room temperature. The new ﬁndings open up opportunities for the design of halide ionic conductors and the development of all-solid-state batteries.","container-title":"ACS Energy Letters","DOI":"10.1021/acsenergylett.0c01690","ISSN":"2380-8195, 2380-8195","issue":"1","journalAbbreviation":"ACS Energy Lett.","language":"en","license":"https://doi.org/10.15223/policy-029","page":"298-304","source":"DOI.org (Crossref)","title":"High Ionic Conductivity Achieved in Li&lt;sub&gt;3&lt;/sub&gt; Y(Br&lt;sub&gt;3&lt;/sub&gt; Cl&lt;sub&gt;3&lt;/sub&gt; ) Mixed Halide Solid Electrolyte via Promoted Diffusion Pathways and Enhanced Grain Boundary","volume":"6","author":[{"family":"Liu","given":"Zhantao"},{"family":"Ma","given":"Shuan"},{"family":"Liu","given":"Jue"},{"family":"Xiong","given":"Shan"},{"family":"Ma","given":"Yifan"},{"family":"Chen","given":"Hailong"}],"issued":{"date-parts":[["2021",1,8]]}}}],"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32</w:t>
            </w:r>
            <w:r w:rsidRPr="002657D1">
              <w:rPr>
                <w:rFonts w:ascii="Times New Roman" w:hAnsi="Times New Roman" w:cs="Times New Roman"/>
                <w:color w:val="000000" w:themeColor="text1"/>
                <w:sz w:val="24"/>
                <w:szCs w:val="24"/>
              </w:rPr>
              <w:fldChar w:fldCharType="end"/>
            </w:r>
          </w:p>
        </w:tc>
      </w:tr>
      <w:tr w:rsidR="002657D1" w:rsidRPr="002657D1" w14:paraId="2D8E7D35" w14:textId="77777777" w:rsidTr="002A5163">
        <w:trPr>
          <w:jc w:val="center"/>
        </w:trPr>
        <w:tc>
          <w:tcPr>
            <w:tcW w:w="1430" w:type="dxa"/>
            <w:vMerge/>
            <w:tcBorders>
              <w:top w:val="nil"/>
              <w:bottom w:val="nil"/>
            </w:tcBorders>
            <w:vAlign w:val="center"/>
          </w:tcPr>
          <w:p w14:paraId="42C49B69" w14:textId="77777777" w:rsidR="006E2B03" w:rsidRPr="002657D1" w:rsidRDefault="006E2B03" w:rsidP="006E2B03">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0B8AEE0E" w14:textId="071F96BE" w:rsidR="006E2B03" w:rsidRPr="002657D1" w:rsidRDefault="006E2B03" w:rsidP="006E2B03">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3</w:t>
            </w:r>
            <w:r w:rsidRPr="002657D1">
              <w:rPr>
                <w:rFonts w:ascii="Times New Roman" w:hAnsi="Times New Roman" w:cs="Times New Roman"/>
                <w:color w:val="000000" w:themeColor="text1"/>
                <w:kern w:val="24"/>
                <w:sz w:val="24"/>
                <w:szCs w:val="24"/>
              </w:rPr>
              <w:t>YBr</w:t>
            </w:r>
            <w:r w:rsidRPr="002657D1">
              <w:rPr>
                <w:rFonts w:ascii="Times New Roman" w:hAnsi="Times New Roman" w:cs="Times New Roman"/>
                <w:color w:val="000000" w:themeColor="text1"/>
                <w:kern w:val="24"/>
                <w:sz w:val="24"/>
                <w:szCs w:val="24"/>
                <w:vertAlign w:val="subscript"/>
              </w:rPr>
              <w:t>3</w:t>
            </w:r>
            <w:r w:rsidRPr="002657D1">
              <w:rPr>
                <w:rFonts w:ascii="Times New Roman" w:hAnsi="Times New Roman" w:cs="Times New Roman"/>
                <w:color w:val="000000" w:themeColor="text1"/>
                <w:kern w:val="24"/>
                <w:sz w:val="24"/>
                <w:szCs w:val="24"/>
              </w:rPr>
              <w:t>Cl</w:t>
            </w:r>
            <w:r w:rsidRPr="002657D1">
              <w:rPr>
                <w:rFonts w:ascii="Times New Roman" w:hAnsi="Times New Roman" w:cs="Times New Roman"/>
                <w:color w:val="000000" w:themeColor="text1"/>
                <w:kern w:val="24"/>
                <w:sz w:val="24"/>
                <w:szCs w:val="24"/>
                <w:vertAlign w:val="subscript"/>
              </w:rPr>
              <w:t>3</w:t>
            </w:r>
          </w:p>
        </w:tc>
        <w:tc>
          <w:tcPr>
            <w:tcW w:w="1755" w:type="dxa"/>
            <w:tcBorders>
              <w:top w:val="nil"/>
              <w:bottom w:val="nil"/>
            </w:tcBorders>
            <w:vAlign w:val="center"/>
          </w:tcPr>
          <w:p w14:paraId="6BDB3991" w14:textId="61E6B330" w:rsidR="006E2B03" w:rsidRPr="002657D1" w:rsidRDefault="006E2B03" w:rsidP="006E2B03">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7.2</w:t>
            </w:r>
          </w:p>
        </w:tc>
        <w:tc>
          <w:tcPr>
            <w:tcW w:w="1541" w:type="dxa"/>
            <w:tcBorders>
              <w:top w:val="nil"/>
              <w:bottom w:val="nil"/>
            </w:tcBorders>
            <w:vAlign w:val="center"/>
          </w:tcPr>
          <w:p w14:paraId="543C6F81" w14:textId="6582748A" w:rsidR="006E2B03" w:rsidRPr="002657D1" w:rsidRDefault="006E2B03" w:rsidP="006E2B03">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70459F" w:rsidRPr="002657D1">
              <w:rPr>
                <w:rFonts w:ascii="Times New Roman" w:hAnsi="Times New Roman" w:cs="Times New Roman"/>
                <w:color w:val="000000" w:themeColor="text1"/>
                <w:sz w:val="24"/>
                <w:szCs w:val="24"/>
              </w:rPr>
              <w:instrText xml:space="preserve"> ADDIN ZOTERO_ITEM CSL_CITATION {"citationID":"a1tvfo77j0u","properties":{"formattedCitation":"\\super 32\\nosupersub{}","plainCitation":"32","noteIndex":0},"citationItems":[{"id":1341,"uris":["http://zotero.org/users/local/J1vikkcu/items/VSZAJQXY"],"itemData":{"id":1341,"type":"article-journal","abstract":"The development of all-solid-state batteries is limited by the low ionic conductivity of solid electrolytes. Beyond sulﬁdes and oxides, halides represent another family of solid electrolytes with high Li+ conductivity and good stability. Here we report the design, synthesis, electrochemical testing, and crystal structure characterization of a halide compound, Li3Y(Br3Cl3). A room-temperature conductivity of 7.2 mS/cm is achieved in Li3Y(Br3Cl3) via hot-pressing at 170 °C. Crystal structure characterizations using synchrotron X-ray and neutron diﬀraction reveal the existence of Li at the tetrahedral sites and the 3D diﬀusion pathways. Electrochemical impedance spectroscopy results reveal the improved grain boundary contact and the lower grain boundary resistance after the hotpressing process, which also boost the overall conductivity. All-solid-state batteries using Li3Y(Br3Cl3) as the electrolyte demonstrate high capacity and good rate performance at room temperature. The new ﬁndings open up opportunities for the design of halide ionic conductors and the development of all-solid-state batteries.","container-title":"ACS Energy Letters","DOI":"10.1021/acsenergylett.0c01690","ISSN":"2380-8195, 2380-8195","issue":"1","journalAbbreviation":"ACS Energy Lett.","language":"en","license":"https://doi.org/10.15223/policy-029","page":"298-304","source":"DOI.org (Crossref)","title":"High Ionic Conductivity Achieved in Li&lt;sub&gt;3&lt;/sub&gt; Y(Br&lt;sub&gt;3&lt;/sub&gt; Cl&lt;sub&gt;3&lt;/sub&gt; ) Mixed Halide Solid Electrolyte via Promoted Diffusion Pathways and Enhanced Grain Boundary","volume":"6","author":[{"family":"Liu","given":"Zhantao"},{"family":"Ma","given":"Shuan"},{"family":"Liu","given":"Jue"},{"family":"Xiong","given":"Shan"},{"family":"Ma","given":"Yifan"},{"family":"Chen","given":"Hailong"}],"issued":{"date-parts":[["2021",1,8]]}}}],"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32</w:t>
            </w:r>
            <w:r w:rsidRPr="002657D1">
              <w:rPr>
                <w:rFonts w:ascii="Times New Roman" w:hAnsi="Times New Roman" w:cs="Times New Roman"/>
                <w:color w:val="000000" w:themeColor="text1"/>
                <w:sz w:val="24"/>
                <w:szCs w:val="24"/>
              </w:rPr>
              <w:fldChar w:fldCharType="end"/>
            </w:r>
          </w:p>
        </w:tc>
      </w:tr>
      <w:tr w:rsidR="002657D1" w:rsidRPr="002657D1" w14:paraId="0FD972EB" w14:textId="77777777" w:rsidTr="002A5163">
        <w:trPr>
          <w:jc w:val="center"/>
        </w:trPr>
        <w:tc>
          <w:tcPr>
            <w:tcW w:w="1430" w:type="dxa"/>
            <w:vMerge/>
            <w:tcBorders>
              <w:top w:val="nil"/>
              <w:bottom w:val="nil"/>
            </w:tcBorders>
            <w:vAlign w:val="center"/>
          </w:tcPr>
          <w:p w14:paraId="2E10E6E7"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597703BC"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3</w:t>
            </w:r>
            <w:r w:rsidRPr="002657D1">
              <w:rPr>
                <w:rFonts w:ascii="Times New Roman" w:hAnsi="Times New Roman" w:cs="Times New Roman"/>
                <w:color w:val="000000" w:themeColor="text1"/>
                <w:kern w:val="24"/>
                <w:sz w:val="24"/>
                <w:szCs w:val="24"/>
              </w:rPr>
              <w:t>TiCl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45D718A4"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1.04</w:t>
            </w:r>
          </w:p>
        </w:tc>
        <w:tc>
          <w:tcPr>
            <w:tcW w:w="1541" w:type="dxa"/>
            <w:tcBorders>
              <w:top w:val="nil"/>
              <w:bottom w:val="nil"/>
            </w:tcBorders>
            <w:vAlign w:val="center"/>
          </w:tcPr>
          <w:p w14:paraId="67D92125" w14:textId="0CCD04FB"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{"citationID":"Vu3MbOL2","properties":{"formattedCitation":"\\super 33\\nosupersub{}","plainCitation":"33","noteIndex":0},"citationItems":[{"id":"IXaoCdHi/cU1AjYgF","uris":["http://zotero.org/users/local/As3BANDe/items/MSWHLZD3"],"itemData":{"id":1080,"type":"article-journal","abstract":"Abstract\n            \n              The development of energy-dense all-solid-state Li-based batteries requires positive electrode active materials that are ionic conductive and compressible at room temperature. Indeed, these material properties could contribute to a sensible reduction of the amount of the solid-state electrolyte in the composite electrode, thus, enabling higher mass loading of active materials. Here, we propose the synthesis and use of lithium titanium chloride (Li\n              3\n              TiCl\n              6\n              ) as room-temperature ionic conductive (i.e., 1.04 mS cm\n              −1\n              at 25 °C) and compressible active materials for all-solid-state Li-based batteries. When a composite positive electrode comprising 95 wt.% of Li\n              3\n              TiCl\n              6\n              is tested in combination with a Li-In alloy negative electrode and Li\n              6\n              PS\n              5\n              Cl/Li\n              2\n              ZrCl\n              6\n              solid-state electrolytes, an initial discharge capacity of about 90 mAh g\n              −1\n              and an average cell discharge voltage of about 2.53 V are obtained. Furthermore, a capacity retention of more than 62% is attainable after 2500 cycles at 92.5 mA g\n              −1\n              and 25 °C with an applied external pressure of 1.5 tons. We also report the assembly and testing of a “single Li\n              3\n              TiCl\n              6\n              ” cell where this chloride material is used as the solid electrolyte, negative electrode and positive electrode.","container-title":"Nature Communications","DOI":"10.1038/s41467-023-37122-7","ISSN":"2041-1723","issue":"1","journalAbbreviation":"Nat Commun","language":"en","page":"1396","source":"DOI.org (Crossref)","title":"Li3TiCl6 as ionic conductive and compressible positive electrode active material for all-solid-state lithium-based batteries","volume":"14","author":[{"family":"Wang","given":"Kai"},{"family":"Gu","given":"Zhenqi"},{"family":"Xi","given":"Zhiwei"},{"family":"Hu","given":"Lv"},{"family":"Ma","given":"Cheng"}],"issued":{"date-parts":[["2023",3,13]]}}}],"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33</w:t>
            </w:r>
            <w:r w:rsidRPr="002657D1">
              <w:rPr>
                <w:rFonts w:ascii="Times New Roman" w:hAnsi="Times New Roman" w:cs="Times New Roman"/>
                <w:color w:val="000000" w:themeColor="text1"/>
                <w:sz w:val="24"/>
                <w:szCs w:val="24"/>
              </w:rPr>
              <w:fldChar w:fldCharType="end"/>
            </w:r>
          </w:p>
        </w:tc>
      </w:tr>
      <w:tr w:rsidR="002657D1" w:rsidRPr="002657D1" w14:paraId="0B66D6E5" w14:textId="77777777" w:rsidTr="002A5163">
        <w:trPr>
          <w:jc w:val="center"/>
        </w:trPr>
        <w:tc>
          <w:tcPr>
            <w:tcW w:w="1430" w:type="dxa"/>
            <w:vMerge/>
            <w:tcBorders>
              <w:top w:val="nil"/>
              <w:bottom w:val="nil"/>
            </w:tcBorders>
            <w:vAlign w:val="center"/>
          </w:tcPr>
          <w:p w14:paraId="241A591F"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21D9B322"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3</w:t>
            </w:r>
            <w:r w:rsidRPr="002657D1">
              <w:rPr>
                <w:rFonts w:ascii="Times New Roman" w:hAnsi="Times New Roman" w:cs="Times New Roman"/>
                <w:color w:val="000000" w:themeColor="text1"/>
                <w:kern w:val="24"/>
                <w:sz w:val="24"/>
                <w:szCs w:val="24"/>
              </w:rPr>
              <w:t>InCl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37B9F405" w14:textId="3B88942A" w:rsidR="0046513C" w:rsidRPr="002657D1" w:rsidRDefault="006E2B03"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2.04</w:t>
            </w:r>
          </w:p>
        </w:tc>
        <w:tc>
          <w:tcPr>
            <w:tcW w:w="1541" w:type="dxa"/>
            <w:tcBorders>
              <w:top w:val="nil"/>
              <w:bottom w:val="nil"/>
            </w:tcBorders>
            <w:vAlign w:val="center"/>
          </w:tcPr>
          <w:p w14:paraId="73D34765" w14:textId="62759C75" w:rsidR="0046513C" w:rsidRPr="002657D1" w:rsidRDefault="006E2B03"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70459F" w:rsidRPr="002657D1">
              <w:rPr>
                <w:rFonts w:ascii="Times New Roman" w:hAnsi="Times New Roman" w:cs="Times New Roman"/>
                <w:color w:val="000000" w:themeColor="text1"/>
                <w:sz w:val="24"/>
                <w:szCs w:val="24"/>
              </w:rPr>
              <w:instrText xml:space="preserve"> ADDIN ZOTERO_ITEM CSL_CITATION {"citationID":"a1f6nc1nhd7","properties":{"formattedCitation":"\\super 34\\nosupersub{}","plainCitation":"34","noteIndex":0},"citationItems":[{"id":1477,"uris":["http://zotero.org/users/local/J1vikkcu/items/7V4ZDA5Y"],"itemData":{"id":1477,"type":"article","abstract":"Over the last decades, we have seen an increase in the number of new materials that can be incorporated into all-solid-state batteries (ASSBs). Halide solid electrolytes have attracted significant attention due to their superior stability against oxide-based cathode active materials when compared to sulfide-based solid electrolytes. Nonetheless, the dynamicity of interparticle contact during cycling in ASSBs hinders their stability and performance. Therefore, inactive materials such as electronically conductive additives and polymer binders are needed to compensate the contact-loss reducing the energy density of the resulting cells. Here, we present an aqueous approach for the preparation of halide solid electrolyte-conductive polymer hybrid composites with Li3InCl6 and poly(3,4-ethylendioxythiophene)/poly(styrene sulfonate) (PEDOT:PSS) in one-pot. The resulting composites combine the properties of a solid electrolyte with a conductive additive and a binder together with into a single hybrid material. Together with other analytical techniques, Kelvin Probe Force Microscopy (KPFM) imaging showed a successful synthesis of the hybrid materials and revealed that the conductive polymer (CP), namely PEDOT:PSS, is located at the surface/grain of the Li3InCl6. Upon incorporation of such composites in sulfide solid-state half-cells with lithium nickel manganese cobalt oxide (NMC) cathode active material (CAM) we observe an increase in the partial electronic transport of the catholytes with increasing CP content, which correlates an increase in the initial discharge capacities. This study sets the stage to explore the preparation of multi-functional catholytes without the necessity of organic solvents, extremely high temperatures or special environments.","DOI":"10.26434/chemrxiv-2023-p784w","language":"en","license":"https://creativecommons.org/licenses/by-nc-nd/4.0/","source":"Chemistry","title":"Water-mediated synthesis of halide solid electrolyte and conducting polymer hybrid materials for all solid-state batteries","URL":"https://chemrxiv.org/engage/chemrxiv/article-details/640205d937e01856dc1677b7","author":[{"family":"Nazmutdinova","given":"Elina"},{"family":"Rosenbach","given":"Carolin"},{"family":"Schmidt","given":"Christina"},{"family":"Sarawutanukul","given":"Sangchai"},{"family":"Neuhaus","given":"Kerstin"},{"family":"Gröschel","given":"André"},{"family":"Vargas-Barbosa","given":"Nella M."}],"accessed":{"date-parts":[["2025",5,30]]},"issued":{"date-parts":[["2023",3,7]]}}}],"schema":"https://github.com/citation-style-language/schema/raw/master/csl-citation.json"}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34</w:t>
            </w:r>
            <w:r w:rsidRPr="002657D1">
              <w:rPr>
                <w:rFonts w:ascii="Times New Roman" w:hAnsi="Times New Roman" w:cs="Times New Roman"/>
                <w:color w:val="000000" w:themeColor="text1"/>
                <w:sz w:val="24"/>
                <w:szCs w:val="24"/>
              </w:rPr>
              <w:fldChar w:fldCharType="end"/>
            </w:r>
          </w:p>
        </w:tc>
      </w:tr>
      <w:tr w:rsidR="002657D1" w:rsidRPr="002657D1" w14:paraId="7D223329" w14:textId="77777777" w:rsidTr="002A5163">
        <w:trPr>
          <w:jc w:val="center"/>
        </w:trPr>
        <w:tc>
          <w:tcPr>
            <w:tcW w:w="1430" w:type="dxa"/>
            <w:vMerge/>
            <w:tcBorders>
              <w:top w:val="nil"/>
              <w:bottom w:val="nil"/>
            </w:tcBorders>
            <w:vAlign w:val="center"/>
          </w:tcPr>
          <w:p w14:paraId="3C5F4D4C" w14:textId="77777777" w:rsidR="00CC5CC7" w:rsidRPr="002657D1" w:rsidRDefault="00CC5CC7" w:rsidP="00CC5CC7">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2F251E8C" w14:textId="7183BE2A" w:rsidR="00CC5CC7" w:rsidRPr="002657D1" w:rsidRDefault="00CC5CC7" w:rsidP="00CC5CC7">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3</w:t>
            </w:r>
            <w:r w:rsidRPr="002657D1">
              <w:rPr>
                <w:rFonts w:ascii="Times New Roman" w:hAnsi="Times New Roman" w:cs="Times New Roman"/>
                <w:color w:val="000000" w:themeColor="text1"/>
                <w:kern w:val="24"/>
                <w:sz w:val="24"/>
                <w:szCs w:val="24"/>
              </w:rPr>
              <w:t>ScCl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3E11B4B4" w14:textId="66233B48" w:rsidR="00CC5CC7" w:rsidRPr="002657D1" w:rsidRDefault="00CC5CC7" w:rsidP="00CC5CC7">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3.02</w:t>
            </w:r>
          </w:p>
        </w:tc>
        <w:tc>
          <w:tcPr>
            <w:tcW w:w="1541" w:type="dxa"/>
            <w:tcBorders>
              <w:top w:val="nil"/>
              <w:bottom w:val="nil"/>
            </w:tcBorders>
            <w:vAlign w:val="center"/>
          </w:tcPr>
          <w:p w14:paraId="484E410C" w14:textId="704017DD" w:rsidR="00CC5CC7" w:rsidRPr="002657D1" w:rsidRDefault="001E7649" w:rsidP="00CC5CC7">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70459F" w:rsidRPr="002657D1">
              <w:rPr>
                <w:rFonts w:ascii="Times New Roman" w:hAnsi="Times New Roman" w:cs="Times New Roman"/>
                <w:color w:val="000000" w:themeColor="text1"/>
                <w:sz w:val="24"/>
                <w:szCs w:val="24"/>
              </w:rPr>
              <w:instrText xml:space="preserve"> ADDIN ZOTERO_ITEM CSL_CITATION {"citationID":"a2hf2vh1l8v","properties":{"formattedCitation":"\\super 35\\nosupersub{}","plainCitation":"35","noteIndex":0},"citationItems":[{"id":1106,"uris":["http://zotero.org/users/local/J1vikkcu/items/SURXXNYN"],"itemData":{"id":1106,"type":"article-journal","container-title":"Journal of the American Chemical Society","DOI":"10.1021/jacs.0c00134","ISSN":"0002-7863, 1520-5126","issue":"15","journalAbbreviation":"J. Am. Chem. Soc.","language":"en","license":"https://doi.org/10.15223/policy-029","page":"7012-7022","source":"DOI.org (Crossref)","title":"Site-Occupation-Tuned Superionic Li&lt;sub&gt; &lt;i&gt;x&lt;/i&gt; &lt;/sub&gt; ScCl&lt;sub&gt; 3+ &lt;i&gt;x&lt;/i&gt; &lt;/sub&gt; Halide Solid Electrolytes for All-Solid-State Batteries","volume":"142","author":[{"family":"Liang","given":"Jianwen"},{"family":"Li","given":"Xiaona"},{"family":"Wang","given":"Shuo"},{"family":"Adair","given":"Keegan R."},{"family":"Li","given":"Weihan"},{"family":"Zhao","given":"Yang"},{"family":"Wang","given":"Changhong"},{"family":"Hu","given":"Yongfeng"},{"family":"Zhang","given":"Li"},{"family":"Zhao","given":"Shangqian"},{"family":"Lu","given":"Shigang"},{"family":"Huang","given":"Huan"},{"family":"Li","given":"Ruying"},{"family":"Mo","given":"Yifei"},{"family":"Sun","given":"Xueliang"}],"issued":{"date-parts":[["2020",4,15]]}}}],"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35</w:t>
            </w:r>
            <w:r w:rsidRPr="002657D1">
              <w:rPr>
                <w:rFonts w:ascii="Times New Roman" w:hAnsi="Times New Roman" w:cs="Times New Roman"/>
                <w:color w:val="000000" w:themeColor="text1"/>
                <w:sz w:val="24"/>
                <w:szCs w:val="24"/>
              </w:rPr>
              <w:fldChar w:fldCharType="end"/>
            </w:r>
          </w:p>
        </w:tc>
      </w:tr>
      <w:tr w:rsidR="002657D1" w:rsidRPr="002657D1" w14:paraId="09D09A08" w14:textId="77777777" w:rsidTr="002A5163">
        <w:trPr>
          <w:jc w:val="center"/>
        </w:trPr>
        <w:tc>
          <w:tcPr>
            <w:tcW w:w="1430" w:type="dxa"/>
            <w:vMerge/>
            <w:tcBorders>
              <w:top w:val="nil"/>
              <w:bottom w:val="nil"/>
            </w:tcBorders>
            <w:vAlign w:val="center"/>
          </w:tcPr>
          <w:p w14:paraId="034EC392"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7FB16A3D"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3</w:t>
            </w:r>
            <w:r w:rsidRPr="002657D1">
              <w:rPr>
                <w:rFonts w:ascii="Times New Roman" w:hAnsi="Times New Roman" w:cs="Times New Roman"/>
                <w:color w:val="000000" w:themeColor="text1"/>
                <w:kern w:val="24"/>
                <w:sz w:val="24"/>
                <w:szCs w:val="24"/>
              </w:rPr>
              <w:t>InCl</w:t>
            </w:r>
            <w:r w:rsidRPr="002657D1">
              <w:rPr>
                <w:rFonts w:ascii="Times New Roman" w:hAnsi="Times New Roman" w:cs="Times New Roman"/>
                <w:color w:val="000000" w:themeColor="text1"/>
                <w:kern w:val="24"/>
                <w:sz w:val="24"/>
                <w:szCs w:val="24"/>
                <w:vertAlign w:val="subscript"/>
              </w:rPr>
              <w:t>4.8</w:t>
            </w:r>
            <w:r w:rsidRPr="002657D1">
              <w:rPr>
                <w:rFonts w:ascii="Times New Roman" w:hAnsi="Times New Roman" w:cs="Times New Roman"/>
                <w:color w:val="000000" w:themeColor="text1"/>
                <w:kern w:val="24"/>
                <w:sz w:val="24"/>
                <w:szCs w:val="24"/>
              </w:rPr>
              <w:t>F</w:t>
            </w:r>
            <w:r w:rsidRPr="002657D1">
              <w:rPr>
                <w:rFonts w:ascii="Times New Roman" w:hAnsi="Times New Roman" w:cs="Times New Roman"/>
                <w:color w:val="000000" w:themeColor="text1"/>
                <w:kern w:val="24"/>
                <w:sz w:val="24"/>
                <w:szCs w:val="24"/>
                <w:vertAlign w:val="subscript"/>
              </w:rPr>
              <w:t>1.2</w:t>
            </w:r>
          </w:p>
        </w:tc>
        <w:tc>
          <w:tcPr>
            <w:tcW w:w="1755" w:type="dxa"/>
            <w:tcBorders>
              <w:top w:val="nil"/>
              <w:bottom w:val="nil"/>
            </w:tcBorders>
            <w:vAlign w:val="center"/>
          </w:tcPr>
          <w:p w14:paraId="54459AD3"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0.51</w:t>
            </w:r>
          </w:p>
        </w:tc>
        <w:tc>
          <w:tcPr>
            <w:tcW w:w="1541" w:type="dxa"/>
            <w:tcBorders>
              <w:top w:val="nil"/>
              <w:bottom w:val="nil"/>
            </w:tcBorders>
            <w:vAlign w:val="center"/>
          </w:tcPr>
          <w:p w14:paraId="0D517A61" w14:textId="37B5AC1B"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{"citationID":"W8dsm5yz","properties":{"formattedCitation":"\\super 36\\nosupersub{}","plainCitation":"36","noteIndex":0},"citationItems":[{"id":"IXaoCdHi/a41xuGpF","uris":["http://zotero.org/users/local/As3BANDe/items/I5N5</w:instrText>
            </w:r>
            <w:r w:rsidR="00E725CF" w:rsidRPr="002657D1">
              <w:rPr>
                <w:rFonts w:ascii="Times New Roman" w:hAnsi="Times New Roman" w:cs="Times New Roman" w:hint="eastAsia"/>
                <w:color w:val="000000" w:themeColor="text1"/>
                <w:sz w:val="24"/>
                <w:szCs w:val="24"/>
              </w:rPr>
              <w:instrText>HJ6S"],"itemData":{"id":2798,"type":"article-journal","abstract":"Abstract\n            \n              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electrolytes (SEs) with high anodic (oxidation) stability are essential for achieving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ion batteries (ASSLIBs) operating at high voltages. Until now, halide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based SEs have been one of the most promising candidates due to their compatibility with cathodes and high ionic conductivity. However, the developed chloride and bromide SEs still show limited electrochemical stability that is inadequate for ultrahigh voltage operations. Herein, this challenge is addressed by designing a dual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halogen 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ion conductor: Li\n              3\n              InCl\n              4.8\n              F\n              1.2\n              . F is demonstrated to selectively occupy a specific lattice site in a solid superionic conductor (Li\n              3\n              InCl\n              6\n              ) to form a new dual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 xml:space="preserve">halogen solid electrolyte (DHSE). With the incorporation of F, the Li\n </w:instrText>
            </w:r>
            <w:r w:rsidR="00E725CF" w:rsidRPr="002657D1">
              <w:rPr>
                <w:rFonts w:ascii="Times New Roman" w:hAnsi="Times New Roman" w:cs="Times New Roman"/>
                <w:color w:val="000000" w:themeColor="text1"/>
                <w:sz w:val="24"/>
                <w:szCs w:val="24"/>
              </w:rPr>
              <w:instrText xml:space="preserve">             3\n              InCl\n              4.8\n              F\n              1.2\n              DHSE becomes dense and maintains a room</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 xml:space="preserve">temperature ionic conductivity over 10\n              −4\n              S cm\n              −1\n              </w:instrText>
            </w:r>
            <w:r w:rsidR="00E725CF" w:rsidRPr="002657D1">
              <w:rPr>
                <w:rFonts w:ascii="Times New Roman" w:hAnsi="Times New Roman" w:cs="Times New Roman" w:hint="eastAsia"/>
                <w:color w:val="000000" w:themeColor="text1"/>
                <w:sz w:val="24"/>
                <w:szCs w:val="24"/>
              </w:rPr>
              <w:instrText>. Moreover, the Li\n              3\n              InCl\n              4.8\n              F\n              1.2\n              DHSE exhibits a practical anodic limit over 6 V (vs Li/Li\n              +\n              ), which can enable high</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voltage ASSLIBs with decent cycling. Spectroscopic, computational, and electrochemical characterizations are combined to identify a rich F</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containing passivating cathode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electrolyte interface (CEI) generated in situ, thus expanding the electrochemical window of Li\n              3\n              InCl\n              4.8\n              F\n              1.2\n              DHSE and preventing the detrimental interfacial reactions at the cathode. This work provides a new design strategy for the fast 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ion conductors with high oxidation stability and shows great potential to high</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voltage ASSLIBs.","container-title":"Advanced Energy Materials","DOI":"10.1002/aenm.202100836","ISSN":"1614-6832, 1614-6840","issue":"32","journalAbbreviation":"Advanced Energy Materials","language":"en","page":"2100836","source":"DOI.org (Crossref)","title":"Advanced High</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Voltage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Ion Batteries Enabled by a Dual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Halogen Solid Electrolyte","volume":"11","author":[{"family":"Zhang","given":"Shumin"},{"family":"Zhao","given":"Feipen</w:instrText>
            </w:r>
            <w:r w:rsidR="00E725CF" w:rsidRPr="002657D1">
              <w:rPr>
                <w:rFonts w:ascii="Times New Roman" w:hAnsi="Times New Roman" w:cs="Times New Roman"/>
                <w:color w:val="000000" w:themeColor="text1"/>
                <w:sz w:val="24"/>
                <w:szCs w:val="24"/>
              </w:rPr>
              <w:instrText>g"},{"family":"Wang","given":"Shuo"},{"family":"Liang","given":"Jianwen"},{"family":"Wang","given":"Jian"},{"family":"Wang","given":"Changhong"},{"family":"Zhang","given":"Hao"},{"family":"Adair","given":"Keegan"},{"family":"Li","given":"Weihan"},{"family":"Li","given":"Minsi"},{"family":"Duan","given":"Hui"},{"family":"Zhao","given":"Yang"},{"family":"Yu","given":"Ruizhi"},{"family":"Li","given":"Ruying"},{"family":"Huang","given":"Huan"},{"family":"Zhang","given":"Li"},{"family":"Zhao","given":"Shangqia</w:instrText>
            </w:r>
            <w:r w:rsidR="00E725CF" w:rsidRPr="002657D1">
              <w:rPr>
                <w:rFonts w:ascii="Times New Roman" w:hAnsi="Times New Roman" w:cs="Times New Roman" w:hint="eastAsia"/>
                <w:color w:val="000000" w:themeColor="text1"/>
                <w:sz w:val="24"/>
                <w:szCs w:val="24"/>
              </w:rPr>
              <w:instrText>n"},{"family":"Lu","given":"Shigang"},{"family":"Sham","given":"Tsun</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Kong"},{"family":"Mo","given":"Yifei"},{"family":"Sun","given":"Xueliang"}],"issued":{"date-parts":[["2021",8]]}}}],"schema":"https://github.com/citation-style-language/schema/raw/master</w:instrText>
            </w:r>
            <w:r w:rsidR="00E725CF" w:rsidRPr="002657D1">
              <w:rPr>
                <w:rFonts w:ascii="Times New Roman" w:hAnsi="Times New Roman" w:cs="Times New Roman"/>
                <w:color w:val="000000" w:themeColor="text1"/>
                <w:sz w:val="24"/>
                <w:szCs w:val="24"/>
              </w:rPr>
              <w:instrText xml:space="preserve">/csl-citation.json"}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36</w:t>
            </w:r>
            <w:r w:rsidRPr="002657D1">
              <w:rPr>
                <w:rFonts w:ascii="Times New Roman" w:hAnsi="Times New Roman" w:cs="Times New Roman"/>
                <w:color w:val="000000" w:themeColor="text1"/>
                <w:sz w:val="24"/>
                <w:szCs w:val="24"/>
              </w:rPr>
              <w:fldChar w:fldCharType="end"/>
            </w:r>
          </w:p>
        </w:tc>
      </w:tr>
      <w:tr w:rsidR="002657D1" w:rsidRPr="002657D1" w14:paraId="47F1EF4C" w14:textId="77777777" w:rsidTr="002A5163">
        <w:trPr>
          <w:jc w:val="center"/>
        </w:trPr>
        <w:tc>
          <w:tcPr>
            <w:tcW w:w="1430" w:type="dxa"/>
            <w:vMerge/>
            <w:tcBorders>
              <w:top w:val="nil"/>
              <w:bottom w:val="nil"/>
            </w:tcBorders>
            <w:vAlign w:val="center"/>
          </w:tcPr>
          <w:p w14:paraId="22B1E0A0"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1D032B0D"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2.375</w:t>
            </w:r>
            <w:r w:rsidRPr="002657D1">
              <w:rPr>
                <w:rFonts w:ascii="Times New Roman" w:hAnsi="Times New Roman" w:cs="Times New Roman"/>
                <w:color w:val="000000" w:themeColor="text1"/>
                <w:kern w:val="24"/>
                <w:sz w:val="24"/>
                <w:szCs w:val="24"/>
              </w:rPr>
              <w:t>Sc</w:t>
            </w:r>
            <w:r w:rsidRPr="002657D1">
              <w:rPr>
                <w:rFonts w:ascii="Times New Roman" w:hAnsi="Times New Roman" w:cs="Times New Roman"/>
                <w:color w:val="000000" w:themeColor="text1"/>
                <w:kern w:val="24"/>
                <w:sz w:val="24"/>
                <w:szCs w:val="24"/>
                <w:vertAlign w:val="subscript"/>
              </w:rPr>
              <w:t>0.375</w:t>
            </w:r>
            <w:r w:rsidRPr="002657D1">
              <w:rPr>
                <w:rFonts w:ascii="Times New Roman" w:hAnsi="Times New Roman" w:cs="Times New Roman"/>
                <w:color w:val="000000" w:themeColor="text1"/>
                <w:kern w:val="24"/>
                <w:sz w:val="24"/>
                <w:szCs w:val="24"/>
              </w:rPr>
              <w:t>Hf</w:t>
            </w:r>
            <w:r w:rsidRPr="002657D1">
              <w:rPr>
                <w:rFonts w:ascii="Times New Roman" w:hAnsi="Times New Roman" w:cs="Times New Roman"/>
                <w:color w:val="000000" w:themeColor="text1"/>
                <w:kern w:val="24"/>
                <w:sz w:val="24"/>
                <w:szCs w:val="24"/>
                <w:vertAlign w:val="subscript"/>
              </w:rPr>
              <w:t>0.625</w:t>
            </w:r>
            <w:r w:rsidRPr="002657D1">
              <w:rPr>
                <w:rFonts w:ascii="Times New Roman" w:hAnsi="Times New Roman" w:cs="Times New Roman"/>
                <w:color w:val="000000" w:themeColor="text1"/>
                <w:kern w:val="24"/>
                <w:sz w:val="24"/>
                <w:szCs w:val="24"/>
              </w:rPr>
              <w:t>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1D974BCB"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1.1</w:t>
            </w:r>
          </w:p>
        </w:tc>
        <w:tc>
          <w:tcPr>
            <w:tcW w:w="1541" w:type="dxa"/>
            <w:tcBorders>
              <w:top w:val="nil"/>
              <w:bottom w:val="nil"/>
            </w:tcBorders>
            <w:vAlign w:val="center"/>
          </w:tcPr>
          <w:p w14:paraId="50437BD1" w14:textId="2BC107D0"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{"citationID":"xdjfIH5M","properties":{"formattedCitation":"\\super 37\\nosupersub{}","plainCitation":"37","noteIndex":0},"citationItems":[{"id":"IXaoCdHi/GzInRPFH","uris":["http://zotero.org/users/local/As3BANDe/items/FDNAVEQZ"],"itemData":{"id":2799,"type":"article-journal","container-title":"ACS Energy Letters","DOI":"10.1021/acsenergylett.3c02496","ISSN":"2380-8195, 2380-8195","issue":"3","journalAbbreviation":"ACS Energy Lett.","language":"en","license":"https://doi.org/10.15223/policy-029","page":"1043-1052","source":"DOI.org (Crossref)","title":"Superionic Conductivity Invoked by Enhanced Correlation Migration in Lithium Halides Solid Electrolytes","volume":"9","author":[{"family":"Li","given":"Rui"},{"family":"Lu","given":"Pushun"},{"family":"Liang","given":"Xinmiao"},{"family":"Liu","given":"Liwei"},{"family":"Avdeev","given":"Maxim"},{"family":"Deng","given":"Zhi"},{"family":"Li","given":"Shuai"},{"family":"Xu","given":"Kaiqi"},{"family":"Feng","given":"Jiwen"},{"family":"Si","given":"Rui"},{"family":"Wu","given":"Fan"},{"family":"Zhang","given":"Zhizhen"},{"family":"Hu","given":"Yong-Sheng"}],"issued":{"date-parts":[["2024",3,8]]}}}],"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37</w:t>
            </w:r>
            <w:r w:rsidRPr="002657D1">
              <w:rPr>
                <w:rFonts w:ascii="Times New Roman" w:hAnsi="Times New Roman" w:cs="Times New Roman"/>
                <w:color w:val="000000" w:themeColor="text1"/>
                <w:sz w:val="24"/>
                <w:szCs w:val="24"/>
              </w:rPr>
              <w:fldChar w:fldCharType="end"/>
            </w:r>
          </w:p>
        </w:tc>
      </w:tr>
      <w:tr w:rsidR="002657D1" w:rsidRPr="002657D1" w14:paraId="079CC891" w14:textId="77777777" w:rsidTr="002A5163">
        <w:trPr>
          <w:jc w:val="center"/>
        </w:trPr>
        <w:tc>
          <w:tcPr>
            <w:tcW w:w="1430" w:type="dxa"/>
            <w:vMerge/>
            <w:tcBorders>
              <w:top w:val="nil"/>
              <w:bottom w:val="nil"/>
            </w:tcBorders>
            <w:vAlign w:val="center"/>
          </w:tcPr>
          <w:p w14:paraId="2775FF71"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74D55ACE"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2.375</w:t>
            </w:r>
            <w:r w:rsidRPr="002657D1">
              <w:rPr>
                <w:rFonts w:ascii="Times New Roman" w:hAnsi="Times New Roman" w:cs="Times New Roman"/>
                <w:color w:val="000000" w:themeColor="text1"/>
                <w:kern w:val="24"/>
                <w:sz w:val="24"/>
                <w:szCs w:val="24"/>
              </w:rPr>
              <w:t>Sc</w:t>
            </w:r>
            <w:r w:rsidRPr="002657D1">
              <w:rPr>
                <w:rFonts w:ascii="Times New Roman" w:hAnsi="Times New Roman" w:cs="Times New Roman"/>
                <w:color w:val="000000" w:themeColor="text1"/>
                <w:kern w:val="24"/>
                <w:sz w:val="24"/>
                <w:szCs w:val="24"/>
                <w:vertAlign w:val="subscript"/>
              </w:rPr>
              <w:t>0.375</w:t>
            </w:r>
            <w:r w:rsidRPr="002657D1">
              <w:rPr>
                <w:rFonts w:ascii="Times New Roman" w:hAnsi="Times New Roman" w:cs="Times New Roman"/>
                <w:color w:val="000000" w:themeColor="text1"/>
                <w:kern w:val="24"/>
                <w:sz w:val="24"/>
                <w:szCs w:val="24"/>
              </w:rPr>
              <w:t>Zr</w:t>
            </w:r>
            <w:r w:rsidRPr="002657D1">
              <w:rPr>
                <w:rFonts w:ascii="Times New Roman" w:hAnsi="Times New Roman" w:cs="Times New Roman"/>
                <w:color w:val="000000" w:themeColor="text1"/>
                <w:kern w:val="24"/>
                <w:sz w:val="24"/>
                <w:szCs w:val="24"/>
                <w:vertAlign w:val="subscript"/>
              </w:rPr>
              <w:t>0.625</w:t>
            </w:r>
            <w:r w:rsidRPr="002657D1">
              <w:rPr>
                <w:rFonts w:ascii="Times New Roman" w:hAnsi="Times New Roman" w:cs="Times New Roman"/>
                <w:color w:val="000000" w:themeColor="text1"/>
                <w:kern w:val="24"/>
                <w:sz w:val="24"/>
                <w:szCs w:val="24"/>
              </w:rPr>
              <w:t>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380978FD"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2.2</w:t>
            </w:r>
          </w:p>
        </w:tc>
        <w:tc>
          <w:tcPr>
            <w:tcW w:w="1541" w:type="dxa"/>
            <w:tcBorders>
              <w:top w:val="nil"/>
              <w:bottom w:val="nil"/>
            </w:tcBorders>
            <w:vAlign w:val="center"/>
          </w:tcPr>
          <w:p w14:paraId="5E7347F7" w14:textId="6C607C99"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{"citationID":"pDPdgtEQ","properties":{"formattedCitation":"\\super 37\\nosupersub{}","plainCitation":"37","noteIndex":0},"citationItems":[{"id":"IXaoCdHi/GzInRPFH","uris":["http://zotero.org/users/local/As3BANDe/items/FDNAVEQZ"],"itemData":{"id":2799,"type":"article-journal","container-title":"ACS Energy Letters","DOI":"10.1021/acsenergylett.3c02496","ISSN":"2380-8195, 2380-8195","issue":"3","journalAbbreviation":"ACS Energy Lett.","language":"en","license":"https://doi.org/10.15223/policy-029","page":"1043-1052","source":"DOI.org (Crossref)","title":"Superionic Conductivity Invoked by Enhanced Correlation Migration in Lithium Halides Solid Electrolytes","volume":"9","author":[{"family":"Li","given":"Rui"},{"family":"Lu","given":"Pushun"},{"family":"Liang","given":"Xinmiao"},{"family":"Liu","given":"Liwei"},{"family":"Avdeev","given":"Maxim"},{"family":"Deng","given":"Zhi"},{"family":"Li","given":"Shuai"},{"family":"Xu","given":"Kaiqi"},{"family":"Feng","given":"Jiwen"},{"family":"Si","given":"Rui"},{"family":"Wu","given":"Fan"},{"family":"Zhang","given":"Zhizhen"},{"family":"Hu","given":"Yong-Sheng"}],"issued":{"date-parts":[["2024",3,8]]}}}],"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37</w:t>
            </w:r>
            <w:r w:rsidRPr="002657D1">
              <w:rPr>
                <w:rFonts w:ascii="Times New Roman" w:hAnsi="Times New Roman" w:cs="Times New Roman"/>
                <w:color w:val="000000" w:themeColor="text1"/>
                <w:sz w:val="24"/>
                <w:szCs w:val="24"/>
              </w:rPr>
              <w:fldChar w:fldCharType="end"/>
            </w:r>
          </w:p>
        </w:tc>
      </w:tr>
      <w:tr w:rsidR="002657D1" w:rsidRPr="002657D1" w14:paraId="5CFCD538" w14:textId="77777777" w:rsidTr="002A5163">
        <w:trPr>
          <w:jc w:val="center"/>
        </w:trPr>
        <w:tc>
          <w:tcPr>
            <w:tcW w:w="1430" w:type="dxa"/>
            <w:vMerge/>
            <w:tcBorders>
              <w:top w:val="nil"/>
              <w:bottom w:val="nil"/>
            </w:tcBorders>
            <w:vAlign w:val="center"/>
          </w:tcPr>
          <w:p w14:paraId="24C7237E"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06A950D3"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3</w:t>
            </w:r>
            <w:r w:rsidRPr="002657D1">
              <w:rPr>
                <w:rFonts w:ascii="Times New Roman" w:hAnsi="Times New Roman" w:cs="Times New Roman"/>
                <w:color w:val="000000" w:themeColor="text1"/>
                <w:kern w:val="24"/>
                <w:sz w:val="24"/>
                <w:szCs w:val="24"/>
              </w:rPr>
              <w:t>Zr</w:t>
            </w:r>
            <w:r w:rsidRPr="002657D1">
              <w:rPr>
                <w:rFonts w:ascii="Times New Roman" w:hAnsi="Times New Roman" w:cs="Times New Roman"/>
                <w:color w:val="000000" w:themeColor="text1"/>
                <w:kern w:val="24"/>
                <w:sz w:val="24"/>
                <w:szCs w:val="24"/>
                <w:vertAlign w:val="subscript"/>
              </w:rPr>
              <w:t>0.75</w:t>
            </w:r>
            <w:r w:rsidRPr="002657D1">
              <w:rPr>
                <w:rFonts w:ascii="Times New Roman" w:hAnsi="Times New Roman" w:cs="Times New Roman"/>
                <w:color w:val="000000" w:themeColor="text1"/>
                <w:kern w:val="24"/>
                <w:sz w:val="24"/>
                <w:szCs w:val="24"/>
              </w:rPr>
              <w:t>OCl</w:t>
            </w:r>
            <w:r w:rsidRPr="002657D1">
              <w:rPr>
                <w:rFonts w:ascii="Times New Roman" w:hAnsi="Times New Roman" w:cs="Times New Roman"/>
                <w:color w:val="000000" w:themeColor="text1"/>
                <w:kern w:val="24"/>
                <w:sz w:val="24"/>
                <w:szCs w:val="24"/>
                <w:vertAlign w:val="subscript"/>
              </w:rPr>
              <w:t>4</w:t>
            </w:r>
          </w:p>
        </w:tc>
        <w:tc>
          <w:tcPr>
            <w:tcW w:w="1755" w:type="dxa"/>
            <w:tcBorders>
              <w:top w:val="nil"/>
              <w:bottom w:val="nil"/>
            </w:tcBorders>
            <w:vAlign w:val="center"/>
          </w:tcPr>
          <w:p w14:paraId="288E5D09"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1.35</w:t>
            </w:r>
          </w:p>
        </w:tc>
        <w:tc>
          <w:tcPr>
            <w:tcW w:w="1541" w:type="dxa"/>
            <w:tcBorders>
              <w:top w:val="nil"/>
              <w:bottom w:val="nil"/>
            </w:tcBorders>
            <w:vAlign w:val="center"/>
          </w:tcPr>
          <w:p w14:paraId="7893E673" w14:textId="1DF35E90"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{"citationID":"HNnjl5wg","properties":{"formattedCitation":"\\super 38\\nosupersub{}","plainCitation":"38","noteIndex":0},"citationItems":[{"id":"IXaoCdHi/al5dfRPR","uris":["http://zotero.org/users/local/As3BANDe/items/8NDFG2U8"],"itemData":{"id":2801,"type":"article-journal","container-title":"Nano Letters","DOI":"10.1021/acs.nanolett.3c01468","ISSN":"1530-6984, 1530-6992","issue":"13","journalAbbreviation":"Nano Lett.","language":"en","license":"https://doi.org/10.15223/policy-029","page":"6081-6087","source":"DOI.org (Crossref)","title":"Alternate Crystal Structure Achieving Ionic Conductivity above 1 mS cm &lt;sup&gt;–1&lt;/sup&gt; in Cost-Effective Zr-Based Chloride Solid Electrolytes","volume":"23","author":[{"family":"Wang","given":"Jinzhu"},{"family":"Chen","given":"Fang"},{"family":"Hu","given":"Lv"},{"family":"Ma","given":"Cheng"}],"issued":{"date-parts":[["2023",7,12]]}}}],"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38</w:t>
            </w:r>
            <w:r w:rsidRPr="002657D1">
              <w:rPr>
                <w:rFonts w:ascii="Times New Roman" w:hAnsi="Times New Roman" w:cs="Times New Roman"/>
                <w:color w:val="000000" w:themeColor="text1"/>
                <w:sz w:val="24"/>
                <w:szCs w:val="24"/>
              </w:rPr>
              <w:fldChar w:fldCharType="end"/>
            </w:r>
          </w:p>
        </w:tc>
      </w:tr>
      <w:tr w:rsidR="002657D1" w:rsidRPr="002657D1" w14:paraId="0DDD51B7" w14:textId="77777777" w:rsidTr="002A5163">
        <w:trPr>
          <w:jc w:val="center"/>
        </w:trPr>
        <w:tc>
          <w:tcPr>
            <w:tcW w:w="1430" w:type="dxa"/>
            <w:vMerge/>
            <w:tcBorders>
              <w:top w:val="nil"/>
              <w:bottom w:val="nil"/>
            </w:tcBorders>
            <w:vAlign w:val="center"/>
          </w:tcPr>
          <w:p w14:paraId="6A8CA087"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2FF75D6B"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2.5</w:t>
            </w:r>
            <w:r w:rsidRPr="002657D1">
              <w:rPr>
                <w:rFonts w:ascii="Times New Roman" w:hAnsi="Times New Roman" w:cs="Times New Roman"/>
                <w:color w:val="000000" w:themeColor="text1"/>
                <w:kern w:val="24"/>
                <w:sz w:val="24"/>
                <w:szCs w:val="24"/>
              </w:rPr>
              <w:t>Sc</w:t>
            </w:r>
            <w:r w:rsidRPr="002657D1">
              <w:rPr>
                <w:rFonts w:ascii="Times New Roman" w:hAnsi="Times New Roman" w:cs="Times New Roman"/>
                <w:color w:val="000000" w:themeColor="text1"/>
                <w:kern w:val="24"/>
                <w:sz w:val="24"/>
                <w:szCs w:val="24"/>
                <w:vertAlign w:val="subscript"/>
              </w:rPr>
              <w:t>0.5</w:t>
            </w:r>
            <w:r w:rsidRPr="002657D1">
              <w:rPr>
                <w:rFonts w:ascii="Times New Roman" w:hAnsi="Times New Roman" w:cs="Times New Roman"/>
                <w:color w:val="000000" w:themeColor="text1"/>
                <w:kern w:val="24"/>
                <w:sz w:val="24"/>
                <w:szCs w:val="24"/>
              </w:rPr>
              <w:t>Zr</w:t>
            </w:r>
            <w:r w:rsidRPr="002657D1">
              <w:rPr>
                <w:rFonts w:ascii="Times New Roman" w:hAnsi="Times New Roman" w:cs="Times New Roman"/>
                <w:color w:val="000000" w:themeColor="text1"/>
                <w:kern w:val="24"/>
                <w:sz w:val="24"/>
                <w:szCs w:val="24"/>
                <w:vertAlign w:val="subscript"/>
              </w:rPr>
              <w:t>0.5</w:t>
            </w:r>
            <w:r w:rsidRPr="002657D1">
              <w:rPr>
                <w:rFonts w:ascii="Times New Roman" w:hAnsi="Times New Roman" w:cs="Times New Roman"/>
                <w:color w:val="000000" w:themeColor="text1"/>
                <w:kern w:val="24"/>
                <w:sz w:val="24"/>
                <w:szCs w:val="24"/>
              </w:rPr>
              <w:t>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3FC7ADCF"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2.23</w:t>
            </w:r>
          </w:p>
        </w:tc>
        <w:tc>
          <w:tcPr>
            <w:tcW w:w="1541" w:type="dxa"/>
            <w:tcBorders>
              <w:top w:val="nil"/>
              <w:bottom w:val="nil"/>
            </w:tcBorders>
            <w:vAlign w:val="center"/>
          </w:tcPr>
          <w:p w14:paraId="6A63B32A" w14:textId="4EAE0D13"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{"citationID":"Q67YltZt","properties":{"formattedCitation":"\\super 39\\nosupersub{}","plainCitation":"39","noteIndex":0},"citationItems":[{"id":"IXaoCdHi/H8pf0i8u","uris":["http://zotero.org/users/local/As3BANDe/items/YQ43KW3Q"],"itemData":{"id":2802,"type":"article-journal","container-title":"Chemical Engineering Journal","DOI":"10.1016/j.cej.2022.140509","ISSN":"13858947","journalAbbreviation":"Chemical Engineering Journal","language":"en","page":"140509","source":"DOI.org (Crossref)","title":"High-voltage superionic and humidity-tolerant Li2.5Sc0.5Zr0.5Cl6 conductor for lithium batteries via preferred orientation","volume":"455","author":[{"family":"Li","given":"Wenjin"},{"family":"Chen","given":"Zongyi"},{"family":"Chen","given":"Yansen"},{"family":"Duan","given":"Wenjie"},{"family":"Liu","given":"Guodong"},{"family":"Lv","given":"Youming"},{"family":"Yang","given":"Haitao"},{"family":"Yao","given":"Lei"}],"issued":{"date-parts":[["2023",1]]}}}],"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39</w:t>
            </w:r>
            <w:r w:rsidRPr="002657D1">
              <w:rPr>
                <w:rFonts w:ascii="Times New Roman" w:hAnsi="Times New Roman" w:cs="Times New Roman"/>
                <w:color w:val="000000" w:themeColor="text1"/>
                <w:sz w:val="24"/>
                <w:szCs w:val="24"/>
              </w:rPr>
              <w:fldChar w:fldCharType="end"/>
            </w:r>
          </w:p>
        </w:tc>
      </w:tr>
      <w:tr w:rsidR="002657D1" w:rsidRPr="002657D1" w14:paraId="584BC112" w14:textId="77777777" w:rsidTr="002A5163">
        <w:trPr>
          <w:jc w:val="center"/>
        </w:trPr>
        <w:tc>
          <w:tcPr>
            <w:tcW w:w="1430" w:type="dxa"/>
            <w:vMerge/>
            <w:tcBorders>
              <w:top w:val="nil"/>
              <w:bottom w:val="nil"/>
            </w:tcBorders>
            <w:vAlign w:val="center"/>
          </w:tcPr>
          <w:p w14:paraId="7E948BD4"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23C5469E"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2</w:t>
            </w:r>
            <w:r w:rsidRPr="002657D1">
              <w:rPr>
                <w:rFonts w:ascii="Times New Roman" w:hAnsi="Times New Roman" w:cs="Times New Roman"/>
                <w:color w:val="000000" w:themeColor="text1"/>
                <w:kern w:val="24"/>
                <w:sz w:val="24"/>
                <w:szCs w:val="24"/>
              </w:rPr>
              <w:t>In</w:t>
            </w:r>
            <w:r w:rsidRPr="002657D1">
              <w:rPr>
                <w:rFonts w:ascii="Times New Roman" w:hAnsi="Times New Roman" w:cs="Times New Roman"/>
                <w:color w:val="000000" w:themeColor="text1"/>
                <w:kern w:val="24"/>
                <w:sz w:val="24"/>
                <w:szCs w:val="24"/>
                <w:vertAlign w:val="subscript"/>
              </w:rPr>
              <w:t>1/3</w:t>
            </w:r>
            <w:r w:rsidRPr="002657D1">
              <w:rPr>
                <w:rFonts w:ascii="Times New Roman" w:hAnsi="Times New Roman" w:cs="Times New Roman"/>
                <w:color w:val="000000" w:themeColor="text1"/>
                <w:kern w:val="24"/>
                <w:sz w:val="24"/>
                <w:szCs w:val="24"/>
              </w:rPr>
              <w:t>Sc</w:t>
            </w:r>
            <w:r w:rsidRPr="002657D1">
              <w:rPr>
                <w:rFonts w:ascii="Times New Roman" w:hAnsi="Times New Roman" w:cs="Times New Roman"/>
                <w:color w:val="000000" w:themeColor="text1"/>
                <w:kern w:val="24"/>
                <w:sz w:val="24"/>
                <w:szCs w:val="24"/>
                <w:vertAlign w:val="subscript"/>
              </w:rPr>
              <w:t>1/3</w:t>
            </w:r>
            <w:r w:rsidRPr="002657D1">
              <w:rPr>
                <w:rFonts w:ascii="Times New Roman" w:hAnsi="Times New Roman" w:cs="Times New Roman"/>
                <w:color w:val="000000" w:themeColor="text1"/>
                <w:kern w:val="24"/>
                <w:sz w:val="24"/>
                <w:szCs w:val="24"/>
              </w:rPr>
              <w:t>Cl</w:t>
            </w:r>
            <w:r w:rsidRPr="002657D1">
              <w:rPr>
                <w:rFonts w:ascii="Times New Roman" w:hAnsi="Times New Roman" w:cs="Times New Roman"/>
                <w:color w:val="000000" w:themeColor="text1"/>
                <w:kern w:val="24"/>
                <w:sz w:val="24"/>
                <w:szCs w:val="24"/>
                <w:vertAlign w:val="subscript"/>
              </w:rPr>
              <w:t>4</w:t>
            </w:r>
          </w:p>
        </w:tc>
        <w:tc>
          <w:tcPr>
            <w:tcW w:w="1755" w:type="dxa"/>
            <w:tcBorders>
              <w:top w:val="nil"/>
              <w:bottom w:val="nil"/>
            </w:tcBorders>
            <w:vAlign w:val="center"/>
          </w:tcPr>
          <w:p w14:paraId="6232E5F3"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2.0</w:t>
            </w:r>
          </w:p>
        </w:tc>
        <w:tc>
          <w:tcPr>
            <w:tcW w:w="1541" w:type="dxa"/>
            <w:tcBorders>
              <w:top w:val="nil"/>
              <w:bottom w:val="nil"/>
            </w:tcBorders>
            <w:vAlign w:val="center"/>
          </w:tcPr>
          <w:p w14:paraId="55AC9137" w14:textId="28A26467"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{"citationID":"Exkrytz8","properties":{"formattedCitation":"\\super 40\\nosupersub{}","plainCitation":"40","noteIndex":0},"citationItems":[{"id":"IXaoCdHi/TxOcJ4nr","uris":["http://zotero.org/users/local/As3BANDe/items/S58KJRCE"],"itemData":{"id":2803,"type":"article-journal","container-title":"Nature Energy","DOI":"10.1038/s41560-021-00952-0","ISSN":"2058-7546","issue":"1","journalAbbreviation":"Nat Energy","language":"en","page":"83-93","source":"DOI.org (Crossref)","title":"High areal capacity, long cycle life 4 V ceramic all-solid-state Li-ion batteries enabled by chloride solid electrolytes","volume":"7","author":[{"family":"Zhou","given":"Laidong"},{"family":"Zuo","given":"Tong-Tong"},{"family":"Kwok","given":"Chun Yuen"},{"family":"Kim","given":"Se Young"},{"family":"Assoud","given":"Abdeljalil"},{"family":"Zhang","given":"Qiang"},{"family":"Janek","given":"Jürgen"},{"family":"Nazar","given":"Linda F."}],"issued":{"date-parts":[["2022",1,3]]}}}],"schema":"https://github.com/citation-style-language/schema/raw/master/csl-citation.json"}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40</w:t>
            </w:r>
            <w:r w:rsidRPr="002657D1">
              <w:rPr>
                <w:rFonts w:ascii="Times New Roman" w:hAnsi="Times New Roman" w:cs="Times New Roman"/>
                <w:color w:val="000000" w:themeColor="text1"/>
                <w:sz w:val="24"/>
                <w:szCs w:val="24"/>
              </w:rPr>
              <w:fldChar w:fldCharType="end"/>
            </w:r>
          </w:p>
        </w:tc>
      </w:tr>
      <w:tr w:rsidR="002657D1" w:rsidRPr="002657D1" w14:paraId="2314D2FE" w14:textId="77777777" w:rsidTr="002A5163">
        <w:trPr>
          <w:jc w:val="center"/>
        </w:trPr>
        <w:tc>
          <w:tcPr>
            <w:tcW w:w="1430" w:type="dxa"/>
            <w:vMerge/>
            <w:tcBorders>
              <w:top w:val="nil"/>
              <w:bottom w:val="nil"/>
            </w:tcBorders>
            <w:vAlign w:val="center"/>
          </w:tcPr>
          <w:p w14:paraId="6D3AC46D"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028E713A"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2.7</w:t>
            </w:r>
            <w:r w:rsidRPr="002657D1">
              <w:rPr>
                <w:rFonts w:ascii="Times New Roman" w:hAnsi="Times New Roman" w:cs="Times New Roman"/>
                <w:color w:val="000000" w:themeColor="text1"/>
                <w:kern w:val="24"/>
                <w:sz w:val="24"/>
                <w:szCs w:val="24"/>
              </w:rPr>
              <w:t>Zr</w:t>
            </w:r>
            <w:r w:rsidRPr="002657D1">
              <w:rPr>
                <w:rFonts w:ascii="Times New Roman" w:hAnsi="Times New Roman" w:cs="Times New Roman"/>
                <w:color w:val="000000" w:themeColor="text1"/>
                <w:kern w:val="24"/>
                <w:sz w:val="24"/>
                <w:szCs w:val="24"/>
                <w:vertAlign w:val="subscript"/>
              </w:rPr>
              <w:t>0.3</w:t>
            </w:r>
            <w:r w:rsidRPr="002657D1">
              <w:rPr>
                <w:rFonts w:ascii="Times New Roman" w:hAnsi="Times New Roman" w:cs="Times New Roman"/>
                <w:color w:val="000000" w:themeColor="text1"/>
                <w:kern w:val="24"/>
                <w:sz w:val="24"/>
                <w:szCs w:val="24"/>
              </w:rPr>
              <w:t>In</w:t>
            </w:r>
            <w:r w:rsidRPr="002657D1">
              <w:rPr>
                <w:rFonts w:ascii="Times New Roman" w:hAnsi="Times New Roman" w:cs="Times New Roman"/>
                <w:color w:val="000000" w:themeColor="text1"/>
                <w:kern w:val="24"/>
                <w:sz w:val="24"/>
                <w:szCs w:val="24"/>
                <w:vertAlign w:val="subscript"/>
              </w:rPr>
              <w:t>0.7</w:t>
            </w:r>
            <w:r w:rsidRPr="002657D1">
              <w:rPr>
                <w:rFonts w:ascii="Times New Roman" w:hAnsi="Times New Roman" w:cs="Times New Roman"/>
                <w:color w:val="000000" w:themeColor="text1"/>
                <w:kern w:val="24"/>
                <w:sz w:val="24"/>
                <w:szCs w:val="24"/>
              </w:rPr>
              <w:t>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2D9A79A4"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2.1</w:t>
            </w:r>
          </w:p>
        </w:tc>
        <w:tc>
          <w:tcPr>
            <w:tcW w:w="1541" w:type="dxa"/>
            <w:tcBorders>
              <w:top w:val="nil"/>
              <w:bottom w:val="nil"/>
            </w:tcBorders>
            <w:vAlign w:val="center"/>
          </w:tcPr>
          <w:p w14:paraId="1A394B92" w14:textId="10D60557"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{"citationID":"sXNlrKhQ","properties":{"formattedCitation":"\\super 41\\nosupersub{}","plainCitation":"41","noteIndex":0},"citationItems":[{"id":"IXaoCdHi/ufzfFhsS","uris":["http://zotero.org/users/local/As3BANDe/items/GZKLEDDX"],"itemData":{"id":2804,"type":"article-journal","container-title":"Chemical Engineering Journal","DOI":"10.1016/j.cej.2022.135413","ISSN":"13858947","journalAbbreviation":"Chemical Engineering Journal","language":"en","page":"135413","source":"DOI.org (Crossref)","title":"Li+ conduction in aliovalent-substituted monoclinic Li2ZrCl6 for all-solid-state batteries: Li2+xZr1-xMxCl6 (M = In, Sc)","title-short":"Li+ conduction in aliovalent-substituted monoclinic Li2ZrCl6 for all-solid-state batteries","volume":"437","author":[{"family":"Kwak","given":"Hiram"},{"family":"Han","given":"Daseul"},{"family":"Son","given":"Jun Pyo"},{"family":"Kim","given":"Jong Seok"},{"family":"Park","given":"Juhyoun"},{"family":"Nam","given":"Kyung-Wan"},{"family":"Kim","given":"Hyungsub"},{"family":"Jung","given":"Yoon Seok"}],"issued":{"date-parts":[["2022",6]]}}}],"schema":"https://github.com/citation-style-language/schema/raw/master/csl-citation.json"}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41</w:t>
            </w:r>
            <w:r w:rsidRPr="002657D1">
              <w:rPr>
                <w:rFonts w:ascii="Times New Roman" w:hAnsi="Times New Roman" w:cs="Times New Roman"/>
                <w:color w:val="000000" w:themeColor="text1"/>
                <w:sz w:val="24"/>
                <w:szCs w:val="24"/>
              </w:rPr>
              <w:fldChar w:fldCharType="end"/>
            </w:r>
          </w:p>
        </w:tc>
      </w:tr>
      <w:tr w:rsidR="002657D1" w:rsidRPr="002657D1" w14:paraId="4C71B5A5" w14:textId="77777777" w:rsidTr="002A5163">
        <w:trPr>
          <w:jc w:val="center"/>
        </w:trPr>
        <w:tc>
          <w:tcPr>
            <w:tcW w:w="1430" w:type="dxa"/>
            <w:vMerge/>
            <w:tcBorders>
              <w:top w:val="nil"/>
              <w:bottom w:val="nil"/>
            </w:tcBorders>
            <w:vAlign w:val="center"/>
          </w:tcPr>
          <w:p w14:paraId="70EF2187"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20E62E48"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3</w:t>
            </w:r>
            <w:r w:rsidRPr="002657D1">
              <w:rPr>
                <w:rFonts w:ascii="Times New Roman" w:hAnsi="Times New Roman" w:cs="Times New Roman"/>
                <w:color w:val="000000" w:themeColor="text1"/>
                <w:kern w:val="24"/>
                <w:sz w:val="24"/>
                <w:szCs w:val="24"/>
              </w:rPr>
              <w:t>Y</w:t>
            </w:r>
            <w:r w:rsidRPr="002657D1">
              <w:rPr>
                <w:rFonts w:ascii="Times New Roman" w:hAnsi="Times New Roman" w:cs="Times New Roman"/>
                <w:color w:val="000000" w:themeColor="text1"/>
                <w:kern w:val="24"/>
                <w:sz w:val="24"/>
                <w:szCs w:val="24"/>
                <w:vertAlign w:val="subscript"/>
              </w:rPr>
              <w:t>0.5</w:t>
            </w:r>
            <w:r w:rsidRPr="002657D1">
              <w:rPr>
                <w:rFonts w:ascii="Times New Roman" w:hAnsi="Times New Roman" w:cs="Times New Roman"/>
                <w:color w:val="000000" w:themeColor="text1"/>
                <w:kern w:val="24"/>
                <w:sz w:val="24"/>
                <w:szCs w:val="24"/>
              </w:rPr>
              <w:t>In</w:t>
            </w:r>
            <w:r w:rsidRPr="002657D1">
              <w:rPr>
                <w:rFonts w:ascii="Times New Roman" w:hAnsi="Times New Roman" w:cs="Times New Roman"/>
                <w:color w:val="000000" w:themeColor="text1"/>
                <w:kern w:val="24"/>
                <w:sz w:val="24"/>
                <w:szCs w:val="24"/>
                <w:vertAlign w:val="subscript"/>
              </w:rPr>
              <w:t>0.5</w:t>
            </w:r>
            <w:r w:rsidRPr="002657D1">
              <w:rPr>
                <w:rFonts w:ascii="Times New Roman" w:hAnsi="Times New Roman" w:cs="Times New Roman"/>
                <w:color w:val="000000" w:themeColor="text1"/>
                <w:kern w:val="24"/>
                <w:sz w:val="24"/>
                <w:szCs w:val="24"/>
              </w:rPr>
              <w:t>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398A4BE9"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1.51</w:t>
            </w:r>
          </w:p>
        </w:tc>
        <w:tc>
          <w:tcPr>
            <w:tcW w:w="1541" w:type="dxa"/>
            <w:tcBorders>
              <w:top w:val="nil"/>
              <w:bottom w:val="nil"/>
            </w:tcBorders>
            <w:vAlign w:val="center"/>
          </w:tcPr>
          <w:p w14:paraId="098EF5A0" w14:textId="5CDE6E58"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{"citationID":"Wc4lffkY","properties":{"formattedCitation":"\\super 42\\nosupersub{}","plainCitation":"42","noteIndex":0},"citationItems":[{"id":"IXaoCdHi/ZtlqFsv3","uris":["http://zotero.org/users/local/As3BANDe/items/FA6VJLBG"],"itemData":{"id":2805,"type":"article-journal","container-title":"Nano Letters","DOI":"10.1021/acs.nanolett.0c01156","ISSN":"1530-6984, 1530-6992","issue":"6","journalAbbreviation":"Nano Lett.","language":"en","license":"https://doi.org/10.15223/policy-029","page":"4384-4392","source":"DOI.org (Crossref)","title":"Origin of Superionic Li &lt;sub&gt;3&lt;/sub&gt; Y &lt;sub&gt; 1– &lt;i&gt;x&lt;/i&gt; &lt;/sub&gt; In &lt;sub&gt; &lt;i&gt;x&lt;/i&gt; &lt;/sub&gt; Cl &lt;sub&gt;6&lt;/sub&gt; Halide Solid Electrolytes with High Humidity Tolerance","volume":"20","author":[{"family":"Li","given":"Xiaona"},{"family":"Liang","given":"Jianwen"},{"family":"Adair","given":"Keegan R."},{"family":"Li","given":"Junjie"},{"family":"Li","given":"Weihan"},{"family":"Zhao","given":"Feipeng"},{"family":"Hu","given":"Yongfeng"},{"family":"Sham","given":"Tsun-Kong"},{"family":"Zhang","given":"Li"},{"family":"Zhao","given":"Shangqian"},{"family":"Lu","given":"Shigang"},{"family":"Huang","given":"Huan"},{"family":"Li","given":"Ruying"},{"family":"Chen","given":"Ning"},{"family":"Sun","given":"Xueliang"}],"issued":{"date-parts":[["2020",6,10]]}}}],"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42</w:t>
            </w:r>
            <w:r w:rsidRPr="002657D1">
              <w:rPr>
                <w:rFonts w:ascii="Times New Roman" w:hAnsi="Times New Roman" w:cs="Times New Roman"/>
                <w:color w:val="000000" w:themeColor="text1"/>
                <w:sz w:val="24"/>
                <w:szCs w:val="24"/>
              </w:rPr>
              <w:fldChar w:fldCharType="end"/>
            </w:r>
          </w:p>
        </w:tc>
      </w:tr>
      <w:tr w:rsidR="002657D1" w:rsidRPr="002657D1" w14:paraId="789918FB" w14:textId="77777777" w:rsidTr="002A5163">
        <w:trPr>
          <w:jc w:val="center"/>
        </w:trPr>
        <w:tc>
          <w:tcPr>
            <w:tcW w:w="1430" w:type="dxa"/>
            <w:vMerge/>
            <w:tcBorders>
              <w:top w:val="nil"/>
              <w:bottom w:val="nil"/>
            </w:tcBorders>
            <w:vAlign w:val="center"/>
          </w:tcPr>
          <w:p w14:paraId="323625A4" w14:textId="77777777" w:rsidR="001E7649" w:rsidRPr="002657D1" w:rsidRDefault="001E7649" w:rsidP="001E7649">
            <w:pPr>
              <w:widowControl/>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624EC5C4" w14:textId="70651026" w:rsidR="001E7649" w:rsidRPr="002657D1" w:rsidRDefault="001E7649" w:rsidP="001E7649">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3</w:t>
            </w:r>
            <w:r w:rsidRPr="002657D1">
              <w:rPr>
                <w:rFonts w:ascii="Times New Roman" w:hAnsi="Times New Roman" w:cs="Times New Roman"/>
                <w:color w:val="000000" w:themeColor="text1"/>
                <w:kern w:val="24"/>
                <w:sz w:val="24"/>
                <w:szCs w:val="24"/>
              </w:rPr>
              <w:t>Er</w:t>
            </w:r>
            <w:r w:rsidRPr="002657D1">
              <w:rPr>
                <w:rFonts w:ascii="Times New Roman" w:hAnsi="Times New Roman" w:cs="Times New Roman"/>
                <w:color w:val="000000" w:themeColor="text1"/>
                <w:kern w:val="24"/>
                <w:sz w:val="24"/>
                <w:szCs w:val="24"/>
                <w:vertAlign w:val="subscript"/>
              </w:rPr>
              <w:t>0.6</w:t>
            </w:r>
            <w:r w:rsidRPr="002657D1">
              <w:rPr>
                <w:rFonts w:ascii="Times New Roman" w:hAnsi="Times New Roman" w:cs="Times New Roman"/>
                <w:color w:val="000000" w:themeColor="text1"/>
                <w:kern w:val="24"/>
                <w:sz w:val="24"/>
                <w:szCs w:val="24"/>
              </w:rPr>
              <w:t>In</w:t>
            </w:r>
            <w:r w:rsidRPr="002657D1">
              <w:rPr>
                <w:rFonts w:ascii="Times New Roman" w:hAnsi="Times New Roman" w:cs="Times New Roman"/>
                <w:color w:val="000000" w:themeColor="text1"/>
                <w:kern w:val="24"/>
                <w:sz w:val="24"/>
                <w:szCs w:val="24"/>
                <w:vertAlign w:val="subscript"/>
              </w:rPr>
              <w:t>0.4</w:t>
            </w:r>
            <w:r w:rsidRPr="002657D1">
              <w:rPr>
                <w:rFonts w:ascii="Times New Roman" w:hAnsi="Times New Roman" w:cs="Times New Roman"/>
                <w:color w:val="000000" w:themeColor="text1"/>
                <w:kern w:val="24"/>
                <w:sz w:val="24"/>
                <w:szCs w:val="24"/>
              </w:rPr>
              <w:t>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0305CB18" w14:textId="70297EB5" w:rsidR="001E7649" w:rsidRPr="002657D1" w:rsidRDefault="001E7649" w:rsidP="001E7649">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3.0</w:t>
            </w:r>
          </w:p>
        </w:tc>
        <w:tc>
          <w:tcPr>
            <w:tcW w:w="1541" w:type="dxa"/>
            <w:tcBorders>
              <w:top w:val="nil"/>
              <w:bottom w:val="nil"/>
            </w:tcBorders>
            <w:vAlign w:val="center"/>
          </w:tcPr>
          <w:p w14:paraId="104D17DC" w14:textId="13AE7F7B" w:rsidR="001E7649" w:rsidRPr="002657D1" w:rsidRDefault="001E7649" w:rsidP="001E764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70459F" w:rsidRPr="002657D1">
              <w:rPr>
                <w:rFonts w:ascii="Times New Roman" w:hAnsi="Times New Roman" w:cs="Times New Roman"/>
                <w:color w:val="000000" w:themeColor="text1"/>
                <w:sz w:val="24"/>
                <w:szCs w:val="24"/>
              </w:rPr>
              <w:instrText xml:space="preserve"> ADDIN ZOTERO_ITEM CSL_CITATION {"citationID":"a1cgncdkse3","properties":{"formattedCitation":"\\super 12\\nosupersub{}","plainCitation":"12","noteIndex":0},"citationItems":[{"id":1158,"uris":["http://zotero.org/users/local/J1vikkcu/items/BWFXETR5"],"itemData":{"id":1158,"type":"article-journal","container-title":"Nature Communications","language":"en","source":"Zotero","title":"Structural regulation of halide superionic conductors for all-solid-state lithium batteries","author":[{"family":"Li","given":"Xiaona"}],"issued":{"date-parts":[["2024"]]}}}],"schema":"https://github.com/citation-style-language/schema/raw/master/csl-citation.json"}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12</w:t>
            </w:r>
            <w:r w:rsidRPr="002657D1">
              <w:rPr>
                <w:rFonts w:ascii="Times New Roman" w:hAnsi="Times New Roman" w:cs="Times New Roman"/>
                <w:color w:val="000000" w:themeColor="text1"/>
                <w:sz w:val="24"/>
                <w:szCs w:val="24"/>
              </w:rPr>
              <w:fldChar w:fldCharType="end"/>
            </w:r>
          </w:p>
        </w:tc>
      </w:tr>
      <w:tr w:rsidR="002657D1" w:rsidRPr="002657D1" w14:paraId="3C4D30B7" w14:textId="77777777" w:rsidTr="002A5163">
        <w:trPr>
          <w:jc w:val="center"/>
        </w:trPr>
        <w:tc>
          <w:tcPr>
            <w:tcW w:w="1430" w:type="dxa"/>
            <w:vMerge/>
            <w:tcBorders>
              <w:top w:val="nil"/>
              <w:bottom w:val="nil"/>
            </w:tcBorders>
            <w:vAlign w:val="center"/>
          </w:tcPr>
          <w:p w14:paraId="24603FA9" w14:textId="77777777" w:rsidR="001E7649" w:rsidRPr="002657D1" w:rsidRDefault="001E7649" w:rsidP="001E7649">
            <w:pPr>
              <w:widowControl/>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1B76EE38" w14:textId="02EEDE2B" w:rsidR="001E7649" w:rsidRPr="002657D1" w:rsidRDefault="001E7649" w:rsidP="001E7649">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2.6</w:t>
            </w:r>
            <w:r w:rsidRPr="002657D1">
              <w:rPr>
                <w:rFonts w:ascii="Times New Roman" w:hAnsi="Times New Roman" w:cs="Times New Roman"/>
                <w:color w:val="000000" w:themeColor="text1"/>
                <w:kern w:val="24"/>
                <w:sz w:val="24"/>
                <w:szCs w:val="24"/>
              </w:rPr>
              <w:t>In</w:t>
            </w:r>
            <w:r w:rsidRPr="002657D1">
              <w:rPr>
                <w:rFonts w:ascii="Times New Roman" w:hAnsi="Times New Roman" w:cs="Times New Roman"/>
                <w:color w:val="000000" w:themeColor="text1"/>
                <w:kern w:val="24"/>
                <w:sz w:val="24"/>
                <w:szCs w:val="24"/>
                <w:vertAlign w:val="subscript"/>
              </w:rPr>
              <w:t>0.8</w:t>
            </w:r>
            <w:r w:rsidRPr="002657D1">
              <w:rPr>
                <w:rFonts w:ascii="Times New Roman" w:hAnsi="Times New Roman" w:cs="Times New Roman"/>
                <w:color w:val="000000" w:themeColor="text1"/>
                <w:kern w:val="24"/>
                <w:sz w:val="24"/>
                <w:szCs w:val="24"/>
              </w:rPr>
              <w:t>Ta</w:t>
            </w:r>
            <w:r w:rsidRPr="002657D1">
              <w:rPr>
                <w:rFonts w:ascii="Times New Roman" w:hAnsi="Times New Roman" w:cs="Times New Roman"/>
                <w:color w:val="000000" w:themeColor="text1"/>
                <w:kern w:val="24"/>
                <w:sz w:val="24"/>
                <w:szCs w:val="24"/>
                <w:vertAlign w:val="subscript"/>
              </w:rPr>
              <w:t>0.2</w:t>
            </w:r>
            <w:r w:rsidRPr="002657D1">
              <w:rPr>
                <w:rFonts w:ascii="Times New Roman" w:hAnsi="Times New Roman" w:cs="Times New Roman"/>
                <w:color w:val="000000" w:themeColor="text1"/>
                <w:kern w:val="24"/>
                <w:sz w:val="24"/>
                <w:szCs w:val="24"/>
              </w:rPr>
              <w:t>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3C9D9A2F" w14:textId="20CDC734" w:rsidR="001E7649" w:rsidRPr="002657D1" w:rsidRDefault="001E7649" w:rsidP="001E7649">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4.47</w:t>
            </w:r>
          </w:p>
        </w:tc>
        <w:tc>
          <w:tcPr>
            <w:tcW w:w="1541" w:type="dxa"/>
            <w:tcBorders>
              <w:top w:val="nil"/>
              <w:bottom w:val="nil"/>
            </w:tcBorders>
            <w:vAlign w:val="center"/>
          </w:tcPr>
          <w:p w14:paraId="0530CDA0" w14:textId="2E367B39" w:rsidR="001E7649" w:rsidRPr="002657D1" w:rsidRDefault="001E7649" w:rsidP="001E764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70459F" w:rsidRPr="002657D1">
              <w:rPr>
                <w:rFonts w:ascii="Times New Roman" w:hAnsi="Times New Roman" w:cs="Times New Roman"/>
                <w:color w:val="000000" w:themeColor="text1"/>
                <w:sz w:val="24"/>
                <w:szCs w:val="24"/>
              </w:rPr>
              <w:instrText xml:space="preserve"> ADDIN ZOTERO_ITEM CSL_CITATION {"citationID":"ai0ll33s7l","properties":{"formattedCitation":"\\super 43\\nosupersub{}","plainCitation":"43","noteIndex":0},"citationItems":[{"id":881,"uris":["http://zotero.org/users/local/J1vikkcu/items/FFTTGVFH"],"itemData":{"id":881,"type":"article-journal","abstract":"All-solid-state batteries (ASSBs) have garnered considerable attention as promising candidates for nextgeneration energy storage systems due to their potentially simultaneously enhanced safety capacities and improved energy densities. However, the solid future still calls for materials with high ionic conductivity, electrochemical stability, and favorable interfacial compatibility. In this study, we present a series of halide solid-state electrolytes (SSEs) utilizing a doping strategy with highly valent elements, demonstrating an outstanding combination of enhanced ionic conductivity and oxidation stability. Among these, Li2.6In0.8Ta0.2Cl6 emerges as the standout performer, displaying a superionic conductivity of up to 4.47 mS cm−1 at 30 °C, along with a low activation energy barrier of 0.321 eV for Li+ migration. Additionally, it showcases an extensive oxidation onset of up to 5.13 V (vs Li+/Li), enabling high-voltage ASSBs with promising cycling performance. Particularly noteworthy are the ASSBs employing LiCoO2 cathode materials, which exhibit an extended cyclability of over 1400 cycles, with 70% capacity retention under 4.6 V (vs Li+/ Li), and a capacity of up to 135 mA h g−1 at a 4 C rate, with the loading of active materials at 7.52 mg cm−2. This study demonstrates a feasible approach to designing desirable SSEs for energy-dense, highly stable ASSBs.","container-title":"ACS Nano","DOI":"10.1021/acsnano.4c02678","ISSN":"1936-0851, 1936-086X","issue":"28","journalAbbreviation":"ACS Nano","language":"en","license":"https://doi.org/10.15223/policy-029","page":"18368-18378","source":"DOI.org (Crossref)","title":"High-Voltage Long-Cycling All-Solid-State Lithium Batteries with High-Valent-Element-Doped Halide Electrolytes","volume":"18","author":[{"family":"Ye","given":"Yu"},{"family":"Geng","given":"Jiazhong"},{"family":"Zuo","given":"Daxian"},{"family":"Niu","given":"Kangdi"},{"family":"Chen","given":"Diancheng"},{"family":"Lin","given":"Junhao"},{"family":"Chen","given":"Xihan"},{"family":"Woo","given":"Haw Jiunn"},{"family":"Zhu","given":"Yizhou"},{"family":"Wan","given":"Jiayu"}],"issued":{"date-parts":[["2024",7,16]]}}}],"schema":"https://github.com/citation-style-language/schema/raw/master/csl-citation.json"}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43</w:t>
            </w:r>
            <w:r w:rsidRPr="002657D1">
              <w:rPr>
                <w:rFonts w:ascii="Times New Roman" w:hAnsi="Times New Roman" w:cs="Times New Roman"/>
                <w:color w:val="000000" w:themeColor="text1"/>
                <w:sz w:val="24"/>
                <w:szCs w:val="24"/>
              </w:rPr>
              <w:fldChar w:fldCharType="end"/>
            </w:r>
          </w:p>
        </w:tc>
      </w:tr>
      <w:tr w:rsidR="002657D1" w:rsidRPr="002657D1" w14:paraId="5DBB11F1" w14:textId="77777777" w:rsidTr="002A5163">
        <w:trPr>
          <w:jc w:val="center"/>
        </w:trPr>
        <w:tc>
          <w:tcPr>
            <w:tcW w:w="1430" w:type="dxa"/>
            <w:vMerge/>
            <w:tcBorders>
              <w:top w:val="nil"/>
              <w:bottom w:val="nil"/>
            </w:tcBorders>
            <w:vAlign w:val="center"/>
          </w:tcPr>
          <w:p w14:paraId="7852C228" w14:textId="77777777" w:rsidR="001E7649" w:rsidRPr="002657D1" w:rsidRDefault="001E7649" w:rsidP="001E7649">
            <w:pPr>
              <w:widowControl/>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19EF6508" w14:textId="115FD67C" w:rsidR="001E7649" w:rsidRPr="002657D1" w:rsidRDefault="001E7649" w:rsidP="001E7649">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3</w:t>
            </w:r>
            <w:r w:rsidRPr="002657D1">
              <w:rPr>
                <w:rFonts w:ascii="Times New Roman" w:hAnsi="Times New Roman" w:cs="Times New Roman"/>
                <w:color w:val="000000" w:themeColor="text1"/>
                <w:kern w:val="24"/>
                <w:sz w:val="24"/>
                <w:szCs w:val="24"/>
              </w:rPr>
              <w:t>Ho</w:t>
            </w:r>
            <w:r w:rsidRPr="002657D1">
              <w:rPr>
                <w:rFonts w:ascii="Times New Roman" w:hAnsi="Times New Roman" w:cs="Times New Roman"/>
                <w:color w:val="000000" w:themeColor="text1"/>
                <w:kern w:val="24"/>
                <w:sz w:val="24"/>
                <w:szCs w:val="24"/>
                <w:vertAlign w:val="subscript"/>
              </w:rPr>
              <w:t>0.7</w:t>
            </w:r>
            <w:r w:rsidRPr="002657D1">
              <w:rPr>
                <w:rFonts w:ascii="Times New Roman" w:hAnsi="Times New Roman" w:cs="Times New Roman"/>
                <w:color w:val="000000" w:themeColor="text1"/>
                <w:kern w:val="24"/>
                <w:sz w:val="24"/>
                <w:szCs w:val="24"/>
              </w:rPr>
              <w:t>Sc</w:t>
            </w:r>
            <w:r w:rsidRPr="002657D1">
              <w:rPr>
                <w:rFonts w:ascii="Times New Roman" w:hAnsi="Times New Roman" w:cs="Times New Roman"/>
                <w:color w:val="000000" w:themeColor="text1"/>
                <w:kern w:val="24"/>
                <w:sz w:val="24"/>
                <w:szCs w:val="24"/>
                <w:vertAlign w:val="subscript"/>
              </w:rPr>
              <w:t>0.3</w:t>
            </w:r>
            <w:r w:rsidRPr="002657D1">
              <w:rPr>
                <w:rFonts w:ascii="Times New Roman" w:hAnsi="Times New Roman" w:cs="Times New Roman"/>
                <w:color w:val="000000" w:themeColor="text1"/>
                <w:kern w:val="24"/>
                <w:sz w:val="24"/>
                <w:szCs w:val="24"/>
              </w:rPr>
              <w:t>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100397FC" w14:textId="24B40D31" w:rsidR="001E7649" w:rsidRPr="002657D1" w:rsidRDefault="001E7649" w:rsidP="001E7649">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4.7</w:t>
            </w:r>
          </w:p>
        </w:tc>
        <w:tc>
          <w:tcPr>
            <w:tcW w:w="1541" w:type="dxa"/>
            <w:tcBorders>
              <w:top w:val="nil"/>
              <w:bottom w:val="nil"/>
            </w:tcBorders>
            <w:vAlign w:val="center"/>
          </w:tcPr>
          <w:p w14:paraId="74EA5B3C" w14:textId="343860E0" w:rsidR="001E7649" w:rsidRPr="002657D1" w:rsidRDefault="001E7649" w:rsidP="001E764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70459F" w:rsidRPr="002657D1">
              <w:rPr>
                <w:rFonts w:ascii="Times New Roman" w:hAnsi="Times New Roman" w:cs="Times New Roman"/>
                <w:color w:val="000000" w:themeColor="text1"/>
                <w:sz w:val="24"/>
                <w:szCs w:val="24"/>
              </w:rPr>
              <w:instrText xml:space="preserve"> ADDIN ZOTERO_ITEM CSL_CITATION {"citationID":"a286jbk53m0","properties":{"formattedCitation":"\\super 12\\nosupersub{}","plainCitation":"12","noteIndex":0},"citationItems":[{"id":1158,"uris":["http://zotero.org/users/local/J1vikkcu/items/BWFXETR5"],"itemData":{"id":1158,"type":"article-journal","container-title":"Nature Communications","language":"en","source":"Zotero","title":"Structural regulation of halide superionic conductors for all-solid-state lithium batteries","author":[{"family":"Li","given":"Xiaona"}],"issued":{"date-parts":[["2024"]]}}}],"schema":"https://github.com/citation-style-language/schema/raw/master/csl-citation.json"}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12</w:t>
            </w:r>
            <w:r w:rsidRPr="002657D1">
              <w:rPr>
                <w:rFonts w:ascii="Times New Roman" w:hAnsi="Times New Roman" w:cs="Times New Roman"/>
                <w:color w:val="000000" w:themeColor="text1"/>
                <w:sz w:val="24"/>
                <w:szCs w:val="24"/>
              </w:rPr>
              <w:fldChar w:fldCharType="end"/>
            </w:r>
          </w:p>
        </w:tc>
      </w:tr>
      <w:tr w:rsidR="002657D1" w:rsidRPr="002657D1" w14:paraId="08111534" w14:textId="77777777" w:rsidTr="002A5163">
        <w:trPr>
          <w:jc w:val="center"/>
        </w:trPr>
        <w:tc>
          <w:tcPr>
            <w:tcW w:w="1430" w:type="dxa"/>
            <w:vMerge/>
            <w:tcBorders>
              <w:top w:val="nil"/>
              <w:bottom w:val="nil"/>
            </w:tcBorders>
            <w:vAlign w:val="center"/>
          </w:tcPr>
          <w:p w14:paraId="6CAC4235" w14:textId="77777777" w:rsidR="001E7649" w:rsidRPr="002657D1" w:rsidRDefault="001E7649" w:rsidP="001E7649">
            <w:pPr>
              <w:widowControl/>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2774EE88" w14:textId="2A6AE8D8" w:rsidR="001E7649" w:rsidRPr="002657D1" w:rsidRDefault="001E7649" w:rsidP="001E7649">
            <w:pPr>
              <w:widowControl/>
              <w:spacing w:line="360" w:lineRule="auto"/>
              <w:jc w:val="center"/>
              <w:rPr>
                <w:rFonts w:ascii="Times New Roman" w:hAnsi="Times New Roman" w:cs="Times New Roman"/>
                <w:color w:val="000000" w:themeColor="text1"/>
                <w:kern w:val="24"/>
                <w:sz w:val="24"/>
                <w:szCs w:val="24"/>
                <w:lang w:val="de-DE"/>
              </w:rPr>
            </w:pPr>
            <w:r w:rsidRPr="002657D1">
              <w:rPr>
                <w:rFonts w:ascii="Times New Roman" w:hAnsi="Times New Roman" w:cs="Times New Roman"/>
                <w:color w:val="000000" w:themeColor="text1"/>
                <w:kern w:val="24"/>
                <w:sz w:val="24"/>
                <w:szCs w:val="24"/>
                <w:lang w:val="de-DE"/>
              </w:rPr>
              <w:t>Li</w:t>
            </w:r>
            <w:r w:rsidRPr="002657D1">
              <w:rPr>
                <w:rFonts w:ascii="Times New Roman" w:hAnsi="Times New Roman" w:cs="Times New Roman"/>
                <w:color w:val="000000" w:themeColor="text1"/>
                <w:kern w:val="24"/>
                <w:sz w:val="24"/>
                <w:szCs w:val="24"/>
                <w:vertAlign w:val="subscript"/>
                <w:lang w:val="de-DE"/>
              </w:rPr>
              <w:t>2.75</w:t>
            </w:r>
            <w:r w:rsidRPr="002657D1">
              <w:rPr>
                <w:rFonts w:ascii="Times New Roman" w:hAnsi="Times New Roman" w:cs="Times New Roman"/>
                <w:color w:val="000000" w:themeColor="text1"/>
                <w:kern w:val="24"/>
                <w:sz w:val="24"/>
                <w:szCs w:val="24"/>
                <w:lang w:val="de-DE"/>
              </w:rPr>
              <w:t>Y</w:t>
            </w:r>
            <w:r w:rsidRPr="002657D1">
              <w:rPr>
                <w:rFonts w:ascii="Times New Roman" w:hAnsi="Times New Roman" w:cs="Times New Roman"/>
                <w:color w:val="000000" w:themeColor="text1"/>
                <w:kern w:val="24"/>
                <w:sz w:val="24"/>
                <w:szCs w:val="24"/>
                <w:vertAlign w:val="subscript"/>
                <w:lang w:val="de-DE"/>
              </w:rPr>
              <w:t>0.16</w:t>
            </w:r>
            <w:r w:rsidRPr="002657D1">
              <w:rPr>
                <w:rFonts w:ascii="Times New Roman" w:hAnsi="Times New Roman" w:cs="Times New Roman"/>
                <w:color w:val="000000" w:themeColor="text1"/>
                <w:kern w:val="24"/>
                <w:sz w:val="24"/>
                <w:szCs w:val="24"/>
                <w:lang w:val="de-DE"/>
              </w:rPr>
              <w:t>Er</w:t>
            </w:r>
            <w:r w:rsidRPr="002657D1">
              <w:rPr>
                <w:rFonts w:ascii="Times New Roman" w:hAnsi="Times New Roman" w:cs="Times New Roman"/>
                <w:color w:val="000000" w:themeColor="text1"/>
                <w:kern w:val="24"/>
                <w:sz w:val="24"/>
                <w:szCs w:val="24"/>
                <w:vertAlign w:val="subscript"/>
                <w:lang w:val="de-DE"/>
              </w:rPr>
              <w:t>0.16</w:t>
            </w:r>
            <w:r w:rsidRPr="002657D1">
              <w:rPr>
                <w:rFonts w:ascii="Times New Roman" w:hAnsi="Times New Roman" w:cs="Times New Roman"/>
                <w:color w:val="000000" w:themeColor="text1"/>
                <w:kern w:val="24"/>
                <w:sz w:val="24"/>
                <w:szCs w:val="24"/>
                <w:lang w:val="de-DE"/>
              </w:rPr>
              <w:t>Yb</w:t>
            </w:r>
            <w:r w:rsidRPr="002657D1">
              <w:rPr>
                <w:rFonts w:ascii="Times New Roman" w:hAnsi="Times New Roman" w:cs="Times New Roman"/>
                <w:color w:val="000000" w:themeColor="text1"/>
                <w:kern w:val="24"/>
                <w:sz w:val="24"/>
                <w:szCs w:val="24"/>
                <w:vertAlign w:val="subscript"/>
                <w:lang w:val="de-DE"/>
              </w:rPr>
              <w:t>0.16</w:t>
            </w:r>
            <w:r w:rsidRPr="002657D1">
              <w:rPr>
                <w:rFonts w:ascii="Times New Roman" w:hAnsi="Times New Roman" w:cs="Times New Roman"/>
                <w:color w:val="000000" w:themeColor="text1"/>
                <w:kern w:val="24"/>
                <w:sz w:val="24"/>
                <w:szCs w:val="24"/>
                <w:lang w:val="de-DE"/>
              </w:rPr>
              <w:t>In</w:t>
            </w:r>
            <w:r w:rsidRPr="002657D1">
              <w:rPr>
                <w:rFonts w:ascii="Times New Roman" w:hAnsi="Times New Roman" w:cs="Times New Roman"/>
                <w:color w:val="000000" w:themeColor="text1"/>
                <w:kern w:val="24"/>
                <w:sz w:val="24"/>
                <w:szCs w:val="24"/>
                <w:vertAlign w:val="subscript"/>
                <w:lang w:val="de-DE"/>
              </w:rPr>
              <w:t>0.25</w:t>
            </w:r>
            <w:r w:rsidRPr="002657D1">
              <w:rPr>
                <w:rFonts w:ascii="Times New Roman" w:hAnsi="Times New Roman" w:cs="Times New Roman"/>
                <w:color w:val="000000" w:themeColor="text1"/>
                <w:kern w:val="24"/>
                <w:sz w:val="24"/>
                <w:szCs w:val="24"/>
                <w:lang w:val="de-DE"/>
              </w:rPr>
              <w:t>Zr</w:t>
            </w:r>
            <w:r w:rsidRPr="002657D1">
              <w:rPr>
                <w:rFonts w:ascii="Times New Roman" w:hAnsi="Times New Roman" w:cs="Times New Roman"/>
                <w:color w:val="000000" w:themeColor="text1"/>
                <w:kern w:val="24"/>
                <w:sz w:val="24"/>
                <w:szCs w:val="24"/>
                <w:vertAlign w:val="subscript"/>
                <w:lang w:val="de-DE"/>
              </w:rPr>
              <w:t>0.25</w:t>
            </w:r>
            <w:r w:rsidRPr="002657D1">
              <w:rPr>
                <w:rFonts w:ascii="Times New Roman" w:hAnsi="Times New Roman" w:cs="Times New Roman"/>
                <w:color w:val="000000" w:themeColor="text1"/>
                <w:kern w:val="24"/>
                <w:sz w:val="24"/>
                <w:szCs w:val="24"/>
                <w:lang w:val="de-DE"/>
              </w:rPr>
              <w:t>Cl</w:t>
            </w:r>
            <w:r w:rsidRPr="002657D1">
              <w:rPr>
                <w:rFonts w:ascii="Times New Roman" w:hAnsi="Times New Roman" w:cs="Times New Roman"/>
                <w:color w:val="000000" w:themeColor="text1"/>
                <w:kern w:val="24"/>
                <w:sz w:val="24"/>
                <w:szCs w:val="24"/>
                <w:vertAlign w:val="subscript"/>
                <w:lang w:val="de-DE"/>
              </w:rPr>
              <w:t>6</w:t>
            </w:r>
          </w:p>
        </w:tc>
        <w:tc>
          <w:tcPr>
            <w:tcW w:w="1755" w:type="dxa"/>
            <w:tcBorders>
              <w:top w:val="nil"/>
              <w:bottom w:val="nil"/>
            </w:tcBorders>
            <w:vAlign w:val="center"/>
          </w:tcPr>
          <w:p w14:paraId="4BEF93DF" w14:textId="62736A5A" w:rsidR="001E7649" w:rsidRPr="002657D1" w:rsidRDefault="001E7649" w:rsidP="001E7649">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1.171</w:t>
            </w:r>
          </w:p>
        </w:tc>
        <w:tc>
          <w:tcPr>
            <w:tcW w:w="1541" w:type="dxa"/>
            <w:tcBorders>
              <w:top w:val="nil"/>
              <w:bottom w:val="nil"/>
            </w:tcBorders>
            <w:vAlign w:val="center"/>
          </w:tcPr>
          <w:p w14:paraId="4108C241" w14:textId="11BB16B8" w:rsidR="001E7649" w:rsidRPr="002657D1" w:rsidRDefault="001E7649" w:rsidP="001E7649">
            <w:pPr>
              <w:widowControl/>
              <w:spacing w:line="360" w:lineRule="auto"/>
              <w:jc w:val="center"/>
              <w:rPr>
                <w:rFonts w:ascii="Times New Roman" w:hAnsi="Times New Roman" w:cs="Times New Roman"/>
                <w:color w:val="000000" w:themeColor="text1"/>
                <w:sz w:val="24"/>
                <w:szCs w:val="24"/>
                <w:lang w:val="de-DE"/>
              </w:rPr>
            </w:pPr>
            <w:r w:rsidRPr="002657D1">
              <w:rPr>
                <w:rFonts w:ascii="Times New Roman" w:hAnsi="Times New Roman" w:cs="Times New Roman"/>
                <w:color w:val="000000" w:themeColor="text1"/>
                <w:sz w:val="24"/>
                <w:szCs w:val="24"/>
              </w:rPr>
              <w:fldChar w:fldCharType="begin"/>
            </w:r>
            <w:r w:rsidR="0070459F" w:rsidRPr="002657D1">
              <w:rPr>
                <w:rFonts w:ascii="Times New Roman" w:hAnsi="Times New Roman" w:cs="Times New Roman"/>
                <w:color w:val="000000" w:themeColor="text1"/>
                <w:sz w:val="24"/>
                <w:szCs w:val="24"/>
              </w:rPr>
              <w:instrText xml:space="preserve"> ADDIN ZOTERO_ITEM CSL_CITATION {"citationID":"aqlad0naku","properties":{"formattedCitation":"\\super 44\\nosupersub{}","plainCitation":"44","noteIndex":0},"citationItems":[{"id":168,"uris":["http://zotero.org/users/local/J1vikkcu/items/LS9NFRQQ"],"itemData":{"id":168,"type":"article-journal","abstract":"Abstract\n            \n              Stable solid electrolytes are essential to high-safety and high-energy-density lithium batteries, especially for applications with high-voltage cathodes. In such conditions, solid electrolytes may experience severe oxidation, decomposition, and deactivation during charging at high voltages, leading to inadequate cycling performance and even cell failure. Here, we address the high-voltage limitation of halide solid electrolytes by introducing local lattice distortion to confine the distribution of Cl\n              −\n              , which effectively curbs kinetics of their oxidation. The confinement is realized by substituting In with multiple elements in Li\n              3\n              InCl\n              6\n              to give a high-entropy Li\n              2.75\n              Y\n              0.16\n              Er\n              0.16\n              Yb\n              0.16\n              In\n              0.25\n              Zr\n              0.25\n              Cl\n              6\n              . Meanwhile, the lattice distortion promotes longer Li-Cl bonds, facilitating favorable activation of Li\n              +\n              . Our results show that this high-entropy halide electrolyte boosts the cycle stability of all-solid-state battery by 250% improvement over 500 cycles. In particular, the cell provides a higher discharge capacity of 185 mAh g\n              −1\n              by increasing the charge cut-off voltage to 4.6 V at a small current rate of 0.2 C, which is more challenging to electrolytes|cathode stability. These findings deepen our understanding of high-entropy materials, advancing their use in energy-related applications.","container-title":"Nature Communications","DOI":"10.1038/s41467-024-45864-1","ISSN":"2041-1723","issue":"1","journalAbbreviation":"Nat Commun","language":"en","page":"1481","source":"DOI.org (Crossref)","title":"Promoting high-voltage stability through local lattice distortion of halide solid electrolytes","volume":"15","author":[{"family":"Song","given":"Zhenyou"},{"family":"Wang","given":"Tengrui"},{"family":"Yang","given":"Hua"},{"family":"Kan","given":"Wang Hay"},{"family":"Chen","given":"Yuwei"},{"family":"Yu","given":"Qian"},{"family":"Wang","given":"Likuo"},{"family":"Zhang","given":"Yini"},{"family":"Dai","given":"Yiming"},{"family":"Chen","given":"Huaican"},{"family":"Yin","given":"Wen"},{"family":"Honda","given":"Takashi"},{"family":"Avdeev","given":"Maxim"},{"family":"Xu","given":"Henghui"},{"family":"Ma","given":"Jiwei"},{"family":"Huang","given":"Yunhui"},{"family":"Luo","given":"Wei"}],"issued":{"date-parts":[["2024",2,17]]}}}],"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44</w:t>
            </w:r>
            <w:r w:rsidRPr="002657D1">
              <w:rPr>
                <w:rFonts w:ascii="Times New Roman" w:hAnsi="Times New Roman" w:cs="Times New Roman"/>
                <w:color w:val="000000" w:themeColor="text1"/>
                <w:sz w:val="24"/>
                <w:szCs w:val="24"/>
              </w:rPr>
              <w:fldChar w:fldCharType="end"/>
            </w:r>
          </w:p>
        </w:tc>
      </w:tr>
      <w:tr w:rsidR="002657D1" w:rsidRPr="002657D1" w14:paraId="52CB5EB7" w14:textId="77777777" w:rsidTr="002A5163">
        <w:trPr>
          <w:jc w:val="center"/>
        </w:trPr>
        <w:tc>
          <w:tcPr>
            <w:tcW w:w="1430" w:type="dxa"/>
            <w:vMerge/>
            <w:tcBorders>
              <w:top w:val="nil"/>
              <w:bottom w:val="nil"/>
            </w:tcBorders>
            <w:vAlign w:val="center"/>
          </w:tcPr>
          <w:p w14:paraId="12671A59" w14:textId="77777777" w:rsidR="001E7649" w:rsidRPr="002657D1" w:rsidRDefault="001E7649" w:rsidP="001E7649">
            <w:pPr>
              <w:widowControl/>
              <w:spacing w:line="360" w:lineRule="auto"/>
              <w:jc w:val="center"/>
              <w:rPr>
                <w:rFonts w:ascii="Times New Roman" w:hAnsi="Times New Roman" w:cs="Times New Roman"/>
                <w:color w:val="000000" w:themeColor="text1"/>
                <w:kern w:val="24"/>
                <w:sz w:val="24"/>
                <w:szCs w:val="24"/>
                <w:lang w:val="de-DE"/>
              </w:rPr>
            </w:pPr>
          </w:p>
        </w:tc>
        <w:tc>
          <w:tcPr>
            <w:tcW w:w="4101" w:type="dxa"/>
            <w:tcBorders>
              <w:top w:val="nil"/>
              <w:bottom w:val="nil"/>
            </w:tcBorders>
            <w:vAlign w:val="center"/>
          </w:tcPr>
          <w:p w14:paraId="186A937D" w14:textId="00C3EE45" w:rsidR="001E7649" w:rsidRPr="002657D1" w:rsidRDefault="001E7649" w:rsidP="001E7649">
            <w:pPr>
              <w:widowControl/>
              <w:spacing w:line="360" w:lineRule="auto"/>
              <w:jc w:val="center"/>
              <w:rPr>
                <w:rFonts w:ascii="Times New Roman" w:hAnsi="Times New Roman" w:cs="Times New Roman"/>
                <w:color w:val="000000" w:themeColor="text1"/>
                <w:kern w:val="24"/>
                <w:sz w:val="24"/>
                <w:szCs w:val="24"/>
                <w:lang w:val="de-DE"/>
              </w:rPr>
            </w:pPr>
            <w:r w:rsidRPr="002657D1">
              <w:rPr>
                <w:rFonts w:ascii="Times New Roman" w:hAnsi="Times New Roman" w:cs="Times New Roman"/>
                <w:color w:val="000000" w:themeColor="text1"/>
                <w:kern w:val="24"/>
                <w:sz w:val="24"/>
                <w:szCs w:val="24"/>
                <w:lang w:val="de-DE"/>
              </w:rPr>
              <w:t>Li</w:t>
            </w:r>
            <w:r w:rsidRPr="002657D1">
              <w:rPr>
                <w:rFonts w:ascii="Times New Roman" w:hAnsi="Times New Roman" w:cs="Times New Roman"/>
                <w:color w:val="000000" w:themeColor="text1"/>
                <w:kern w:val="24"/>
                <w:sz w:val="24"/>
                <w:szCs w:val="24"/>
                <w:vertAlign w:val="subscript"/>
                <w:lang w:val="de-DE"/>
              </w:rPr>
              <w:t>2.833</w:t>
            </w:r>
            <w:r w:rsidRPr="002657D1">
              <w:rPr>
                <w:rFonts w:ascii="Times New Roman" w:hAnsi="Times New Roman" w:cs="Times New Roman"/>
                <w:color w:val="000000" w:themeColor="text1"/>
                <w:kern w:val="24"/>
                <w:sz w:val="24"/>
                <w:szCs w:val="24"/>
                <w:lang w:val="de-DE"/>
              </w:rPr>
              <w:t>In</w:t>
            </w:r>
            <w:r w:rsidRPr="002657D1">
              <w:rPr>
                <w:rFonts w:ascii="Times New Roman" w:hAnsi="Times New Roman" w:cs="Times New Roman"/>
                <w:color w:val="000000" w:themeColor="text1"/>
                <w:kern w:val="24"/>
                <w:sz w:val="24"/>
                <w:szCs w:val="24"/>
                <w:vertAlign w:val="subscript"/>
                <w:lang w:val="de-DE"/>
              </w:rPr>
              <w:t>0.167</w:t>
            </w:r>
            <w:r w:rsidRPr="002657D1">
              <w:rPr>
                <w:rFonts w:ascii="Times New Roman" w:hAnsi="Times New Roman" w:cs="Times New Roman"/>
                <w:color w:val="000000" w:themeColor="text1"/>
                <w:kern w:val="24"/>
                <w:sz w:val="24"/>
                <w:szCs w:val="24"/>
                <w:lang w:val="de-DE"/>
              </w:rPr>
              <w:t>Yb</w:t>
            </w:r>
            <w:r w:rsidRPr="002657D1">
              <w:rPr>
                <w:rFonts w:ascii="Times New Roman" w:hAnsi="Times New Roman" w:cs="Times New Roman"/>
                <w:color w:val="000000" w:themeColor="text1"/>
                <w:kern w:val="24"/>
                <w:sz w:val="24"/>
                <w:szCs w:val="24"/>
                <w:vertAlign w:val="subscript"/>
                <w:lang w:val="de-DE"/>
              </w:rPr>
              <w:t>0.167</w:t>
            </w:r>
            <w:r w:rsidRPr="002657D1">
              <w:rPr>
                <w:rFonts w:ascii="Times New Roman" w:hAnsi="Times New Roman" w:cs="Times New Roman"/>
                <w:color w:val="000000" w:themeColor="text1"/>
                <w:kern w:val="24"/>
                <w:sz w:val="24"/>
                <w:szCs w:val="24"/>
                <w:lang w:val="de-DE"/>
              </w:rPr>
              <w:t>Sc</w:t>
            </w:r>
            <w:r w:rsidRPr="002657D1">
              <w:rPr>
                <w:rFonts w:ascii="Times New Roman" w:hAnsi="Times New Roman" w:cs="Times New Roman"/>
                <w:color w:val="000000" w:themeColor="text1"/>
                <w:kern w:val="24"/>
                <w:sz w:val="24"/>
                <w:szCs w:val="24"/>
                <w:vertAlign w:val="subscript"/>
                <w:lang w:val="de-DE"/>
              </w:rPr>
              <w:t>0.167</w:t>
            </w:r>
            <w:r w:rsidRPr="002657D1">
              <w:rPr>
                <w:rFonts w:ascii="Times New Roman" w:hAnsi="Times New Roman" w:cs="Times New Roman"/>
                <w:color w:val="000000" w:themeColor="text1"/>
                <w:kern w:val="24"/>
                <w:sz w:val="24"/>
                <w:szCs w:val="24"/>
                <w:lang w:val="de-DE"/>
              </w:rPr>
              <w:t>Y</w:t>
            </w:r>
            <w:r w:rsidRPr="002657D1">
              <w:rPr>
                <w:rFonts w:ascii="Times New Roman" w:hAnsi="Times New Roman" w:cs="Times New Roman"/>
                <w:color w:val="000000" w:themeColor="text1"/>
                <w:kern w:val="24"/>
                <w:sz w:val="24"/>
                <w:szCs w:val="24"/>
                <w:vertAlign w:val="subscript"/>
                <w:lang w:val="de-DE"/>
              </w:rPr>
              <w:t>0.167</w:t>
            </w:r>
            <w:r w:rsidRPr="002657D1">
              <w:rPr>
                <w:rFonts w:ascii="Times New Roman" w:hAnsi="Times New Roman" w:cs="Times New Roman"/>
                <w:color w:val="000000" w:themeColor="text1"/>
                <w:kern w:val="24"/>
                <w:sz w:val="24"/>
                <w:szCs w:val="24"/>
                <w:lang w:val="de-DE"/>
              </w:rPr>
              <w:t>Lu</w:t>
            </w:r>
            <w:r w:rsidRPr="002657D1">
              <w:rPr>
                <w:rFonts w:ascii="Times New Roman" w:hAnsi="Times New Roman" w:cs="Times New Roman"/>
                <w:color w:val="000000" w:themeColor="text1"/>
                <w:kern w:val="24"/>
                <w:sz w:val="24"/>
                <w:szCs w:val="24"/>
                <w:vertAlign w:val="subscript"/>
                <w:lang w:val="de-DE"/>
              </w:rPr>
              <w:t>0.167</w:t>
            </w:r>
            <w:r w:rsidRPr="002657D1">
              <w:rPr>
                <w:rFonts w:ascii="Times New Roman" w:hAnsi="Times New Roman" w:cs="Times New Roman"/>
                <w:color w:val="000000" w:themeColor="text1"/>
                <w:kern w:val="24"/>
                <w:sz w:val="24"/>
                <w:szCs w:val="24"/>
                <w:lang w:val="de-DE"/>
              </w:rPr>
              <w:t>Zr</w:t>
            </w:r>
            <w:r w:rsidRPr="002657D1">
              <w:rPr>
                <w:rFonts w:ascii="Times New Roman" w:hAnsi="Times New Roman" w:cs="Times New Roman"/>
                <w:color w:val="000000" w:themeColor="text1"/>
                <w:kern w:val="24"/>
                <w:sz w:val="24"/>
                <w:szCs w:val="24"/>
                <w:vertAlign w:val="subscript"/>
                <w:lang w:val="de-DE"/>
              </w:rPr>
              <w:t>0.167</w:t>
            </w:r>
            <w:r w:rsidRPr="002657D1">
              <w:rPr>
                <w:rFonts w:ascii="Times New Roman" w:hAnsi="Times New Roman" w:cs="Times New Roman"/>
                <w:color w:val="000000" w:themeColor="text1"/>
                <w:kern w:val="24"/>
                <w:sz w:val="24"/>
                <w:szCs w:val="24"/>
                <w:lang w:val="de-DE"/>
              </w:rPr>
              <w:t>Cl</w:t>
            </w:r>
            <w:r w:rsidRPr="002657D1">
              <w:rPr>
                <w:rFonts w:ascii="Times New Roman" w:hAnsi="Times New Roman" w:cs="Times New Roman"/>
                <w:color w:val="000000" w:themeColor="text1"/>
                <w:kern w:val="24"/>
                <w:sz w:val="24"/>
                <w:szCs w:val="24"/>
                <w:vertAlign w:val="subscript"/>
                <w:lang w:val="de-DE"/>
              </w:rPr>
              <w:t>6</w:t>
            </w:r>
          </w:p>
        </w:tc>
        <w:tc>
          <w:tcPr>
            <w:tcW w:w="1755" w:type="dxa"/>
            <w:tcBorders>
              <w:top w:val="nil"/>
              <w:bottom w:val="nil"/>
            </w:tcBorders>
            <w:vAlign w:val="center"/>
          </w:tcPr>
          <w:p w14:paraId="4BA8DD01" w14:textId="77986BEF" w:rsidR="001E7649" w:rsidRPr="002657D1" w:rsidRDefault="001E7649" w:rsidP="001E7649">
            <w:pPr>
              <w:widowControl/>
              <w:spacing w:line="360" w:lineRule="auto"/>
              <w:jc w:val="center"/>
              <w:rPr>
                <w:rFonts w:ascii="Times New Roman" w:hAnsi="Times New Roman" w:cs="Times New Roman"/>
                <w:color w:val="000000" w:themeColor="text1"/>
                <w:kern w:val="24"/>
                <w:sz w:val="24"/>
                <w:szCs w:val="24"/>
                <w:lang w:val="de-DE"/>
              </w:rPr>
            </w:pPr>
            <w:r w:rsidRPr="002657D1">
              <w:rPr>
                <w:rFonts w:ascii="Times New Roman" w:hAnsi="Times New Roman" w:cs="Times New Roman"/>
                <w:color w:val="000000" w:themeColor="text1"/>
                <w:kern w:val="24"/>
                <w:sz w:val="24"/>
                <w:szCs w:val="24"/>
                <w:lang w:val="de-DE"/>
              </w:rPr>
              <w:t>2.2</w:t>
            </w:r>
          </w:p>
        </w:tc>
        <w:tc>
          <w:tcPr>
            <w:tcW w:w="1541" w:type="dxa"/>
            <w:tcBorders>
              <w:top w:val="nil"/>
              <w:bottom w:val="nil"/>
            </w:tcBorders>
            <w:vAlign w:val="center"/>
          </w:tcPr>
          <w:p w14:paraId="28334ADA" w14:textId="352DF5EE" w:rsidR="001E7649" w:rsidRPr="002657D1" w:rsidRDefault="001E7649" w:rsidP="001E7649">
            <w:pPr>
              <w:widowControl/>
              <w:spacing w:line="360" w:lineRule="auto"/>
              <w:jc w:val="center"/>
              <w:rPr>
                <w:rFonts w:ascii="Times New Roman" w:hAnsi="Times New Roman" w:cs="Times New Roman"/>
                <w:color w:val="000000" w:themeColor="text1"/>
                <w:sz w:val="24"/>
                <w:szCs w:val="24"/>
                <w:lang w:val="de-DE"/>
              </w:rPr>
            </w:pPr>
            <w:r w:rsidRPr="002657D1">
              <w:rPr>
                <w:rFonts w:ascii="Times New Roman" w:hAnsi="Times New Roman" w:cs="Times New Roman"/>
                <w:color w:val="000000" w:themeColor="text1"/>
                <w:sz w:val="24"/>
                <w:szCs w:val="24"/>
                <w:lang w:val="de-DE"/>
              </w:rPr>
              <w:fldChar w:fldCharType="begin"/>
            </w:r>
            <w:r w:rsidR="0070459F" w:rsidRPr="002657D1">
              <w:rPr>
                <w:rFonts w:ascii="Times New Roman" w:hAnsi="Times New Roman" w:cs="Times New Roman"/>
                <w:color w:val="000000" w:themeColor="text1"/>
                <w:sz w:val="24"/>
                <w:szCs w:val="24"/>
                <w:lang w:val="de-DE"/>
              </w:rPr>
              <w:instrText xml:space="preserve"> ADDIN ZOTERO_ITEM CSL_CITATION {"citationID":"a23on9h9ls8","properties":{"formattedCitation":"\\super 45\\nosupersub{}","plainCitation":"45","noteIndex":0},"citationItems":[{"id":755,"uris":["http://zotero.org/users/local/J1vikkcu/items/4AH4RKDB"],"itemData":{"id":755,"type":"article-journal","abstract":"Abstract\n            \n              All-solid-state lithium batteries have attracted widespread attention for next-generation energy storage, potentially providing enhanced safety and cycling stability. The performance of such batteries relies on solid electrolyte materials; hence many structures/phases are being investigated with increasing compositional complexity. Among the various solid electrolytes, lithium halides show promising ionic conductivity and cathode compatibility, however, there are no effective guidelines when moving toward complex compositions that go beyond\n              ab\n              -initio modeling. Here, we show that ionic potential, the ratio of charge number and ion radius, can effectively capture the key interactions within halide materials, making it possible to guide the design of the representative crystal structures. This is demonstrated by the preparation of a family of complex layered halides that combine an enhanced conductivity with a favorable isometric morphology, induced by the high configurational entropy. This work provides insights into the characteristics of complex halide phases and presents a methodology for designing solid materials.","container-title":"Nature Communications","DOI":"10.1038/s41467-024-45258-3","ISSN":"2041-1723","issue":"1","journalAbbreviation":"Nat Commun","language":"en","page":"1050","source":"DOI.org (Crossref)","title":"Designing lithium halide solid electrolytes","volume":"15","author":[{"family":"Wang","given":"Qidi"},{"family":"Zhou","given":"Yunan"},{"family":"Wang","given":"Xuelong"},{"family":"Guo","given":"Hao"},{"family":"Gong","given":"Shuiping"},{"family":"Yao","given":"Zhenpeng"},{"family":"Wu","given":"Fangting"},{"family":"Wang","given":"Jianlin"},{"family":"Ganapathy","given":"Swapna"},{"family":"Bai","given":"Xuedong"},{"family":"Li","given":"Baohua"},{"family":"Zhao","given":"Chenglong"},{"family":"Janek","given":"Jürgen"},{"family":"Wagemaker","given":"Marnix"}],"issued":{"date-parts":[["2024",2,5]]}}}],"schema":"https://github.com/citation-style-language/schema/raw/master/csl-citation.json"} </w:instrText>
            </w:r>
            <w:r w:rsidRPr="002657D1">
              <w:rPr>
                <w:rFonts w:ascii="Times New Roman" w:hAnsi="Times New Roman" w:cs="Times New Roman"/>
                <w:color w:val="000000" w:themeColor="text1"/>
                <w:sz w:val="24"/>
                <w:szCs w:val="24"/>
                <w:lang w:val="de-DE"/>
              </w:rPr>
              <w:fldChar w:fldCharType="separate"/>
            </w:r>
            <w:r w:rsidR="0070459F" w:rsidRPr="002657D1">
              <w:rPr>
                <w:rFonts w:ascii="Times New Roman" w:hAnsi="Times New Roman" w:cs="Times New Roman"/>
                <w:color w:val="000000" w:themeColor="text1"/>
                <w:kern w:val="0"/>
                <w:sz w:val="24"/>
                <w:szCs w:val="24"/>
                <w:vertAlign w:val="superscript"/>
              </w:rPr>
              <w:t>45</w:t>
            </w:r>
            <w:r w:rsidRPr="002657D1">
              <w:rPr>
                <w:rFonts w:ascii="Times New Roman" w:hAnsi="Times New Roman" w:cs="Times New Roman"/>
                <w:color w:val="000000" w:themeColor="text1"/>
                <w:sz w:val="24"/>
                <w:szCs w:val="24"/>
                <w:lang w:val="de-DE"/>
              </w:rPr>
              <w:fldChar w:fldCharType="end"/>
            </w:r>
          </w:p>
        </w:tc>
      </w:tr>
      <w:tr w:rsidR="002657D1" w:rsidRPr="002657D1" w14:paraId="501BF1B9" w14:textId="77777777" w:rsidTr="002A5163">
        <w:trPr>
          <w:jc w:val="center"/>
        </w:trPr>
        <w:tc>
          <w:tcPr>
            <w:tcW w:w="1430" w:type="dxa"/>
            <w:vMerge/>
            <w:tcBorders>
              <w:top w:val="nil"/>
              <w:bottom w:val="nil"/>
            </w:tcBorders>
            <w:vAlign w:val="center"/>
          </w:tcPr>
          <w:p w14:paraId="5EFD844C" w14:textId="77777777" w:rsidR="001E7649" w:rsidRPr="002657D1" w:rsidRDefault="001E7649" w:rsidP="001E7649">
            <w:pPr>
              <w:widowControl/>
              <w:spacing w:line="360" w:lineRule="auto"/>
              <w:jc w:val="center"/>
              <w:rPr>
                <w:rFonts w:ascii="Times New Roman" w:hAnsi="Times New Roman" w:cs="Times New Roman"/>
                <w:color w:val="000000" w:themeColor="text1"/>
                <w:kern w:val="24"/>
                <w:sz w:val="24"/>
                <w:szCs w:val="24"/>
                <w:lang w:val="de-DE"/>
              </w:rPr>
            </w:pPr>
          </w:p>
        </w:tc>
        <w:tc>
          <w:tcPr>
            <w:tcW w:w="4101" w:type="dxa"/>
            <w:tcBorders>
              <w:top w:val="nil"/>
              <w:bottom w:val="nil"/>
            </w:tcBorders>
            <w:vAlign w:val="center"/>
          </w:tcPr>
          <w:p w14:paraId="3EC92E14" w14:textId="2D71A9BC" w:rsidR="001E7649" w:rsidRPr="002657D1" w:rsidRDefault="001E7649" w:rsidP="001E7649">
            <w:pPr>
              <w:widowControl/>
              <w:spacing w:line="360" w:lineRule="auto"/>
              <w:jc w:val="center"/>
              <w:rPr>
                <w:rFonts w:ascii="Times New Roman" w:hAnsi="Times New Roman" w:cs="Times New Roman"/>
                <w:color w:val="000000" w:themeColor="text1"/>
                <w:kern w:val="24"/>
                <w:sz w:val="24"/>
                <w:szCs w:val="24"/>
                <w:lang w:val="de-DE"/>
              </w:rPr>
            </w:pPr>
            <w:r w:rsidRPr="002657D1">
              <w:rPr>
                <w:rFonts w:ascii="Times New Roman" w:hAnsi="Times New Roman" w:cs="Times New Roman"/>
                <w:color w:val="000000" w:themeColor="text1"/>
                <w:kern w:val="24"/>
                <w:sz w:val="24"/>
                <w:szCs w:val="24"/>
                <w:lang w:val="de-DE"/>
              </w:rPr>
              <w:t>Li</w:t>
            </w:r>
            <w:r w:rsidRPr="002657D1">
              <w:rPr>
                <w:rFonts w:ascii="Times New Roman" w:hAnsi="Times New Roman" w:cs="Times New Roman"/>
                <w:color w:val="000000" w:themeColor="text1"/>
                <w:kern w:val="24"/>
                <w:sz w:val="24"/>
                <w:szCs w:val="24"/>
                <w:vertAlign w:val="subscript"/>
                <w:lang w:val="de-DE"/>
              </w:rPr>
              <w:t>2.2</w:t>
            </w:r>
            <w:r w:rsidRPr="002657D1">
              <w:rPr>
                <w:rFonts w:ascii="Times New Roman" w:hAnsi="Times New Roman" w:cs="Times New Roman"/>
                <w:color w:val="000000" w:themeColor="text1"/>
                <w:kern w:val="24"/>
                <w:sz w:val="24"/>
                <w:szCs w:val="24"/>
                <w:lang w:val="de-DE"/>
              </w:rPr>
              <w:t>In</w:t>
            </w:r>
            <w:r w:rsidRPr="002657D1">
              <w:rPr>
                <w:rFonts w:ascii="Times New Roman" w:hAnsi="Times New Roman" w:cs="Times New Roman"/>
                <w:color w:val="000000" w:themeColor="text1"/>
                <w:kern w:val="24"/>
                <w:sz w:val="24"/>
                <w:szCs w:val="24"/>
                <w:vertAlign w:val="subscript"/>
                <w:lang w:val="de-DE"/>
              </w:rPr>
              <w:t>0.2</w:t>
            </w:r>
            <w:r w:rsidRPr="002657D1">
              <w:rPr>
                <w:rFonts w:ascii="Times New Roman" w:hAnsi="Times New Roman" w:cs="Times New Roman"/>
                <w:color w:val="000000" w:themeColor="text1"/>
                <w:kern w:val="24"/>
                <w:sz w:val="24"/>
                <w:szCs w:val="24"/>
                <w:lang w:val="de-DE"/>
              </w:rPr>
              <w:t>Sc</w:t>
            </w:r>
            <w:r w:rsidRPr="002657D1">
              <w:rPr>
                <w:rFonts w:ascii="Times New Roman" w:hAnsi="Times New Roman" w:cs="Times New Roman"/>
                <w:color w:val="000000" w:themeColor="text1"/>
                <w:kern w:val="24"/>
                <w:sz w:val="24"/>
                <w:szCs w:val="24"/>
                <w:vertAlign w:val="subscript"/>
                <w:lang w:val="de-DE"/>
              </w:rPr>
              <w:t>0.2</w:t>
            </w:r>
            <w:r w:rsidRPr="002657D1">
              <w:rPr>
                <w:rFonts w:ascii="Times New Roman" w:hAnsi="Times New Roman" w:cs="Times New Roman"/>
                <w:color w:val="000000" w:themeColor="text1"/>
                <w:kern w:val="24"/>
                <w:sz w:val="24"/>
                <w:szCs w:val="24"/>
                <w:lang w:val="de-DE"/>
              </w:rPr>
              <w:t>Zr</w:t>
            </w:r>
            <w:r w:rsidRPr="002657D1">
              <w:rPr>
                <w:rFonts w:ascii="Times New Roman" w:hAnsi="Times New Roman" w:cs="Times New Roman"/>
                <w:color w:val="000000" w:themeColor="text1"/>
                <w:kern w:val="24"/>
                <w:sz w:val="24"/>
                <w:szCs w:val="24"/>
                <w:vertAlign w:val="subscript"/>
                <w:lang w:val="de-DE"/>
              </w:rPr>
              <w:t>0.2</w:t>
            </w:r>
            <w:r w:rsidRPr="002657D1">
              <w:rPr>
                <w:rFonts w:ascii="Times New Roman" w:hAnsi="Times New Roman" w:cs="Times New Roman"/>
                <w:color w:val="000000" w:themeColor="text1"/>
                <w:kern w:val="24"/>
                <w:sz w:val="24"/>
                <w:szCs w:val="24"/>
                <w:lang w:val="de-DE"/>
              </w:rPr>
              <w:t>Hf</w:t>
            </w:r>
            <w:r w:rsidRPr="002657D1">
              <w:rPr>
                <w:rFonts w:ascii="Times New Roman" w:hAnsi="Times New Roman" w:cs="Times New Roman"/>
                <w:color w:val="000000" w:themeColor="text1"/>
                <w:kern w:val="24"/>
                <w:sz w:val="24"/>
                <w:szCs w:val="24"/>
                <w:vertAlign w:val="subscript"/>
                <w:lang w:val="de-DE"/>
              </w:rPr>
              <w:t>0.2</w:t>
            </w:r>
            <w:r w:rsidRPr="002657D1">
              <w:rPr>
                <w:rFonts w:ascii="Times New Roman" w:hAnsi="Times New Roman" w:cs="Times New Roman"/>
                <w:color w:val="000000" w:themeColor="text1"/>
                <w:kern w:val="24"/>
                <w:sz w:val="24"/>
                <w:szCs w:val="24"/>
                <w:lang w:val="de-DE"/>
              </w:rPr>
              <w:t>Ta</w:t>
            </w:r>
            <w:r w:rsidRPr="002657D1">
              <w:rPr>
                <w:rFonts w:ascii="Times New Roman" w:hAnsi="Times New Roman" w:cs="Times New Roman"/>
                <w:color w:val="000000" w:themeColor="text1"/>
                <w:kern w:val="24"/>
                <w:sz w:val="24"/>
                <w:szCs w:val="24"/>
                <w:vertAlign w:val="subscript"/>
                <w:lang w:val="de-DE"/>
              </w:rPr>
              <w:t>0.2</w:t>
            </w:r>
            <w:r w:rsidRPr="002657D1">
              <w:rPr>
                <w:rFonts w:ascii="Times New Roman" w:hAnsi="Times New Roman" w:cs="Times New Roman"/>
                <w:color w:val="000000" w:themeColor="text1"/>
                <w:kern w:val="24"/>
                <w:sz w:val="24"/>
                <w:szCs w:val="24"/>
                <w:lang w:val="de-DE"/>
              </w:rPr>
              <w:t>Cl</w:t>
            </w:r>
            <w:r w:rsidRPr="002657D1">
              <w:rPr>
                <w:rFonts w:ascii="Times New Roman" w:hAnsi="Times New Roman" w:cs="Times New Roman"/>
                <w:color w:val="000000" w:themeColor="text1"/>
                <w:kern w:val="24"/>
                <w:sz w:val="24"/>
                <w:szCs w:val="24"/>
                <w:vertAlign w:val="subscript"/>
                <w:lang w:val="de-DE"/>
              </w:rPr>
              <w:t>6</w:t>
            </w:r>
          </w:p>
        </w:tc>
        <w:tc>
          <w:tcPr>
            <w:tcW w:w="1755" w:type="dxa"/>
            <w:tcBorders>
              <w:top w:val="nil"/>
              <w:bottom w:val="nil"/>
            </w:tcBorders>
            <w:vAlign w:val="center"/>
          </w:tcPr>
          <w:p w14:paraId="46F98045" w14:textId="7C8964B0" w:rsidR="001E7649" w:rsidRPr="002657D1" w:rsidRDefault="001E7649" w:rsidP="001E7649">
            <w:pPr>
              <w:widowControl/>
              <w:spacing w:line="360" w:lineRule="auto"/>
              <w:jc w:val="center"/>
              <w:rPr>
                <w:rFonts w:ascii="Times New Roman" w:hAnsi="Times New Roman" w:cs="Times New Roman"/>
                <w:color w:val="000000" w:themeColor="text1"/>
                <w:kern w:val="24"/>
                <w:sz w:val="24"/>
                <w:szCs w:val="24"/>
                <w:lang w:val="de-DE"/>
              </w:rPr>
            </w:pPr>
            <w:r w:rsidRPr="002657D1">
              <w:rPr>
                <w:rFonts w:ascii="Times New Roman" w:hAnsi="Times New Roman" w:cs="Times New Roman"/>
                <w:color w:val="000000" w:themeColor="text1"/>
                <w:kern w:val="24"/>
                <w:sz w:val="24"/>
                <w:szCs w:val="24"/>
                <w:lang w:val="de-DE"/>
              </w:rPr>
              <w:t>4.69</w:t>
            </w:r>
          </w:p>
        </w:tc>
        <w:tc>
          <w:tcPr>
            <w:tcW w:w="1541" w:type="dxa"/>
            <w:tcBorders>
              <w:top w:val="nil"/>
              <w:bottom w:val="nil"/>
            </w:tcBorders>
            <w:vAlign w:val="center"/>
          </w:tcPr>
          <w:p w14:paraId="6CBAAA16" w14:textId="178CCA91" w:rsidR="001E7649" w:rsidRPr="002657D1" w:rsidRDefault="00836447" w:rsidP="001E7649">
            <w:pPr>
              <w:widowControl/>
              <w:spacing w:line="360" w:lineRule="auto"/>
              <w:jc w:val="center"/>
              <w:rPr>
                <w:rFonts w:ascii="Times New Roman" w:hAnsi="Times New Roman" w:cs="Times New Roman"/>
                <w:color w:val="000000" w:themeColor="text1"/>
                <w:sz w:val="24"/>
                <w:szCs w:val="24"/>
                <w:lang w:val="de-DE"/>
              </w:rPr>
            </w:pPr>
            <w:r w:rsidRPr="002657D1">
              <w:rPr>
                <w:rFonts w:ascii="Times New Roman" w:hAnsi="Times New Roman" w:cs="Times New Roman"/>
                <w:color w:val="000000" w:themeColor="text1"/>
                <w:sz w:val="24"/>
                <w:szCs w:val="24"/>
                <w:lang w:val="de-DE"/>
              </w:rPr>
              <w:fldChar w:fldCharType="begin"/>
            </w:r>
            <w:r w:rsidR="0070459F" w:rsidRPr="002657D1">
              <w:rPr>
                <w:rFonts w:ascii="Times New Roman" w:hAnsi="Times New Roman" w:cs="Times New Roman"/>
                <w:color w:val="000000" w:themeColor="text1"/>
                <w:sz w:val="24"/>
                <w:szCs w:val="24"/>
                <w:lang w:val="de-DE"/>
              </w:rPr>
              <w:instrText xml:space="preserve"> ADDIN ZOTERO_ITEM CSL_CITATION {"citationID":"a1nq3j1dkc","properties":{"formattedCitation":"\\super 46\\nosupersub{}","plainCitation":"46","noteIndex":0},"citationItems":[{"id":1988,"uris":["http://zotero.org/users/local/J1vikkcu/items/DAMHCQGC"],"itemData":{"id":1988,"type":"article-journal","abstract":"Stable solid electrolytes are essential for advancing the safety and energy density of lithium batteries, especially in high-voltage applications. In this study, we designed an innovative high-entropy chloride solid electrolyte (HE-5, Li2.2In0.2Sc0.2Zr0.2Hf0.2Ta0.2Cl6), using multielement doping to optimize both ionic conductivity and high-voltage stability. The high-entropy disordered lattice structure facilitates lithium-ion mobility, achieving an ionic conductivity of 4.69 mS cm−1 at 30 °C and an activation energy of 0.300 eV. Integration of HE-5 into allsolid-state batteries (ASSBs) with NCM83 cathodes and a Li−In anode enables outstanding electrochemical performance, sustaining 70% capacity retention over 1600 cycles at a 4 C rate. Moreover, the high configurational entropy stabilizes the electrolyte’s structure at elevated voltages, enabling stable operation at 5.0 V without significant degradation. Our work presents the dual advantages of high-entropy engineering in boosting high ionic conductivity and voltage stability, providing a broad roadmap for nextgeneration energy-dense ASSBs.","container-title":"Nano Letters","DOI":"10.1021/acs.nanolett.4c05460","ISSN":"1530-6984, 1530-6992","issue":"10","journalAbbreviation":"Nano Lett.","language":"en","license":"https://doi.org/10.15223/policy-029","page":"3747-3755","source":"DOI.org (Crossref)","title":"Advanced High-Entropy Halide Solid Electrolytes Enabling High-Voltage, Long-Cycling All-Solid-State Batteries","volume":"25","author":[{"family":"Ye","given":"Yu"},{"family":"Gu","given":"Zhi"},{"family":"Geng","given":"Jiazhong"},{"family":"Niu","given":"Kangdi"},{"family":"Yu","given":"Pengcheng"},{"family":"Zhou","given":"Yu"},{"family":"Lin","given":"Junhao"},{"family":"Woo","given":"Haw Jiunn"},{"family":"Zhu","given":"Yizhou"},{"family":"Wan","given":"Jiayu"}],"issued":{"date-parts":[["2025",3,12]]}}}],"schema":"https://github.com/citation-style-language/schema/raw/master/csl-citation.json"} </w:instrText>
            </w:r>
            <w:r w:rsidRPr="002657D1">
              <w:rPr>
                <w:rFonts w:ascii="Times New Roman" w:hAnsi="Times New Roman" w:cs="Times New Roman"/>
                <w:color w:val="000000" w:themeColor="text1"/>
                <w:sz w:val="24"/>
                <w:szCs w:val="24"/>
                <w:lang w:val="de-DE"/>
              </w:rPr>
              <w:fldChar w:fldCharType="separate"/>
            </w:r>
            <w:r w:rsidR="0070459F" w:rsidRPr="002657D1">
              <w:rPr>
                <w:rFonts w:ascii="Times New Roman" w:hAnsi="Times New Roman" w:cs="Times New Roman"/>
                <w:color w:val="000000" w:themeColor="text1"/>
                <w:kern w:val="0"/>
                <w:sz w:val="24"/>
                <w:szCs w:val="24"/>
                <w:vertAlign w:val="superscript"/>
              </w:rPr>
              <w:t>46</w:t>
            </w:r>
            <w:r w:rsidRPr="002657D1">
              <w:rPr>
                <w:rFonts w:ascii="Times New Roman" w:hAnsi="Times New Roman" w:cs="Times New Roman"/>
                <w:color w:val="000000" w:themeColor="text1"/>
                <w:sz w:val="24"/>
                <w:szCs w:val="24"/>
                <w:lang w:val="de-DE"/>
              </w:rPr>
              <w:fldChar w:fldCharType="end"/>
            </w:r>
          </w:p>
        </w:tc>
      </w:tr>
      <w:tr w:rsidR="002657D1" w:rsidRPr="002657D1" w14:paraId="7B0C42DA" w14:textId="77777777" w:rsidTr="002A5163">
        <w:trPr>
          <w:jc w:val="center"/>
        </w:trPr>
        <w:tc>
          <w:tcPr>
            <w:tcW w:w="1430" w:type="dxa"/>
            <w:vMerge/>
            <w:tcBorders>
              <w:top w:val="nil"/>
              <w:bottom w:val="single" w:sz="8" w:space="0" w:color="auto"/>
            </w:tcBorders>
            <w:vAlign w:val="center"/>
          </w:tcPr>
          <w:p w14:paraId="41524F76"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lang w:val="de-DE"/>
              </w:rPr>
            </w:pPr>
          </w:p>
        </w:tc>
        <w:tc>
          <w:tcPr>
            <w:tcW w:w="4101" w:type="dxa"/>
            <w:tcBorders>
              <w:top w:val="nil"/>
              <w:bottom w:val="single" w:sz="8" w:space="0" w:color="auto"/>
            </w:tcBorders>
            <w:vAlign w:val="center"/>
          </w:tcPr>
          <w:p w14:paraId="0DBF3783"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lang w:val="de-DE"/>
              </w:rPr>
            </w:pPr>
            <w:r w:rsidRPr="002657D1">
              <w:rPr>
                <w:rFonts w:ascii="Times New Roman" w:hAnsi="Times New Roman" w:cs="Times New Roman"/>
                <w:color w:val="000000" w:themeColor="text1"/>
                <w:kern w:val="24"/>
                <w:sz w:val="24"/>
                <w:szCs w:val="24"/>
                <w:lang w:val="de-DE"/>
              </w:rPr>
              <w:t>Li</w:t>
            </w:r>
            <w:r w:rsidRPr="002657D1">
              <w:rPr>
                <w:rFonts w:ascii="Times New Roman" w:hAnsi="Times New Roman" w:cs="Times New Roman"/>
                <w:color w:val="000000" w:themeColor="text1"/>
                <w:kern w:val="24"/>
                <w:sz w:val="24"/>
                <w:szCs w:val="24"/>
                <w:vertAlign w:val="subscript"/>
                <w:lang w:val="de-DE"/>
              </w:rPr>
              <w:t>2.9</w:t>
            </w:r>
            <w:r w:rsidRPr="002657D1">
              <w:rPr>
                <w:rFonts w:ascii="Times New Roman" w:hAnsi="Times New Roman" w:cs="Times New Roman"/>
                <w:color w:val="000000" w:themeColor="text1"/>
                <w:kern w:val="24"/>
                <w:sz w:val="24"/>
                <w:szCs w:val="24"/>
                <w:lang w:val="de-DE"/>
              </w:rPr>
              <w:t>Zr</w:t>
            </w:r>
            <w:r w:rsidRPr="002657D1">
              <w:rPr>
                <w:rFonts w:ascii="Times New Roman" w:hAnsi="Times New Roman" w:cs="Times New Roman"/>
                <w:color w:val="000000" w:themeColor="text1"/>
                <w:kern w:val="24"/>
                <w:sz w:val="24"/>
                <w:szCs w:val="24"/>
                <w:vertAlign w:val="subscript"/>
                <w:lang w:val="de-DE"/>
              </w:rPr>
              <w:t>0.1</w:t>
            </w:r>
            <w:r w:rsidRPr="002657D1">
              <w:rPr>
                <w:rFonts w:ascii="Times New Roman" w:hAnsi="Times New Roman" w:cs="Times New Roman"/>
                <w:color w:val="000000" w:themeColor="text1"/>
                <w:kern w:val="24"/>
                <w:sz w:val="24"/>
                <w:szCs w:val="24"/>
                <w:lang w:val="de-DE"/>
              </w:rPr>
              <w:t>In</w:t>
            </w:r>
            <w:r w:rsidRPr="002657D1">
              <w:rPr>
                <w:rFonts w:ascii="Times New Roman" w:hAnsi="Times New Roman" w:cs="Times New Roman"/>
                <w:color w:val="000000" w:themeColor="text1"/>
                <w:kern w:val="24"/>
                <w:sz w:val="24"/>
                <w:szCs w:val="24"/>
                <w:vertAlign w:val="subscript"/>
                <w:lang w:val="de-DE"/>
              </w:rPr>
              <w:t>0.9</w:t>
            </w:r>
            <w:r w:rsidRPr="002657D1">
              <w:rPr>
                <w:rFonts w:ascii="Times New Roman" w:hAnsi="Times New Roman" w:cs="Times New Roman"/>
                <w:color w:val="000000" w:themeColor="text1"/>
                <w:kern w:val="24"/>
                <w:sz w:val="24"/>
                <w:szCs w:val="24"/>
                <w:lang w:val="de-DE"/>
              </w:rPr>
              <w:t>Cl</w:t>
            </w:r>
            <w:r w:rsidRPr="002657D1">
              <w:rPr>
                <w:rFonts w:ascii="Times New Roman" w:hAnsi="Times New Roman" w:cs="Times New Roman"/>
                <w:color w:val="000000" w:themeColor="text1"/>
                <w:kern w:val="24"/>
                <w:sz w:val="24"/>
                <w:szCs w:val="24"/>
                <w:vertAlign w:val="subscript"/>
                <w:lang w:val="de-DE"/>
              </w:rPr>
              <w:t>5.6</w:t>
            </w:r>
            <w:r w:rsidRPr="002657D1">
              <w:rPr>
                <w:rFonts w:ascii="Times New Roman" w:hAnsi="Times New Roman" w:cs="Times New Roman"/>
                <w:color w:val="000000" w:themeColor="text1"/>
                <w:kern w:val="24"/>
                <w:sz w:val="24"/>
                <w:szCs w:val="24"/>
                <w:lang w:val="de-DE"/>
              </w:rPr>
              <w:t>F</w:t>
            </w:r>
            <w:r w:rsidRPr="002657D1">
              <w:rPr>
                <w:rFonts w:ascii="Times New Roman" w:hAnsi="Times New Roman" w:cs="Times New Roman"/>
                <w:color w:val="000000" w:themeColor="text1"/>
                <w:kern w:val="24"/>
                <w:sz w:val="24"/>
                <w:szCs w:val="24"/>
                <w:vertAlign w:val="subscript"/>
                <w:lang w:val="de-DE"/>
              </w:rPr>
              <w:t>0.4</w:t>
            </w:r>
          </w:p>
        </w:tc>
        <w:tc>
          <w:tcPr>
            <w:tcW w:w="1755" w:type="dxa"/>
            <w:tcBorders>
              <w:top w:val="nil"/>
              <w:bottom w:val="single" w:sz="8" w:space="0" w:color="auto"/>
            </w:tcBorders>
            <w:vAlign w:val="center"/>
          </w:tcPr>
          <w:p w14:paraId="7BC167AA"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lang w:val="de-DE"/>
              </w:rPr>
            </w:pPr>
            <w:r w:rsidRPr="002657D1">
              <w:rPr>
                <w:rFonts w:ascii="Times New Roman" w:hAnsi="Times New Roman" w:cs="Times New Roman"/>
                <w:color w:val="000000" w:themeColor="text1"/>
                <w:kern w:val="24"/>
                <w:sz w:val="24"/>
                <w:szCs w:val="24"/>
                <w:lang w:val="de-DE"/>
              </w:rPr>
              <w:t>1.5</w:t>
            </w:r>
          </w:p>
        </w:tc>
        <w:tc>
          <w:tcPr>
            <w:tcW w:w="1541" w:type="dxa"/>
            <w:tcBorders>
              <w:top w:val="nil"/>
              <w:bottom w:val="single" w:sz="8" w:space="0" w:color="auto"/>
            </w:tcBorders>
            <w:vAlign w:val="center"/>
          </w:tcPr>
          <w:p w14:paraId="45B2E51C" w14:textId="79E77480" w:rsidR="0046513C" w:rsidRPr="002657D1" w:rsidRDefault="00866674"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lang w:val="de-DE"/>
              </w:rPr>
              <w:instrText xml:space="preserve"> ADDIN ZOTERO_ITEM CSL_CITATION {"citationID":"a11gip4ufj9","properties":{"formattedCitation":"\\super 47\\nosupersub{}","plainCitation":"47","noteIndex":0},"citationItems":[{"id":"IXaoCdHi/meaRQwpx","uris":["http://zotero.org/users/local/As3BANDe/items/W</w:instrText>
            </w:r>
            <w:r w:rsidR="00E725CF" w:rsidRPr="002657D1">
              <w:rPr>
                <w:rFonts w:ascii="Times New Roman" w:hAnsi="Times New Roman" w:cs="Times New Roman" w:hint="eastAsia"/>
                <w:color w:val="000000" w:themeColor="text1"/>
                <w:sz w:val="24"/>
                <w:szCs w:val="24"/>
                <w:lang w:val="de-DE"/>
              </w:rPr>
              <w:instrText>Y2WZYDE"],"itemData":{"id":5541,"type":"article-journal","abstract":"Abstract\n            \n              Halide solid electrolytes (SEs) show great potential in all</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hint="eastAsia"/>
                <w:color w:val="000000" w:themeColor="text1"/>
                <w:sz w:val="24"/>
                <w:szCs w:val="24"/>
                <w:lang w:val="de-DE"/>
              </w:rPr>
              <w:instrText>solid</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hint="eastAsia"/>
                <w:color w:val="000000" w:themeColor="text1"/>
                <w:sz w:val="24"/>
                <w:szCs w:val="24"/>
                <w:lang w:val="de-DE"/>
              </w:rPr>
              <w:instrText>state batteries (ASSBs) because of their high ionic conductivity and high oxidative stability. But the long</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hint="eastAsia"/>
                <w:color w:val="000000" w:themeColor="text1"/>
                <w:sz w:val="24"/>
                <w:szCs w:val="24"/>
                <w:lang w:val="de-DE"/>
              </w:rPr>
              <w:instrText>term cycling stability remains a major concern due to the cathode/halide interface side reactions, especially under high current density. Herein, a\n              s</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hint="eastAsia"/>
                <w:color w:val="000000" w:themeColor="text1"/>
                <w:sz w:val="24"/>
                <w:szCs w:val="24"/>
                <w:lang w:val="de-DE"/>
              </w:rPr>
              <w:instrText>p</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hint="eastAsia"/>
                <w:color w:val="000000" w:themeColor="text1"/>
                <w:sz w:val="24"/>
                <w:szCs w:val="24"/>
                <w:lang w:val="de-DE"/>
              </w:rPr>
              <w:instrText>d\n              orbital hybridization strategy is proposed vi</w:instrText>
            </w:r>
            <w:r w:rsidR="00E725CF" w:rsidRPr="002657D1">
              <w:rPr>
                <w:rFonts w:ascii="Times New Roman" w:hAnsi="Times New Roman" w:cs="Times New Roman"/>
                <w:color w:val="000000" w:themeColor="text1"/>
                <w:sz w:val="24"/>
                <w:szCs w:val="24"/>
                <w:lang w:val="de-DE"/>
              </w:rPr>
              <w:instrText>a introducing Zr\n              4+\n              and F\n              −\n              into Li\n              3\n              InCl\n              6\n              (LIC</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color w:val="000000" w:themeColor="text1"/>
                <w:sz w:val="24"/>
                <w:szCs w:val="24"/>
                <w:lang w:val="de-DE"/>
              </w:rPr>
              <w:instrText>ZrF\n              4\n              ) to regulate the electron localization structure around the central In\n              3+\n              . The electron transfer between the cation and Cl is alleviated by the enlarged bandgap (4.485–4.894 eV) with ZrF\n              4\n              introduction, and more electrons aggregate around In\</w:instrText>
            </w:r>
            <w:r w:rsidR="00E725CF" w:rsidRPr="002657D1">
              <w:rPr>
                <w:rFonts w:ascii="Times New Roman" w:hAnsi="Times New Roman" w:cs="Times New Roman" w:hint="eastAsia"/>
                <w:color w:val="000000" w:themeColor="text1"/>
                <w:sz w:val="24"/>
                <w:szCs w:val="24"/>
                <w:lang w:val="de-DE"/>
              </w:rPr>
              <w:instrText>n              3+\n              after\n              s</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hint="eastAsia"/>
                <w:color w:val="000000" w:themeColor="text1"/>
                <w:sz w:val="24"/>
                <w:szCs w:val="24"/>
                <w:lang w:val="de-DE"/>
              </w:rPr>
              <w:instrText>p</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hint="eastAsia"/>
                <w:color w:val="000000" w:themeColor="text1"/>
                <w:sz w:val="24"/>
                <w:szCs w:val="24"/>
                <w:lang w:val="de-DE"/>
              </w:rPr>
              <w:instrText>d\n              hybridization among Zr, In, and Cl. This effectively prevents LIC</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hint="eastAsia"/>
                <w:color w:val="000000" w:themeColor="text1"/>
                <w:sz w:val="24"/>
                <w:szCs w:val="24"/>
                <w:lang w:val="de-DE"/>
              </w:rPr>
              <w:instrText xml:space="preserve">ZrF\n              4\n              from being attacked by O atoms in LiNi\n              0\n              .\n    </w:instrText>
            </w:r>
            <w:r w:rsidR="00E725CF" w:rsidRPr="002657D1">
              <w:rPr>
                <w:rFonts w:ascii="Times New Roman" w:hAnsi="Times New Roman" w:cs="Times New Roman"/>
                <w:color w:val="000000" w:themeColor="text1"/>
                <w:sz w:val="24"/>
                <w:szCs w:val="24"/>
                <w:lang w:val="de-DE"/>
              </w:rPr>
              <w:instrText xml:space="preserve">          8\n              Co\n              0\n              .\n              1\n              Mn\n              0\n              .\n              1\n              (NCM811) and significantly suppresses the interface side reactions. The in situ formed LiF</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hint="eastAsia"/>
                <w:color w:val="000000" w:themeColor="text1"/>
                <w:sz w:val="24"/>
                <w:szCs w:val="24"/>
                <w:lang w:val="de-DE"/>
              </w:rPr>
              <w:instrText>containing layer further enhances the interface stability. The assembled ASSB (NCM811/LIC</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hint="eastAsia"/>
                <w:color w:val="000000" w:themeColor="text1"/>
                <w:sz w:val="24"/>
                <w:szCs w:val="24"/>
                <w:lang w:val="de-DE"/>
              </w:rPr>
              <w:instrText>ZrF\n              4\n              /LPSC/Li</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hint="eastAsia"/>
                <w:color w:val="000000" w:themeColor="text1"/>
                <w:sz w:val="24"/>
                <w:szCs w:val="24"/>
                <w:lang w:val="de-DE"/>
              </w:rPr>
              <w:instrText>In) exhibits a state</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hint="eastAsia"/>
                <w:color w:val="000000" w:themeColor="text1"/>
                <w:sz w:val="24"/>
                <w:szCs w:val="24"/>
                <w:lang w:val="de-DE"/>
              </w:rPr>
              <w:instrText>of</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hint="eastAsia"/>
                <w:color w:val="000000" w:themeColor="text1"/>
                <w:sz w:val="24"/>
                <w:szCs w:val="24"/>
                <w:lang w:val="de-DE"/>
              </w:rPr>
              <w:instrText>the</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hint="eastAsia"/>
                <w:color w:val="000000" w:themeColor="text1"/>
                <w:sz w:val="24"/>
                <w:szCs w:val="24"/>
                <w:lang w:val="de-DE"/>
              </w:rPr>
              <w:instrText>art capacity retention (96.7%@500cycles@1C; 80.7%@1600 cycles@2C). Furthermore, the ionic c</w:instrText>
            </w:r>
            <w:r w:rsidR="00E725CF" w:rsidRPr="002657D1">
              <w:rPr>
                <w:rFonts w:ascii="Times New Roman" w:hAnsi="Times New Roman" w:cs="Times New Roman"/>
                <w:color w:val="000000" w:themeColor="text1"/>
                <w:sz w:val="24"/>
                <w:szCs w:val="24"/>
                <w:lang w:val="de-DE"/>
              </w:rPr>
              <w:instrText>onductivity of LIC</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color w:val="000000" w:themeColor="text1"/>
                <w:sz w:val="24"/>
                <w:szCs w:val="24"/>
                <w:lang w:val="de-DE"/>
              </w:rPr>
              <w:instrText>ZrF\n              4\n              is also enhanced from 0.6 to 1.5 mS cm\n              −1\n              while the electronic conductivity is decreased from 3.66 × 10\n              −8\n              to 8.39 × 10\n              −9\n              S cm\n              −1\n              . This work highlights the crucial role of\n              s</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color w:val="000000" w:themeColor="text1"/>
                <w:sz w:val="24"/>
                <w:szCs w:val="24"/>
                <w:lang w:val="de-DE"/>
              </w:rPr>
              <w:instrText>p</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color w:val="000000" w:themeColor="text1"/>
                <w:sz w:val="24"/>
                <w:szCs w:val="24"/>
                <w:lang w:val="de-DE"/>
              </w:rPr>
              <w:instrText>d\n              hybridization on the electron localization regulation and the interface stability, and presents some distinct insights into d</w:instrText>
            </w:r>
            <w:r w:rsidR="00E725CF" w:rsidRPr="002657D1">
              <w:rPr>
                <w:rFonts w:ascii="Times New Roman" w:hAnsi="Times New Roman" w:cs="Times New Roman" w:hint="eastAsia"/>
                <w:color w:val="000000" w:themeColor="text1"/>
                <w:sz w:val="24"/>
                <w:szCs w:val="24"/>
                <w:lang w:val="de-DE"/>
              </w:rPr>
              <w:instrText>eveloping high</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hint="eastAsia"/>
                <w:color w:val="000000" w:themeColor="text1"/>
                <w:sz w:val="24"/>
                <w:szCs w:val="24"/>
                <w:lang w:val="de-DE"/>
              </w:rPr>
              <w:instrText>performance halides</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hint="eastAsia"/>
                <w:color w:val="000000" w:themeColor="text1"/>
                <w:sz w:val="24"/>
                <w:szCs w:val="24"/>
                <w:lang w:val="de-DE"/>
              </w:rPr>
              <w:instrText>based ASSBs.","container-title":"Advanced Functional Materials","DOI":"10.1002/adfm.202502201","ISSN":"1616-301X, 1616-3028","journalAbbreviation":"Adv Funct Materials","language":"en","page":"2502201","source":"DOI.org (Crossref)","title":"Achieving an Ultrastable Halide</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hint="eastAsia"/>
                <w:color w:val="000000" w:themeColor="text1"/>
                <w:sz w:val="24"/>
                <w:szCs w:val="24"/>
                <w:lang w:val="de-DE"/>
              </w:rPr>
              <w:instrText>Based All</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hint="eastAsia"/>
                <w:color w:val="000000" w:themeColor="text1"/>
                <w:sz w:val="24"/>
                <w:szCs w:val="24"/>
                <w:lang w:val="de-DE"/>
              </w:rPr>
              <w:instrText>Solid</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hint="eastAsia"/>
                <w:color w:val="000000" w:themeColor="text1"/>
                <w:sz w:val="24"/>
                <w:szCs w:val="24"/>
                <w:lang w:val="de-DE"/>
              </w:rPr>
              <w:instrText>State Lithium Battery via High</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hint="eastAsia"/>
                <w:color w:val="000000" w:themeColor="text1"/>
                <w:sz w:val="24"/>
                <w:szCs w:val="24"/>
                <w:lang w:val="de-DE"/>
              </w:rPr>
              <w:instrText>Valent Doping</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hint="eastAsia"/>
                <w:color w:val="000000" w:themeColor="text1"/>
                <w:sz w:val="24"/>
                <w:szCs w:val="24"/>
                <w:lang w:val="de-DE"/>
              </w:rPr>
              <w:instrText>Induced &lt;i&gt;s</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hint="eastAsia"/>
                <w:color w:val="000000" w:themeColor="text1"/>
                <w:sz w:val="24"/>
                <w:szCs w:val="24"/>
                <w:lang w:val="de-DE"/>
              </w:rPr>
              <w:instrText>p</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hint="eastAsia"/>
                <w:color w:val="000000" w:themeColor="text1"/>
                <w:sz w:val="24"/>
                <w:szCs w:val="24"/>
                <w:lang w:val="de-DE"/>
              </w:rPr>
              <w:instrText>d&lt;/i&gt; Hybridization","author":[{"family":"Tong","given":"Yutong"},{"family":"Chen","given":"Butian"},{"family":"Liu","given":"</w:instrText>
            </w:r>
            <w:r w:rsidR="00E725CF" w:rsidRPr="002657D1">
              <w:rPr>
                <w:rFonts w:ascii="Times New Roman" w:hAnsi="Times New Roman" w:cs="Times New Roman"/>
                <w:color w:val="000000" w:themeColor="text1"/>
                <w:sz w:val="24"/>
                <w:szCs w:val="24"/>
                <w:lang w:val="de-DE"/>
              </w:rPr>
              <w:instrText xml:space="preserve">Chong"},{"family":"Wang","given":"Ruoyu"},{"family":"Wang","given":"Dewen"},{"family":"Zhang","given":"Tianran"},{"family":"Ma","given":"Xiaobai"},{"family":"Sun","given":"Limei"},{"family":"Yang","given":"Jinbo"},{"family":"Yang","given":"Wenyun"},{"family":"Liu","given":"Xiangfeng"}],"issued":{"date-parts":[["2025",5,16]]}}}],"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47</w:t>
            </w:r>
            <w:r w:rsidRPr="002657D1">
              <w:rPr>
                <w:rFonts w:ascii="Times New Roman" w:hAnsi="Times New Roman" w:cs="Times New Roman"/>
                <w:color w:val="000000" w:themeColor="text1"/>
                <w:sz w:val="24"/>
                <w:szCs w:val="24"/>
              </w:rPr>
              <w:fldChar w:fldCharType="end"/>
            </w:r>
          </w:p>
        </w:tc>
      </w:tr>
      <w:tr w:rsidR="002657D1" w:rsidRPr="002657D1" w14:paraId="0EB1077D" w14:textId="77777777" w:rsidTr="002A5163">
        <w:trPr>
          <w:jc w:val="center"/>
        </w:trPr>
        <w:tc>
          <w:tcPr>
            <w:tcW w:w="1430" w:type="dxa"/>
            <w:vMerge w:val="restart"/>
            <w:tcBorders>
              <w:top w:val="single" w:sz="8" w:space="0" w:color="auto"/>
            </w:tcBorders>
            <w:vAlign w:val="center"/>
          </w:tcPr>
          <w:p w14:paraId="206DA3AD"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m:oMathPara>
              <m:oMath>
                <m:r>
                  <w:rPr>
                    <w:rFonts w:ascii="Cambria Math" w:hAnsi="Cambria Math" w:cs="Times New Roman"/>
                    <w:color w:val="000000" w:themeColor="text1"/>
                    <w:kern w:val="24"/>
                    <w:sz w:val="24"/>
                    <w:szCs w:val="24"/>
                  </w:rPr>
                  <m:t>Pnma</m:t>
                </m:r>
              </m:oMath>
            </m:oMathPara>
          </w:p>
        </w:tc>
        <w:tc>
          <w:tcPr>
            <w:tcW w:w="4101" w:type="dxa"/>
            <w:tcBorders>
              <w:top w:val="single" w:sz="8" w:space="0" w:color="auto"/>
              <w:bottom w:val="nil"/>
            </w:tcBorders>
            <w:vAlign w:val="center"/>
          </w:tcPr>
          <w:p w14:paraId="292CEEB4"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3</w:t>
            </w:r>
            <w:r w:rsidRPr="002657D1">
              <w:rPr>
                <w:rFonts w:ascii="Times New Roman" w:hAnsi="Times New Roman" w:cs="Times New Roman"/>
                <w:color w:val="000000" w:themeColor="text1"/>
                <w:kern w:val="24"/>
                <w:sz w:val="24"/>
                <w:szCs w:val="24"/>
              </w:rPr>
              <w:t>LuCl</w:t>
            </w:r>
            <w:r w:rsidRPr="002657D1">
              <w:rPr>
                <w:rFonts w:ascii="Times New Roman" w:hAnsi="Times New Roman" w:cs="Times New Roman"/>
                <w:color w:val="000000" w:themeColor="text1"/>
                <w:kern w:val="24"/>
                <w:sz w:val="24"/>
                <w:szCs w:val="24"/>
                <w:vertAlign w:val="subscript"/>
              </w:rPr>
              <w:t>6</w:t>
            </w:r>
          </w:p>
        </w:tc>
        <w:tc>
          <w:tcPr>
            <w:tcW w:w="1755" w:type="dxa"/>
            <w:tcBorders>
              <w:top w:val="single" w:sz="8" w:space="0" w:color="auto"/>
              <w:bottom w:val="nil"/>
            </w:tcBorders>
            <w:vAlign w:val="center"/>
          </w:tcPr>
          <w:p w14:paraId="3BCE347A"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0.1</w:t>
            </w:r>
          </w:p>
        </w:tc>
        <w:tc>
          <w:tcPr>
            <w:tcW w:w="1541" w:type="dxa"/>
            <w:tcBorders>
              <w:top w:val="single" w:sz="8" w:space="0" w:color="auto"/>
              <w:bottom w:val="nil"/>
            </w:tcBorders>
            <w:vAlign w:val="center"/>
          </w:tcPr>
          <w:p w14:paraId="70BFF1ED" w14:textId="469CD054"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{"citationID":"xYN9svTI","properties":{"formattedCitation":"\\super 48\\nosupersub{}","plainCitation":"48","noteIndex":0},"citationItems":[{"id":"IXaoCdHi/15bcsCr0","uris":["http://zotero.org/users/local/As3BANDe/items/YUK8UE82"],"itemData":{"id":2807,"type":"article-journal","container-title":"ACS Energy Letters","DOI":"10.1021/acsenergylett.3c00763","ISSN":"2380-8195, 2380-8195","issue":"7","journalAbbreviation":"ACS Energy Lett.","language":"en","license":"https://doi.org/10.15223/policy-029","page":"3102-3111","source":"DOI.org (Crossref)","title":"Li &lt;sub&gt; 3– &lt;i&gt;x&lt;/i&gt; &lt;/sub&gt; Zr &lt;sub&gt; &lt;i&gt;x&lt;/i&gt; &lt;/sub&gt; (Ho/Lu) &lt;sub&gt; 1– &lt;i&gt;x&lt;/i&gt; &lt;/sub&gt; Cl &lt;sub&gt;6&lt;/sub&gt; Solid Electrolytes Enable Ultrahigh-Loading Solid-State Batteries with a Prelithiated Si Anode","volume":"8","author":[{"family":"Zhou","given":"Laidong"},{"family":"Zuo","given":"Tongtong"},{"family":"Li","given":"Chang"},{"family":"Zhang","given":"Qiang"},{"family":"Janek","given":"Jürgen"},{"family":"Nazar","given":"Linda F."}],"issued":{"date-parts":[["2023",7,14]]}}}],"schema":"https://github.com/citation-style-language/schema/raw/master/csl-citation.json"}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48</w:t>
            </w:r>
            <w:r w:rsidRPr="002657D1">
              <w:rPr>
                <w:rFonts w:ascii="Times New Roman" w:hAnsi="Times New Roman" w:cs="Times New Roman"/>
                <w:color w:val="000000" w:themeColor="text1"/>
                <w:sz w:val="24"/>
                <w:szCs w:val="24"/>
              </w:rPr>
              <w:fldChar w:fldCharType="end"/>
            </w:r>
          </w:p>
        </w:tc>
      </w:tr>
      <w:tr w:rsidR="002657D1" w:rsidRPr="002657D1" w14:paraId="42FF488C" w14:textId="77777777" w:rsidTr="002A5163">
        <w:trPr>
          <w:jc w:val="center"/>
        </w:trPr>
        <w:tc>
          <w:tcPr>
            <w:tcW w:w="1430" w:type="dxa"/>
            <w:vMerge/>
            <w:vAlign w:val="center"/>
          </w:tcPr>
          <w:p w14:paraId="3878F996"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140BCBA8" w14:textId="2CF93653" w:rsidR="0046513C" w:rsidRPr="002657D1" w:rsidRDefault="00836447" w:rsidP="00E27D34">
            <w:pPr>
              <w:widowControl/>
              <w:spacing w:line="360" w:lineRule="auto"/>
              <w:jc w:val="center"/>
              <w:rPr>
                <w:rFonts w:ascii="Times New Roman" w:hAnsi="Times New Roman" w:cs="Times New Roman"/>
                <w:color w:val="000000" w:themeColor="text1"/>
                <w:kern w:val="24"/>
                <w:sz w:val="24"/>
                <w:szCs w:val="24"/>
                <w:lang w:val="de-DE"/>
              </w:rPr>
            </w:pPr>
            <w:r w:rsidRPr="002657D1">
              <w:rPr>
                <w:rFonts w:ascii="Times New Roman" w:hAnsi="Times New Roman" w:cs="Times New Roman"/>
                <w:color w:val="000000" w:themeColor="text1"/>
                <w:kern w:val="24"/>
                <w:sz w:val="24"/>
                <w:szCs w:val="24"/>
                <w:lang w:val="de-DE"/>
              </w:rPr>
              <w:t>Li</w:t>
            </w:r>
            <w:r w:rsidRPr="002657D1">
              <w:rPr>
                <w:rFonts w:ascii="Times New Roman" w:hAnsi="Times New Roman" w:cs="Times New Roman"/>
                <w:color w:val="000000" w:themeColor="text1"/>
                <w:kern w:val="24"/>
                <w:sz w:val="24"/>
                <w:szCs w:val="24"/>
                <w:vertAlign w:val="subscript"/>
                <w:lang w:val="de-DE"/>
              </w:rPr>
              <w:t>2.6</w:t>
            </w:r>
            <w:r w:rsidRPr="002657D1">
              <w:rPr>
                <w:rFonts w:ascii="Times New Roman" w:hAnsi="Times New Roman" w:cs="Times New Roman"/>
                <w:color w:val="000000" w:themeColor="text1"/>
                <w:kern w:val="24"/>
                <w:sz w:val="24"/>
                <w:szCs w:val="24"/>
                <w:lang w:val="de-DE"/>
              </w:rPr>
              <w:t>Zr</w:t>
            </w:r>
            <w:r w:rsidRPr="002657D1">
              <w:rPr>
                <w:rFonts w:ascii="Times New Roman" w:hAnsi="Times New Roman" w:cs="Times New Roman"/>
                <w:color w:val="000000" w:themeColor="text1"/>
                <w:kern w:val="24"/>
                <w:sz w:val="24"/>
                <w:szCs w:val="24"/>
                <w:vertAlign w:val="subscript"/>
                <w:lang w:val="de-DE"/>
              </w:rPr>
              <w:t>0.4</w:t>
            </w:r>
            <w:r w:rsidRPr="002657D1">
              <w:rPr>
                <w:rFonts w:ascii="Times New Roman" w:hAnsi="Times New Roman" w:cs="Times New Roman"/>
                <w:color w:val="000000" w:themeColor="text1"/>
                <w:kern w:val="24"/>
                <w:sz w:val="24"/>
                <w:szCs w:val="24"/>
                <w:lang w:val="de-DE"/>
              </w:rPr>
              <w:t>(Ho</w:t>
            </w:r>
            <w:r w:rsidRPr="002657D1">
              <w:rPr>
                <w:rFonts w:ascii="Times New Roman" w:hAnsi="Times New Roman" w:cs="Times New Roman" w:hint="eastAsia"/>
                <w:color w:val="000000" w:themeColor="text1"/>
                <w:kern w:val="24"/>
                <w:sz w:val="24"/>
                <w:szCs w:val="24"/>
                <w:lang w:val="de-DE"/>
              </w:rPr>
              <w:t>/Lu)</w:t>
            </w:r>
            <w:r w:rsidRPr="002657D1">
              <w:rPr>
                <w:rFonts w:ascii="Times New Roman" w:hAnsi="Times New Roman" w:cs="Times New Roman"/>
                <w:color w:val="000000" w:themeColor="text1"/>
                <w:kern w:val="24"/>
                <w:sz w:val="24"/>
                <w:szCs w:val="24"/>
                <w:vertAlign w:val="subscript"/>
                <w:lang w:val="de-DE"/>
              </w:rPr>
              <w:t>0.6</w:t>
            </w:r>
            <w:r w:rsidRPr="002657D1">
              <w:rPr>
                <w:rFonts w:ascii="Times New Roman" w:hAnsi="Times New Roman" w:cs="Times New Roman"/>
                <w:color w:val="000000" w:themeColor="text1"/>
                <w:kern w:val="24"/>
                <w:sz w:val="24"/>
                <w:szCs w:val="24"/>
                <w:lang w:val="de-DE"/>
              </w:rPr>
              <w:t>Cl</w:t>
            </w:r>
            <w:r w:rsidRPr="002657D1">
              <w:rPr>
                <w:rFonts w:ascii="Times New Roman" w:hAnsi="Times New Roman" w:cs="Times New Roman"/>
                <w:color w:val="000000" w:themeColor="text1"/>
                <w:kern w:val="24"/>
                <w:sz w:val="24"/>
                <w:szCs w:val="24"/>
                <w:vertAlign w:val="subscript"/>
                <w:lang w:val="de-DE"/>
              </w:rPr>
              <w:t>6</w:t>
            </w:r>
          </w:p>
        </w:tc>
        <w:tc>
          <w:tcPr>
            <w:tcW w:w="1755" w:type="dxa"/>
            <w:tcBorders>
              <w:top w:val="nil"/>
              <w:bottom w:val="nil"/>
            </w:tcBorders>
            <w:vAlign w:val="center"/>
          </w:tcPr>
          <w:p w14:paraId="2390AF8B"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1.8</w:t>
            </w:r>
          </w:p>
        </w:tc>
        <w:tc>
          <w:tcPr>
            <w:tcW w:w="1541" w:type="dxa"/>
            <w:tcBorders>
              <w:top w:val="nil"/>
              <w:bottom w:val="nil"/>
            </w:tcBorders>
            <w:vAlign w:val="center"/>
          </w:tcPr>
          <w:p w14:paraId="00AB343A" w14:textId="47ED1164"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{"citationID":"i1RVVrEA","properties":{"formattedCitation":"\\super 48\\nosupersub{}","plainCitation":"48","noteIndex":0},"citationItems":[{"id":"IXaoCdHi/15bcsCr0","uris":["http://zotero.org/users/local/As3BANDe/items/YUK8UE82"],"itemData":{"id":2807,"type":"article-journal","container-title":"ACS Energy Letters","DOI":"10.1021/acsenergylett.3c00763","ISSN":"2380-8195, 2380-8195","issue":"7","journalAbbreviation":"ACS Energy Lett.","language":"en","license":"https://doi.org/10.15223/policy-029","page":"3102-3111","source":"DOI.org (Crossref)","title":"Li &lt;sub&gt; 3– &lt;i&gt;x&lt;/i&gt; &lt;/sub&gt; Zr &lt;sub&gt; &lt;i&gt;x&lt;/i&gt; &lt;/sub&gt; (Ho/Lu) &lt;sub&gt; 1– &lt;i&gt;x&lt;/i&gt; &lt;/sub&gt; Cl &lt;sub&gt;6&lt;/sub&gt; Solid Electrolytes Enable Ultrahigh-Loading Solid-State Batteries with a Prelithiated Si Anode","volume":"8","author":[{"family":"Zhou","given":"Laidong"},{"family":"Zuo","given":"Tongtong"},{"family":"Li","given":"Chang"},{"family":"Zhang","given":"Qiang"},{"family":"Janek","given":"Jürgen"},{"family":"Nazar","given":"Linda F."}],"issued":{"date-parts":[["2023",7,14]]}}}],"schema":"https://github.com/citation-style-language/schema/raw/master/csl-citation.json"}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48</w:t>
            </w:r>
            <w:r w:rsidRPr="002657D1">
              <w:rPr>
                <w:rFonts w:ascii="Times New Roman" w:hAnsi="Times New Roman" w:cs="Times New Roman"/>
                <w:color w:val="000000" w:themeColor="text1"/>
                <w:sz w:val="24"/>
                <w:szCs w:val="24"/>
              </w:rPr>
              <w:fldChar w:fldCharType="end"/>
            </w:r>
          </w:p>
        </w:tc>
      </w:tr>
      <w:tr w:rsidR="002657D1" w:rsidRPr="002657D1" w14:paraId="30BCDDA3" w14:textId="77777777" w:rsidTr="002A5163">
        <w:trPr>
          <w:jc w:val="center"/>
        </w:trPr>
        <w:tc>
          <w:tcPr>
            <w:tcW w:w="1430" w:type="dxa"/>
            <w:vMerge/>
            <w:vAlign w:val="center"/>
          </w:tcPr>
          <w:p w14:paraId="568EF488"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4547EA42"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3</w:t>
            </w:r>
            <w:r w:rsidRPr="002657D1">
              <w:rPr>
                <w:rFonts w:ascii="Times New Roman" w:hAnsi="Times New Roman" w:cs="Times New Roman"/>
                <w:color w:val="000000" w:themeColor="text1"/>
                <w:kern w:val="24"/>
                <w:sz w:val="24"/>
                <w:szCs w:val="24"/>
              </w:rPr>
              <w:t>YbCl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72F2D28B"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0.32</w:t>
            </w:r>
          </w:p>
        </w:tc>
        <w:tc>
          <w:tcPr>
            <w:tcW w:w="1541" w:type="dxa"/>
            <w:tcBorders>
              <w:top w:val="nil"/>
              <w:bottom w:val="nil"/>
            </w:tcBorders>
            <w:vAlign w:val="center"/>
          </w:tcPr>
          <w:p w14:paraId="68842644" w14:textId="7CEF55BD" w:rsidR="0046513C" w:rsidRPr="002657D1" w:rsidRDefault="0070459F"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Pr="002657D1">
              <w:rPr>
                <w:rFonts w:ascii="Times New Roman" w:hAnsi="Times New Roman" w:cs="Times New Roman"/>
                <w:color w:val="000000" w:themeColor="text1"/>
                <w:sz w:val="24"/>
                <w:szCs w:val="24"/>
              </w:rPr>
              <w:instrText xml:space="preserve"> ADDIN ZOTERO_ITEM CSL_CITATION {"citationID":"aglbob2sh2","properties":{"formattedCitation":"\\super 8\\nosupersub{}","plainCitation":"8","noteIndex":0},"citationItems":[{"id":791,"uris":["http://zotero.org/users/local/J1vikkcu/items/GI3PD49Y"],"itemData":{"id":791,"type":"article-journal","abstract":"The safety of lithium-ion batteries has caused notable concerns about their widespread adoption in electric vehicles. A nascent but promising approach to enhancing battery safety is using solid-state electrolytes (SSEs) to develop all-solid-state batteries, which exhibit unrivaled safety and superior energy density. A new family of SSEs based on halogen chemistry has recently gained renewed interest because of their high ionic conductivity, high-voltage stability, good deformability, and cost-effective and scalable synthesis routes. Here, we provide a comprehensive review of halide SSEs concerning their crystal structures, ion transport kinetics, and viability for mass production. Furthermore, their moisture sensitivity and interfacial challenges are summarized with corresponding effective strategies. Last, halide-based all-solid-state Li-ion and Li-S pouch cells with energy density targets of 400 and 500 Wh kg\n              −1\n              are projected to guide future endeavors. This work serves as a comprehensive guideline for developing halide SSEs from material design to practical application.\n            \n          , \n            Halide solid-state electrolytes show great prospects in developing all-solid-state batteries.","container-title":"Science Advances","DOI":"10.1126/sciadv.adc9516","ISSN":"2375-2548","issue":"36","journalAbbreviation":"Sci. Adv.","language":"en","page":"eadc9516","source":"DOI.org (Crossref)","title":"Prospects of halide-based all-solid-state batteries: From material design to practical application","title-short":"Prospects of halide-based all-solid-state batteries","volume":"8","author":[{"family":"Wang","given":"Changhong"},{"family":"Liang","given":"Jianwen"},{"family":"Kim","given":"Jung Tae"},{"family":"Sun","given":"Xueliang"}],"issued":{"date-parts":[["2022",9,9]]}}}],"schema":"https://github.com/citation-style-language/schema/raw/master/csl-citation.json"}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8</w:t>
            </w:r>
            <w:r w:rsidRPr="002657D1">
              <w:rPr>
                <w:rFonts w:ascii="Times New Roman" w:hAnsi="Times New Roman" w:cs="Times New Roman"/>
                <w:color w:val="000000" w:themeColor="text1"/>
                <w:sz w:val="24"/>
                <w:szCs w:val="24"/>
              </w:rPr>
              <w:fldChar w:fldCharType="end"/>
            </w:r>
          </w:p>
        </w:tc>
      </w:tr>
      <w:tr w:rsidR="002657D1" w:rsidRPr="002657D1" w14:paraId="5FDA4753" w14:textId="77777777" w:rsidTr="002A5163">
        <w:trPr>
          <w:jc w:val="center"/>
        </w:trPr>
        <w:tc>
          <w:tcPr>
            <w:tcW w:w="1430" w:type="dxa"/>
            <w:vMerge/>
            <w:vAlign w:val="center"/>
          </w:tcPr>
          <w:p w14:paraId="588F955F"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17625194"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3</w:t>
            </w:r>
            <w:r w:rsidRPr="002657D1">
              <w:rPr>
                <w:rFonts w:ascii="Times New Roman" w:hAnsi="Times New Roman" w:cs="Times New Roman"/>
                <w:color w:val="000000" w:themeColor="text1"/>
                <w:kern w:val="24"/>
                <w:sz w:val="24"/>
                <w:szCs w:val="24"/>
              </w:rPr>
              <w:t>DyCl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31E05C1B"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0.9</w:t>
            </w:r>
          </w:p>
        </w:tc>
        <w:tc>
          <w:tcPr>
            <w:tcW w:w="1541" w:type="dxa"/>
            <w:tcBorders>
              <w:top w:val="nil"/>
              <w:bottom w:val="nil"/>
            </w:tcBorders>
            <w:vAlign w:val="center"/>
          </w:tcPr>
          <w:p w14:paraId="073A3A46" w14:textId="79AC5CA3" w:rsidR="0046513C" w:rsidRPr="002657D1" w:rsidRDefault="0070459F"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Pr="002657D1">
              <w:rPr>
                <w:rFonts w:ascii="Times New Roman" w:hAnsi="Times New Roman" w:cs="Times New Roman"/>
                <w:color w:val="000000" w:themeColor="text1"/>
                <w:sz w:val="24"/>
                <w:szCs w:val="24"/>
              </w:rPr>
              <w:instrText xml:space="preserve"> ADDIN ZOTERO_ITEM CSL_CITATION {"citationID":"a7m8ohqt7k","properties":{"formattedCitation":"\\super 8\\nosupersub{}","plainCitation":"8","noteIndex":0},"citationItems":[{"id":791,"uris":["http://zotero.org/users/local/J1vikkcu/items/GI3PD49Y"],"itemData":{"id":791,"type":"article-journal","abstract":"The safety of lithium-ion batteries has caused notable concerns about their widespread adoption in electric vehicles. A nascent but promising approach to enhancing battery safety is using solid-state electrolytes (SSEs) to develop all-solid-state batteries, which exhibit unrivaled safety and superior energy density. A new family of SSEs based on halogen chemistry has recently gained renewed interest because of their high ionic conductivity, high-voltage stability, good deformability, and cost-effective and scalable synthesis routes. Here, we provide a comprehensive review of halide SSEs concerning their crystal structures, ion transport kinetics, and viability for mass production. Furthermore, their moisture sensitivity and interfacial challenges are summarized with corresponding effective strategies. Last, halide-based all-solid-state Li-ion and Li-S pouch cells with energy density targets of 400 and 500 Wh kg\n              −1\n              are projected to guide future endeavors. This work serves as a comprehensive guideline for developing halide SSEs from material design to practical application.\n            \n          , \n            Halide solid-state electrolytes show great prospects in developing all-solid-state batteries.","container-title":"Science Advances","DOI":"10.1126/sciadv.adc9516","ISSN":"2375-2548","issue":"36","journalAbbreviation":"Sci. Adv.","language":"en","page":"eadc9516","source":"DOI.org (Crossref)","title":"Prospects of halide-based all-solid-state batteries: From material design to practical application","title-short":"Prospects of halide-based all-solid-state batteries","volume":"8","author":[{"family":"Wang","given":"Changhong"},{"family":"Liang","given":"Jianwen"},{"family":"Kim","given":"Jung Tae"},{"family":"Sun","given":"Xueliang"}],"issued":{"date-parts":[["2022",9,9]]}}}],"schema":"https://github.com/citation-style-language/schema/raw/master/csl-citation.json"}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8</w:t>
            </w:r>
            <w:r w:rsidRPr="002657D1">
              <w:rPr>
                <w:rFonts w:ascii="Times New Roman" w:hAnsi="Times New Roman" w:cs="Times New Roman"/>
                <w:color w:val="000000" w:themeColor="text1"/>
                <w:sz w:val="24"/>
                <w:szCs w:val="24"/>
              </w:rPr>
              <w:fldChar w:fldCharType="end"/>
            </w:r>
          </w:p>
        </w:tc>
      </w:tr>
      <w:tr w:rsidR="002657D1" w:rsidRPr="002657D1" w14:paraId="74CFB144" w14:textId="77777777" w:rsidTr="002A5163">
        <w:trPr>
          <w:jc w:val="center"/>
        </w:trPr>
        <w:tc>
          <w:tcPr>
            <w:tcW w:w="1430" w:type="dxa"/>
            <w:vMerge/>
            <w:vAlign w:val="center"/>
          </w:tcPr>
          <w:p w14:paraId="53EF2852"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18EAC495"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2.65</w:t>
            </w:r>
            <w:r w:rsidRPr="002657D1">
              <w:rPr>
                <w:rFonts w:ascii="Times New Roman" w:hAnsi="Times New Roman" w:cs="Times New Roman"/>
                <w:color w:val="000000" w:themeColor="text1"/>
                <w:kern w:val="24"/>
                <w:sz w:val="24"/>
                <w:szCs w:val="24"/>
              </w:rPr>
              <w:t>YCl</w:t>
            </w:r>
            <w:r w:rsidRPr="002657D1">
              <w:rPr>
                <w:rFonts w:ascii="Times New Roman" w:hAnsi="Times New Roman" w:cs="Times New Roman"/>
                <w:color w:val="000000" w:themeColor="text1"/>
                <w:kern w:val="24"/>
                <w:sz w:val="24"/>
                <w:szCs w:val="24"/>
                <w:vertAlign w:val="subscript"/>
              </w:rPr>
              <w:t>5.65</w:t>
            </w:r>
          </w:p>
        </w:tc>
        <w:tc>
          <w:tcPr>
            <w:tcW w:w="1755" w:type="dxa"/>
            <w:tcBorders>
              <w:top w:val="nil"/>
              <w:bottom w:val="nil"/>
            </w:tcBorders>
            <w:vAlign w:val="center"/>
          </w:tcPr>
          <w:p w14:paraId="01844619"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0.308</w:t>
            </w:r>
          </w:p>
        </w:tc>
        <w:tc>
          <w:tcPr>
            <w:tcW w:w="1541" w:type="dxa"/>
            <w:tcBorders>
              <w:top w:val="nil"/>
              <w:bottom w:val="nil"/>
            </w:tcBorders>
            <w:vAlign w:val="center"/>
          </w:tcPr>
          <w:p w14:paraId="4A81E8E0" w14:textId="041A7958"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{"citationID":"2h9V9NYg","properties":{"formattedCitation":"\\super 49\\nosupersub{}","plainCitation":"49","noteIndex":0},"citationItems":[{"id":"IXaoCdHi/RmeKrv7L","uris":["http://zotero.org/users/local/As3BANDe/items/XWB6LHQS"],"itemData":{"id":2808,"type":"article-journal","container-title":"Cell Reports Physical Science","DOI":"10.1016/j.xcrp.2023.101428","ISSN":"26663864","issue":"6","journalAbbreviation":"Cell Reports Physical Science","language":"en","page":"101428","source":"DOI.org (Crossref)","title":"Revealing the Pnma crystal structure and ion-transport mechanism of the Li3YCl6 solid electrolyte","volume":"4","author":[{"family":"Hu","given":"Lv"},{"family":"Zhu","given":"Jinze"},{"family":"Duan","given":"Chaomin"},{"family":"Zhu","given":"Jinfeng"},{"family":"Wang","given":"Jinzhu"},{"family":"Wang","given":"Kai"},{"family":"Gu","given":"Zhenqi"},{"family":"Xi","given":"Zhiwei"},{"family":"Hao","given":"Jipeng"},{"family":"Chen","given":"Yan"},{"family":"Ma","given":"Jie"},{"family":"Liu","given":"Jin-Xun"},{"family":"Ma","given":"Cheng"}],"issued":{"date-parts":[["2023",6]]}}}],"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49</w:t>
            </w:r>
            <w:r w:rsidRPr="002657D1">
              <w:rPr>
                <w:rFonts w:ascii="Times New Roman" w:hAnsi="Times New Roman" w:cs="Times New Roman"/>
                <w:color w:val="000000" w:themeColor="text1"/>
                <w:sz w:val="24"/>
                <w:szCs w:val="24"/>
              </w:rPr>
              <w:fldChar w:fldCharType="end"/>
            </w:r>
          </w:p>
        </w:tc>
      </w:tr>
      <w:tr w:rsidR="002657D1" w:rsidRPr="002657D1" w14:paraId="0BEAFD3E" w14:textId="77777777" w:rsidTr="002A5163">
        <w:trPr>
          <w:jc w:val="center"/>
        </w:trPr>
        <w:tc>
          <w:tcPr>
            <w:tcW w:w="1430" w:type="dxa"/>
            <w:vMerge/>
            <w:vAlign w:val="center"/>
          </w:tcPr>
          <w:p w14:paraId="0B615A3C" w14:textId="77777777" w:rsidR="00836447" w:rsidRPr="002657D1" w:rsidRDefault="00836447" w:rsidP="00836447">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30CF757B" w14:textId="243D2EE7" w:rsidR="00836447" w:rsidRPr="002657D1" w:rsidRDefault="00836447" w:rsidP="00836447">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2.727</w:t>
            </w:r>
            <w:r w:rsidRPr="002657D1">
              <w:rPr>
                <w:rFonts w:ascii="Times New Roman" w:hAnsi="Times New Roman" w:cs="Times New Roman"/>
                <w:color w:val="000000" w:themeColor="text1"/>
                <w:kern w:val="24"/>
                <w:sz w:val="24"/>
                <w:szCs w:val="24"/>
              </w:rPr>
              <w:t>Ho</w:t>
            </w:r>
            <w:r w:rsidRPr="002657D1">
              <w:rPr>
                <w:rFonts w:ascii="Times New Roman" w:hAnsi="Times New Roman" w:cs="Times New Roman"/>
                <w:color w:val="000000" w:themeColor="text1"/>
                <w:kern w:val="24"/>
                <w:sz w:val="24"/>
                <w:szCs w:val="24"/>
                <w:vertAlign w:val="subscript"/>
              </w:rPr>
              <w:t>1.091</w:t>
            </w:r>
            <w:r w:rsidRPr="002657D1">
              <w:rPr>
                <w:rFonts w:ascii="Times New Roman" w:hAnsi="Times New Roman" w:cs="Times New Roman"/>
                <w:color w:val="000000" w:themeColor="text1"/>
                <w:kern w:val="24"/>
                <w:sz w:val="24"/>
                <w:szCs w:val="24"/>
              </w:rPr>
              <w:t>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21DAC6AD" w14:textId="5A3D2583" w:rsidR="00836447" w:rsidRPr="002657D1" w:rsidRDefault="00836447" w:rsidP="00836447">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1.3</w:t>
            </w:r>
          </w:p>
        </w:tc>
        <w:tc>
          <w:tcPr>
            <w:tcW w:w="1541" w:type="dxa"/>
            <w:tcBorders>
              <w:top w:val="nil"/>
              <w:bottom w:val="nil"/>
            </w:tcBorders>
            <w:vAlign w:val="center"/>
          </w:tcPr>
          <w:p w14:paraId="6104B044" w14:textId="62BF91B0" w:rsidR="00836447" w:rsidRPr="002657D1" w:rsidRDefault="00836447" w:rsidP="00836447">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{"citationID":"a4h0ptvns","properties":{"formattedCitation":"\\super 10\\nosupersub{}","plainCitation":"10","noteIndex":0},"citationItems":[{"id":"IXaoCdHi/9AebLTgV","uris":["http://zotero.org/users/local/As3BANDe/items/ECAIZHD7"],"itemData":{"id":"7vKHkMof/FBydlTPd","type":"article-journal","abstract":"Abstract\n            \n              Understanding the relationship between structure, ionic conductivity, and synthesis is the key to the development of superionic conductors. Here, a series of Li\n              3</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 xml:space="preserve">3\n              \n                x\n              \n              M\n              1+\n              \n                x\n              \n              Cl\n              6\n              (−0.14 &lt;\n             </w:instrText>
            </w:r>
            <w:r w:rsidR="00E725CF" w:rsidRPr="002657D1">
              <w:rPr>
                <w:rFonts w:ascii="Times New Roman" w:hAnsi="Times New Roman" w:cs="Times New Roman" w:hint="eastAsia"/>
                <w:color w:val="000000" w:themeColor="text1"/>
                <w:sz w:val="24"/>
                <w:szCs w:val="24"/>
              </w:rPr>
              <w:instrText xml:space="preserve"> x\n               </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 xml:space="preserve"> 0.5, M = Tb, Dy, Ho, Y, Er, Tm) solid electrolytes with orthorhombic and trigonal structures are reported. The orthorhombic phase of 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M</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 xml:space="preserve">Cl shows an approximately one order of magnitude increase in ionic conductivities when compared </w:instrText>
            </w:r>
            <w:r w:rsidR="00E725CF" w:rsidRPr="002657D1">
              <w:rPr>
                <w:rFonts w:ascii="Times New Roman" w:hAnsi="Times New Roman" w:cs="Times New Roman"/>
                <w:color w:val="000000" w:themeColor="text1"/>
                <w:sz w:val="24"/>
                <w:szCs w:val="24"/>
              </w:rPr>
              <w:instrText xml:space="preserve">to their trigonal phase. Using the Li–Ho–Cl components as an example, their structures, phase transition, ionic conductivity, and electrochemical stability are studied. Molecular dynamics simulations reveal the facile diffusion in the\n              z\n  </w:instrText>
            </w:r>
            <w:r w:rsidR="00E725CF" w:rsidRPr="002657D1">
              <w:rPr>
                <w:rFonts w:ascii="Times New Roman" w:hAnsi="Times New Roman" w:cs="Times New Roman" w:hint="eastAsia"/>
                <w:color w:val="000000" w:themeColor="text1"/>
                <w:sz w:val="24"/>
                <w:szCs w:val="24"/>
              </w:rPr>
              <w:instrText xml:space="preserve">            </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direction in the orthorhombic structure, rationalizing the improved ionic conductivities.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batteries of NMC811/Li\n              2.73\n              Ho\n              1.09\n              Cl\n              6\n              /In d</w:instrText>
            </w:r>
            <w:r w:rsidR="00E725CF" w:rsidRPr="002657D1">
              <w:rPr>
                <w:rFonts w:ascii="Times New Roman" w:hAnsi="Times New Roman" w:cs="Times New Roman"/>
                <w:color w:val="000000" w:themeColor="text1"/>
                <w:sz w:val="24"/>
                <w:szCs w:val="24"/>
              </w:rPr>
              <w:instrText>emonstrate excellent electrochemical performance at both 25 and −10 °C. As relevant to the vast number of isostructural halide electrolytes, the present structure control strategy guides the design of halide superionic conductors.","container-title":"Advanced Energy Materials","DOI":"10.1002/aenm.202103921","ISSN":"1614-6832, 1614-6840","issue":"21","journalAbbreviation":"Advanced Energy Materials","language":"en","page":"2103921","source":"DOI.org (Crossref)","title":"A Series of Ternary Metal Chloride S</w:instrText>
            </w:r>
            <w:r w:rsidR="00E725CF" w:rsidRPr="002657D1">
              <w:rPr>
                <w:rFonts w:ascii="Times New Roman" w:hAnsi="Times New Roman" w:cs="Times New Roman" w:hint="eastAsia"/>
                <w:color w:val="000000" w:themeColor="text1"/>
                <w:sz w:val="24"/>
                <w:szCs w:val="24"/>
              </w:rPr>
              <w:instrText>uperionic Conductors for High</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Performance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Lithium Batteries","volume":"12","author":[{"family":"Liang","given":"Jianwen"},{"family":"Van Der Maas","given":"Eveline"},{"family":"Luo","given":"Jing"},{"family":"Li","given":"Xiaona"},{"family</w:instrText>
            </w:r>
            <w:r w:rsidR="00E725CF" w:rsidRPr="002657D1">
              <w:rPr>
                <w:rFonts w:ascii="Times New Roman" w:hAnsi="Times New Roman" w:cs="Times New Roman"/>
                <w:color w:val="000000" w:themeColor="text1"/>
                <w:sz w:val="24"/>
                <w:szCs w:val="24"/>
              </w:rPr>
              <w:instrText xml:space="preserve">":"Chen","given":"Ning"},{"family":"Adair","given":"Keegan R."},{"family":"Li","given":"Weihan"},{"family":"Li","given":"Junjie"},{"family":"Hu","given":"Yongfeng"},{"family":"Liu","given":"Jue"},{"family":"Zhang","given":"Li"},{"family":"Zhao","given":"Shangqian"},{"family":"Lu","given":"Shigang"},{"family":"Wang","given":"Jiantao"},{"family":"Huang","given":"Huan"},{"family":"Zhao","given":"Wenxuan"},{"family":"Parnell","given":"Steven"},{"family":"Smith","given":"Ronald I."},{"family":"Ganapathy","given":"Swapna"},{"family":"Wagemaker","given":"Marnix"},{"family":"Sun","given":"Xueliang"}],"issued":{"date-parts":[["2022",6]]}}}],"schema":"https://github.com/citation-style-language/schema/raw/master/csl-citation.json"}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10</w:t>
            </w:r>
            <w:r w:rsidRPr="002657D1">
              <w:rPr>
                <w:rFonts w:ascii="Times New Roman" w:hAnsi="Times New Roman" w:cs="Times New Roman"/>
                <w:color w:val="000000" w:themeColor="text1"/>
                <w:sz w:val="24"/>
                <w:szCs w:val="24"/>
              </w:rPr>
              <w:fldChar w:fldCharType="end"/>
            </w:r>
          </w:p>
        </w:tc>
      </w:tr>
      <w:tr w:rsidR="002657D1" w:rsidRPr="002657D1" w14:paraId="39BF6452" w14:textId="77777777" w:rsidTr="002A5163">
        <w:trPr>
          <w:jc w:val="center"/>
        </w:trPr>
        <w:tc>
          <w:tcPr>
            <w:tcW w:w="1430" w:type="dxa"/>
            <w:vMerge/>
            <w:vAlign w:val="center"/>
          </w:tcPr>
          <w:p w14:paraId="5101F383" w14:textId="77777777" w:rsidR="00836447" w:rsidRPr="002657D1" w:rsidRDefault="00836447" w:rsidP="00836447">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52E7C713" w14:textId="76D50B5F" w:rsidR="00836447" w:rsidRPr="002657D1" w:rsidRDefault="00836447" w:rsidP="00836447">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2.60</w:t>
            </w:r>
            <w:r w:rsidRPr="002657D1">
              <w:rPr>
                <w:rFonts w:ascii="Times New Roman" w:hAnsi="Times New Roman" w:cs="Times New Roman"/>
                <w:color w:val="000000" w:themeColor="text1"/>
                <w:kern w:val="24"/>
                <w:sz w:val="24"/>
                <w:szCs w:val="24"/>
              </w:rPr>
              <w:t>Yb</w:t>
            </w:r>
            <w:r w:rsidRPr="002657D1">
              <w:rPr>
                <w:rFonts w:ascii="Times New Roman" w:hAnsi="Times New Roman" w:cs="Times New Roman"/>
                <w:color w:val="000000" w:themeColor="text1"/>
                <w:kern w:val="24"/>
                <w:sz w:val="24"/>
                <w:szCs w:val="24"/>
                <w:vertAlign w:val="subscript"/>
              </w:rPr>
              <w:t>0.60</w:t>
            </w:r>
            <w:r w:rsidRPr="002657D1">
              <w:rPr>
                <w:rFonts w:ascii="Times New Roman" w:hAnsi="Times New Roman" w:cs="Times New Roman"/>
                <w:color w:val="000000" w:themeColor="text1"/>
                <w:kern w:val="24"/>
                <w:sz w:val="24"/>
                <w:szCs w:val="24"/>
              </w:rPr>
              <w:t>Hf</w:t>
            </w:r>
            <w:r w:rsidRPr="002657D1">
              <w:rPr>
                <w:rFonts w:ascii="Times New Roman" w:hAnsi="Times New Roman" w:cs="Times New Roman"/>
                <w:color w:val="000000" w:themeColor="text1"/>
                <w:kern w:val="24"/>
                <w:sz w:val="24"/>
                <w:szCs w:val="24"/>
                <w:vertAlign w:val="subscript"/>
              </w:rPr>
              <w:t>0.40</w:t>
            </w:r>
            <w:r w:rsidRPr="002657D1">
              <w:rPr>
                <w:rFonts w:ascii="Times New Roman" w:hAnsi="Times New Roman" w:cs="Times New Roman"/>
                <w:color w:val="000000" w:themeColor="text1"/>
                <w:kern w:val="24"/>
                <w:sz w:val="24"/>
                <w:szCs w:val="24"/>
              </w:rPr>
              <w:t>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20CCFF9E" w14:textId="66223438" w:rsidR="00836447" w:rsidRPr="002657D1" w:rsidRDefault="00836447" w:rsidP="00836447">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1.2</w:t>
            </w:r>
          </w:p>
        </w:tc>
        <w:tc>
          <w:tcPr>
            <w:tcW w:w="1541" w:type="dxa"/>
            <w:tcBorders>
              <w:top w:val="nil"/>
              <w:bottom w:val="nil"/>
            </w:tcBorders>
            <w:vAlign w:val="center"/>
          </w:tcPr>
          <w:p w14:paraId="73771076" w14:textId="66AEED95" w:rsidR="00836447" w:rsidRPr="002657D1" w:rsidRDefault="00836447" w:rsidP="00836447">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70459F" w:rsidRPr="002657D1">
              <w:rPr>
                <w:rFonts w:ascii="Times New Roman" w:hAnsi="Times New Roman" w:cs="Times New Roman"/>
                <w:color w:val="000000" w:themeColor="text1"/>
                <w:sz w:val="24"/>
                <w:szCs w:val="24"/>
              </w:rPr>
              <w:instrText xml:space="preserve"> ADDIN ZOTERO_ITEM CSL_CITATION {"citationID":"apobma2gh6","properties":{"formattedCitation":"\\super 50\\nosupersub{}","plainCitation":"50","noteIndex":0},"citationItems":[{"id":1972,"uris":["http://zotero.org/users/local/J1vikkcu/items/3HF8HPBQ"],"itemData":{"id":1972,"type":"article-journal","abstract":"Owing to their deformability and good (electro)chemical-oxidation stability, halide superionic conductors have emerged as enablers for practical all-solid-state batteries. Herein, we report the dynamic structural evolution of Li3YbCl6, which varies with the heat treatment temperature (400 vs. 500 ◦C) and aliovalent substitutions with Hf4+ or Zr4+. It is observed that slight differences in Li+ conductivities (0.19 vs. 0.14 mS cm 1 at 30 ◦C) and activation energies (0.47 vs. 0.53 eV) between unsubstituted Li3YbCl6 heat-treated at 400 and 500 ◦C diverge upon aliovalent substitution, which results in the evolution of monoclinic and orthorhombic phases, respectively. Enhanced Li+ conductivities reaching 1.5 mS cm 1 with an activation energy of 0.26 eV (Li2.60Yb0.60Hf0.40Cl6 prepared at 400 ◦C) upon Hf4+- or Zr4+-substitution are ascribed to the optimal concentration of charge carriers of Li+ and vacancies. Importantly, the exclusive comparison of crystal structures affecting Li+ conductivity in halide superionic conductors is enabled for the first time, demonstrating that it is more favorable for the cubic close-packed (ccp) monoclinic structure as compared to the hexagonal close-packed (hcp) orthorhombic structure. Furthermore, the excellent reversibility of single-crystalline LiNi0.88Co0.11Al0.01O2 in all-solid-state cells at 30 ◦C was achieved by employing ccp monoclinic Li2.60Yb0.60Hf0.40Cl6 prepared at 400 ◦C with a capacity retention of 83.6% after 1000 cycles.","container-title":"Chemical Engineering Journal","DOI":"10.1016/j.cej.2021.130630","ISSN":"13858947","journalAbbreviation":"Chemical Engineering Journal","language":"en","page":"130630","source":"DOI.org (Crossref)","title":"Heat treatment protocol for modulating ionic conductivity via structural evolution of Li3-xYb1-xMxCl6 (M = Hf4+, Zr4+) new halide superionic conductors for all-solid-state batteries","volume":"425","author":[{"family":"Park","given":"Juhyoun"},{"family":"Han","given":"Daseul"},{"family":"Kwak","given":"Hiram"},{"family":"Han","given":"Yoonjae"},{"family":"Choi","given":"Yong Jeong"},{"family":"Nam","given":"Kyung-Wan"},{"family":"Jung","given":"Yoon Seok"}],"issued":{"date-parts":[["2021",12]]}}}],"schema":"https://github.com/citation-style-language/schema/raw/master/csl-citation.json"}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50</w:t>
            </w:r>
            <w:r w:rsidRPr="002657D1">
              <w:rPr>
                <w:rFonts w:ascii="Times New Roman" w:hAnsi="Times New Roman" w:cs="Times New Roman"/>
                <w:color w:val="000000" w:themeColor="text1"/>
                <w:sz w:val="24"/>
                <w:szCs w:val="24"/>
              </w:rPr>
              <w:fldChar w:fldCharType="end"/>
            </w:r>
          </w:p>
        </w:tc>
      </w:tr>
      <w:tr w:rsidR="002657D1" w:rsidRPr="002657D1" w14:paraId="6EAD7F03" w14:textId="77777777" w:rsidTr="002A5163">
        <w:trPr>
          <w:jc w:val="center"/>
        </w:trPr>
        <w:tc>
          <w:tcPr>
            <w:tcW w:w="1430" w:type="dxa"/>
            <w:vMerge/>
            <w:vAlign w:val="center"/>
          </w:tcPr>
          <w:p w14:paraId="5ED0657A"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7BD1E92F"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2.556</w:t>
            </w:r>
            <w:r w:rsidRPr="002657D1">
              <w:rPr>
                <w:rFonts w:ascii="Times New Roman" w:hAnsi="Times New Roman" w:cs="Times New Roman"/>
                <w:color w:val="000000" w:themeColor="text1"/>
                <w:kern w:val="24"/>
                <w:sz w:val="24"/>
                <w:szCs w:val="24"/>
              </w:rPr>
              <w:t>Yb</w:t>
            </w:r>
            <w:r w:rsidRPr="002657D1">
              <w:rPr>
                <w:rFonts w:ascii="Times New Roman" w:hAnsi="Times New Roman" w:cs="Times New Roman"/>
                <w:color w:val="000000" w:themeColor="text1"/>
                <w:kern w:val="24"/>
                <w:sz w:val="24"/>
                <w:szCs w:val="24"/>
                <w:vertAlign w:val="subscript"/>
              </w:rPr>
              <w:t>0.492</w:t>
            </w:r>
            <w:r w:rsidRPr="002657D1">
              <w:rPr>
                <w:rFonts w:ascii="Times New Roman" w:hAnsi="Times New Roman" w:cs="Times New Roman"/>
                <w:color w:val="000000" w:themeColor="text1"/>
                <w:kern w:val="24"/>
                <w:sz w:val="24"/>
                <w:szCs w:val="24"/>
              </w:rPr>
              <w:t>Zr</w:t>
            </w:r>
            <w:r w:rsidRPr="002657D1">
              <w:rPr>
                <w:rFonts w:ascii="Times New Roman" w:hAnsi="Times New Roman" w:cs="Times New Roman"/>
                <w:color w:val="000000" w:themeColor="text1"/>
                <w:kern w:val="24"/>
                <w:sz w:val="24"/>
                <w:szCs w:val="24"/>
                <w:vertAlign w:val="subscript"/>
              </w:rPr>
              <w:t>0.492</w:t>
            </w:r>
            <w:r w:rsidRPr="002657D1">
              <w:rPr>
                <w:rFonts w:ascii="Times New Roman" w:hAnsi="Times New Roman" w:cs="Times New Roman"/>
                <w:color w:val="000000" w:themeColor="text1"/>
                <w:kern w:val="24"/>
                <w:sz w:val="24"/>
                <w:szCs w:val="24"/>
              </w:rPr>
              <w:t>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3EEBB78C"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1.58</w:t>
            </w:r>
          </w:p>
        </w:tc>
        <w:tc>
          <w:tcPr>
            <w:tcW w:w="1541" w:type="dxa"/>
            <w:tcBorders>
              <w:top w:val="nil"/>
              <w:bottom w:val="nil"/>
            </w:tcBorders>
            <w:vAlign w:val="center"/>
          </w:tcPr>
          <w:p w14:paraId="73ED38EB" w14:textId="731EC5DF"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{"citationID":"6FBoAbm0","properties":{"formattedCitation":"\\super 51\\nosupersub{}","plainCitation":"51","noteIndex":0},"citationItems":[{"id":"IXaoCdHi/a9xUTGtf","uris":["http://zotero.org/users/local/As3BANDe/items/92F2VZU8"],"itemData":{"id":2809,"type":"article-journal","container-title":"Nano Energy","DOI":"10.1016/j.nanoen.2021.106674","ISSN":"22112855","journalAbbreviation":"Nano Energy","language":"en","page":"106674","source":"DOI.org (Crossref)","title":"Origin of high electrochemical stability of multi-metal chloride solid electrolytes for high energy all-solid-state lithium-ion batteries","volume":"92","author":[{"family":"Xu","given":"Guofeng"},{"family":"Luo","given":"Liang"},{"family":"Liang","given":"Jianwen"},{"family":"Zhao","given":"Shangqian"},{"family":"Yang","given":"Rong"},{"family":"Wang","given":"Changhong"},{"family":"Yu","given":"Tianwei"},{"family":"Wang","given":"Limin"},{"family":"Xiao","given":"Wei"},{"family":"Wang","given":"Jiantao"},{"family":"Yu","given":"Jinqiu"},{"family":"Sun","given":"Xueliang"}],"issued":{"date-parts":[["2022",2]]}}}],"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51</w:t>
            </w:r>
            <w:r w:rsidRPr="002657D1">
              <w:rPr>
                <w:rFonts w:ascii="Times New Roman" w:hAnsi="Times New Roman" w:cs="Times New Roman"/>
                <w:color w:val="000000" w:themeColor="text1"/>
                <w:sz w:val="24"/>
                <w:szCs w:val="24"/>
              </w:rPr>
              <w:fldChar w:fldCharType="end"/>
            </w:r>
          </w:p>
        </w:tc>
      </w:tr>
      <w:tr w:rsidR="002657D1" w:rsidRPr="002657D1" w14:paraId="5E245F85" w14:textId="77777777" w:rsidTr="002A5163">
        <w:trPr>
          <w:jc w:val="center"/>
        </w:trPr>
        <w:tc>
          <w:tcPr>
            <w:tcW w:w="1430" w:type="dxa"/>
            <w:vMerge/>
            <w:vAlign w:val="center"/>
          </w:tcPr>
          <w:p w14:paraId="114FF8A7" w14:textId="77777777" w:rsidR="0046513C" w:rsidRPr="002657D1" w:rsidRDefault="0046513C" w:rsidP="00E27D34">
            <w:pPr>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nil"/>
            </w:tcBorders>
            <w:vAlign w:val="center"/>
          </w:tcPr>
          <w:p w14:paraId="4402CCAD"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2.633</w:t>
            </w:r>
            <w:r w:rsidRPr="002657D1">
              <w:rPr>
                <w:rFonts w:ascii="Times New Roman" w:hAnsi="Times New Roman" w:cs="Times New Roman"/>
                <w:color w:val="000000" w:themeColor="text1"/>
                <w:kern w:val="24"/>
                <w:sz w:val="24"/>
                <w:szCs w:val="24"/>
              </w:rPr>
              <w:t>Er</w:t>
            </w:r>
            <w:r w:rsidRPr="002657D1">
              <w:rPr>
                <w:rFonts w:ascii="Times New Roman" w:hAnsi="Times New Roman" w:cs="Times New Roman"/>
                <w:color w:val="000000" w:themeColor="text1"/>
                <w:kern w:val="24"/>
                <w:sz w:val="24"/>
                <w:szCs w:val="24"/>
                <w:vertAlign w:val="subscript"/>
              </w:rPr>
              <w:t>0.633</w:t>
            </w:r>
            <w:r w:rsidRPr="002657D1">
              <w:rPr>
                <w:rFonts w:ascii="Times New Roman" w:hAnsi="Times New Roman" w:cs="Times New Roman"/>
                <w:color w:val="000000" w:themeColor="text1"/>
                <w:kern w:val="24"/>
                <w:sz w:val="24"/>
                <w:szCs w:val="24"/>
              </w:rPr>
              <w:t>Zr</w:t>
            </w:r>
            <w:r w:rsidRPr="002657D1">
              <w:rPr>
                <w:rFonts w:ascii="Times New Roman" w:hAnsi="Times New Roman" w:cs="Times New Roman"/>
                <w:color w:val="000000" w:themeColor="text1"/>
                <w:kern w:val="24"/>
                <w:sz w:val="24"/>
                <w:szCs w:val="24"/>
                <w:vertAlign w:val="subscript"/>
              </w:rPr>
              <w:t>0.367</w:t>
            </w:r>
            <w:r w:rsidRPr="002657D1">
              <w:rPr>
                <w:rFonts w:ascii="Times New Roman" w:hAnsi="Times New Roman" w:cs="Times New Roman"/>
                <w:color w:val="000000" w:themeColor="text1"/>
                <w:kern w:val="24"/>
                <w:sz w:val="24"/>
                <w:szCs w:val="24"/>
              </w:rPr>
              <w:t>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nil"/>
            </w:tcBorders>
            <w:vAlign w:val="center"/>
          </w:tcPr>
          <w:p w14:paraId="3A72D08E"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1.1</w:t>
            </w:r>
          </w:p>
        </w:tc>
        <w:tc>
          <w:tcPr>
            <w:tcW w:w="1541" w:type="dxa"/>
            <w:tcBorders>
              <w:top w:val="nil"/>
              <w:bottom w:val="nil"/>
            </w:tcBorders>
            <w:vAlign w:val="center"/>
          </w:tcPr>
          <w:p w14:paraId="61B7AAE8" w14:textId="4AF72BF5"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{"citationID":"Omv5ajeC","properties":{"formattedCitation":"\\super 52\\nosupersub{}","plainCitation":"52","noteIndex":0},"citationItems":[{"id":"IXaoCdHi/w7WmIQCK","uris":["http://zotero.org/users/local/As3BANDe/items/ITJHDZHX"],"itemData":{"id":2811,"type":"article-journal","container-title":"ACS Energy Letters","DOI":"10.1021/acsenergylett.9b02599","ISSN":"2380-8195, 2380-8195","issue":"2","journalAbbreviation":"ACS Energy Lett.","language":"en","license":"https://doi.org/10.15223/policy-029","page":"533-539","source":"DOI.org (Crossref)","title":"High-Voltage Superionic Halide Solid Electrolytes for All-Solid-State Li-Ion Batteries","volume":"5","author":[{"family":"Park","given":"Kern-Ho"},{"family":"Kaup","given":"Kavish"},{"family":"Assoud","given":"Abdeljalil"},{"family":"Zhang","given":"Qiang"},{"family":"Wu","given":"Xiaohan"},{"family":"Nazar","given":"Linda F."}],"issued":{"date-parts":[["2020",2,14]]}}}],"schema":"https://github.com/citation-style-language/schema/raw/master/csl-citation.json"}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52</w:t>
            </w:r>
            <w:r w:rsidRPr="002657D1">
              <w:rPr>
                <w:rFonts w:ascii="Times New Roman" w:hAnsi="Times New Roman" w:cs="Times New Roman"/>
                <w:color w:val="000000" w:themeColor="text1"/>
                <w:sz w:val="24"/>
                <w:szCs w:val="24"/>
              </w:rPr>
              <w:fldChar w:fldCharType="end"/>
            </w:r>
          </w:p>
        </w:tc>
      </w:tr>
      <w:tr w:rsidR="002657D1" w:rsidRPr="002657D1" w14:paraId="2C7F9E74" w14:textId="77777777" w:rsidTr="002A5163">
        <w:trPr>
          <w:jc w:val="center"/>
        </w:trPr>
        <w:tc>
          <w:tcPr>
            <w:tcW w:w="1430" w:type="dxa"/>
            <w:vMerge/>
            <w:tcBorders>
              <w:bottom w:val="single" w:sz="12" w:space="0" w:color="auto"/>
            </w:tcBorders>
            <w:vAlign w:val="center"/>
          </w:tcPr>
          <w:p w14:paraId="347157F8"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p>
        </w:tc>
        <w:tc>
          <w:tcPr>
            <w:tcW w:w="4101" w:type="dxa"/>
            <w:tcBorders>
              <w:top w:val="nil"/>
              <w:bottom w:val="single" w:sz="12" w:space="0" w:color="auto"/>
            </w:tcBorders>
            <w:vAlign w:val="center"/>
          </w:tcPr>
          <w:p w14:paraId="7B489916"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2.5</w:t>
            </w:r>
            <w:r w:rsidRPr="002657D1">
              <w:rPr>
                <w:rFonts w:ascii="Times New Roman" w:hAnsi="Times New Roman" w:cs="Times New Roman"/>
                <w:color w:val="000000" w:themeColor="text1"/>
                <w:kern w:val="24"/>
                <w:sz w:val="24"/>
                <w:szCs w:val="24"/>
              </w:rPr>
              <w:t>Y</w:t>
            </w:r>
            <w:r w:rsidRPr="002657D1">
              <w:rPr>
                <w:rFonts w:ascii="Times New Roman" w:hAnsi="Times New Roman" w:cs="Times New Roman"/>
                <w:color w:val="000000" w:themeColor="text1"/>
                <w:kern w:val="24"/>
                <w:sz w:val="24"/>
                <w:szCs w:val="24"/>
                <w:vertAlign w:val="subscript"/>
              </w:rPr>
              <w:t>0.5</w:t>
            </w:r>
            <w:r w:rsidRPr="002657D1">
              <w:rPr>
                <w:rFonts w:ascii="Times New Roman" w:hAnsi="Times New Roman" w:cs="Times New Roman"/>
                <w:color w:val="000000" w:themeColor="text1"/>
                <w:kern w:val="24"/>
                <w:sz w:val="24"/>
                <w:szCs w:val="24"/>
              </w:rPr>
              <w:t>Zr</w:t>
            </w:r>
            <w:r w:rsidRPr="002657D1">
              <w:rPr>
                <w:rFonts w:ascii="Times New Roman" w:hAnsi="Times New Roman" w:cs="Times New Roman"/>
                <w:color w:val="000000" w:themeColor="text1"/>
                <w:kern w:val="24"/>
                <w:sz w:val="24"/>
                <w:szCs w:val="24"/>
                <w:vertAlign w:val="subscript"/>
              </w:rPr>
              <w:t>0.5</w:t>
            </w:r>
            <w:r w:rsidRPr="002657D1">
              <w:rPr>
                <w:rFonts w:ascii="Times New Roman" w:hAnsi="Times New Roman" w:cs="Times New Roman"/>
                <w:color w:val="000000" w:themeColor="text1"/>
                <w:kern w:val="24"/>
                <w:sz w:val="24"/>
                <w:szCs w:val="24"/>
              </w:rPr>
              <w:t>Cl</w:t>
            </w:r>
            <w:r w:rsidRPr="002657D1">
              <w:rPr>
                <w:rFonts w:ascii="Times New Roman" w:hAnsi="Times New Roman" w:cs="Times New Roman"/>
                <w:color w:val="000000" w:themeColor="text1"/>
                <w:kern w:val="24"/>
                <w:sz w:val="24"/>
                <w:szCs w:val="24"/>
                <w:vertAlign w:val="subscript"/>
              </w:rPr>
              <w:t>6</w:t>
            </w:r>
          </w:p>
        </w:tc>
        <w:tc>
          <w:tcPr>
            <w:tcW w:w="1755" w:type="dxa"/>
            <w:tcBorders>
              <w:top w:val="nil"/>
              <w:bottom w:val="single" w:sz="12" w:space="0" w:color="auto"/>
            </w:tcBorders>
            <w:vAlign w:val="center"/>
          </w:tcPr>
          <w:p w14:paraId="2B25D296" w14:textId="77777777" w:rsidR="0046513C" w:rsidRPr="002657D1" w:rsidRDefault="0046513C" w:rsidP="00E27D3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1.4</w:t>
            </w:r>
          </w:p>
        </w:tc>
        <w:tc>
          <w:tcPr>
            <w:tcW w:w="1541" w:type="dxa"/>
            <w:tcBorders>
              <w:top w:val="nil"/>
              <w:bottom w:val="single" w:sz="12" w:space="0" w:color="auto"/>
            </w:tcBorders>
            <w:vAlign w:val="center"/>
          </w:tcPr>
          <w:p w14:paraId="650C860D" w14:textId="0ADD1B1A" w:rsidR="0046513C" w:rsidRPr="002657D1" w:rsidRDefault="0046513C" w:rsidP="00E27D3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{"citationID":"4EiDiYqN","properties":{"formattedCitation":"\\super 52\\nosupersub{}","plainCitation":"52","noteIndex":0},"citationItems":[{"id":"IXaoCdHi/w7WmIQCK","uris":["http://zotero.org/users/local/As3BANDe/items/ITJHDZHX"],"itemData":{"id":2811,"type":"article-journal","container-title":"ACS Energy Letters","DOI":"10.1021/acsenergylett.9b02599","ISSN":"2380-8195, 2380-8195","issue":"2","journalAbbreviation":"ACS Energy Lett.","language":"en","license":"https://doi.org/10.15223/policy-029","page":"533-539","source":"DOI.org (Crossref)","title":"High-Voltage Superionic Halide Solid Electrolytes for All-Solid-State Li-Ion Batteries","volume":"5","author":[{"family":"Park","given":"Kern-Ho"},{"family":"Kaup","given":"Kavish"},{"family":"Assoud","given":"Abdeljalil"},{"family":"Zhang","given":"Qiang"},{"family":"Wu","given":"Xiaohan"},{"family":"Nazar","given":"Linda F."}],"issued":{"date-parts":[["2020",2,14]]}}}],"schema":"https://github.com/citation-style-language/schema/raw/master/csl-citation.json"}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70459F" w:rsidRPr="002657D1">
              <w:rPr>
                <w:rFonts w:ascii="Times New Roman" w:hAnsi="Times New Roman" w:cs="Times New Roman"/>
                <w:color w:val="000000" w:themeColor="text1"/>
                <w:kern w:val="0"/>
                <w:sz w:val="24"/>
                <w:szCs w:val="24"/>
                <w:vertAlign w:val="superscript"/>
              </w:rPr>
              <w:t>52</w:t>
            </w:r>
            <w:r w:rsidRPr="002657D1">
              <w:rPr>
                <w:rFonts w:ascii="Times New Roman" w:hAnsi="Times New Roman" w:cs="Times New Roman"/>
                <w:color w:val="000000" w:themeColor="text1"/>
                <w:sz w:val="24"/>
                <w:szCs w:val="24"/>
              </w:rPr>
              <w:fldChar w:fldCharType="end"/>
            </w:r>
          </w:p>
        </w:tc>
      </w:tr>
    </w:tbl>
    <w:p w14:paraId="36EE9A0A" w14:textId="77777777" w:rsidR="0046513C" w:rsidRPr="002657D1" w:rsidRDefault="0046513C" w:rsidP="0046513C">
      <w:pPr>
        <w:widowControl/>
        <w:jc w:val="left"/>
        <w:rPr>
          <w:rFonts w:ascii="Times New Roman" w:hAnsi="Times New Roman" w:cs="Times New Roman"/>
          <w:color w:val="000000" w:themeColor="text1"/>
        </w:rPr>
      </w:pPr>
      <w:r w:rsidRPr="002657D1">
        <w:rPr>
          <w:rFonts w:ascii="Times New Roman" w:hAnsi="Times New Roman" w:cs="Times New Roman"/>
          <w:color w:val="000000" w:themeColor="text1"/>
        </w:rPr>
        <w:br w:type="page"/>
      </w:r>
    </w:p>
    <w:p w14:paraId="58819E58" w14:textId="72ED28BA" w:rsidR="00C92F90" w:rsidRPr="002657D1" w:rsidRDefault="00C92F90" w:rsidP="00C92F90">
      <w:pPr>
        <w:widowControl/>
        <w:spacing w:before="120" w:afterLines="50" w:after="156" w:line="360" w:lineRule="auto"/>
        <w:rPr>
          <w:rFonts w:ascii="Times New Roman" w:hAnsi="Times New Roman" w:cs="Times New Roman"/>
          <w:color w:val="000000" w:themeColor="text1"/>
          <w:sz w:val="24"/>
          <w:szCs w:val="24"/>
        </w:rPr>
      </w:pPr>
      <w:r w:rsidRPr="002657D1">
        <w:rPr>
          <w:rFonts w:ascii="Times New Roman" w:hAnsi="Times New Roman" w:cs="Times New Roman"/>
          <w:b/>
          <w:bCs/>
          <w:color w:val="000000" w:themeColor="text1"/>
          <w:sz w:val="24"/>
          <w:szCs w:val="24"/>
        </w:rPr>
        <w:lastRenderedPageBreak/>
        <w:t xml:space="preserve">Supplementary Table </w:t>
      </w:r>
      <w:r w:rsidR="0046513C" w:rsidRPr="002657D1">
        <w:rPr>
          <w:rFonts w:ascii="Times New Roman" w:hAnsi="Times New Roman" w:cs="Times New Roman"/>
          <w:b/>
          <w:bCs/>
          <w:color w:val="000000" w:themeColor="text1"/>
          <w:sz w:val="24"/>
          <w:szCs w:val="24"/>
        </w:rPr>
        <w:t>2</w:t>
      </w:r>
      <w:r w:rsidRPr="002657D1">
        <w:rPr>
          <w:rFonts w:ascii="Times New Roman" w:hAnsi="Times New Roman" w:cs="Times New Roman"/>
          <w:b/>
          <w:bCs/>
          <w:color w:val="000000" w:themeColor="text1"/>
          <w:sz w:val="24"/>
          <w:szCs w:val="24"/>
        </w:rPr>
        <w:t>.</w:t>
      </w:r>
      <w:r w:rsidRPr="002657D1">
        <w:rPr>
          <w:rFonts w:ascii="Times New Roman" w:hAnsi="Times New Roman" w:cs="Times New Roman"/>
          <w:color w:val="000000" w:themeColor="text1"/>
          <w:sz w:val="24"/>
          <w:szCs w:val="24"/>
        </w:rPr>
        <w:t xml:space="preserve"> Rietveld refinement results from the XRD pattern of LZC-10TF. The space group is </w:t>
      </w:r>
      <m:oMath>
        <m:r>
          <m:rPr>
            <m:nor/>
          </m:rPr>
          <w:rPr>
            <w:rFonts w:ascii="Times New Roman" w:hAnsi="Times New Roman" w:cs="Times New Roman"/>
            <w:i/>
            <w:iCs/>
            <w:color w:val="000000" w:themeColor="text1"/>
            <w:sz w:val="24"/>
            <w:szCs w:val="24"/>
          </w:rPr>
          <m:t>P</m:t>
        </m:r>
        <m:acc>
          <m:accPr>
            <m:chr m:val="̅"/>
            <m:ctrlPr>
              <w:rPr>
                <w:rFonts w:ascii="Cambria Math" w:eastAsia="宋体" w:hAnsi="Cambria Math" w:cs="Times New Roman"/>
                <w:i/>
                <w:iCs/>
                <w:color w:val="000000" w:themeColor="text1"/>
                <w:sz w:val="24"/>
                <w:szCs w:val="24"/>
              </w:rPr>
            </m:ctrlPr>
          </m:accPr>
          <m:e>
            <m:r>
              <m:rPr>
                <m:nor/>
              </m:rPr>
              <w:rPr>
                <w:rFonts w:ascii="Times New Roman" w:hAnsi="Times New Roman" w:cs="Times New Roman"/>
                <w:i/>
                <w:iCs/>
                <w:color w:val="000000" w:themeColor="text1"/>
                <w:sz w:val="24"/>
                <w:szCs w:val="24"/>
              </w:rPr>
              <m:t>3</m:t>
            </m:r>
          </m:e>
        </m:acc>
        <m:r>
          <m:rPr>
            <m:nor/>
          </m:rPr>
          <w:rPr>
            <w:rFonts w:ascii="Times New Roman" w:hAnsi="Times New Roman" w:cs="Times New Roman"/>
            <w:i/>
            <w:iCs/>
            <w:color w:val="000000" w:themeColor="text1"/>
            <w:sz w:val="24"/>
            <w:szCs w:val="24"/>
          </w:rPr>
          <m:t>m1</m:t>
        </m:r>
      </m:oMath>
      <w:r w:rsidRPr="002657D1">
        <w:rPr>
          <w:rFonts w:ascii="Times New Roman" w:hAnsi="Times New Roman" w:cs="Times New Roman"/>
          <w:color w:val="000000" w:themeColor="text1"/>
          <w:sz w:val="24"/>
          <w:szCs w:val="24"/>
        </w:rPr>
        <w:t>; the refined lattice parameters are</w:t>
      </w:r>
      <w:r w:rsidR="00677B80" w:rsidRPr="002657D1">
        <w:rPr>
          <w:rFonts w:ascii="Times New Roman" w:hAnsi="Times New Roman" w:cs="Times New Roman"/>
          <w:color w:val="000000" w:themeColor="text1"/>
          <w:sz w:val="24"/>
          <w:szCs w:val="24"/>
        </w:rPr>
        <w:t xml:space="preserve"> </w:t>
      </w:r>
      <w:bookmarkStart w:id="95" w:name="_Hlk170226740"/>
      <w:r w:rsidR="00677B80" w:rsidRPr="002657D1">
        <w:rPr>
          <w:rFonts w:ascii="Times New Roman" w:hAnsi="Times New Roman" w:cs="Times New Roman"/>
          <w:color w:val="000000" w:themeColor="text1"/>
          <w:sz w:val="24"/>
          <w:szCs w:val="24"/>
        </w:rPr>
        <w:t>a = 10.9</w:t>
      </w:r>
      <w:r w:rsidR="00453B4F" w:rsidRPr="002657D1">
        <w:rPr>
          <w:rFonts w:ascii="Times New Roman" w:hAnsi="Times New Roman" w:cs="Times New Roman"/>
          <w:color w:val="000000" w:themeColor="text1"/>
          <w:sz w:val="24"/>
          <w:szCs w:val="24"/>
        </w:rPr>
        <w:t>6</w:t>
      </w:r>
      <w:r w:rsidR="002379F7" w:rsidRPr="002657D1">
        <w:rPr>
          <w:rFonts w:ascii="Times New Roman" w:hAnsi="Times New Roman" w:cs="Times New Roman"/>
          <w:color w:val="000000" w:themeColor="text1"/>
          <w:sz w:val="24"/>
          <w:szCs w:val="24"/>
        </w:rPr>
        <w:t>25</w:t>
      </w:r>
      <w:r w:rsidR="00677B80" w:rsidRPr="002657D1">
        <w:rPr>
          <w:rFonts w:ascii="Times New Roman" w:hAnsi="Times New Roman" w:cs="Times New Roman"/>
          <w:color w:val="000000" w:themeColor="text1"/>
          <w:sz w:val="24"/>
          <w:szCs w:val="24"/>
        </w:rPr>
        <w:t xml:space="preserve"> Å, c = 5.9</w:t>
      </w:r>
      <w:r w:rsidR="00E32AF2" w:rsidRPr="002657D1">
        <w:rPr>
          <w:rFonts w:ascii="Times New Roman" w:hAnsi="Times New Roman" w:cs="Times New Roman"/>
          <w:color w:val="000000" w:themeColor="text1"/>
          <w:sz w:val="24"/>
          <w:szCs w:val="24"/>
        </w:rPr>
        <w:t>256</w:t>
      </w:r>
      <w:r w:rsidR="00677B80" w:rsidRPr="002657D1">
        <w:rPr>
          <w:rFonts w:ascii="Times New Roman" w:hAnsi="Times New Roman" w:cs="Times New Roman"/>
          <w:color w:val="000000" w:themeColor="text1"/>
          <w:sz w:val="24"/>
          <w:szCs w:val="24"/>
        </w:rPr>
        <w:t xml:space="preserve"> Å</w:t>
      </w:r>
      <w:bookmarkEnd w:id="95"/>
      <w:r w:rsidR="00E20FC3" w:rsidRPr="002657D1">
        <w:rPr>
          <w:rFonts w:ascii="Times New Roman" w:hAnsi="Times New Roman" w:cs="Times New Roman"/>
          <w:color w:val="000000" w:themeColor="text1"/>
          <w:sz w:val="24"/>
          <w:szCs w:val="24"/>
        </w:rPr>
        <w:t xml:space="preserve">, </w:t>
      </w:r>
      <w:r w:rsidR="00677B80" w:rsidRPr="002657D1">
        <w:rPr>
          <w:rFonts w:ascii="Times New Roman" w:hAnsi="Times New Roman" w:cs="Times New Roman"/>
          <w:color w:val="000000" w:themeColor="text1"/>
          <w:sz w:val="24"/>
          <w:szCs w:val="24"/>
        </w:rPr>
        <w:t>and V= 61</w:t>
      </w:r>
      <w:r w:rsidR="00453B4F" w:rsidRPr="002657D1">
        <w:rPr>
          <w:rFonts w:ascii="Times New Roman" w:hAnsi="Times New Roman" w:cs="Times New Roman"/>
          <w:color w:val="000000" w:themeColor="text1"/>
          <w:sz w:val="24"/>
          <w:szCs w:val="24"/>
        </w:rPr>
        <w:t>6</w:t>
      </w:r>
      <w:r w:rsidR="00677B80" w:rsidRPr="002657D1">
        <w:rPr>
          <w:rFonts w:ascii="Times New Roman" w:hAnsi="Times New Roman" w:cs="Times New Roman"/>
          <w:color w:val="000000" w:themeColor="text1"/>
          <w:sz w:val="24"/>
          <w:szCs w:val="24"/>
        </w:rPr>
        <w:t>.</w:t>
      </w:r>
      <w:r w:rsidR="002379F7" w:rsidRPr="002657D1">
        <w:rPr>
          <w:rFonts w:ascii="Times New Roman" w:hAnsi="Times New Roman" w:cs="Times New Roman"/>
          <w:color w:val="000000" w:themeColor="text1"/>
          <w:sz w:val="24"/>
          <w:szCs w:val="24"/>
        </w:rPr>
        <w:t>7</w:t>
      </w:r>
      <w:r w:rsidR="00453B4F" w:rsidRPr="002657D1">
        <w:rPr>
          <w:rFonts w:ascii="Times New Roman" w:hAnsi="Times New Roman" w:cs="Times New Roman"/>
          <w:color w:val="000000" w:themeColor="text1"/>
          <w:sz w:val="24"/>
          <w:szCs w:val="24"/>
        </w:rPr>
        <w:t>1</w:t>
      </w:r>
      <w:r w:rsidR="00677B80" w:rsidRPr="002657D1">
        <w:rPr>
          <w:rFonts w:ascii="Times New Roman" w:hAnsi="Times New Roman" w:cs="Times New Roman"/>
          <w:color w:val="000000" w:themeColor="text1"/>
          <w:sz w:val="24"/>
          <w:szCs w:val="24"/>
        </w:rPr>
        <w:t xml:space="preserve"> Å</w:t>
      </w:r>
      <w:r w:rsidR="00677B80" w:rsidRPr="002657D1">
        <w:rPr>
          <w:rFonts w:ascii="Times New Roman" w:hAnsi="Times New Roman" w:cs="Times New Roman"/>
          <w:color w:val="000000" w:themeColor="text1"/>
          <w:sz w:val="24"/>
          <w:szCs w:val="24"/>
          <w:vertAlign w:val="superscript"/>
        </w:rPr>
        <w:t>3</w:t>
      </w:r>
      <w:r w:rsidR="004A7A26" w:rsidRPr="002657D1">
        <w:rPr>
          <w:rFonts w:ascii="Times New Roman" w:hAnsi="Times New Roman" w:cs="Times New Roman"/>
          <w:color w:val="000000" w:themeColor="text1"/>
          <w:sz w:val="24"/>
          <w:szCs w:val="24"/>
        </w:rPr>
        <w:t>.</w:t>
      </w:r>
    </w:p>
    <w:tbl>
      <w:tblPr>
        <w:tblStyle w:val="af7"/>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167"/>
        <w:gridCol w:w="1171"/>
        <w:gridCol w:w="1171"/>
        <w:gridCol w:w="1171"/>
        <w:gridCol w:w="1296"/>
        <w:gridCol w:w="1158"/>
        <w:gridCol w:w="1172"/>
      </w:tblGrid>
      <w:tr w:rsidR="002657D1" w:rsidRPr="002657D1" w14:paraId="01C03689" w14:textId="77777777" w:rsidTr="00C4196E">
        <w:tc>
          <w:tcPr>
            <w:tcW w:w="1185" w:type="dxa"/>
            <w:tcBorders>
              <w:top w:val="single" w:sz="12" w:space="0" w:color="auto"/>
              <w:bottom w:val="single" w:sz="12" w:space="0" w:color="auto"/>
            </w:tcBorders>
          </w:tcPr>
          <w:p w14:paraId="7FA486F5" w14:textId="77777777" w:rsidR="00C92F90" w:rsidRPr="002657D1" w:rsidRDefault="00C92F90" w:rsidP="00106B83">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Atom</w:t>
            </w:r>
          </w:p>
        </w:tc>
        <w:tc>
          <w:tcPr>
            <w:tcW w:w="1185" w:type="dxa"/>
            <w:tcBorders>
              <w:top w:val="single" w:sz="12" w:space="0" w:color="auto"/>
              <w:bottom w:val="single" w:sz="12" w:space="0" w:color="auto"/>
            </w:tcBorders>
          </w:tcPr>
          <w:p w14:paraId="65DA61E8" w14:textId="77777777" w:rsidR="00C92F90" w:rsidRPr="002657D1" w:rsidRDefault="00C92F90" w:rsidP="00106B83">
            <w:pPr>
              <w:widowControl/>
              <w:spacing w:line="360" w:lineRule="auto"/>
              <w:jc w:val="center"/>
              <w:rPr>
                <w:rFonts w:ascii="Times New Roman" w:hAnsi="Times New Roman" w:cs="Times New Roman"/>
                <w:i/>
                <w:iCs/>
                <w:color w:val="000000" w:themeColor="text1"/>
                <w:sz w:val="24"/>
                <w:szCs w:val="24"/>
              </w:rPr>
            </w:pPr>
            <w:r w:rsidRPr="002657D1">
              <w:rPr>
                <w:rFonts w:ascii="Times New Roman" w:hAnsi="Times New Roman" w:cs="Times New Roman"/>
                <w:i/>
                <w:iCs/>
                <w:color w:val="000000" w:themeColor="text1"/>
                <w:sz w:val="24"/>
                <w:szCs w:val="24"/>
              </w:rPr>
              <w:t>x</w:t>
            </w:r>
          </w:p>
        </w:tc>
        <w:tc>
          <w:tcPr>
            <w:tcW w:w="1185" w:type="dxa"/>
            <w:tcBorders>
              <w:top w:val="single" w:sz="12" w:space="0" w:color="auto"/>
              <w:bottom w:val="single" w:sz="12" w:space="0" w:color="auto"/>
            </w:tcBorders>
          </w:tcPr>
          <w:p w14:paraId="05EAF9B2" w14:textId="77777777" w:rsidR="00C92F90" w:rsidRPr="002657D1" w:rsidRDefault="00C92F90" w:rsidP="00106B83">
            <w:pPr>
              <w:widowControl/>
              <w:spacing w:line="360" w:lineRule="auto"/>
              <w:jc w:val="center"/>
              <w:rPr>
                <w:rFonts w:ascii="Times New Roman" w:hAnsi="Times New Roman" w:cs="Times New Roman"/>
                <w:i/>
                <w:iCs/>
                <w:color w:val="000000" w:themeColor="text1"/>
                <w:sz w:val="24"/>
                <w:szCs w:val="24"/>
              </w:rPr>
            </w:pPr>
            <w:r w:rsidRPr="002657D1">
              <w:rPr>
                <w:rFonts w:ascii="Times New Roman" w:hAnsi="Times New Roman" w:cs="Times New Roman"/>
                <w:i/>
                <w:iCs/>
                <w:color w:val="000000" w:themeColor="text1"/>
                <w:sz w:val="24"/>
                <w:szCs w:val="24"/>
              </w:rPr>
              <w:t>y</w:t>
            </w:r>
          </w:p>
        </w:tc>
        <w:tc>
          <w:tcPr>
            <w:tcW w:w="1185" w:type="dxa"/>
            <w:tcBorders>
              <w:top w:val="single" w:sz="12" w:space="0" w:color="auto"/>
              <w:bottom w:val="single" w:sz="12" w:space="0" w:color="auto"/>
            </w:tcBorders>
          </w:tcPr>
          <w:p w14:paraId="2279D12C" w14:textId="77777777" w:rsidR="00C92F90" w:rsidRPr="002657D1" w:rsidRDefault="00C92F90" w:rsidP="00106B83">
            <w:pPr>
              <w:widowControl/>
              <w:spacing w:line="360" w:lineRule="auto"/>
              <w:jc w:val="center"/>
              <w:rPr>
                <w:rFonts w:ascii="Times New Roman" w:hAnsi="Times New Roman" w:cs="Times New Roman"/>
                <w:i/>
                <w:iCs/>
                <w:color w:val="000000" w:themeColor="text1"/>
                <w:sz w:val="24"/>
                <w:szCs w:val="24"/>
              </w:rPr>
            </w:pPr>
            <w:r w:rsidRPr="002657D1">
              <w:rPr>
                <w:rFonts w:ascii="Times New Roman" w:hAnsi="Times New Roman" w:cs="Times New Roman"/>
                <w:i/>
                <w:iCs/>
                <w:color w:val="000000" w:themeColor="text1"/>
                <w:sz w:val="24"/>
                <w:szCs w:val="24"/>
              </w:rPr>
              <w:t>z</w:t>
            </w:r>
          </w:p>
        </w:tc>
        <w:tc>
          <w:tcPr>
            <w:tcW w:w="1185" w:type="dxa"/>
            <w:tcBorders>
              <w:top w:val="single" w:sz="12" w:space="0" w:color="auto"/>
              <w:bottom w:val="single" w:sz="12" w:space="0" w:color="auto"/>
            </w:tcBorders>
          </w:tcPr>
          <w:p w14:paraId="365A3E9B" w14:textId="77777777" w:rsidR="00C92F90" w:rsidRPr="002657D1" w:rsidRDefault="00C92F90" w:rsidP="00106B83">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Occupancy</w:t>
            </w:r>
          </w:p>
        </w:tc>
        <w:tc>
          <w:tcPr>
            <w:tcW w:w="1185" w:type="dxa"/>
            <w:tcBorders>
              <w:top w:val="single" w:sz="12" w:space="0" w:color="auto"/>
              <w:bottom w:val="single" w:sz="12" w:space="0" w:color="auto"/>
            </w:tcBorders>
          </w:tcPr>
          <w:p w14:paraId="3F208DEF" w14:textId="77777777" w:rsidR="00C92F90" w:rsidRPr="002657D1" w:rsidRDefault="00C92F90" w:rsidP="00106B83">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Site</w:t>
            </w:r>
          </w:p>
        </w:tc>
        <w:tc>
          <w:tcPr>
            <w:tcW w:w="1186" w:type="dxa"/>
            <w:tcBorders>
              <w:top w:val="single" w:sz="12" w:space="0" w:color="auto"/>
              <w:bottom w:val="single" w:sz="12" w:space="0" w:color="auto"/>
            </w:tcBorders>
          </w:tcPr>
          <w:p w14:paraId="5EF1EA8E" w14:textId="77777777" w:rsidR="00C92F90" w:rsidRPr="002657D1" w:rsidRDefault="00C92F90" w:rsidP="00106B83">
            <w:pPr>
              <w:widowControl/>
              <w:spacing w:line="360" w:lineRule="auto"/>
              <w:jc w:val="center"/>
              <w:rPr>
                <w:rFonts w:ascii="Times New Roman" w:hAnsi="Times New Roman" w:cs="Times New Roman"/>
                <w:color w:val="000000" w:themeColor="text1"/>
                <w:sz w:val="24"/>
                <w:szCs w:val="24"/>
              </w:rPr>
            </w:pPr>
            <w:proofErr w:type="spellStart"/>
            <w:r w:rsidRPr="002657D1">
              <w:rPr>
                <w:rFonts w:ascii="Times New Roman" w:hAnsi="Times New Roman" w:cs="Times New Roman"/>
                <w:color w:val="000000" w:themeColor="text1"/>
                <w:sz w:val="24"/>
                <w:szCs w:val="24"/>
              </w:rPr>
              <w:t>U</w:t>
            </w:r>
            <w:r w:rsidRPr="002657D1">
              <w:rPr>
                <w:rFonts w:ascii="Times New Roman" w:hAnsi="Times New Roman" w:cs="Times New Roman"/>
                <w:color w:val="000000" w:themeColor="text1"/>
                <w:sz w:val="24"/>
                <w:szCs w:val="24"/>
                <w:vertAlign w:val="subscript"/>
              </w:rPr>
              <w:t>iso</w:t>
            </w:r>
            <w:proofErr w:type="spellEnd"/>
            <w:r w:rsidRPr="002657D1">
              <w:rPr>
                <w:rFonts w:ascii="Times New Roman" w:hAnsi="Times New Roman" w:cs="Times New Roman"/>
                <w:color w:val="000000" w:themeColor="text1"/>
                <w:sz w:val="24"/>
                <w:szCs w:val="24"/>
              </w:rPr>
              <w:t xml:space="preserve"> (Å</w:t>
            </w:r>
            <w:r w:rsidRPr="002657D1">
              <w:rPr>
                <w:rFonts w:ascii="Times New Roman" w:hAnsi="Times New Roman" w:cs="Times New Roman"/>
                <w:color w:val="000000" w:themeColor="text1"/>
                <w:sz w:val="24"/>
                <w:szCs w:val="24"/>
                <w:vertAlign w:val="superscript"/>
              </w:rPr>
              <w:t>2</w:t>
            </w:r>
            <w:r w:rsidRPr="002657D1">
              <w:rPr>
                <w:rFonts w:ascii="Times New Roman" w:hAnsi="Times New Roman" w:cs="Times New Roman"/>
                <w:color w:val="000000" w:themeColor="text1"/>
                <w:sz w:val="24"/>
                <w:szCs w:val="24"/>
              </w:rPr>
              <w:t>)</w:t>
            </w:r>
          </w:p>
        </w:tc>
      </w:tr>
      <w:tr w:rsidR="002657D1" w:rsidRPr="002657D1" w14:paraId="4E16D570" w14:textId="77777777" w:rsidTr="00C4196E">
        <w:tc>
          <w:tcPr>
            <w:tcW w:w="1185" w:type="dxa"/>
            <w:tcBorders>
              <w:top w:val="single" w:sz="12" w:space="0" w:color="auto"/>
              <w:bottom w:val="nil"/>
            </w:tcBorders>
          </w:tcPr>
          <w:p w14:paraId="45F8DD4B" w14:textId="0C235AF7" w:rsidR="00C92F90" w:rsidRPr="002657D1" w:rsidRDefault="00E20FC3" w:rsidP="00106B83">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Li1</w:t>
            </w:r>
          </w:p>
        </w:tc>
        <w:tc>
          <w:tcPr>
            <w:tcW w:w="1185" w:type="dxa"/>
            <w:tcBorders>
              <w:top w:val="single" w:sz="12" w:space="0" w:color="auto"/>
              <w:bottom w:val="nil"/>
            </w:tcBorders>
          </w:tcPr>
          <w:p w14:paraId="774E5093" w14:textId="395F01A3" w:rsidR="00C92F90" w:rsidRPr="002657D1" w:rsidRDefault="005809C7" w:rsidP="00106B83">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0.306</w:t>
            </w:r>
            <w:r w:rsidR="00333893" w:rsidRPr="002657D1">
              <w:rPr>
                <w:rFonts w:ascii="Times New Roman" w:hAnsi="Times New Roman" w:cs="Times New Roman"/>
                <w:color w:val="000000" w:themeColor="text1"/>
                <w:sz w:val="24"/>
                <w:szCs w:val="24"/>
              </w:rPr>
              <w:t>2</w:t>
            </w:r>
          </w:p>
        </w:tc>
        <w:tc>
          <w:tcPr>
            <w:tcW w:w="1185" w:type="dxa"/>
            <w:tcBorders>
              <w:top w:val="single" w:sz="12" w:space="0" w:color="auto"/>
              <w:bottom w:val="nil"/>
            </w:tcBorders>
          </w:tcPr>
          <w:p w14:paraId="12760F71" w14:textId="0CCEAFBF" w:rsidR="00C92F90" w:rsidRPr="002657D1" w:rsidRDefault="00333893" w:rsidP="00106B83">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w:t>
            </w:r>
          </w:p>
        </w:tc>
        <w:tc>
          <w:tcPr>
            <w:tcW w:w="1185" w:type="dxa"/>
            <w:tcBorders>
              <w:top w:val="single" w:sz="12" w:space="0" w:color="auto"/>
              <w:bottom w:val="nil"/>
            </w:tcBorders>
          </w:tcPr>
          <w:p w14:paraId="563B153A" w14:textId="7038EA95" w:rsidR="00C92F90" w:rsidRPr="002657D1" w:rsidRDefault="00333893" w:rsidP="00106B83">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w:t>
            </w:r>
          </w:p>
        </w:tc>
        <w:tc>
          <w:tcPr>
            <w:tcW w:w="1185" w:type="dxa"/>
            <w:tcBorders>
              <w:top w:val="single" w:sz="12" w:space="0" w:color="auto"/>
              <w:bottom w:val="nil"/>
            </w:tcBorders>
          </w:tcPr>
          <w:p w14:paraId="33AA2E3C" w14:textId="71E1D1D3" w:rsidR="00C92F90" w:rsidRPr="002657D1" w:rsidRDefault="00977B7C" w:rsidP="00106B83">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0.2459</w:t>
            </w:r>
          </w:p>
        </w:tc>
        <w:tc>
          <w:tcPr>
            <w:tcW w:w="1185" w:type="dxa"/>
            <w:tcBorders>
              <w:top w:val="single" w:sz="12" w:space="0" w:color="auto"/>
              <w:bottom w:val="nil"/>
            </w:tcBorders>
          </w:tcPr>
          <w:p w14:paraId="22BC774F" w14:textId="0DD74B6E" w:rsidR="00C92F90" w:rsidRPr="002657D1" w:rsidRDefault="007627DA" w:rsidP="00106B83">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6g</w:t>
            </w:r>
          </w:p>
        </w:tc>
        <w:tc>
          <w:tcPr>
            <w:tcW w:w="1186" w:type="dxa"/>
            <w:tcBorders>
              <w:top w:val="single" w:sz="12" w:space="0" w:color="auto"/>
              <w:bottom w:val="nil"/>
            </w:tcBorders>
          </w:tcPr>
          <w:p w14:paraId="3339DE6D" w14:textId="101E0277" w:rsidR="00C92F90" w:rsidRPr="002657D1" w:rsidRDefault="007627DA" w:rsidP="00106B83">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0.027</w:t>
            </w:r>
            <w:r w:rsidR="00852C05" w:rsidRPr="002657D1">
              <w:rPr>
                <w:rFonts w:ascii="Times New Roman" w:hAnsi="Times New Roman" w:cs="Times New Roman"/>
                <w:color w:val="000000" w:themeColor="text1"/>
                <w:sz w:val="24"/>
                <w:szCs w:val="24"/>
              </w:rPr>
              <w:t>2</w:t>
            </w:r>
          </w:p>
        </w:tc>
      </w:tr>
      <w:tr w:rsidR="002657D1" w:rsidRPr="002657D1" w14:paraId="6EFD3396" w14:textId="77777777" w:rsidTr="00C4196E">
        <w:tc>
          <w:tcPr>
            <w:tcW w:w="1185" w:type="dxa"/>
            <w:tcBorders>
              <w:top w:val="nil"/>
              <w:bottom w:val="nil"/>
            </w:tcBorders>
          </w:tcPr>
          <w:p w14:paraId="5D06FB5C" w14:textId="3892BE40" w:rsidR="00C92F90" w:rsidRPr="002657D1" w:rsidRDefault="00E20FC3" w:rsidP="00106B83">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Li2</w:t>
            </w:r>
          </w:p>
        </w:tc>
        <w:tc>
          <w:tcPr>
            <w:tcW w:w="1185" w:type="dxa"/>
            <w:tcBorders>
              <w:top w:val="nil"/>
              <w:bottom w:val="nil"/>
            </w:tcBorders>
          </w:tcPr>
          <w:p w14:paraId="6FE5D1CF" w14:textId="2BE9EB08" w:rsidR="00C92F90" w:rsidRPr="002657D1" w:rsidRDefault="00F563BA" w:rsidP="00106B83">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0.3248</w:t>
            </w:r>
          </w:p>
        </w:tc>
        <w:tc>
          <w:tcPr>
            <w:tcW w:w="1185" w:type="dxa"/>
            <w:tcBorders>
              <w:top w:val="nil"/>
              <w:bottom w:val="nil"/>
            </w:tcBorders>
          </w:tcPr>
          <w:p w14:paraId="5EAEE6C9" w14:textId="3DE7E4F6" w:rsidR="00C92F90" w:rsidRPr="002657D1" w:rsidRDefault="00F563BA" w:rsidP="00106B83">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w:t>
            </w:r>
          </w:p>
        </w:tc>
        <w:tc>
          <w:tcPr>
            <w:tcW w:w="1185" w:type="dxa"/>
            <w:tcBorders>
              <w:top w:val="nil"/>
              <w:bottom w:val="nil"/>
            </w:tcBorders>
          </w:tcPr>
          <w:p w14:paraId="76D89F22" w14:textId="4BF0D1C8" w:rsidR="00C92F90" w:rsidRPr="002657D1" w:rsidRDefault="00F563BA" w:rsidP="00106B83">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0.5</w:t>
            </w:r>
          </w:p>
        </w:tc>
        <w:tc>
          <w:tcPr>
            <w:tcW w:w="1185" w:type="dxa"/>
            <w:tcBorders>
              <w:top w:val="nil"/>
              <w:bottom w:val="nil"/>
            </w:tcBorders>
          </w:tcPr>
          <w:p w14:paraId="6F5DCDB1" w14:textId="7E128BF1" w:rsidR="00C92F90" w:rsidRPr="002657D1" w:rsidRDefault="00F563BA" w:rsidP="00106B83">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w:t>
            </w:r>
            <w:r w:rsidR="00272A6D" w:rsidRPr="002657D1">
              <w:rPr>
                <w:rFonts w:ascii="Times New Roman" w:hAnsi="Times New Roman" w:cs="Times New Roman"/>
                <w:color w:val="000000" w:themeColor="text1"/>
                <w:sz w:val="24"/>
                <w:szCs w:val="24"/>
              </w:rPr>
              <w:t>8041</w:t>
            </w:r>
          </w:p>
        </w:tc>
        <w:tc>
          <w:tcPr>
            <w:tcW w:w="1185" w:type="dxa"/>
            <w:tcBorders>
              <w:top w:val="nil"/>
              <w:bottom w:val="nil"/>
            </w:tcBorders>
          </w:tcPr>
          <w:p w14:paraId="7CA8E054" w14:textId="2583AC35" w:rsidR="00C92F90" w:rsidRPr="002657D1" w:rsidRDefault="00272A6D" w:rsidP="00106B83">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6h</w:t>
            </w:r>
          </w:p>
        </w:tc>
        <w:tc>
          <w:tcPr>
            <w:tcW w:w="1186" w:type="dxa"/>
            <w:tcBorders>
              <w:top w:val="nil"/>
              <w:bottom w:val="nil"/>
            </w:tcBorders>
          </w:tcPr>
          <w:p w14:paraId="75B2FF68" w14:textId="0B196E59" w:rsidR="00C92F90" w:rsidRPr="002657D1" w:rsidRDefault="00272A6D" w:rsidP="00106B83">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0.02</w:t>
            </w:r>
            <w:r w:rsidR="00852C05" w:rsidRPr="002657D1">
              <w:rPr>
                <w:rFonts w:ascii="Times New Roman" w:hAnsi="Times New Roman" w:cs="Times New Roman"/>
                <w:color w:val="000000" w:themeColor="text1"/>
                <w:sz w:val="24"/>
                <w:szCs w:val="24"/>
              </w:rPr>
              <w:t>21</w:t>
            </w:r>
          </w:p>
        </w:tc>
      </w:tr>
      <w:tr w:rsidR="002657D1" w:rsidRPr="002657D1" w14:paraId="042B9697" w14:textId="77777777" w:rsidTr="00C4196E">
        <w:tc>
          <w:tcPr>
            <w:tcW w:w="1185" w:type="dxa"/>
            <w:tcBorders>
              <w:top w:val="nil"/>
              <w:bottom w:val="nil"/>
            </w:tcBorders>
          </w:tcPr>
          <w:p w14:paraId="02B0F69C" w14:textId="7052BFBC"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Zr1</w:t>
            </w:r>
          </w:p>
        </w:tc>
        <w:tc>
          <w:tcPr>
            <w:tcW w:w="1185" w:type="dxa"/>
            <w:tcBorders>
              <w:top w:val="nil"/>
              <w:bottom w:val="nil"/>
            </w:tcBorders>
          </w:tcPr>
          <w:p w14:paraId="59F16E8D" w14:textId="7DA674C1"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w:t>
            </w:r>
          </w:p>
        </w:tc>
        <w:tc>
          <w:tcPr>
            <w:tcW w:w="1185" w:type="dxa"/>
            <w:tcBorders>
              <w:top w:val="nil"/>
              <w:bottom w:val="nil"/>
            </w:tcBorders>
          </w:tcPr>
          <w:p w14:paraId="1E2AF3B0" w14:textId="0A07AC5B"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w:t>
            </w:r>
          </w:p>
        </w:tc>
        <w:tc>
          <w:tcPr>
            <w:tcW w:w="1185" w:type="dxa"/>
            <w:tcBorders>
              <w:top w:val="nil"/>
              <w:bottom w:val="nil"/>
            </w:tcBorders>
          </w:tcPr>
          <w:p w14:paraId="70D376F5" w14:textId="636BCAAA"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w:t>
            </w:r>
          </w:p>
        </w:tc>
        <w:tc>
          <w:tcPr>
            <w:tcW w:w="1185" w:type="dxa"/>
            <w:tcBorders>
              <w:top w:val="nil"/>
              <w:bottom w:val="nil"/>
            </w:tcBorders>
          </w:tcPr>
          <w:p w14:paraId="7B8794E7" w14:textId="0E141769"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0.6642</w:t>
            </w:r>
          </w:p>
        </w:tc>
        <w:tc>
          <w:tcPr>
            <w:tcW w:w="1185" w:type="dxa"/>
            <w:tcBorders>
              <w:top w:val="nil"/>
              <w:bottom w:val="nil"/>
            </w:tcBorders>
          </w:tcPr>
          <w:p w14:paraId="1B686485" w14:textId="53C410BD"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1a</w:t>
            </w:r>
          </w:p>
        </w:tc>
        <w:tc>
          <w:tcPr>
            <w:tcW w:w="1186" w:type="dxa"/>
            <w:tcBorders>
              <w:top w:val="nil"/>
              <w:bottom w:val="nil"/>
            </w:tcBorders>
          </w:tcPr>
          <w:p w14:paraId="0EE50CE0" w14:textId="570911DD"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0.0032</w:t>
            </w:r>
          </w:p>
        </w:tc>
      </w:tr>
      <w:tr w:rsidR="002657D1" w:rsidRPr="002657D1" w14:paraId="28B85BAC" w14:textId="77777777" w:rsidTr="00C4196E">
        <w:tc>
          <w:tcPr>
            <w:tcW w:w="1185" w:type="dxa"/>
            <w:tcBorders>
              <w:top w:val="nil"/>
              <w:bottom w:val="nil"/>
            </w:tcBorders>
          </w:tcPr>
          <w:p w14:paraId="173CCE96" w14:textId="18CEF4F8"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Zr2</w:t>
            </w:r>
          </w:p>
        </w:tc>
        <w:tc>
          <w:tcPr>
            <w:tcW w:w="1185" w:type="dxa"/>
            <w:tcBorders>
              <w:top w:val="nil"/>
              <w:bottom w:val="nil"/>
            </w:tcBorders>
          </w:tcPr>
          <w:p w14:paraId="12CE1F05" w14:textId="7C18D3BF"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0.3333</w:t>
            </w:r>
          </w:p>
        </w:tc>
        <w:tc>
          <w:tcPr>
            <w:tcW w:w="1185" w:type="dxa"/>
            <w:tcBorders>
              <w:top w:val="nil"/>
              <w:bottom w:val="nil"/>
            </w:tcBorders>
          </w:tcPr>
          <w:p w14:paraId="0888C415" w14:textId="3C4811BD"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0.6667</w:t>
            </w:r>
          </w:p>
        </w:tc>
        <w:tc>
          <w:tcPr>
            <w:tcW w:w="1185" w:type="dxa"/>
            <w:tcBorders>
              <w:top w:val="nil"/>
              <w:bottom w:val="nil"/>
            </w:tcBorders>
          </w:tcPr>
          <w:p w14:paraId="01D71520" w14:textId="3FD65EC1"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0.5160</w:t>
            </w:r>
          </w:p>
        </w:tc>
        <w:tc>
          <w:tcPr>
            <w:tcW w:w="1185" w:type="dxa"/>
            <w:tcBorders>
              <w:top w:val="nil"/>
              <w:bottom w:val="nil"/>
            </w:tcBorders>
          </w:tcPr>
          <w:p w14:paraId="335228A5" w14:textId="5C4A4AE9"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0.6327</w:t>
            </w:r>
          </w:p>
        </w:tc>
        <w:tc>
          <w:tcPr>
            <w:tcW w:w="1185" w:type="dxa"/>
            <w:tcBorders>
              <w:top w:val="nil"/>
              <w:bottom w:val="nil"/>
            </w:tcBorders>
          </w:tcPr>
          <w:p w14:paraId="71EE0860" w14:textId="234CC50F"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2d</w:t>
            </w:r>
          </w:p>
        </w:tc>
        <w:tc>
          <w:tcPr>
            <w:tcW w:w="1186" w:type="dxa"/>
            <w:tcBorders>
              <w:top w:val="nil"/>
              <w:bottom w:val="nil"/>
            </w:tcBorders>
          </w:tcPr>
          <w:p w14:paraId="53C431D3" w14:textId="350D6064"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0.0042</w:t>
            </w:r>
          </w:p>
        </w:tc>
      </w:tr>
      <w:tr w:rsidR="002657D1" w:rsidRPr="002657D1" w14:paraId="7755509A" w14:textId="77777777" w:rsidTr="00C4196E">
        <w:tc>
          <w:tcPr>
            <w:tcW w:w="1185" w:type="dxa"/>
            <w:tcBorders>
              <w:top w:val="nil"/>
              <w:bottom w:val="nil"/>
            </w:tcBorders>
          </w:tcPr>
          <w:p w14:paraId="43A19E2A" w14:textId="6F379B49"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Zr3</w:t>
            </w:r>
          </w:p>
        </w:tc>
        <w:tc>
          <w:tcPr>
            <w:tcW w:w="1185" w:type="dxa"/>
            <w:tcBorders>
              <w:top w:val="nil"/>
              <w:bottom w:val="nil"/>
            </w:tcBorders>
          </w:tcPr>
          <w:p w14:paraId="2A3D9271" w14:textId="201B2829"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w:t>
            </w:r>
          </w:p>
        </w:tc>
        <w:tc>
          <w:tcPr>
            <w:tcW w:w="1185" w:type="dxa"/>
            <w:tcBorders>
              <w:top w:val="nil"/>
              <w:bottom w:val="nil"/>
            </w:tcBorders>
          </w:tcPr>
          <w:p w14:paraId="1727C315" w14:textId="4CE07068"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w:t>
            </w:r>
          </w:p>
        </w:tc>
        <w:tc>
          <w:tcPr>
            <w:tcW w:w="1185" w:type="dxa"/>
            <w:tcBorders>
              <w:top w:val="nil"/>
              <w:bottom w:val="nil"/>
            </w:tcBorders>
          </w:tcPr>
          <w:p w14:paraId="6B73C1C9" w14:textId="0BAFF3D2"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0.5</w:t>
            </w:r>
          </w:p>
        </w:tc>
        <w:tc>
          <w:tcPr>
            <w:tcW w:w="1185" w:type="dxa"/>
            <w:tcBorders>
              <w:top w:val="nil"/>
              <w:bottom w:val="nil"/>
            </w:tcBorders>
          </w:tcPr>
          <w:p w14:paraId="52DE2EF5" w14:textId="2580BE0F"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0.4318</w:t>
            </w:r>
          </w:p>
        </w:tc>
        <w:tc>
          <w:tcPr>
            <w:tcW w:w="1185" w:type="dxa"/>
            <w:tcBorders>
              <w:top w:val="nil"/>
              <w:bottom w:val="nil"/>
            </w:tcBorders>
          </w:tcPr>
          <w:p w14:paraId="30BC5F6C" w14:textId="53309E86"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1b</w:t>
            </w:r>
          </w:p>
        </w:tc>
        <w:tc>
          <w:tcPr>
            <w:tcW w:w="1186" w:type="dxa"/>
            <w:tcBorders>
              <w:top w:val="nil"/>
              <w:bottom w:val="nil"/>
            </w:tcBorders>
          </w:tcPr>
          <w:p w14:paraId="45A573B9" w14:textId="3A29B1ED"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0.0026</w:t>
            </w:r>
          </w:p>
        </w:tc>
      </w:tr>
      <w:tr w:rsidR="002657D1" w:rsidRPr="002657D1" w14:paraId="625DE9B2" w14:textId="77777777" w:rsidTr="00C4196E">
        <w:tc>
          <w:tcPr>
            <w:tcW w:w="1185" w:type="dxa"/>
            <w:tcBorders>
              <w:top w:val="nil"/>
              <w:bottom w:val="nil"/>
            </w:tcBorders>
          </w:tcPr>
          <w:p w14:paraId="1F022054" w14:textId="00FAC2ED"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Zr4</w:t>
            </w:r>
          </w:p>
        </w:tc>
        <w:tc>
          <w:tcPr>
            <w:tcW w:w="1185" w:type="dxa"/>
            <w:tcBorders>
              <w:top w:val="nil"/>
              <w:bottom w:val="nil"/>
            </w:tcBorders>
          </w:tcPr>
          <w:p w14:paraId="2F9EFE13" w14:textId="502A8E48"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0.3333</w:t>
            </w:r>
          </w:p>
        </w:tc>
        <w:tc>
          <w:tcPr>
            <w:tcW w:w="1185" w:type="dxa"/>
            <w:tcBorders>
              <w:top w:val="nil"/>
              <w:bottom w:val="nil"/>
            </w:tcBorders>
          </w:tcPr>
          <w:p w14:paraId="0185E44A" w14:textId="5958013B"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0.6667</w:t>
            </w:r>
          </w:p>
        </w:tc>
        <w:tc>
          <w:tcPr>
            <w:tcW w:w="1185" w:type="dxa"/>
            <w:tcBorders>
              <w:top w:val="nil"/>
              <w:bottom w:val="nil"/>
            </w:tcBorders>
          </w:tcPr>
          <w:p w14:paraId="0893A601" w14:textId="333B2B2E"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0.9404</w:t>
            </w:r>
          </w:p>
        </w:tc>
        <w:tc>
          <w:tcPr>
            <w:tcW w:w="1185" w:type="dxa"/>
            <w:tcBorders>
              <w:top w:val="nil"/>
              <w:bottom w:val="nil"/>
            </w:tcBorders>
          </w:tcPr>
          <w:p w14:paraId="235433E8" w14:textId="04AF460D"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0.1693</w:t>
            </w:r>
          </w:p>
        </w:tc>
        <w:tc>
          <w:tcPr>
            <w:tcW w:w="1185" w:type="dxa"/>
            <w:tcBorders>
              <w:top w:val="nil"/>
              <w:bottom w:val="nil"/>
            </w:tcBorders>
          </w:tcPr>
          <w:p w14:paraId="70580B74" w14:textId="0B3E5EDD"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2d</w:t>
            </w:r>
          </w:p>
        </w:tc>
        <w:tc>
          <w:tcPr>
            <w:tcW w:w="1186" w:type="dxa"/>
            <w:tcBorders>
              <w:top w:val="nil"/>
              <w:bottom w:val="nil"/>
            </w:tcBorders>
          </w:tcPr>
          <w:p w14:paraId="7CBC6439" w14:textId="2C6C3DE8"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0.0019</w:t>
            </w:r>
          </w:p>
        </w:tc>
      </w:tr>
      <w:tr w:rsidR="002657D1" w:rsidRPr="002657D1" w14:paraId="347A7CC5" w14:textId="77777777" w:rsidTr="00C4196E">
        <w:tc>
          <w:tcPr>
            <w:tcW w:w="1185" w:type="dxa"/>
            <w:tcBorders>
              <w:top w:val="nil"/>
              <w:bottom w:val="nil"/>
            </w:tcBorders>
          </w:tcPr>
          <w:p w14:paraId="47DB4FC5" w14:textId="2ED9AB37"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Ti1</w:t>
            </w:r>
          </w:p>
        </w:tc>
        <w:tc>
          <w:tcPr>
            <w:tcW w:w="1185" w:type="dxa"/>
            <w:tcBorders>
              <w:top w:val="nil"/>
              <w:bottom w:val="nil"/>
            </w:tcBorders>
          </w:tcPr>
          <w:p w14:paraId="439006F1" w14:textId="1C047E1B"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w:t>
            </w:r>
          </w:p>
        </w:tc>
        <w:tc>
          <w:tcPr>
            <w:tcW w:w="1185" w:type="dxa"/>
            <w:tcBorders>
              <w:top w:val="nil"/>
              <w:bottom w:val="nil"/>
            </w:tcBorders>
          </w:tcPr>
          <w:p w14:paraId="0767253E" w14:textId="73668548"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w:t>
            </w:r>
          </w:p>
        </w:tc>
        <w:tc>
          <w:tcPr>
            <w:tcW w:w="1185" w:type="dxa"/>
            <w:tcBorders>
              <w:top w:val="nil"/>
              <w:bottom w:val="nil"/>
            </w:tcBorders>
          </w:tcPr>
          <w:p w14:paraId="1B0C7F43" w14:textId="3F141331"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w:t>
            </w:r>
          </w:p>
        </w:tc>
        <w:tc>
          <w:tcPr>
            <w:tcW w:w="1185" w:type="dxa"/>
            <w:tcBorders>
              <w:top w:val="nil"/>
              <w:bottom w:val="nil"/>
            </w:tcBorders>
          </w:tcPr>
          <w:p w14:paraId="497AE89C" w14:textId="7DDCFE1A"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0.0265</w:t>
            </w:r>
          </w:p>
        </w:tc>
        <w:tc>
          <w:tcPr>
            <w:tcW w:w="1185" w:type="dxa"/>
            <w:tcBorders>
              <w:top w:val="nil"/>
              <w:bottom w:val="nil"/>
            </w:tcBorders>
          </w:tcPr>
          <w:p w14:paraId="0B3A7627" w14:textId="72C9F223"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1a</w:t>
            </w:r>
          </w:p>
        </w:tc>
        <w:tc>
          <w:tcPr>
            <w:tcW w:w="1186" w:type="dxa"/>
            <w:tcBorders>
              <w:top w:val="nil"/>
              <w:bottom w:val="nil"/>
            </w:tcBorders>
          </w:tcPr>
          <w:p w14:paraId="5CD36299" w14:textId="7ED767B7"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0.0032</w:t>
            </w:r>
          </w:p>
        </w:tc>
      </w:tr>
      <w:tr w:rsidR="002657D1" w:rsidRPr="002657D1" w14:paraId="6034CD8D" w14:textId="77777777" w:rsidTr="00C4196E">
        <w:tc>
          <w:tcPr>
            <w:tcW w:w="1185" w:type="dxa"/>
            <w:tcBorders>
              <w:top w:val="nil"/>
              <w:bottom w:val="nil"/>
            </w:tcBorders>
          </w:tcPr>
          <w:p w14:paraId="5A116EB3" w14:textId="424CBD0D"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Ti2</w:t>
            </w:r>
          </w:p>
        </w:tc>
        <w:tc>
          <w:tcPr>
            <w:tcW w:w="1185" w:type="dxa"/>
            <w:tcBorders>
              <w:top w:val="nil"/>
              <w:bottom w:val="nil"/>
            </w:tcBorders>
          </w:tcPr>
          <w:p w14:paraId="69D0C0C3" w14:textId="22306BFB"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0.3333</w:t>
            </w:r>
          </w:p>
        </w:tc>
        <w:tc>
          <w:tcPr>
            <w:tcW w:w="1185" w:type="dxa"/>
            <w:tcBorders>
              <w:top w:val="nil"/>
              <w:bottom w:val="nil"/>
            </w:tcBorders>
          </w:tcPr>
          <w:p w14:paraId="087FDCB9" w14:textId="36AB45FD"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0.6667</w:t>
            </w:r>
          </w:p>
        </w:tc>
        <w:tc>
          <w:tcPr>
            <w:tcW w:w="1185" w:type="dxa"/>
            <w:tcBorders>
              <w:top w:val="nil"/>
              <w:bottom w:val="nil"/>
            </w:tcBorders>
          </w:tcPr>
          <w:p w14:paraId="2C435D8E" w14:textId="63A8D187"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0.5160</w:t>
            </w:r>
          </w:p>
        </w:tc>
        <w:tc>
          <w:tcPr>
            <w:tcW w:w="1185" w:type="dxa"/>
            <w:tcBorders>
              <w:top w:val="nil"/>
              <w:bottom w:val="nil"/>
            </w:tcBorders>
          </w:tcPr>
          <w:p w14:paraId="2F68DAD7" w14:textId="744EAC08"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0.0492</w:t>
            </w:r>
          </w:p>
        </w:tc>
        <w:tc>
          <w:tcPr>
            <w:tcW w:w="1185" w:type="dxa"/>
            <w:tcBorders>
              <w:top w:val="nil"/>
              <w:bottom w:val="nil"/>
            </w:tcBorders>
          </w:tcPr>
          <w:p w14:paraId="64A0442B" w14:textId="485B2F36"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2d</w:t>
            </w:r>
          </w:p>
        </w:tc>
        <w:tc>
          <w:tcPr>
            <w:tcW w:w="1186" w:type="dxa"/>
            <w:tcBorders>
              <w:top w:val="nil"/>
              <w:bottom w:val="nil"/>
            </w:tcBorders>
          </w:tcPr>
          <w:p w14:paraId="73640C32" w14:textId="6CCE1101"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0.0042</w:t>
            </w:r>
          </w:p>
        </w:tc>
      </w:tr>
      <w:tr w:rsidR="002657D1" w:rsidRPr="002657D1" w14:paraId="14C8C17C" w14:textId="77777777" w:rsidTr="00125629">
        <w:tc>
          <w:tcPr>
            <w:tcW w:w="1185" w:type="dxa"/>
            <w:tcBorders>
              <w:top w:val="nil"/>
              <w:bottom w:val="nil"/>
            </w:tcBorders>
          </w:tcPr>
          <w:p w14:paraId="64BE8FEF" w14:textId="026B5122"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Ti3</w:t>
            </w:r>
          </w:p>
        </w:tc>
        <w:tc>
          <w:tcPr>
            <w:tcW w:w="1185" w:type="dxa"/>
            <w:tcBorders>
              <w:top w:val="nil"/>
              <w:bottom w:val="nil"/>
            </w:tcBorders>
          </w:tcPr>
          <w:p w14:paraId="7DA4AB5F" w14:textId="1F21AA73"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w:t>
            </w:r>
          </w:p>
        </w:tc>
        <w:tc>
          <w:tcPr>
            <w:tcW w:w="1185" w:type="dxa"/>
            <w:tcBorders>
              <w:top w:val="nil"/>
              <w:bottom w:val="nil"/>
            </w:tcBorders>
          </w:tcPr>
          <w:p w14:paraId="314F5CC4" w14:textId="6994C3E8"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w:t>
            </w:r>
          </w:p>
        </w:tc>
        <w:tc>
          <w:tcPr>
            <w:tcW w:w="1185" w:type="dxa"/>
            <w:tcBorders>
              <w:top w:val="nil"/>
              <w:bottom w:val="nil"/>
            </w:tcBorders>
          </w:tcPr>
          <w:p w14:paraId="4CA68B6B" w14:textId="0B2C9C16"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0.5</w:t>
            </w:r>
          </w:p>
        </w:tc>
        <w:tc>
          <w:tcPr>
            <w:tcW w:w="1185" w:type="dxa"/>
            <w:tcBorders>
              <w:top w:val="nil"/>
              <w:bottom w:val="nil"/>
            </w:tcBorders>
          </w:tcPr>
          <w:p w14:paraId="2C3F54E6" w14:textId="00F3A381"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0.0613</w:t>
            </w:r>
          </w:p>
        </w:tc>
        <w:tc>
          <w:tcPr>
            <w:tcW w:w="1185" w:type="dxa"/>
            <w:tcBorders>
              <w:top w:val="nil"/>
              <w:bottom w:val="nil"/>
            </w:tcBorders>
          </w:tcPr>
          <w:p w14:paraId="14A8CAE8" w14:textId="6D2F0641"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1b</w:t>
            </w:r>
          </w:p>
        </w:tc>
        <w:tc>
          <w:tcPr>
            <w:tcW w:w="1186" w:type="dxa"/>
            <w:tcBorders>
              <w:top w:val="nil"/>
              <w:bottom w:val="nil"/>
            </w:tcBorders>
          </w:tcPr>
          <w:p w14:paraId="2A7CE778" w14:textId="7A9EA245"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0.0026</w:t>
            </w:r>
          </w:p>
        </w:tc>
      </w:tr>
      <w:tr w:rsidR="002657D1" w:rsidRPr="002657D1" w14:paraId="71F94866" w14:textId="77777777" w:rsidTr="00125629">
        <w:tc>
          <w:tcPr>
            <w:tcW w:w="1185" w:type="dxa"/>
            <w:tcBorders>
              <w:top w:val="nil"/>
              <w:bottom w:val="nil"/>
            </w:tcBorders>
          </w:tcPr>
          <w:p w14:paraId="13FC4B42" w14:textId="204E5872"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Ti4</w:t>
            </w:r>
          </w:p>
        </w:tc>
        <w:tc>
          <w:tcPr>
            <w:tcW w:w="1185" w:type="dxa"/>
            <w:tcBorders>
              <w:top w:val="nil"/>
              <w:bottom w:val="nil"/>
            </w:tcBorders>
          </w:tcPr>
          <w:p w14:paraId="50DFDDA5" w14:textId="04F1B224"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0.3333</w:t>
            </w:r>
          </w:p>
        </w:tc>
        <w:tc>
          <w:tcPr>
            <w:tcW w:w="1185" w:type="dxa"/>
            <w:tcBorders>
              <w:top w:val="nil"/>
              <w:bottom w:val="nil"/>
            </w:tcBorders>
          </w:tcPr>
          <w:p w14:paraId="3746E566" w14:textId="474BB118"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0.6667</w:t>
            </w:r>
          </w:p>
        </w:tc>
        <w:tc>
          <w:tcPr>
            <w:tcW w:w="1185" w:type="dxa"/>
            <w:tcBorders>
              <w:top w:val="nil"/>
              <w:bottom w:val="nil"/>
            </w:tcBorders>
          </w:tcPr>
          <w:p w14:paraId="35DB4775" w14:textId="3DD5D164"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0.9404</w:t>
            </w:r>
          </w:p>
        </w:tc>
        <w:tc>
          <w:tcPr>
            <w:tcW w:w="1185" w:type="dxa"/>
            <w:tcBorders>
              <w:top w:val="nil"/>
              <w:bottom w:val="nil"/>
            </w:tcBorders>
          </w:tcPr>
          <w:p w14:paraId="38511F55" w14:textId="7BF1D942"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0.0569</w:t>
            </w:r>
          </w:p>
        </w:tc>
        <w:tc>
          <w:tcPr>
            <w:tcW w:w="1185" w:type="dxa"/>
            <w:tcBorders>
              <w:top w:val="nil"/>
              <w:bottom w:val="nil"/>
            </w:tcBorders>
          </w:tcPr>
          <w:p w14:paraId="1B2BD2D4" w14:textId="400FCB12"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2d</w:t>
            </w:r>
          </w:p>
        </w:tc>
        <w:tc>
          <w:tcPr>
            <w:tcW w:w="1186" w:type="dxa"/>
            <w:tcBorders>
              <w:top w:val="nil"/>
              <w:bottom w:val="nil"/>
            </w:tcBorders>
          </w:tcPr>
          <w:p w14:paraId="7B43C569" w14:textId="70689048" w:rsidR="001E55B9" w:rsidRPr="002657D1" w:rsidRDefault="001E55B9" w:rsidP="001E55B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0.0022</w:t>
            </w:r>
          </w:p>
        </w:tc>
      </w:tr>
      <w:tr w:rsidR="002657D1" w:rsidRPr="002657D1" w14:paraId="1E39BB52" w14:textId="77777777" w:rsidTr="00125629">
        <w:tc>
          <w:tcPr>
            <w:tcW w:w="1185" w:type="dxa"/>
            <w:tcBorders>
              <w:top w:val="nil"/>
              <w:bottom w:val="nil"/>
            </w:tcBorders>
          </w:tcPr>
          <w:p w14:paraId="035B699E" w14:textId="45E66A0C" w:rsidR="00125629" w:rsidRPr="002657D1" w:rsidRDefault="00125629" w:rsidP="0012562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Cl1</w:t>
            </w:r>
          </w:p>
        </w:tc>
        <w:tc>
          <w:tcPr>
            <w:tcW w:w="1185" w:type="dxa"/>
            <w:tcBorders>
              <w:top w:val="nil"/>
              <w:bottom w:val="nil"/>
            </w:tcBorders>
          </w:tcPr>
          <w:p w14:paraId="64EF8FEA" w14:textId="764AEC9E" w:rsidR="00125629" w:rsidRPr="002657D1" w:rsidRDefault="00542668" w:rsidP="0012562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0.1</w:t>
            </w:r>
            <w:r w:rsidR="00505346" w:rsidRPr="002657D1">
              <w:rPr>
                <w:rFonts w:ascii="Times New Roman" w:hAnsi="Times New Roman" w:cs="Times New Roman"/>
                <w:color w:val="000000" w:themeColor="text1"/>
                <w:sz w:val="24"/>
                <w:szCs w:val="24"/>
              </w:rPr>
              <w:t>099</w:t>
            </w:r>
          </w:p>
        </w:tc>
        <w:tc>
          <w:tcPr>
            <w:tcW w:w="1185" w:type="dxa"/>
            <w:tcBorders>
              <w:top w:val="nil"/>
              <w:bottom w:val="nil"/>
            </w:tcBorders>
          </w:tcPr>
          <w:p w14:paraId="5570E2B7" w14:textId="01F432F6" w:rsidR="00125629" w:rsidRPr="002657D1" w:rsidRDefault="00505346" w:rsidP="0012562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-0.1099</w:t>
            </w:r>
          </w:p>
        </w:tc>
        <w:tc>
          <w:tcPr>
            <w:tcW w:w="1185" w:type="dxa"/>
            <w:tcBorders>
              <w:top w:val="nil"/>
              <w:bottom w:val="nil"/>
            </w:tcBorders>
          </w:tcPr>
          <w:p w14:paraId="66B67718" w14:textId="24C48600" w:rsidR="00125629" w:rsidRPr="002657D1" w:rsidRDefault="00505346" w:rsidP="0012562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0.7669</w:t>
            </w:r>
          </w:p>
        </w:tc>
        <w:tc>
          <w:tcPr>
            <w:tcW w:w="1185" w:type="dxa"/>
            <w:tcBorders>
              <w:top w:val="nil"/>
              <w:bottom w:val="nil"/>
            </w:tcBorders>
          </w:tcPr>
          <w:p w14:paraId="0103D426" w14:textId="7E08FDFA" w:rsidR="00125629" w:rsidRPr="002657D1" w:rsidRDefault="0072306B" w:rsidP="0012562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0.9836</w:t>
            </w:r>
          </w:p>
        </w:tc>
        <w:tc>
          <w:tcPr>
            <w:tcW w:w="1185" w:type="dxa"/>
            <w:tcBorders>
              <w:top w:val="nil"/>
              <w:bottom w:val="nil"/>
            </w:tcBorders>
          </w:tcPr>
          <w:p w14:paraId="0AEE7606" w14:textId="52F34E60" w:rsidR="00125629" w:rsidRPr="002657D1" w:rsidRDefault="0072306B" w:rsidP="0012562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6i</w:t>
            </w:r>
          </w:p>
        </w:tc>
        <w:tc>
          <w:tcPr>
            <w:tcW w:w="1186" w:type="dxa"/>
            <w:tcBorders>
              <w:top w:val="nil"/>
              <w:bottom w:val="nil"/>
            </w:tcBorders>
          </w:tcPr>
          <w:p w14:paraId="79326AD7" w14:textId="3F2F8B10" w:rsidR="00125629" w:rsidRPr="002657D1" w:rsidRDefault="0072306B" w:rsidP="0012562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0.0154</w:t>
            </w:r>
          </w:p>
        </w:tc>
      </w:tr>
      <w:tr w:rsidR="002657D1" w:rsidRPr="002657D1" w14:paraId="63C6A3A7" w14:textId="77777777" w:rsidTr="00125629">
        <w:tc>
          <w:tcPr>
            <w:tcW w:w="1185" w:type="dxa"/>
            <w:tcBorders>
              <w:top w:val="nil"/>
              <w:bottom w:val="nil"/>
            </w:tcBorders>
          </w:tcPr>
          <w:p w14:paraId="27D408BD" w14:textId="190CA0D3" w:rsidR="00125629" w:rsidRPr="002657D1" w:rsidRDefault="00125629" w:rsidP="0012562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Cl2</w:t>
            </w:r>
          </w:p>
        </w:tc>
        <w:tc>
          <w:tcPr>
            <w:tcW w:w="1185" w:type="dxa"/>
            <w:tcBorders>
              <w:top w:val="nil"/>
              <w:bottom w:val="nil"/>
            </w:tcBorders>
          </w:tcPr>
          <w:p w14:paraId="0C600D3C" w14:textId="35F846BB" w:rsidR="00125629" w:rsidRPr="002657D1" w:rsidRDefault="00D916DB" w:rsidP="0012562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0.2234</w:t>
            </w:r>
          </w:p>
        </w:tc>
        <w:tc>
          <w:tcPr>
            <w:tcW w:w="1185" w:type="dxa"/>
            <w:tcBorders>
              <w:top w:val="nil"/>
              <w:bottom w:val="nil"/>
            </w:tcBorders>
          </w:tcPr>
          <w:p w14:paraId="5BE870B7" w14:textId="40D32CEA" w:rsidR="00125629" w:rsidRPr="002657D1" w:rsidRDefault="00D916DB" w:rsidP="0012562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-0.2234</w:t>
            </w:r>
          </w:p>
        </w:tc>
        <w:tc>
          <w:tcPr>
            <w:tcW w:w="1185" w:type="dxa"/>
            <w:tcBorders>
              <w:top w:val="nil"/>
              <w:bottom w:val="nil"/>
            </w:tcBorders>
          </w:tcPr>
          <w:p w14:paraId="7F3905FA" w14:textId="76E3D97F" w:rsidR="00125629" w:rsidRPr="002657D1" w:rsidRDefault="00D916DB" w:rsidP="0012562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0.2527</w:t>
            </w:r>
          </w:p>
        </w:tc>
        <w:tc>
          <w:tcPr>
            <w:tcW w:w="1185" w:type="dxa"/>
            <w:tcBorders>
              <w:top w:val="nil"/>
              <w:bottom w:val="nil"/>
            </w:tcBorders>
          </w:tcPr>
          <w:p w14:paraId="49A73E6E" w14:textId="36967D70" w:rsidR="00125629" w:rsidRPr="002657D1" w:rsidRDefault="00D916DB" w:rsidP="0012562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0.9572</w:t>
            </w:r>
          </w:p>
        </w:tc>
        <w:tc>
          <w:tcPr>
            <w:tcW w:w="1185" w:type="dxa"/>
            <w:tcBorders>
              <w:top w:val="nil"/>
              <w:bottom w:val="nil"/>
            </w:tcBorders>
          </w:tcPr>
          <w:p w14:paraId="3012F07B" w14:textId="32710174" w:rsidR="00125629" w:rsidRPr="002657D1" w:rsidRDefault="00D916DB" w:rsidP="0012562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6i</w:t>
            </w:r>
          </w:p>
        </w:tc>
        <w:tc>
          <w:tcPr>
            <w:tcW w:w="1186" w:type="dxa"/>
            <w:tcBorders>
              <w:top w:val="nil"/>
              <w:bottom w:val="nil"/>
            </w:tcBorders>
          </w:tcPr>
          <w:p w14:paraId="61A07573" w14:textId="41E83AC3" w:rsidR="00125629" w:rsidRPr="002657D1" w:rsidRDefault="0072306B" w:rsidP="0012562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0.01</w:t>
            </w:r>
            <w:r w:rsidR="00C602CE" w:rsidRPr="002657D1">
              <w:rPr>
                <w:rFonts w:ascii="Times New Roman" w:hAnsi="Times New Roman" w:cs="Times New Roman"/>
                <w:color w:val="000000" w:themeColor="text1"/>
                <w:sz w:val="24"/>
                <w:szCs w:val="24"/>
              </w:rPr>
              <w:t>21</w:t>
            </w:r>
          </w:p>
        </w:tc>
      </w:tr>
      <w:tr w:rsidR="002657D1" w:rsidRPr="002657D1" w14:paraId="4B16FE9D" w14:textId="77777777" w:rsidTr="00125629">
        <w:tc>
          <w:tcPr>
            <w:tcW w:w="1185" w:type="dxa"/>
            <w:tcBorders>
              <w:top w:val="nil"/>
              <w:bottom w:val="nil"/>
            </w:tcBorders>
          </w:tcPr>
          <w:p w14:paraId="56812691" w14:textId="583C8AA7" w:rsidR="00125629" w:rsidRPr="002657D1" w:rsidRDefault="00125629" w:rsidP="0012562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Cl3</w:t>
            </w:r>
          </w:p>
        </w:tc>
        <w:tc>
          <w:tcPr>
            <w:tcW w:w="1185" w:type="dxa"/>
            <w:tcBorders>
              <w:top w:val="nil"/>
              <w:bottom w:val="nil"/>
            </w:tcBorders>
          </w:tcPr>
          <w:p w14:paraId="33B16DE8" w14:textId="73C4411B" w:rsidR="00125629" w:rsidRPr="002657D1" w:rsidRDefault="00A444A7" w:rsidP="0012562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0.4439</w:t>
            </w:r>
          </w:p>
        </w:tc>
        <w:tc>
          <w:tcPr>
            <w:tcW w:w="1185" w:type="dxa"/>
            <w:tcBorders>
              <w:top w:val="nil"/>
              <w:bottom w:val="nil"/>
            </w:tcBorders>
          </w:tcPr>
          <w:p w14:paraId="38D21FF8" w14:textId="572302D6" w:rsidR="00125629" w:rsidRPr="002657D1" w:rsidRDefault="00A444A7" w:rsidP="0012562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-0.4439</w:t>
            </w:r>
          </w:p>
        </w:tc>
        <w:tc>
          <w:tcPr>
            <w:tcW w:w="1185" w:type="dxa"/>
            <w:tcBorders>
              <w:top w:val="nil"/>
              <w:bottom w:val="nil"/>
            </w:tcBorders>
          </w:tcPr>
          <w:p w14:paraId="702139E5" w14:textId="432AE6D0" w:rsidR="00125629" w:rsidRPr="002657D1" w:rsidRDefault="00A444A7" w:rsidP="0012562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0.7389</w:t>
            </w:r>
          </w:p>
        </w:tc>
        <w:tc>
          <w:tcPr>
            <w:tcW w:w="1185" w:type="dxa"/>
            <w:tcBorders>
              <w:top w:val="nil"/>
              <w:bottom w:val="nil"/>
            </w:tcBorders>
          </w:tcPr>
          <w:p w14:paraId="45B6E700" w14:textId="468CA0E0" w:rsidR="00125629" w:rsidRPr="002657D1" w:rsidRDefault="00A444A7" w:rsidP="0012562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0.9092</w:t>
            </w:r>
          </w:p>
        </w:tc>
        <w:tc>
          <w:tcPr>
            <w:tcW w:w="1185" w:type="dxa"/>
            <w:tcBorders>
              <w:top w:val="nil"/>
              <w:bottom w:val="nil"/>
            </w:tcBorders>
          </w:tcPr>
          <w:p w14:paraId="14C8B88E" w14:textId="345190D0" w:rsidR="00125629" w:rsidRPr="002657D1" w:rsidRDefault="00D916DB" w:rsidP="0012562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6i</w:t>
            </w:r>
          </w:p>
        </w:tc>
        <w:tc>
          <w:tcPr>
            <w:tcW w:w="1186" w:type="dxa"/>
            <w:tcBorders>
              <w:top w:val="nil"/>
              <w:bottom w:val="nil"/>
            </w:tcBorders>
          </w:tcPr>
          <w:p w14:paraId="735CD2FC" w14:textId="2974A09B" w:rsidR="00125629" w:rsidRPr="002657D1" w:rsidRDefault="0072306B" w:rsidP="00125629">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0.01</w:t>
            </w:r>
            <w:r w:rsidR="00C602CE" w:rsidRPr="002657D1">
              <w:rPr>
                <w:rFonts w:ascii="Times New Roman" w:hAnsi="Times New Roman" w:cs="Times New Roman"/>
                <w:color w:val="000000" w:themeColor="text1"/>
                <w:sz w:val="24"/>
                <w:szCs w:val="24"/>
              </w:rPr>
              <w:t>06</w:t>
            </w:r>
          </w:p>
        </w:tc>
      </w:tr>
      <w:tr w:rsidR="002657D1" w:rsidRPr="002657D1" w14:paraId="3B3F6458" w14:textId="77777777" w:rsidTr="00125629">
        <w:tc>
          <w:tcPr>
            <w:tcW w:w="1185" w:type="dxa"/>
            <w:tcBorders>
              <w:top w:val="nil"/>
              <w:bottom w:val="nil"/>
            </w:tcBorders>
          </w:tcPr>
          <w:p w14:paraId="4C32AA9F" w14:textId="19EAB3BC" w:rsidR="006950C7" w:rsidRPr="002657D1" w:rsidRDefault="006950C7" w:rsidP="006950C7">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F1</w:t>
            </w:r>
          </w:p>
        </w:tc>
        <w:tc>
          <w:tcPr>
            <w:tcW w:w="1185" w:type="dxa"/>
            <w:tcBorders>
              <w:top w:val="nil"/>
              <w:bottom w:val="nil"/>
            </w:tcBorders>
          </w:tcPr>
          <w:p w14:paraId="4EC86A94" w14:textId="0D50C603" w:rsidR="006950C7" w:rsidRPr="002657D1" w:rsidRDefault="006950C7" w:rsidP="006950C7">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0.1099</w:t>
            </w:r>
          </w:p>
        </w:tc>
        <w:tc>
          <w:tcPr>
            <w:tcW w:w="1185" w:type="dxa"/>
            <w:tcBorders>
              <w:top w:val="nil"/>
              <w:bottom w:val="nil"/>
            </w:tcBorders>
          </w:tcPr>
          <w:p w14:paraId="79ADA147" w14:textId="6EC922F3" w:rsidR="006950C7" w:rsidRPr="002657D1" w:rsidRDefault="006950C7" w:rsidP="006950C7">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-0.1099</w:t>
            </w:r>
          </w:p>
        </w:tc>
        <w:tc>
          <w:tcPr>
            <w:tcW w:w="1185" w:type="dxa"/>
            <w:tcBorders>
              <w:top w:val="nil"/>
              <w:bottom w:val="nil"/>
            </w:tcBorders>
          </w:tcPr>
          <w:p w14:paraId="1511281E" w14:textId="354EB785" w:rsidR="006950C7" w:rsidRPr="002657D1" w:rsidRDefault="006950C7" w:rsidP="006950C7">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0.7669</w:t>
            </w:r>
          </w:p>
        </w:tc>
        <w:tc>
          <w:tcPr>
            <w:tcW w:w="1185" w:type="dxa"/>
            <w:tcBorders>
              <w:top w:val="nil"/>
              <w:bottom w:val="nil"/>
            </w:tcBorders>
          </w:tcPr>
          <w:p w14:paraId="4E3CBC2C" w14:textId="02F50BEF" w:rsidR="006950C7" w:rsidRPr="002657D1" w:rsidRDefault="006950C7" w:rsidP="006950C7">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0.0158</w:t>
            </w:r>
          </w:p>
        </w:tc>
        <w:tc>
          <w:tcPr>
            <w:tcW w:w="1185" w:type="dxa"/>
            <w:tcBorders>
              <w:top w:val="nil"/>
              <w:bottom w:val="nil"/>
            </w:tcBorders>
          </w:tcPr>
          <w:p w14:paraId="0B0BC372" w14:textId="27E8402C" w:rsidR="006950C7" w:rsidRPr="002657D1" w:rsidRDefault="006950C7" w:rsidP="006950C7">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6i</w:t>
            </w:r>
          </w:p>
        </w:tc>
        <w:tc>
          <w:tcPr>
            <w:tcW w:w="1186" w:type="dxa"/>
            <w:tcBorders>
              <w:top w:val="nil"/>
              <w:bottom w:val="nil"/>
            </w:tcBorders>
          </w:tcPr>
          <w:p w14:paraId="5D55AFA0" w14:textId="63CEE4BE" w:rsidR="006950C7" w:rsidRPr="002657D1" w:rsidRDefault="006950C7" w:rsidP="006950C7">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0.0154</w:t>
            </w:r>
          </w:p>
        </w:tc>
      </w:tr>
      <w:tr w:rsidR="002657D1" w:rsidRPr="002657D1" w14:paraId="0FF682EB" w14:textId="77777777" w:rsidTr="00125629">
        <w:tc>
          <w:tcPr>
            <w:tcW w:w="1185" w:type="dxa"/>
            <w:tcBorders>
              <w:top w:val="nil"/>
              <w:bottom w:val="nil"/>
            </w:tcBorders>
          </w:tcPr>
          <w:p w14:paraId="09F947EF" w14:textId="698AFB4F" w:rsidR="006950C7" w:rsidRPr="002657D1" w:rsidRDefault="006950C7" w:rsidP="006950C7">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F2</w:t>
            </w:r>
          </w:p>
        </w:tc>
        <w:tc>
          <w:tcPr>
            <w:tcW w:w="1185" w:type="dxa"/>
            <w:tcBorders>
              <w:top w:val="nil"/>
              <w:bottom w:val="nil"/>
            </w:tcBorders>
          </w:tcPr>
          <w:p w14:paraId="3B4945A3" w14:textId="27E32AE1" w:rsidR="006950C7" w:rsidRPr="002657D1" w:rsidRDefault="006950C7" w:rsidP="006950C7">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0.2234</w:t>
            </w:r>
          </w:p>
        </w:tc>
        <w:tc>
          <w:tcPr>
            <w:tcW w:w="1185" w:type="dxa"/>
            <w:tcBorders>
              <w:top w:val="nil"/>
              <w:bottom w:val="nil"/>
            </w:tcBorders>
          </w:tcPr>
          <w:p w14:paraId="05013F55" w14:textId="50F0D11B" w:rsidR="006950C7" w:rsidRPr="002657D1" w:rsidRDefault="006950C7" w:rsidP="006950C7">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-0.2234</w:t>
            </w:r>
          </w:p>
        </w:tc>
        <w:tc>
          <w:tcPr>
            <w:tcW w:w="1185" w:type="dxa"/>
            <w:tcBorders>
              <w:top w:val="nil"/>
              <w:bottom w:val="nil"/>
            </w:tcBorders>
          </w:tcPr>
          <w:p w14:paraId="1BE74D70" w14:textId="4192CAB5" w:rsidR="006950C7" w:rsidRPr="002657D1" w:rsidRDefault="006950C7" w:rsidP="006950C7">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0.2527</w:t>
            </w:r>
          </w:p>
        </w:tc>
        <w:tc>
          <w:tcPr>
            <w:tcW w:w="1185" w:type="dxa"/>
            <w:tcBorders>
              <w:top w:val="nil"/>
              <w:bottom w:val="nil"/>
            </w:tcBorders>
          </w:tcPr>
          <w:p w14:paraId="139285F3" w14:textId="2B26289D" w:rsidR="006950C7" w:rsidRPr="002657D1" w:rsidRDefault="006950C7" w:rsidP="006950C7">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0.0434</w:t>
            </w:r>
          </w:p>
        </w:tc>
        <w:tc>
          <w:tcPr>
            <w:tcW w:w="1185" w:type="dxa"/>
            <w:tcBorders>
              <w:top w:val="nil"/>
              <w:bottom w:val="nil"/>
            </w:tcBorders>
          </w:tcPr>
          <w:p w14:paraId="772980F5" w14:textId="13F2A2C4" w:rsidR="006950C7" w:rsidRPr="002657D1" w:rsidRDefault="006950C7" w:rsidP="006950C7">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6i</w:t>
            </w:r>
          </w:p>
        </w:tc>
        <w:tc>
          <w:tcPr>
            <w:tcW w:w="1186" w:type="dxa"/>
            <w:tcBorders>
              <w:top w:val="nil"/>
              <w:bottom w:val="nil"/>
            </w:tcBorders>
          </w:tcPr>
          <w:p w14:paraId="0E45345D" w14:textId="7DFAEF39" w:rsidR="006950C7" w:rsidRPr="002657D1" w:rsidRDefault="006950C7" w:rsidP="006950C7">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0.01</w:t>
            </w:r>
            <w:r w:rsidR="00580D4A" w:rsidRPr="002657D1">
              <w:rPr>
                <w:rFonts w:ascii="Times New Roman" w:hAnsi="Times New Roman" w:cs="Times New Roman"/>
                <w:color w:val="000000" w:themeColor="text1"/>
                <w:sz w:val="24"/>
                <w:szCs w:val="24"/>
              </w:rPr>
              <w:t>21</w:t>
            </w:r>
          </w:p>
        </w:tc>
      </w:tr>
      <w:tr w:rsidR="002657D1" w:rsidRPr="002657D1" w14:paraId="26CFFBD1" w14:textId="77777777" w:rsidTr="00C4196E">
        <w:tc>
          <w:tcPr>
            <w:tcW w:w="1185" w:type="dxa"/>
            <w:tcBorders>
              <w:top w:val="nil"/>
              <w:bottom w:val="single" w:sz="12" w:space="0" w:color="auto"/>
            </w:tcBorders>
          </w:tcPr>
          <w:p w14:paraId="326B249B" w14:textId="31FCCA95" w:rsidR="006950C7" w:rsidRPr="002657D1" w:rsidRDefault="006950C7" w:rsidP="006950C7">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F3</w:t>
            </w:r>
          </w:p>
        </w:tc>
        <w:tc>
          <w:tcPr>
            <w:tcW w:w="1185" w:type="dxa"/>
            <w:tcBorders>
              <w:top w:val="nil"/>
              <w:bottom w:val="single" w:sz="12" w:space="0" w:color="auto"/>
            </w:tcBorders>
          </w:tcPr>
          <w:p w14:paraId="53682527" w14:textId="377749B0" w:rsidR="006950C7" w:rsidRPr="002657D1" w:rsidRDefault="006950C7" w:rsidP="006950C7">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0.4439</w:t>
            </w:r>
          </w:p>
        </w:tc>
        <w:tc>
          <w:tcPr>
            <w:tcW w:w="1185" w:type="dxa"/>
            <w:tcBorders>
              <w:top w:val="nil"/>
              <w:bottom w:val="single" w:sz="12" w:space="0" w:color="auto"/>
            </w:tcBorders>
          </w:tcPr>
          <w:p w14:paraId="5D661F09" w14:textId="7652A6CC" w:rsidR="006950C7" w:rsidRPr="002657D1" w:rsidRDefault="006950C7" w:rsidP="006950C7">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-0.4439</w:t>
            </w:r>
          </w:p>
        </w:tc>
        <w:tc>
          <w:tcPr>
            <w:tcW w:w="1185" w:type="dxa"/>
            <w:tcBorders>
              <w:top w:val="nil"/>
              <w:bottom w:val="single" w:sz="12" w:space="0" w:color="auto"/>
            </w:tcBorders>
          </w:tcPr>
          <w:p w14:paraId="31C17C41" w14:textId="5BD5D359" w:rsidR="006950C7" w:rsidRPr="002657D1" w:rsidRDefault="006950C7" w:rsidP="006950C7">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0.7389</w:t>
            </w:r>
          </w:p>
        </w:tc>
        <w:tc>
          <w:tcPr>
            <w:tcW w:w="1185" w:type="dxa"/>
            <w:tcBorders>
              <w:top w:val="nil"/>
              <w:bottom w:val="single" w:sz="12" w:space="0" w:color="auto"/>
            </w:tcBorders>
          </w:tcPr>
          <w:p w14:paraId="66C8973D" w14:textId="7F45133D" w:rsidR="006950C7" w:rsidRPr="002657D1" w:rsidRDefault="006950C7" w:rsidP="006950C7">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0.0908</w:t>
            </w:r>
          </w:p>
        </w:tc>
        <w:tc>
          <w:tcPr>
            <w:tcW w:w="1185" w:type="dxa"/>
            <w:tcBorders>
              <w:top w:val="nil"/>
              <w:bottom w:val="single" w:sz="12" w:space="0" w:color="auto"/>
            </w:tcBorders>
          </w:tcPr>
          <w:p w14:paraId="385EDFE5" w14:textId="5E5AF751" w:rsidR="006950C7" w:rsidRPr="002657D1" w:rsidRDefault="006950C7" w:rsidP="006950C7">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6i</w:t>
            </w:r>
          </w:p>
        </w:tc>
        <w:tc>
          <w:tcPr>
            <w:tcW w:w="1186" w:type="dxa"/>
            <w:tcBorders>
              <w:top w:val="nil"/>
              <w:bottom w:val="single" w:sz="12" w:space="0" w:color="auto"/>
            </w:tcBorders>
          </w:tcPr>
          <w:p w14:paraId="2AC01AC7" w14:textId="594D3D49" w:rsidR="006950C7" w:rsidRPr="002657D1" w:rsidRDefault="006950C7" w:rsidP="006950C7">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0.01</w:t>
            </w:r>
            <w:r w:rsidR="00580D4A" w:rsidRPr="002657D1">
              <w:rPr>
                <w:rFonts w:ascii="Times New Roman" w:hAnsi="Times New Roman" w:cs="Times New Roman"/>
                <w:color w:val="000000" w:themeColor="text1"/>
                <w:sz w:val="24"/>
                <w:szCs w:val="24"/>
              </w:rPr>
              <w:t>06</w:t>
            </w:r>
          </w:p>
        </w:tc>
      </w:tr>
    </w:tbl>
    <w:p w14:paraId="5BA8AD19" w14:textId="474B4EEC" w:rsidR="003019C1" w:rsidRPr="002657D1" w:rsidRDefault="0080368A" w:rsidP="003019C1">
      <w:pPr>
        <w:widowControl/>
        <w:spacing w:before="120" w:afterLines="50" w:after="156" w:line="360" w:lineRule="auto"/>
        <w:rPr>
          <w:rFonts w:ascii="Times New Roman" w:hAnsi="Times New Roman" w:cs="Times New Roman"/>
          <w:color w:val="000000" w:themeColor="text1"/>
          <w:sz w:val="24"/>
          <w:szCs w:val="24"/>
        </w:rPr>
      </w:pPr>
      <w:r w:rsidRPr="002657D1">
        <w:rPr>
          <w:rFonts w:ascii="Times New Roman" w:hAnsi="Times New Roman" w:cs="Times New Roman"/>
          <w:color w:val="000000" w:themeColor="text1"/>
        </w:rPr>
        <w:br w:type="page"/>
      </w:r>
      <w:r w:rsidR="003019C1" w:rsidRPr="002657D1">
        <w:rPr>
          <w:rFonts w:ascii="Times New Roman" w:hAnsi="Times New Roman" w:cs="Times New Roman"/>
          <w:b/>
          <w:bCs/>
          <w:color w:val="000000" w:themeColor="text1"/>
          <w:sz w:val="24"/>
          <w:szCs w:val="24"/>
        </w:rPr>
        <w:lastRenderedPageBreak/>
        <w:t xml:space="preserve">Supplementary Table </w:t>
      </w:r>
      <w:r w:rsidR="0046513C" w:rsidRPr="002657D1">
        <w:rPr>
          <w:rFonts w:ascii="Times New Roman" w:hAnsi="Times New Roman" w:cs="Times New Roman"/>
          <w:b/>
          <w:bCs/>
          <w:color w:val="000000" w:themeColor="text1"/>
          <w:sz w:val="24"/>
          <w:szCs w:val="24"/>
        </w:rPr>
        <w:t>3</w:t>
      </w:r>
      <w:r w:rsidR="003019C1" w:rsidRPr="002657D1">
        <w:rPr>
          <w:rFonts w:ascii="Times New Roman" w:hAnsi="Times New Roman" w:cs="Times New Roman"/>
          <w:b/>
          <w:bCs/>
          <w:color w:val="000000" w:themeColor="text1"/>
          <w:sz w:val="24"/>
          <w:szCs w:val="24"/>
        </w:rPr>
        <w:t>.</w:t>
      </w:r>
      <w:r w:rsidR="003019C1" w:rsidRPr="002657D1">
        <w:rPr>
          <w:rFonts w:ascii="Times New Roman" w:hAnsi="Times New Roman" w:cs="Times New Roman"/>
          <w:color w:val="000000" w:themeColor="text1"/>
          <w:sz w:val="24"/>
          <w:szCs w:val="24"/>
        </w:rPr>
        <w:t xml:space="preserve"> Rietveld refinement results from the XRD pattern of LZC. The space group is </w:t>
      </w:r>
      <m:oMath>
        <m:r>
          <m:rPr>
            <m:nor/>
          </m:rPr>
          <w:rPr>
            <w:rFonts w:ascii="Times New Roman" w:hAnsi="Times New Roman" w:cs="Times New Roman"/>
            <w:i/>
            <w:iCs/>
            <w:color w:val="000000" w:themeColor="text1"/>
            <w:sz w:val="24"/>
            <w:szCs w:val="24"/>
          </w:rPr>
          <m:t>P</m:t>
        </m:r>
        <m:acc>
          <m:accPr>
            <m:chr m:val="̅"/>
            <m:ctrlPr>
              <w:rPr>
                <w:rFonts w:ascii="Cambria Math" w:eastAsia="宋体" w:hAnsi="Cambria Math" w:cs="Times New Roman"/>
                <w:i/>
                <w:iCs/>
                <w:color w:val="000000" w:themeColor="text1"/>
                <w:sz w:val="24"/>
                <w:szCs w:val="24"/>
              </w:rPr>
            </m:ctrlPr>
          </m:accPr>
          <m:e>
            <m:r>
              <m:rPr>
                <m:nor/>
              </m:rPr>
              <w:rPr>
                <w:rFonts w:ascii="Times New Roman" w:hAnsi="Times New Roman" w:cs="Times New Roman"/>
                <w:i/>
                <w:iCs/>
                <w:color w:val="000000" w:themeColor="text1"/>
                <w:sz w:val="24"/>
                <w:szCs w:val="24"/>
              </w:rPr>
              <m:t>3</m:t>
            </m:r>
          </m:e>
        </m:acc>
        <m:r>
          <m:rPr>
            <m:nor/>
          </m:rPr>
          <w:rPr>
            <w:rFonts w:ascii="Times New Roman" w:hAnsi="Times New Roman" w:cs="Times New Roman"/>
            <w:i/>
            <w:iCs/>
            <w:color w:val="000000" w:themeColor="text1"/>
            <w:sz w:val="24"/>
            <w:szCs w:val="24"/>
          </w:rPr>
          <m:t>m1</m:t>
        </m:r>
      </m:oMath>
      <w:r w:rsidR="003019C1" w:rsidRPr="002657D1">
        <w:rPr>
          <w:rFonts w:ascii="Times New Roman" w:hAnsi="Times New Roman" w:cs="Times New Roman"/>
          <w:color w:val="000000" w:themeColor="text1"/>
          <w:sz w:val="24"/>
          <w:szCs w:val="24"/>
        </w:rPr>
        <w:t>; the refined lattice parameters are</w:t>
      </w:r>
      <w:bookmarkStart w:id="96" w:name="_Hlk170226974"/>
      <w:r w:rsidR="003019C1" w:rsidRPr="002657D1">
        <w:rPr>
          <w:rFonts w:ascii="Times New Roman" w:hAnsi="Times New Roman" w:cs="Times New Roman"/>
          <w:color w:val="000000" w:themeColor="text1"/>
          <w:sz w:val="24"/>
          <w:szCs w:val="24"/>
        </w:rPr>
        <w:t xml:space="preserve"> a = 10.9737 Å, c = 5.9308 Å</w:t>
      </w:r>
      <w:bookmarkEnd w:id="96"/>
      <w:r w:rsidR="003019C1" w:rsidRPr="002657D1">
        <w:rPr>
          <w:rFonts w:ascii="Times New Roman" w:hAnsi="Times New Roman" w:cs="Times New Roman"/>
          <w:color w:val="000000" w:themeColor="text1"/>
          <w:sz w:val="24"/>
          <w:szCs w:val="24"/>
        </w:rPr>
        <w:t>, and V= 618.51 Å</w:t>
      </w:r>
      <w:r w:rsidR="003019C1" w:rsidRPr="002657D1">
        <w:rPr>
          <w:rFonts w:ascii="Times New Roman" w:hAnsi="Times New Roman" w:cs="Times New Roman"/>
          <w:color w:val="000000" w:themeColor="text1"/>
          <w:sz w:val="24"/>
          <w:szCs w:val="24"/>
          <w:vertAlign w:val="superscript"/>
        </w:rPr>
        <w:t>3</w:t>
      </w:r>
      <w:r w:rsidR="003019C1" w:rsidRPr="002657D1">
        <w:rPr>
          <w:rFonts w:ascii="Times New Roman" w:hAnsi="Times New Roman" w:cs="Times New Roman"/>
          <w:color w:val="000000" w:themeColor="text1"/>
          <w:sz w:val="24"/>
          <w:szCs w:val="24"/>
        </w:rPr>
        <w:t>.</w:t>
      </w:r>
    </w:p>
    <w:tbl>
      <w:tblPr>
        <w:tblStyle w:val="af7"/>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167"/>
        <w:gridCol w:w="1171"/>
        <w:gridCol w:w="1171"/>
        <w:gridCol w:w="1171"/>
        <w:gridCol w:w="1296"/>
        <w:gridCol w:w="1158"/>
        <w:gridCol w:w="1172"/>
      </w:tblGrid>
      <w:tr w:rsidR="002657D1" w:rsidRPr="002657D1" w14:paraId="2CD00E81" w14:textId="77777777" w:rsidTr="0073434B">
        <w:tc>
          <w:tcPr>
            <w:tcW w:w="1185" w:type="dxa"/>
            <w:tcBorders>
              <w:top w:val="single" w:sz="12" w:space="0" w:color="auto"/>
              <w:bottom w:val="single" w:sz="12" w:space="0" w:color="auto"/>
            </w:tcBorders>
          </w:tcPr>
          <w:p w14:paraId="71056E8C"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Atom</w:t>
            </w:r>
          </w:p>
        </w:tc>
        <w:tc>
          <w:tcPr>
            <w:tcW w:w="1185" w:type="dxa"/>
            <w:tcBorders>
              <w:top w:val="single" w:sz="12" w:space="0" w:color="auto"/>
              <w:bottom w:val="single" w:sz="12" w:space="0" w:color="auto"/>
            </w:tcBorders>
          </w:tcPr>
          <w:p w14:paraId="786EE239" w14:textId="77777777" w:rsidR="003019C1" w:rsidRPr="002657D1" w:rsidRDefault="003019C1" w:rsidP="0073434B">
            <w:pPr>
              <w:widowControl/>
              <w:spacing w:line="360" w:lineRule="auto"/>
              <w:contextualSpacing/>
              <w:jc w:val="center"/>
              <w:rPr>
                <w:rFonts w:ascii="Times New Roman" w:hAnsi="Times New Roman" w:cs="Times New Roman"/>
                <w:i/>
                <w:iCs/>
                <w:color w:val="000000" w:themeColor="text1"/>
                <w:sz w:val="24"/>
                <w:szCs w:val="24"/>
              </w:rPr>
            </w:pPr>
            <w:r w:rsidRPr="002657D1">
              <w:rPr>
                <w:rFonts w:ascii="Times New Roman" w:hAnsi="Times New Roman" w:cs="Times New Roman"/>
                <w:i/>
                <w:iCs/>
                <w:color w:val="000000" w:themeColor="text1"/>
                <w:sz w:val="24"/>
                <w:szCs w:val="24"/>
              </w:rPr>
              <w:t>x</w:t>
            </w:r>
          </w:p>
        </w:tc>
        <w:tc>
          <w:tcPr>
            <w:tcW w:w="1185" w:type="dxa"/>
            <w:tcBorders>
              <w:top w:val="single" w:sz="12" w:space="0" w:color="auto"/>
              <w:bottom w:val="single" w:sz="12" w:space="0" w:color="auto"/>
            </w:tcBorders>
          </w:tcPr>
          <w:p w14:paraId="50E99E2A" w14:textId="77777777" w:rsidR="003019C1" w:rsidRPr="002657D1" w:rsidRDefault="003019C1" w:rsidP="0073434B">
            <w:pPr>
              <w:widowControl/>
              <w:spacing w:line="360" w:lineRule="auto"/>
              <w:contextualSpacing/>
              <w:jc w:val="center"/>
              <w:rPr>
                <w:rFonts w:ascii="Times New Roman" w:hAnsi="Times New Roman" w:cs="Times New Roman"/>
                <w:i/>
                <w:iCs/>
                <w:color w:val="000000" w:themeColor="text1"/>
                <w:sz w:val="24"/>
                <w:szCs w:val="24"/>
              </w:rPr>
            </w:pPr>
            <w:r w:rsidRPr="002657D1">
              <w:rPr>
                <w:rFonts w:ascii="Times New Roman" w:hAnsi="Times New Roman" w:cs="Times New Roman"/>
                <w:i/>
                <w:iCs/>
                <w:color w:val="000000" w:themeColor="text1"/>
                <w:sz w:val="24"/>
                <w:szCs w:val="24"/>
              </w:rPr>
              <w:t>y</w:t>
            </w:r>
          </w:p>
        </w:tc>
        <w:tc>
          <w:tcPr>
            <w:tcW w:w="1185" w:type="dxa"/>
            <w:tcBorders>
              <w:top w:val="single" w:sz="12" w:space="0" w:color="auto"/>
              <w:bottom w:val="single" w:sz="12" w:space="0" w:color="auto"/>
            </w:tcBorders>
          </w:tcPr>
          <w:p w14:paraId="2D659C08" w14:textId="77777777" w:rsidR="003019C1" w:rsidRPr="002657D1" w:rsidRDefault="003019C1" w:rsidP="0073434B">
            <w:pPr>
              <w:widowControl/>
              <w:spacing w:line="360" w:lineRule="auto"/>
              <w:contextualSpacing/>
              <w:jc w:val="center"/>
              <w:rPr>
                <w:rFonts w:ascii="Times New Roman" w:hAnsi="Times New Roman" w:cs="Times New Roman"/>
                <w:i/>
                <w:iCs/>
                <w:color w:val="000000" w:themeColor="text1"/>
                <w:sz w:val="24"/>
                <w:szCs w:val="24"/>
              </w:rPr>
            </w:pPr>
            <w:r w:rsidRPr="002657D1">
              <w:rPr>
                <w:rFonts w:ascii="Times New Roman" w:hAnsi="Times New Roman" w:cs="Times New Roman"/>
                <w:i/>
                <w:iCs/>
                <w:color w:val="000000" w:themeColor="text1"/>
                <w:sz w:val="24"/>
                <w:szCs w:val="24"/>
              </w:rPr>
              <w:t>z</w:t>
            </w:r>
          </w:p>
        </w:tc>
        <w:tc>
          <w:tcPr>
            <w:tcW w:w="1185" w:type="dxa"/>
            <w:tcBorders>
              <w:top w:val="single" w:sz="12" w:space="0" w:color="auto"/>
              <w:bottom w:val="single" w:sz="12" w:space="0" w:color="auto"/>
            </w:tcBorders>
          </w:tcPr>
          <w:p w14:paraId="2E1FB287"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Occupancy</w:t>
            </w:r>
          </w:p>
        </w:tc>
        <w:tc>
          <w:tcPr>
            <w:tcW w:w="1185" w:type="dxa"/>
            <w:tcBorders>
              <w:top w:val="single" w:sz="12" w:space="0" w:color="auto"/>
              <w:bottom w:val="single" w:sz="12" w:space="0" w:color="auto"/>
            </w:tcBorders>
          </w:tcPr>
          <w:p w14:paraId="1110B3CC"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Site</w:t>
            </w:r>
          </w:p>
        </w:tc>
        <w:tc>
          <w:tcPr>
            <w:tcW w:w="1186" w:type="dxa"/>
            <w:tcBorders>
              <w:top w:val="single" w:sz="12" w:space="0" w:color="auto"/>
              <w:bottom w:val="single" w:sz="12" w:space="0" w:color="auto"/>
            </w:tcBorders>
          </w:tcPr>
          <w:p w14:paraId="48CE48EA"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proofErr w:type="spellStart"/>
            <w:r w:rsidRPr="002657D1">
              <w:rPr>
                <w:rFonts w:ascii="Times New Roman" w:hAnsi="Times New Roman" w:cs="Times New Roman"/>
                <w:color w:val="000000" w:themeColor="text1"/>
                <w:sz w:val="24"/>
                <w:szCs w:val="24"/>
              </w:rPr>
              <w:t>U</w:t>
            </w:r>
            <w:r w:rsidRPr="002657D1">
              <w:rPr>
                <w:rFonts w:ascii="Times New Roman" w:hAnsi="Times New Roman" w:cs="Times New Roman"/>
                <w:color w:val="000000" w:themeColor="text1"/>
                <w:sz w:val="24"/>
                <w:szCs w:val="24"/>
                <w:vertAlign w:val="subscript"/>
              </w:rPr>
              <w:t>iso</w:t>
            </w:r>
            <w:proofErr w:type="spellEnd"/>
            <w:r w:rsidRPr="002657D1">
              <w:rPr>
                <w:rFonts w:ascii="Times New Roman" w:hAnsi="Times New Roman" w:cs="Times New Roman"/>
                <w:color w:val="000000" w:themeColor="text1"/>
                <w:sz w:val="24"/>
                <w:szCs w:val="24"/>
              </w:rPr>
              <w:t xml:space="preserve"> (Å</w:t>
            </w:r>
            <w:r w:rsidRPr="002657D1">
              <w:rPr>
                <w:rFonts w:ascii="Times New Roman" w:hAnsi="Times New Roman" w:cs="Times New Roman"/>
                <w:color w:val="000000" w:themeColor="text1"/>
                <w:sz w:val="24"/>
                <w:szCs w:val="24"/>
                <w:vertAlign w:val="superscript"/>
              </w:rPr>
              <w:t>2</w:t>
            </w:r>
            <w:r w:rsidRPr="002657D1">
              <w:rPr>
                <w:rFonts w:ascii="Times New Roman" w:hAnsi="Times New Roman" w:cs="Times New Roman"/>
                <w:color w:val="000000" w:themeColor="text1"/>
                <w:sz w:val="24"/>
                <w:szCs w:val="24"/>
              </w:rPr>
              <w:t>)</w:t>
            </w:r>
          </w:p>
        </w:tc>
      </w:tr>
      <w:tr w:rsidR="002657D1" w:rsidRPr="002657D1" w14:paraId="0974555D" w14:textId="77777777" w:rsidTr="0073434B">
        <w:tc>
          <w:tcPr>
            <w:tcW w:w="1185" w:type="dxa"/>
            <w:tcBorders>
              <w:top w:val="single" w:sz="12" w:space="0" w:color="auto"/>
              <w:bottom w:val="nil"/>
            </w:tcBorders>
          </w:tcPr>
          <w:p w14:paraId="44C92801"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Li1</w:t>
            </w:r>
          </w:p>
        </w:tc>
        <w:tc>
          <w:tcPr>
            <w:tcW w:w="1185" w:type="dxa"/>
            <w:tcBorders>
              <w:top w:val="single" w:sz="12" w:space="0" w:color="auto"/>
              <w:bottom w:val="nil"/>
            </w:tcBorders>
          </w:tcPr>
          <w:p w14:paraId="74109097"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0.3198</w:t>
            </w:r>
          </w:p>
        </w:tc>
        <w:tc>
          <w:tcPr>
            <w:tcW w:w="1185" w:type="dxa"/>
            <w:tcBorders>
              <w:top w:val="single" w:sz="12" w:space="0" w:color="auto"/>
              <w:bottom w:val="nil"/>
            </w:tcBorders>
          </w:tcPr>
          <w:p w14:paraId="3A87F614"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w:t>
            </w:r>
          </w:p>
        </w:tc>
        <w:tc>
          <w:tcPr>
            <w:tcW w:w="1185" w:type="dxa"/>
            <w:tcBorders>
              <w:top w:val="single" w:sz="12" w:space="0" w:color="auto"/>
              <w:bottom w:val="nil"/>
            </w:tcBorders>
          </w:tcPr>
          <w:p w14:paraId="0CF8359C"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w:t>
            </w:r>
          </w:p>
        </w:tc>
        <w:tc>
          <w:tcPr>
            <w:tcW w:w="1185" w:type="dxa"/>
            <w:tcBorders>
              <w:top w:val="single" w:sz="12" w:space="0" w:color="auto"/>
              <w:bottom w:val="nil"/>
            </w:tcBorders>
          </w:tcPr>
          <w:p w14:paraId="292D5B12"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0.1583</w:t>
            </w:r>
          </w:p>
        </w:tc>
        <w:tc>
          <w:tcPr>
            <w:tcW w:w="1185" w:type="dxa"/>
            <w:tcBorders>
              <w:top w:val="single" w:sz="12" w:space="0" w:color="auto"/>
              <w:bottom w:val="nil"/>
            </w:tcBorders>
          </w:tcPr>
          <w:p w14:paraId="4C0B7A42"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6g</w:t>
            </w:r>
          </w:p>
        </w:tc>
        <w:tc>
          <w:tcPr>
            <w:tcW w:w="1186" w:type="dxa"/>
            <w:tcBorders>
              <w:top w:val="single" w:sz="12" w:space="0" w:color="auto"/>
              <w:bottom w:val="nil"/>
            </w:tcBorders>
          </w:tcPr>
          <w:p w14:paraId="6F5E2312"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0.0216</w:t>
            </w:r>
          </w:p>
        </w:tc>
      </w:tr>
      <w:tr w:rsidR="002657D1" w:rsidRPr="002657D1" w14:paraId="46E318D5" w14:textId="77777777" w:rsidTr="0073434B">
        <w:tc>
          <w:tcPr>
            <w:tcW w:w="1185" w:type="dxa"/>
            <w:tcBorders>
              <w:top w:val="nil"/>
              <w:bottom w:val="nil"/>
            </w:tcBorders>
          </w:tcPr>
          <w:p w14:paraId="4EFB92F2"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Li2</w:t>
            </w:r>
          </w:p>
        </w:tc>
        <w:tc>
          <w:tcPr>
            <w:tcW w:w="1185" w:type="dxa"/>
            <w:tcBorders>
              <w:top w:val="nil"/>
              <w:bottom w:val="nil"/>
            </w:tcBorders>
          </w:tcPr>
          <w:p w14:paraId="244136AA"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0.3289</w:t>
            </w:r>
          </w:p>
        </w:tc>
        <w:tc>
          <w:tcPr>
            <w:tcW w:w="1185" w:type="dxa"/>
            <w:tcBorders>
              <w:top w:val="nil"/>
              <w:bottom w:val="nil"/>
            </w:tcBorders>
          </w:tcPr>
          <w:p w14:paraId="74DAEF0C"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w:t>
            </w:r>
          </w:p>
        </w:tc>
        <w:tc>
          <w:tcPr>
            <w:tcW w:w="1185" w:type="dxa"/>
            <w:tcBorders>
              <w:top w:val="nil"/>
              <w:bottom w:val="nil"/>
            </w:tcBorders>
          </w:tcPr>
          <w:p w14:paraId="0E1190A8"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0.5</w:t>
            </w:r>
          </w:p>
        </w:tc>
        <w:tc>
          <w:tcPr>
            <w:tcW w:w="1185" w:type="dxa"/>
            <w:tcBorders>
              <w:top w:val="nil"/>
              <w:bottom w:val="nil"/>
            </w:tcBorders>
          </w:tcPr>
          <w:p w14:paraId="52E722B8"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0.8417</w:t>
            </w:r>
          </w:p>
        </w:tc>
        <w:tc>
          <w:tcPr>
            <w:tcW w:w="1185" w:type="dxa"/>
            <w:tcBorders>
              <w:top w:val="nil"/>
              <w:bottom w:val="nil"/>
            </w:tcBorders>
          </w:tcPr>
          <w:p w14:paraId="082BD4B3"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6h</w:t>
            </w:r>
          </w:p>
        </w:tc>
        <w:tc>
          <w:tcPr>
            <w:tcW w:w="1186" w:type="dxa"/>
            <w:tcBorders>
              <w:top w:val="nil"/>
              <w:bottom w:val="nil"/>
            </w:tcBorders>
          </w:tcPr>
          <w:p w14:paraId="148B8111"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0.0182</w:t>
            </w:r>
          </w:p>
        </w:tc>
      </w:tr>
      <w:tr w:rsidR="002657D1" w:rsidRPr="002657D1" w14:paraId="7799E9C2" w14:textId="77777777" w:rsidTr="0073434B">
        <w:tc>
          <w:tcPr>
            <w:tcW w:w="1185" w:type="dxa"/>
            <w:tcBorders>
              <w:top w:val="nil"/>
              <w:bottom w:val="nil"/>
            </w:tcBorders>
          </w:tcPr>
          <w:p w14:paraId="113C6AF0" w14:textId="77777777" w:rsidR="001E55B9" w:rsidRPr="002657D1" w:rsidRDefault="001E55B9" w:rsidP="001E55B9">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Zr1</w:t>
            </w:r>
          </w:p>
        </w:tc>
        <w:tc>
          <w:tcPr>
            <w:tcW w:w="1185" w:type="dxa"/>
            <w:tcBorders>
              <w:top w:val="nil"/>
              <w:bottom w:val="nil"/>
            </w:tcBorders>
          </w:tcPr>
          <w:p w14:paraId="55DF3E92" w14:textId="77777777" w:rsidR="001E55B9" w:rsidRPr="002657D1" w:rsidRDefault="001E55B9" w:rsidP="001E55B9">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w:t>
            </w:r>
          </w:p>
        </w:tc>
        <w:tc>
          <w:tcPr>
            <w:tcW w:w="1185" w:type="dxa"/>
            <w:tcBorders>
              <w:top w:val="nil"/>
              <w:bottom w:val="nil"/>
            </w:tcBorders>
          </w:tcPr>
          <w:p w14:paraId="70704885" w14:textId="77777777" w:rsidR="001E55B9" w:rsidRPr="002657D1" w:rsidRDefault="001E55B9" w:rsidP="001E55B9">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w:t>
            </w:r>
          </w:p>
        </w:tc>
        <w:tc>
          <w:tcPr>
            <w:tcW w:w="1185" w:type="dxa"/>
            <w:tcBorders>
              <w:top w:val="nil"/>
              <w:bottom w:val="nil"/>
            </w:tcBorders>
          </w:tcPr>
          <w:p w14:paraId="1E9AFC39" w14:textId="77777777" w:rsidR="001E55B9" w:rsidRPr="002657D1" w:rsidRDefault="001E55B9" w:rsidP="001E55B9">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w:t>
            </w:r>
          </w:p>
        </w:tc>
        <w:tc>
          <w:tcPr>
            <w:tcW w:w="1185" w:type="dxa"/>
            <w:tcBorders>
              <w:top w:val="nil"/>
              <w:bottom w:val="nil"/>
            </w:tcBorders>
          </w:tcPr>
          <w:p w14:paraId="3ACACB62" w14:textId="77777777" w:rsidR="001E55B9" w:rsidRPr="002657D1" w:rsidRDefault="001E55B9" w:rsidP="001E55B9">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0.5957</w:t>
            </w:r>
          </w:p>
        </w:tc>
        <w:tc>
          <w:tcPr>
            <w:tcW w:w="1185" w:type="dxa"/>
            <w:tcBorders>
              <w:top w:val="nil"/>
              <w:bottom w:val="nil"/>
            </w:tcBorders>
          </w:tcPr>
          <w:p w14:paraId="10E93CAE" w14:textId="38EE5B43" w:rsidR="001E55B9" w:rsidRPr="002657D1" w:rsidRDefault="001E55B9" w:rsidP="001E55B9">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1a</w:t>
            </w:r>
          </w:p>
        </w:tc>
        <w:tc>
          <w:tcPr>
            <w:tcW w:w="1186" w:type="dxa"/>
            <w:tcBorders>
              <w:top w:val="nil"/>
              <w:bottom w:val="nil"/>
            </w:tcBorders>
          </w:tcPr>
          <w:p w14:paraId="5EC99D06" w14:textId="77777777" w:rsidR="001E55B9" w:rsidRPr="002657D1" w:rsidRDefault="001E55B9" w:rsidP="001E55B9">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0.0243</w:t>
            </w:r>
          </w:p>
        </w:tc>
      </w:tr>
      <w:tr w:rsidR="002657D1" w:rsidRPr="002657D1" w14:paraId="76C46E5F" w14:textId="77777777" w:rsidTr="0073434B">
        <w:tc>
          <w:tcPr>
            <w:tcW w:w="1185" w:type="dxa"/>
            <w:tcBorders>
              <w:top w:val="nil"/>
              <w:bottom w:val="nil"/>
            </w:tcBorders>
          </w:tcPr>
          <w:p w14:paraId="66A9BDF9" w14:textId="77777777" w:rsidR="001E55B9" w:rsidRPr="002657D1" w:rsidRDefault="001E55B9" w:rsidP="001E55B9">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Zr2</w:t>
            </w:r>
          </w:p>
        </w:tc>
        <w:tc>
          <w:tcPr>
            <w:tcW w:w="1185" w:type="dxa"/>
            <w:tcBorders>
              <w:top w:val="nil"/>
              <w:bottom w:val="nil"/>
            </w:tcBorders>
          </w:tcPr>
          <w:p w14:paraId="18E9D519" w14:textId="77777777" w:rsidR="001E55B9" w:rsidRPr="002657D1" w:rsidRDefault="001E55B9" w:rsidP="001E55B9">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0.3333</w:t>
            </w:r>
          </w:p>
        </w:tc>
        <w:tc>
          <w:tcPr>
            <w:tcW w:w="1185" w:type="dxa"/>
            <w:tcBorders>
              <w:top w:val="nil"/>
              <w:bottom w:val="nil"/>
            </w:tcBorders>
          </w:tcPr>
          <w:p w14:paraId="5DA0D92D" w14:textId="77777777" w:rsidR="001E55B9" w:rsidRPr="002657D1" w:rsidRDefault="001E55B9" w:rsidP="001E55B9">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0.6667</w:t>
            </w:r>
          </w:p>
        </w:tc>
        <w:tc>
          <w:tcPr>
            <w:tcW w:w="1185" w:type="dxa"/>
            <w:tcBorders>
              <w:top w:val="nil"/>
              <w:bottom w:val="nil"/>
            </w:tcBorders>
          </w:tcPr>
          <w:p w14:paraId="7EB87CEB" w14:textId="77777777" w:rsidR="001E55B9" w:rsidRPr="002657D1" w:rsidRDefault="001E55B9" w:rsidP="001E55B9">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0.5193</w:t>
            </w:r>
          </w:p>
        </w:tc>
        <w:tc>
          <w:tcPr>
            <w:tcW w:w="1185" w:type="dxa"/>
            <w:tcBorders>
              <w:top w:val="nil"/>
              <w:bottom w:val="nil"/>
            </w:tcBorders>
          </w:tcPr>
          <w:p w14:paraId="069D40F4" w14:textId="77777777" w:rsidR="001E55B9" w:rsidRPr="002657D1" w:rsidRDefault="001E55B9" w:rsidP="001E55B9">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0.6314</w:t>
            </w:r>
          </w:p>
        </w:tc>
        <w:tc>
          <w:tcPr>
            <w:tcW w:w="1185" w:type="dxa"/>
            <w:tcBorders>
              <w:top w:val="nil"/>
              <w:bottom w:val="nil"/>
            </w:tcBorders>
          </w:tcPr>
          <w:p w14:paraId="59D19499" w14:textId="2B2FFE7F" w:rsidR="001E55B9" w:rsidRPr="002657D1" w:rsidRDefault="001E55B9" w:rsidP="001E55B9">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2d</w:t>
            </w:r>
          </w:p>
        </w:tc>
        <w:tc>
          <w:tcPr>
            <w:tcW w:w="1186" w:type="dxa"/>
            <w:tcBorders>
              <w:top w:val="nil"/>
              <w:bottom w:val="nil"/>
            </w:tcBorders>
          </w:tcPr>
          <w:p w14:paraId="583EA81E" w14:textId="77777777" w:rsidR="001E55B9" w:rsidRPr="002657D1" w:rsidRDefault="001E55B9" w:rsidP="001E55B9">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0.0331</w:t>
            </w:r>
          </w:p>
        </w:tc>
      </w:tr>
      <w:tr w:rsidR="002657D1" w:rsidRPr="002657D1" w14:paraId="27EB727F" w14:textId="77777777" w:rsidTr="0073434B">
        <w:tc>
          <w:tcPr>
            <w:tcW w:w="1185" w:type="dxa"/>
            <w:tcBorders>
              <w:top w:val="nil"/>
              <w:bottom w:val="nil"/>
            </w:tcBorders>
          </w:tcPr>
          <w:p w14:paraId="68CB2CCB" w14:textId="77777777" w:rsidR="001E55B9" w:rsidRPr="002657D1" w:rsidRDefault="001E55B9" w:rsidP="001E55B9">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Zr3</w:t>
            </w:r>
          </w:p>
        </w:tc>
        <w:tc>
          <w:tcPr>
            <w:tcW w:w="1185" w:type="dxa"/>
            <w:tcBorders>
              <w:top w:val="nil"/>
              <w:bottom w:val="nil"/>
            </w:tcBorders>
          </w:tcPr>
          <w:p w14:paraId="5582525E" w14:textId="77777777" w:rsidR="001E55B9" w:rsidRPr="002657D1" w:rsidRDefault="001E55B9" w:rsidP="001E55B9">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w:t>
            </w:r>
          </w:p>
        </w:tc>
        <w:tc>
          <w:tcPr>
            <w:tcW w:w="1185" w:type="dxa"/>
            <w:tcBorders>
              <w:top w:val="nil"/>
              <w:bottom w:val="nil"/>
            </w:tcBorders>
          </w:tcPr>
          <w:p w14:paraId="039ECC33" w14:textId="77777777" w:rsidR="001E55B9" w:rsidRPr="002657D1" w:rsidRDefault="001E55B9" w:rsidP="001E55B9">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w:t>
            </w:r>
          </w:p>
        </w:tc>
        <w:tc>
          <w:tcPr>
            <w:tcW w:w="1185" w:type="dxa"/>
            <w:tcBorders>
              <w:top w:val="nil"/>
              <w:bottom w:val="nil"/>
            </w:tcBorders>
          </w:tcPr>
          <w:p w14:paraId="7E0C7127" w14:textId="77777777" w:rsidR="001E55B9" w:rsidRPr="002657D1" w:rsidRDefault="001E55B9" w:rsidP="001E55B9">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0.5</w:t>
            </w:r>
          </w:p>
        </w:tc>
        <w:tc>
          <w:tcPr>
            <w:tcW w:w="1185" w:type="dxa"/>
            <w:tcBorders>
              <w:top w:val="nil"/>
              <w:bottom w:val="nil"/>
            </w:tcBorders>
          </w:tcPr>
          <w:p w14:paraId="3E5DE0F3" w14:textId="77777777" w:rsidR="001E55B9" w:rsidRPr="002657D1" w:rsidRDefault="001E55B9" w:rsidP="001E55B9">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0.4824</w:t>
            </w:r>
          </w:p>
        </w:tc>
        <w:tc>
          <w:tcPr>
            <w:tcW w:w="1185" w:type="dxa"/>
            <w:tcBorders>
              <w:top w:val="nil"/>
              <w:bottom w:val="nil"/>
            </w:tcBorders>
          </w:tcPr>
          <w:p w14:paraId="328BA6D1" w14:textId="6B4309DA" w:rsidR="001E55B9" w:rsidRPr="002657D1" w:rsidRDefault="001E55B9" w:rsidP="001E55B9">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1b</w:t>
            </w:r>
          </w:p>
        </w:tc>
        <w:tc>
          <w:tcPr>
            <w:tcW w:w="1186" w:type="dxa"/>
            <w:tcBorders>
              <w:top w:val="nil"/>
              <w:bottom w:val="nil"/>
            </w:tcBorders>
          </w:tcPr>
          <w:p w14:paraId="328B5FEA" w14:textId="77777777" w:rsidR="001E55B9" w:rsidRPr="002657D1" w:rsidRDefault="001E55B9" w:rsidP="001E55B9">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0.0134</w:t>
            </w:r>
          </w:p>
        </w:tc>
      </w:tr>
      <w:tr w:rsidR="002657D1" w:rsidRPr="002657D1" w14:paraId="0BBAB05E" w14:textId="77777777" w:rsidTr="0073434B">
        <w:tc>
          <w:tcPr>
            <w:tcW w:w="1185" w:type="dxa"/>
            <w:tcBorders>
              <w:top w:val="nil"/>
              <w:bottom w:val="nil"/>
            </w:tcBorders>
          </w:tcPr>
          <w:p w14:paraId="0E94277D" w14:textId="77777777" w:rsidR="001E55B9" w:rsidRPr="002657D1" w:rsidRDefault="001E55B9" w:rsidP="001E55B9">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Zr4</w:t>
            </w:r>
          </w:p>
        </w:tc>
        <w:tc>
          <w:tcPr>
            <w:tcW w:w="1185" w:type="dxa"/>
            <w:tcBorders>
              <w:top w:val="nil"/>
              <w:bottom w:val="nil"/>
            </w:tcBorders>
          </w:tcPr>
          <w:p w14:paraId="64BBA679" w14:textId="77777777" w:rsidR="001E55B9" w:rsidRPr="002657D1" w:rsidRDefault="001E55B9" w:rsidP="001E55B9">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03333</w:t>
            </w:r>
          </w:p>
        </w:tc>
        <w:tc>
          <w:tcPr>
            <w:tcW w:w="1185" w:type="dxa"/>
            <w:tcBorders>
              <w:top w:val="nil"/>
              <w:bottom w:val="nil"/>
            </w:tcBorders>
          </w:tcPr>
          <w:p w14:paraId="0DEE556A" w14:textId="77777777" w:rsidR="001E55B9" w:rsidRPr="002657D1" w:rsidRDefault="001E55B9" w:rsidP="001E55B9">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0.6667</w:t>
            </w:r>
          </w:p>
        </w:tc>
        <w:tc>
          <w:tcPr>
            <w:tcW w:w="1185" w:type="dxa"/>
            <w:tcBorders>
              <w:top w:val="nil"/>
              <w:bottom w:val="nil"/>
            </w:tcBorders>
          </w:tcPr>
          <w:p w14:paraId="0B4F74BD" w14:textId="77777777" w:rsidR="001E55B9" w:rsidRPr="002657D1" w:rsidRDefault="001E55B9" w:rsidP="001E55B9">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0.9605</w:t>
            </w:r>
          </w:p>
        </w:tc>
        <w:tc>
          <w:tcPr>
            <w:tcW w:w="1185" w:type="dxa"/>
            <w:tcBorders>
              <w:top w:val="nil"/>
              <w:bottom w:val="nil"/>
            </w:tcBorders>
          </w:tcPr>
          <w:p w14:paraId="023E371A" w14:textId="77777777" w:rsidR="001E55B9" w:rsidRPr="002657D1" w:rsidRDefault="001E55B9" w:rsidP="001E55B9">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0.3295</w:t>
            </w:r>
          </w:p>
        </w:tc>
        <w:tc>
          <w:tcPr>
            <w:tcW w:w="1185" w:type="dxa"/>
            <w:tcBorders>
              <w:top w:val="nil"/>
              <w:bottom w:val="nil"/>
            </w:tcBorders>
          </w:tcPr>
          <w:p w14:paraId="27D49C04" w14:textId="05DDE77C" w:rsidR="001E55B9" w:rsidRPr="002657D1" w:rsidRDefault="001E55B9" w:rsidP="001E55B9">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2d</w:t>
            </w:r>
          </w:p>
        </w:tc>
        <w:tc>
          <w:tcPr>
            <w:tcW w:w="1186" w:type="dxa"/>
            <w:tcBorders>
              <w:top w:val="nil"/>
              <w:bottom w:val="nil"/>
            </w:tcBorders>
          </w:tcPr>
          <w:p w14:paraId="22720872" w14:textId="77777777" w:rsidR="001E55B9" w:rsidRPr="002657D1" w:rsidRDefault="001E55B9" w:rsidP="001E55B9">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0.0173</w:t>
            </w:r>
          </w:p>
        </w:tc>
      </w:tr>
      <w:tr w:rsidR="002657D1" w:rsidRPr="002657D1" w14:paraId="4473DAF9" w14:textId="77777777" w:rsidTr="0073434B">
        <w:tc>
          <w:tcPr>
            <w:tcW w:w="1185" w:type="dxa"/>
            <w:tcBorders>
              <w:top w:val="nil"/>
              <w:bottom w:val="nil"/>
            </w:tcBorders>
          </w:tcPr>
          <w:p w14:paraId="140CCD69"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Cl1</w:t>
            </w:r>
          </w:p>
        </w:tc>
        <w:tc>
          <w:tcPr>
            <w:tcW w:w="1185" w:type="dxa"/>
            <w:tcBorders>
              <w:top w:val="nil"/>
              <w:bottom w:val="nil"/>
            </w:tcBorders>
          </w:tcPr>
          <w:p w14:paraId="4A30DEA8"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0.1103</w:t>
            </w:r>
          </w:p>
        </w:tc>
        <w:tc>
          <w:tcPr>
            <w:tcW w:w="1185" w:type="dxa"/>
            <w:tcBorders>
              <w:top w:val="nil"/>
              <w:bottom w:val="nil"/>
            </w:tcBorders>
          </w:tcPr>
          <w:p w14:paraId="4FDA9EA2"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-0.1103</w:t>
            </w:r>
          </w:p>
        </w:tc>
        <w:tc>
          <w:tcPr>
            <w:tcW w:w="1185" w:type="dxa"/>
            <w:tcBorders>
              <w:top w:val="nil"/>
              <w:bottom w:val="nil"/>
            </w:tcBorders>
          </w:tcPr>
          <w:p w14:paraId="11049142"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0.7477</w:t>
            </w:r>
          </w:p>
        </w:tc>
        <w:tc>
          <w:tcPr>
            <w:tcW w:w="1185" w:type="dxa"/>
            <w:tcBorders>
              <w:top w:val="nil"/>
              <w:bottom w:val="nil"/>
            </w:tcBorders>
          </w:tcPr>
          <w:p w14:paraId="774553BC"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w:t>
            </w:r>
          </w:p>
        </w:tc>
        <w:tc>
          <w:tcPr>
            <w:tcW w:w="1185" w:type="dxa"/>
            <w:tcBorders>
              <w:top w:val="nil"/>
              <w:bottom w:val="nil"/>
            </w:tcBorders>
          </w:tcPr>
          <w:p w14:paraId="39AA4D6E"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6i</w:t>
            </w:r>
          </w:p>
        </w:tc>
        <w:tc>
          <w:tcPr>
            <w:tcW w:w="1186" w:type="dxa"/>
            <w:tcBorders>
              <w:top w:val="nil"/>
              <w:bottom w:val="nil"/>
            </w:tcBorders>
          </w:tcPr>
          <w:p w14:paraId="556951CC"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0.0176</w:t>
            </w:r>
          </w:p>
        </w:tc>
      </w:tr>
      <w:tr w:rsidR="002657D1" w:rsidRPr="002657D1" w14:paraId="253A79CB" w14:textId="77777777" w:rsidTr="0073434B">
        <w:tc>
          <w:tcPr>
            <w:tcW w:w="1185" w:type="dxa"/>
            <w:tcBorders>
              <w:top w:val="nil"/>
              <w:bottom w:val="nil"/>
            </w:tcBorders>
          </w:tcPr>
          <w:p w14:paraId="2BA45075"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Cl2</w:t>
            </w:r>
          </w:p>
        </w:tc>
        <w:tc>
          <w:tcPr>
            <w:tcW w:w="1185" w:type="dxa"/>
            <w:tcBorders>
              <w:top w:val="nil"/>
              <w:bottom w:val="nil"/>
            </w:tcBorders>
          </w:tcPr>
          <w:p w14:paraId="59AF75B7"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0.2243</w:t>
            </w:r>
          </w:p>
        </w:tc>
        <w:tc>
          <w:tcPr>
            <w:tcW w:w="1185" w:type="dxa"/>
            <w:tcBorders>
              <w:top w:val="nil"/>
              <w:bottom w:val="nil"/>
            </w:tcBorders>
          </w:tcPr>
          <w:p w14:paraId="3B43C5D2"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-0.2243</w:t>
            </w:r>
          </w:p>
        </w:tc>
        <w:tc>
          <w:tcPr>
            <w:tcW w:w="1185" w:type="dxa"/>
            <w:tcBorders>
              <w:top w:val="nil"/>
              <w:bottom w:val="nil"/>
            </w:tcBorders>
          </w:tcPr>
          <w:p w14:paraId="3208E90C"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0.2733</w:t>
            </w:r>
          </w:p>
        </w:tc>
        <w:tc>
          <w:tcPr>
            <w:tcW w:w="1185" w:type="dxa"/>
            <w:tcBorders>
              <w:top w:val="nil"/>
              <w:bottom w:val="nil"/>
            </w:tcBorders>
          </w:tcPr>
          <w:p w14:paraId="1AE15072"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w:t>
            </w:r>
          </w:p>
        </w:tc>
        <w:tc>
          <w:tcPr>
            <w:tcW w:w="1185" w:type="dxa"/>
            <w:tcBorders>
              <w:top w:val="nil"/>
              <w:bottom w:val="nil"/>
            </w:tcBorders>
          </w:tcPr>
          <w:p w14:paraId="50D7EC25"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6i</w:t>
            </w:r>
          </w:p>
        </w:tc>
        <w:tc>
          <w:tcPr>
            <w:tcW w:w="1186" w:type="dxa"/>
            <w:tcBorders>
              <w:top w:val="nil"/>
              <w:bottom w:val="nil"/>
            </w:tcBorders>
          </w:tcPr>
          <w:p w14:paraId="068B3344"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0.0146</w:t>
            </w:r>
          </w:p>
        </w:tc>
      </w:tr>
      <w:tr w:rsidR="002657D1" w:rsidRPr="002657D1" w14:paraId="05F806EF" w14:textId="77777777" w:rsidTr="0073434B">
        <w:tc>
          <w:tcPr>
            <w:tcW w:w="1185" w:type="dxa"/>
            <w:tcBorders>
              <w:top w:val="nil"/>
              <w:bottom w:val="single" w:sz="12" w:space="0" w:color="auto"/>
            </w:tcBorders>
          </w:tcPr>
          <w:p w14:paraId="4F5F1C2A"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Cl3</w:t>
            </w:r>
          </w:p>
        </w:tc>
        <w:tc>
          <w:tcPr>
            <w:tcW w:w="1185" w:type="dxa"/>
            <w:tcBorders>
              <w:top w:val="nil"/>
              <w:bottom w:val="single" w:sz="12" w:space="0" w:color="auto"/>
            </w:tcBorders>
          </w:tcPr>
          <w:p w14:paraId="0EC852AC"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0.4446</w:t>
            </w:r>
          </w:p>
        </w:tc>
        <w:tc>
          <w:tcPr>
            <w:tcW w:w="1185" w:type="dxa"/>
            <w:tcBorders>
              <w:top w:val="nil"/>
              <w:bottom w:val="single" w:sz="12" w:space="0" w:color="auto"/>
            </w:tcBorders>
          </w:tcPr>
          <w:p w14:paraId="36185B0A"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-0.4446</w:t>
            </w:r>
          </w:p>
        </w:tc>
        <w:tc>
          <w:tcPr>
            <w:tcW w:w="1185" w:type="dxa"/>
            <w:tcBorders>
              <w:top w:val="nil"/>
              <w:bottom w:val="single" w:sz="12" w:space="0" w:color="auto"/>
            </w:tcBorders>
          </w:tcPr>
          <w:p w14:paraId="5F695E34"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0.7369</w:t>
            </w:r>
          </w:p>
        </w:tc>
        <w:tc>
          <w:tcPr>
            <w:tcW w:w="1185" w:type="dxa"/>
            <w:tcBorders>
              <w:top w:val="nil"/>
              <w:bottom w:val="single" w:sz="12" w:space="0" w:color="auto"/>
            </w:tcBorders>
          </w:tcPr>
          <w:p w14:paraId="684FED58"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w:t>
            </w:r>
          </w:p>
        </w:tc>
        <w:tc>
          <w:tcPr>
            <w:tcW w:w="1185" w:type="dxa"/>
            <w:tcBorders>
              <w:top w:val="nil"/>
              <w:bottom w:val="single" w:sz="12" w:space="0" w:color="auto"/>
            </w:tcBorders>
          </w:tcPr>
          <w:p w14:paraId="5D513DDB"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6i</w:t>
            </w:r>
          </w:p>
        </w:tc>
        <w:tc>
          <w:tcPr>
            <w:tcW w:w="1186" w:type="dxa"/>
            <w:tcBorders>
              <w:top w:val="nil"/>
              <w:bottom w:val="single" w:sz="12" w:space="0" w:color="auto"/>
            </w:tcBorders>
          </w:tcPr>
          <w:p w14:paraId="10BEE230" w14:textId="77777777" w:rsidR="003019C1" w:rsidRPr="002657D1" w:rsidRDefault="003019C1" w:rsidP="0073434B">
            <w:pPr>
              <w:widowControl/>
              <w:spacing w:line="360" w:lineRule="auto"/>
              <w:contextualSpacing/>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0.0098</w:t>
            </w:r>
          </w:p>
        </w:tc>
      </w:tr>
    </w:tbl>
    <w:p w14:paraId="721E09E6" w14:textId="31C0FC14" w:rsidR="0080368A" w:rsidRPr="002657D1" w:rsidRDefault="003019C1">
      <w:pPr>
        <w:widowControl/>
        <w:jc w:val="left"/>
        <w:rPr>
          <w:rFonts w:ascii="Times New Roman" w:hAnsi="Times New Roman" w:cs="Times New Roman"/>
          <w:color w:val="000000" w:themeColor="text1"/>
        </w:rPr>
      </w:pPr>
      <w:r w:rsidRPr="002657D1">
        <w:rPr>
          <w:rFonts w:ascii="Times New Roman" w:hAnsi="Times New Roman" w:cs="Times New Roman"/>
          <w:color w:val="000000" w:themeColor="text1"/>
        </w:rPr>
        <w:br w:type="page"/>
      </w:r>
    </w:p>
    <w:p w14:paraId="14807BE1" w14:textId="71DFC4B1" w:rsidR="00D72F26" w:rsidRPr="002657D1" w:rsidRDefault="00D72F26" w:rsidP="00CD659A">
      <w:pPr>
        <w:spacing w:before="120" w:afterLines="50" w:after="156" w:line="360" w:lineRule="auto"/>
        <w:rPr>
          <w:rFonts w:ascii="Times New Roman" w:eastAsia="宋体" w:hAnsi="Times New Roman" w:cs="Times New Roman"/>
          <w:color w:val="000000" w:themeColor="text1"/>
          <w:sz w:val="24"/>
          <w:szCs w:val="22"/>
        </w:rPr>
      </w:pPr>
      <w:r w:rsidRPr="002657D1">
        <w:rPr>
          <w:rFonts w:ascii="Times New Roman" w:eastAsia="宋体" w:hAnsi="Times New Roman" w:cs="Times New Roman"/>
          <w:b/>
          <w:color w:val="000000" w:themeColor="text1"/>
          <w:sz w:val="24"/>
          <w:szCs w:val="22"/>
        </w:rPr>
        <w:lastRenderedPageBreak/>
        <w:t xml:space="preserve">Supplementary Table </w:t>
      </w:r>
      <w:r w:rsidR="0046513C" w:rsidRPr="002657D1">
        <w:rPr>
          <w:rFonts w:ascii="Times New Roman" w:eastAsia="宋体" w:hAnsi="Times New Roman" w:cs="Times New Roman"/>
          <w:b/>
          <w:color w:val="000000" w:themeColor="text1"/>
          <w:sz w:val="24"/>
          <w:szCs w:val="22"/>
        </w:rPr>
        <w:t>4</w:t>
      </w:r>
      <w:r w:rsidRPr="002657D1">
        <w:rPr>
          <w:rFonts w:ascii="Times New Roman" w:eastAsia="宋体" w:hAnsi="Times New Roman" w:cs="Times New Roman"/>
          <w:b/>
          <w:color w:val="000000" w:themeColor="text1"/>
          <w:sz w:val="24"/>
          <w:szCs w:val="22"/>
        </w:rPr>
        <w:t>.</w:t>
      </w:r>
      <w:r w:rsidRPr="002657D1">
        <w:rPr>
          <w:rFonts w:ascii="Times New Roman" w:eastAsia="宋体" w:hAnsi="Times New Roman" w:cs="Times New Roman"/>
          <w:color w:val="000000" w:themeColor="text1"/>
          <w:sz w:val="24"/>
          <w:szCs w:val="22"/>
        </w:rPr>
        <w:t xml:space="preserve"> EXAFS data fitting results of </w:t>
      </w:r>
      <w:r w:rsidR="000F61AF" w:rsidRPr="002657D1">
        <w:rPr>
          <w:rFonts w:ascii="Times New Roman" w:eastAsia="宋体" w:hAnsi="Times New Roman" w:cs="Times New Roman"/>
          <w:color w:val="000000" w:themeColor="text1"/>
          <w:sz w:val="24"/>
          <w:szCs w:val="22"/>
        </w:rPr>
        <w:t>the samples</w:t>
      </w:r>
      <w:r w:rsidRPr="002657D1">
        <w:rPr>
          <w:rFonts w:ascii="Times New Roman" w:eastAsia="宋体" w:hAnsi="Times New Roman" w:cs="Times New Roman"/>
          <w:color w:val="000000" w:themeColor="text1"/>
          <w:sz w:val="24"/>
          <w:szCs w:val="22"/>
        </w:rPr>
        <w:t>.</w:t>
      </w:r>
    </w:p>
    <w:tbl>
      <w:tblPr>
        <w:tblW w:w="8442" w:type="dxa"/>
        <w:jc w:val="center"/>
        <w:tblBorders>
          <w:top w:val="single" w:sz="12" w:space="0" w:color="auto"/>
          <w:bottom w:val="single" w:sz="12" w:space="0" w:color="auto"/>
          <w:insideH w:val="single" w:sz="4" w:space="0" w:color="auto"/>
        </w:tblBorders>
        <w:tblLayout w:type="fixed"/>
        <w:tblLook w:val="04A0" w:firstRow="1" w:lastRow="0" w:firstColumn="1" w:lastColumn="0" w:noHBand="0" w:noVBand="1"/>
      </w:tblPr>
      <w:tblGrid>
        <w:gridCol w:w="1261"/>
        <w:gridCol w:w="1013"/>
        <w:gridCol w:w="1034"/>
        <w:gridCol w:w="1355"/>
        <w:gridCol w:w="1559"/>
        <w:gridCol w:w="1066"/>
        <w:gridCol w:w="1154"/>
      </w:tblGrid>
      <w:tr w:rsidR="002657D1" w:rsidRPr="002657D1" w14:paraId="480EA962" w14:textId="77777777" w:rsidTr="00CD659A">
        <w:trPr>
          <w:cantSplit/>
          <w:trHeight w:val="340"/>
          <w:jc w:val="center"/>
        </w:trPr>
        <w:tc>
          <w:tcPr>
            <w:tcW w:w="1261" w:type="dxa"/>
            <w:vAlign w:val="center"/>
          </w:tcPr>
          <w:p w14:paraId="201D107A" w14:textId="77777777" w:rsidR="00D72F26" w:rsidRPr="002657D1" w:rsidRDefault="00D72F26" w:rsidP="00D72F26">
            <w:pPr>
              <w:adjustRightInd w:val="0"/>
              <w:snapToGrid w:val="0"/>
              <w:jc w:val="center"/>
              <w:textAlignment w:val="center"/>
              <w:rPr>
                <w:rFonts w:ascii="Times New Roman" w:eastAsia="宋体" w:hAnsi="Times New Roman" w:cs="Times New Roman"/>
                <w:color w:val="000000" w:themeColor="text1"/>
                <w:sz w:val="24"/>
                <w:szCs w:val="24"/>
                <w:lang w:eastAsia="en-US"/>
              </w:rPr>
            </w:pPr>
            <w:r w:rsidRPr="002657D1">
              <w:rPr>
                <w:rFonts w:ascii="Times New Roman" w:eastAsia="宋体" w:hAnsi="Times New Roman" w:cs="Times New Roman"/>
                <w:color w:val="000000" w:themeColor="text1"/>
                <w:sz w:val="24"/>
                <w:szCs w:val="24"/>
              </w:rPr>
              <w:t>Sample</w:t>
            </w:r>
          </w:p>
        </w:tc>
        <w:tc>
          <w:tcPr>
            <w:tcW w:w="1013" w:type="dxa"/>
            <w:vAlign w:val="center"/>
          </w:tcPr>
          <w:p w14:paraId="160DDDF8" w14:textId="77777777" w:rsidR="00D72F26" w:rsidRPr="002657D1" w:rsidRDefault="00D72F26" w:rsidP="00D72F26">
            <w:pPr>
              <w:adjustRightInd w:val="0"/>
              <w:snapToGrid w:val="0"/>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Path</w:t>
            </w:r>
          </w:p>
        </w:tc>
        <w:tc>
          <w:tcPr>
            <w:tcW w:w="1034" w:type="dxa"/>
            <w:vAlign w:val="center"/>
          </w:tcPr>
          <w:p w14:paraId="2D09336C" w14:textId="77777777" w:rsidR="00D72F26" w:rsidRPr="002657D1" w:rsidRDefault="00D72F26" w:rsidP="00D72F26">
            <w:pPr>
              <w:adjustRightInd w:val="0"/>
              <w:snapToGrid w:val="0"/>
              <w:jc w:val="center"/>
              <w:textAlignment w:val="center"/>
              <w:rPr>
                <w:rFonts w:ascii="Times New Roman" w:eastAsia="宋体" w:hAnsi="Times New Roman" w:cs="Times New Roman"/>
                <w:color w:val="000000" w:themeColor="text1"/>
                <w:sz w:val="24"/>
                <w:szCs w:val="24"/>
              </w:rPr>
            </w:pPr>
            <w:proofErr w:type="spellStart"/>
            <w:r w:rsidRPr="002657D1">
              <w:rPr>
                <w:rFonts w:ascii="Times New Roman" w:eastAsia="宋体" w:hAnsi="Times New Roman" w:cs="Times New Roman"/>
                <w:i/>
                <w:color w:val="000000" w:themeColor="text1"/>
                <w:sz w:val="24"/>
                <w:szCs w:val="24"/>
              </w:rPr>
              <w:t>CN</w:t>
            </w:r>
            <w:r w:rsidRPr="002657D1">
              <w:rPr>
                <w:rFonts w:ascii="Times New Roman" w:eastAsia="宋体" w:hAnsi="Times New Roman" w:cs="Times New Roman"/>
                <w:i/>
                <w:color w:val="000000" w:themeColor="text1"/>
                <w:sz w:val="24"/>
                <w:szCs w:val="24"/>
                <w:vertAlign w:val="superscript"/>
              </w:rPr>
              <w:t>a</w:t>
            </w:r>
            <w:proofErr w:type="spellEnd"/>
          </w:p>
        </w:tc>
        <w:tc>
          <w:tcPr>
            <w:tcW w:w="1355" w:type="dxa"/>
            <w:vAlign w:val="center"/>
          </w:tcPr>
          <w:p w14:paraId="55067A88" w14:textId="77777777" w:rsidR="00D72F26" w:rsidRPr="002657D1" w:rsidRDefault="00D72F26" w:rsidP="00D72F26">
            <w:pPr>
              <w:adjustRightInd w:val="0"/>
              <w:snapToGrid w:val="0"/>
              <w:jc w:val="center"/>
              <w:textAlignment w:val="center"/>
              <w:rPr>
                <w:rFonts w:ascii="Times New Roman" w:eastAsia="宋体" w:hAnsi="Times New Roman" w:cs="Times New Roman"/>
                <w:i/>
                <w:color w:val="000000" w:themeColor="text1"/>
                <w:sz w:val="24"/>
                <w:szCs w:val="24"/>
              </w:rPr>
            </w:pPr>
            <w:r w:rsidRPr="002657D1">
              <w:rPr>
                <w:rFonts w:ascii="Times New Roman" w:eastAsia="宋体" w:hAnsi="Times New Roman" w:cs="Times New Roman"/>
                <w:i/>
                <w:color w:val="000000" w:themeColor="text1"/>
                <w:sz w:val="24"/>
                <w:szCs w:val="24"/>
                <w:lang w:eastAsia="en-US"/>
              </w:rPr>
              <w:t>R</w:t>
            </w:r>
            <w:r w:rsidRPr="002657D1">
              <w:rPr>
                <w:rFonts w:ascii="Times New Roman" w:eastAsia="宋体" w:hAnsi="Times New Roman" w:cs="Times New Roman"/>
                <w:color w:val="000000" w:themeColor="text1"/>
                <w:sz w:val="24"/>
                <w:szCs w:val="24"/>
                <w:lang w:eastAsia="en-US"/>
              </w:rPr>
              <w:t>(Å)</w:t>
            </w:r>
            <w:r w:rsidRPr="002657D1">
              <w:rPr>
                <w:rFonts w:ascii="Times New Roman" w:eastAsia="宋体" w:hAnsi="Times New Roman" w:cs="Times New Roman"/>
                <w:i/>
                <w:color w:val="000000" w:themeColor="text1"/>
                <w:sz w:val="24"/>
                <w:szCs w:val="24"/>
                <w:vertAlign w:val="superscript"/>
              </w:rPr>
              <w:t>b</w:t>
            </w:r>
          </w:p>
        </w:tc>
        <w:tc>
          <w:tcPr>
            <w:tcW w:w="1559" w:type="dxa"/>
            <w:vAlign w:val="center"/>
          </w:tcPr>
          <w:p w14:paraId="74978FC1" w14:textId="77777777" w:rsidR="00D72F26" w:rsidRPr="002657D1" w:rsidRDefault="00D72F26" w:rsidP="00D72F26">
            <w:pPr>
              <w:adjustRightInd w:val="0"/>
              <w:snapToGrid w:val="0"/>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i/>
                <w:color w:val="000000" w:themeColor="text1"/>
                <w:sz w:val="24"/>
                <w:szCs w:val="24"/>
                <w:lang w:eastAsia="en-US"/>
              </w:rPr>
              <w:t>σ</w:t>
            </w:r>
            <w:r w:rsidRPr="002657D1">
              <w:rPr>
                <w:rFonts w:ascii="Times New Roman" w:eastAsia="宋体" w:hAnsi="Times New Roman" w:cs="Times New Roman"/>
                <w:color w:val="000000" w:themeColor="text1"/>
                <w:sz w:val="24"/>
                <w:szCs w:val="24"/>
                <w:vertAlign w:val="superscript"/>
                <w:lang w:eastAsia="en-US"/>
              </w:rPr>
              <w:t>2</w:t>
            </w:r>
            <w:r w:rsidRPr="002657D1">
              <w:rPr>
                <w:rFonts w:ascii="Times New Roman" w:eastAsia="宋体" w:hAnsi="Times New Roman" w:cs="Times New Roman"/>
                <w:color w:val="000000" w:themeColor="text1"/>
                <w:sz w:val="24"/>
                <w:szCs w:val="24"/>
                <w:vertAlign w:val="superscript"/>
              </w:rPr>
              <w:t xml:space="preserve"> </w:t>
            </w:r>
            <w:r w:rsidRPr="002657D1">
              <w:rPr>
                <w:rFonts w:ascii="Times New Roman" w:eastAsia="宋体" w:hAnsi="Times New Roman" w:cs="Times New Roman"/>
                <w:color w:val="000000" w:themeColor="text1"/>
                <w:sz w:val="24"/>
                <w:szCs w:val="24"/>
                <w:lang w:eastAsia="en-US"/>
              </w:rPr>
              <w:t>(Å</w:t>
            </w:r>
            <w:proofErr w:type="gramStart"/>
            <w:r w:rsidRPr="002657D1">
              <w:rPr>
                <w:rFonts w:ascii="Times New Roman" w:eastAsia="宋体" w:hAnsi="Times New Roman" w:cs="Times New Roman"/>
                <w:color w:val="000000" w:themeColor="text1"/>
                <w:sz w:val="24"/>
                <w:szCs w:val="24"/>
                <w:vertAlign w:val="superscript"/>
                <w:lang w:eastAsia="en-US"/>
              </w:rPr>
              <w:t>2</w:t>
            </w:r>
            <w:r w:rsidRPr="002657D1">
              <w:rPr>
                <w:rFonts w:ascii="Times New Roman" w:eastAsia="宋体" w:hAnsi="Times New Roman" w:cs="Times New Roman"/>
                <w:color w:val="000000" w:themeColor="text1"/>
                <w:sz w:val="24"/>
                <w:szCs w:val="24"/>
                <w:lang w:eastAsia="en-US"/>
              </w:rPr>
              <w:t>)</w:t>
            </w:r>
            <w:r w:rsidRPr="002657D1">
              <w:rPr>
                <w:rFonts w:ascii="Times New Roman" w:eastAsia="宋体" w:hAnsi="Times New Roman" w:cs="Times New Roman"/>
                <w:i/>
                <w:color w:val="000000" w:themeColor="text1"/>
                <w:sz w:val="24"/>
                <w:szCs w:val="24"/>
                <w:vertAlign w:val="superscript"/>
              </w:rPr>
              <w:t>c</w:t>
            </w:r>
            <w:proofErr w:type="gramEnd"/>
          </w:p>
        </w:tc>
        <w:tc>
          <w:tcPr>
            <w:tcW w:w="1066" w:type="dxa"/>
            <w:vAlign w:val="center"/>
          </w:tcPr>
          <w:p w14:paraId="7572C743" w14:textId="77777777" w:rsidR="00D72F26" w:rsidRPr="002657D1" w:rsidRDefault="00D72F26" w:rsidP="00D72F26">
            <w:pPr>
              <w:adjustRightInd w:val="0"/>
              <w:snapToGrid w:val="0"/>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lang w:eastAsia="en-US"/>
              </w:rPr>
              <w:t>Δ</w:t>
            </w:r>
            <w:r w:rsidRPr="002657D1">
              <w:rPr>
                <w:rFonts w:ascii="Times New Roman" w:eastAsia="宋体" w:hAnsi="Times New Roman" w:cs="Times New Roman"/>
                <w:i/>
                <w:color w:val="000000" w:themeColor="text1"/>
                <w:sz w:val="24"/>
                <w:szCs w:val="24"/>
                <w:lang w:eastAsia="en-US"/>
              </w:rPr>
              <w:t>E</w:t>
            </w:r>
            <w:r w:rsidRPr="002657D1">
              <w:rPr>
                <w:rFonts w:ascii="Times New Roman" w:eastAsia="宋体" w:hAnsi="Times New Roman" w:cs="Times New Roman"/>
                <w:color w:val="000000" w:themeColor="text1"/>
                <w:sz w:val="24"/>
                <w:szCs w:val="24"/>
                <w:vertAlign w:val="subscript"/>
                <w:lang w:eastAsia="en-US"/>
              </w:rPr>
              <w:t>0</w:t>
            </w:r>
            <w:r w:rsidRPr="002657D1">
              <w:rPr>
                <w:rFonts w:ascii="Times New Roman" w:eastAsia="宋体" w:hAnsi="Times New Roman" w:cs="Times New Roman"/>
                <w:color w:val="000000" w:themeColor="text1"/>
                <w:sz w:val="24"/>
                <w:szCs w:val="24"/>
                <w:lang w:eastAsia="en-US"/>
              </w:rPr>
              <w:t>(eV)</w:t>
            </w:r>
            <w:r w:rsidRPr="002657D1">
              <w:rPr>
                <w:rFonts w:ascii="Times New Roman" w:eastAsia="宋体" w:hAnsi="Times New Roman" w:cs="Times New Roman"/>
                <w:i/>
                <w:color w:val="000000" w:themeColor="text1"/>
                <w:sz w:val="24"/>
                <w:szCs w:val="24"/>
                <w:vertAlign w:val="superscript"/>
              </w:rPr>
              <w:t>d</w:t>
            </w:r>
          </w:p>
        </w:tc>
        <w:tc>
          <w:tcPr>
            <w:tcW w:w="1154" w:type="dxa"/>
            <w:vAlign w:val="center"/>
          </w:tcPr>
          <w:p w14:paraId="4F5341C3" w14:textId="77777777" w:rsidR="00D72F26" w:rsidRPr="002657D1" w:rsidRDefault="00D72F26" w:rsidP="00D72F26">
            <w:pPr>
              <w:adjustRightInd w:val="0"/>
              <w:snapToGrid w:val="0"/>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i/>
                <w:color w:val="000000" w:themeColor="text1"/>
                <w:sz w:val="24"/>
                <w:szCs w:val="24"/>
                <w:lang w:eastAsia="en-US"/>
              </w:rPr>
              <w:t>R</w:t>
            </w:r>
            <w:r w:rsidRPr="002657D1">
              <w:rPr>
                <w:rFonts w:ascii="Times New Roman" w:eastAsia="宋体" w:hAnsi="Times New Roman" w:cs="Times New Roman"/>
                <w:color w:val="000000" w:themeColor="text1"/>
                <w:sz w:val="24"/>
                <w:szCs w:val="24"/>
                <w:lang w:eastAsia="en-US"/>
              </w:rPr>
              <w:t xml:space="preserve"> factor</w:t>
            </w:r>
          </w:p>
        </w:tc>
      </w:tr>
      <w:tr w:rsidR="002657D1" w:rsidRPr="002657D1" w14:paraId="0AC733AE" w14:textId="77777777" w:rsidTr="00CD659A">
        <w:trPr>
          <w:cantSplit/>
          <w:trHeight w:val="340"/>
          <w:jc w:val="center"/>
        </w:trPr>
        <w:tc>
          <w:tcPr>
            <w:tcW w:w="8442" w:type="dxa"/>
            <w:gridSpan w:val="7"/>
            <w:tcBorders>
              <w:bottom w:val="single" w:sz="12" w:space="0" w:color="auto"/>
            </w:tcBorders>
            <w:vAlign w:val="center"/>
          </w:tcPr>
          <w:p w14:paraId="758502BE" w14:textId="77777777" w:rsidR="00D72F26" w:rsidRPr="002657D1" w:rsidRDefault="00D72F26" w:rsidP="00D72F26">
            <w:pPr>
              <w:adjustRightInd w:val="0"/>
              <w:snapToGrid w:val="0"/>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Ti K-edge (</w:t>
            </w:r>
            <w:r w:rsidRPr="002657D1">
              <w:rPr>
                <w:rFonts w:ascii="Times New Roman" w:eastAsia="宋体" w:hAnsi="Times New Roman" w:cs="Times New Roman"/>
                <w:i/>
                <w:color w:val="000000" w:themeColor="text1"/>
                <w:sz w:val="24"/>
                <w:szCs w:val="28"/>
              </w:rPr>
              <w:t>Ѕ</w:t>
            </w:r>
            <w:r w:rsidRPr="002657D1">
              <w:rPr>
                <w:rFonts w:ascii="Times New Roman" w:eastAsia="宋体" w:hAnsi="Times New Roman" w:cs="Times New Roman"/>
                <w:color w:val="000000" w:themeColor="text1"/>
                <w:sz w:val="24"/>
                <w:szCs w:val="28"/>
                <w:vertAlign w:val="subscript"/>
              </w:rPr>
              <w:t>0</w:t>
            </w:r>
            <w:r w:rsidRPr="002657D1">
              <w:rPr>
                <w:rFonts w:ascii="Times New Roman" w:eastAsia="宋体" w:hAnsi="Times New Roman" w:cs="Times New Roman"/>
                <w:color w:val="000000" w:themeColor="text1"/>
                <w:sz w:val="24"/>
                <w:szCs w:val="28"/>
                <w:vertAlign w:val="superscript"/>
              </w:rPr>
              <w:t>2</w:t>
            </w:r>
            <w:r w:rsidRPr="002657D1">
              <w:rPr>
                <w:rFonts w:ascii="Times New Roman" w:eastAsia="宋体" w:hAnsi="Times New Roman" w:cs="Times New Roman"/>
                <w:color w:val="000000" w:themeColor="text1"/>
                <w:sz w:val="24"/>
                <w:szCs w:val="28"/>
              </w:rPr>
              <w:t>=0.738</w:t>
            </w:r>
            <w:r w:rsidRPr="002657D1">
              <w:rPr>
                <w:rFonts w:ascii="Times New Roman" w:eastAsia="宋体" w:hAnsi="Times New Roman" w:cs="Times New Roman"/>
                <w:color w:val="000000" w:themeColor="text1"/>
                <w:sz w:val="24"/>
                <w:szCs w:val="24"/>
              </w:rPr>
              <w:t>)</w:t>
            </w:r>
          </w:p>
        </w:tc>
      </w:tr>
      <w:tr w:rsidR="002657D1" w:rsidRPr="002657D1" w14:paraId="7AF1FB9C" w14:textId="77777777" w:rsidTr="00CD659A">
        <w:trPr>
          <w:cantSplit/>
          <w:trHeight w:val="340"/>
          <w:jc w:val="center"/>
        </w:trPr>
        <w:tc>
          <w:tcPr>
            <w:tcW w:w="1261" w:type="dxa"/>
            <w:tcBorders>
              <w:top w:val="single" w:sz="12" w:space="0" w:color="auto"/>
              <w:bottom w:val="nil"/>
            </w:tcBorders>
            <w:vAlign w:val="center"/>
          </w:tcPr>
          <w:p w14:paraId="1716490B" w14:textId="77777777" w:rsidR="00D72F26" w:rsidRPr="002657D1" w:rsidRDefault="00D72F26" w:rsidP="00D72F26">
            <w:pPr>
              <w:adjustRightInd w:val="0"/>
              <w:snapToGrid w:val="0"/>
              <w:jc w:val="center"/>
              <w:textAlignment w:val="center"/>
              <w:rPr>
                <w:rFonts w:ascii="Times New Roman" w:eastAsia="宋体" w:hAnsi="Times New Roman" w:cs="Times New Roman"/>
                <w:color w:val="000000" w:themeColor="text1"/>
                <w:sz w:val="24"/>
                <w:szCs w:val="24"/>
                <w:lang w:val="fr-FR"/>
              </w:rPr>
            </w:pPr>
            <w:r w:rsidRPr="002657D1">
              <w:rPr>
                <w:rFonts w:ascii="Times New Roman" w:eastAsia="宋体" w:hAnsi="Times New Roman" w:cs="Times New Roman"/>
                <w:color w:val="000000" w:themeColor="text1"/>
                <w:sz w:val="24"/>
                <w:szCs w:val="24"/>
              </w:rPr>
              <w:t>Ti</w:t>
            </w:r>
            <w:r w:rsidRPr="002657D1">
              <w:rPr>
                <w:rFonts w:ascii="Times New Roman" w:eastAsia="宋体" w:hAnsi="Times New Roman" w:cs="Times New Roman"/>
                <w:color w:val="000000" w:themeColor="text1"/>
                <w:sz w:val="24"/>
                <w:szCs w:val="24"/>
                <w:lang w:val="fr-FR"/>
              </w:rPr>
              <w:t xml:space="preserve"> foil</w:t>
            </w:r>
          </w:p>
        </w:tc>
        <w:tc>
          <w:tcPr>
            <w:tcW w:w="1013" w:type="dxa"/>
            <w:tcBorders>
              <w:top w:val="single" w:sz="12" w:space="0" w:color="auto"/>
              <w:bottom w:val="nil"/>
            </w:tcBorders>
            <w:vAlign w:val="center"/>
          </w:tcPr>
          <w:p w14:paraId="4CFCF2A1" w14:textId="77777777" w:rsidR="00D72F26" w:rsidRPr="002657D1" w:rsidRDefault="00D72F26" w:rsidP="00D72F26">
            <w:pPr>
              <w:adjustRightInd w:val="0"/>
              <w:snapToGrid w:val="0"/>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Ti-Ti</w:t>
            </w:r>
          </w:p>
        </w:tc>
        <w:tc>
          <w:tcPr>
            <w:tcW w:w="1034" w:type="dxa"/>
            <w:tcBorders>
              <w:top w:val="single" w:sz="12" w:space="0" w:color="auto"/>
              <w:bottom w:val="nil"/>
            </w:tcBorders>
            <w:vAlign w:val="center"/>
          </w:tcPr>
          <w:p w14:paraId="1EF4D6D8" w14:textId="77777777" w:rsidR="00D72F26" w:rsidRPr="002657D1" w:rsidRDefault="00D72F26" w:rsidP="00D72F26">
            <w:pPr>
              <w:adjustRightInd w:val="0"/>
              <w:snapToGrid w:val="0"/>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12.0*</w:t>
            </w:r>
          </w:p>
        </w:tc>
        <w:tc>
          <w:tcPr>
            <w:tcW w:w="1355" w:type="dxa"/>
            <w:tcBorders>
              <w:top w:val="single" w:sz="12" w:space="0" w:color="auto"/>
              <w:bottom w:val="nil"/>
            </w:tcBorders>
            <w:vAlign w:val="center"/>
          </w:tcPr>
          <w:p w14:paraId="31E2D378" w14:textId="77777777" w:rsidR="00D72F26" w:rsidRPr="002657D1" w:rsidRDefault="00D72F26" w:rsidP="00D72F26">
            <w:pPr>
              <w:adjustRightInd w:val="0"/>
              <w:snapToGrid w:val="0"/>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kern w:val="0"/>
                <w:sz w:val="24"/>
                <w:szCs w:val="24"/>
                <w:lang w:bidi="ar"/>
              </w:rPr>
              <w:t>2.909</w:t>
            </w:r>
          </w:p>
        </w:tc>
        <w:tc>
          <w:tcPr>
            <w:tcW w:w="1559" w:type="dxa"/>
            <w:tcBorders>
              <w:top w:val="single" w:sz="12" w:space="0" w:color="auto"/>
              <w:bottom w:val="nil"/>
            </w:tcBorders>
            <w:vAlign w:val="center"/>
          </w:tcPr>
          <w:p w14:paraId="65D76281" w14:textId="77777777" w:rsidR="00D72F26" w:rsidRPr="002657D1" w:rsidRDefault="00D72F26" w:rsidP="00D72F26">
            <w:pPr>
              <w:adjustRightInd w:val="0"/>
              <w:snapToGrid w:val="0"/>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0.0079</w:t>
            </w:r>
          </w:p>
        </w:tc>
        <w:tc>
          <w:tcPr>
            <w:tcW w:w="1066" w:type="dxa"/>
            <w:tcBorders>
              <w:top w:val="single" w:sz="12" w:space="0" w:color="auto"/>
              <w:bottom w:val="nil"/>
            </w:tcBorders>
            <w:vAlign w:val="center"/>
          </w:tcPr>
          <w:p w14:paraId="12EAECBF" w14:textId="77777777" w:rsidR="00D72F26" w:rsidRPr="002657D1" w:rsidRDefault="00D72F26" w:rsidP="00D72F26">
            <w:pPr>
              <w:adjustRightInd w:val="0"/>
              <w:snapToGrid w:val="0"/>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5.4</w:t>
            </w:r>
          </w:p>
        </w:tc>
        <w:tc>
          <w:tcPr>
            <w:tcW w:w="1154" w:type="dxa"/>
            <w:tcBorders>
              <w:top w:val="single" w:sz="12" w:space="0" w:color="auto"/>
              <w:bottom w:val="nil"/>
            </w:tcBorders>
            <w:vAlign w:val="center"/>
          </w:tcPr>
          <w:p w14:paraId="598914DB" w14:textId="77777777" w:rsidR="00D72F26" w:rsidRPr="002657D1" w:rsidRDefault="00D72F26" w:rsidP="00D72F26">
            <w:pPr>
              <w:adjustRightInd w:val="0"/>
              <w:snapToGrid w:val="0"/>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0.0075</w:t>
            </w:r>
          </w:p>
        </w:tc>
      </w:tr>
      <w:tr w:rsidR="002657D1" w:rsidRPr="002657D1" w14:paraId="782DC4F9" w14:textId="77777777" w:rsidTr="00CD659A">
        <w:trPr>
          <w:cantSplit/>
          <w:trHeight w:val="340"/>
          <w:jc w:val="center"/>
        </w:trPr>
        <w:tc>
          <w:tcPr>
            <w:tcW w:w="1261" w:type="dxa"/>
            <w:tcBorders>
              <w:top w:val="nil"/>
              <w:bottom w:val="nil"/>
            </w:tcBorders>
            <w:vAlign w:val="center"/>
          </w:tcPr>
          <w:p w14:paraId="304E78A6" w14:textId="39F45EE3" w:rsidR="00D72F26" w:rsidRPr="002657D1" w:rsidRDefault="001C5501" w:rsidP="00D72F26">
            <w:pPr>
              <w:adjustRightInd w:val="0"/>
              <w:snapToGrid w:val="0"/>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TiT</w:t>
            </w:r>
            <w:r w:rsidRPr="002657D1">
              <w:rPr>
                <w:rFonts w:ascii="Times New Roman" w:eastAsia="宋体" w:hAnsi="Times New Roman" w:cs="Times New Roman"/>
                <w:color w:val="000000" w:themeColor="text1"/>
                <w:sz w:val="24"/>
                <w:szCs w:val="24"/>
                <w:vertAlign w:val="subscript"/>
              </w:rPr>
              <w:t>3</w:t>
            </w:r>
          </w:p>
        </w:tc>
        <w:tc>
          <w:tcPr>
            <w:tcW w:w="1013" w:type="dxa"/>
            <w:tcBorders>
              <w:top w:val="nil"/>
              <w:bottom w:val="nil"/>
            </w:tcBorders>
            <w:vAlign w:val="center"/>
          </w:tcPr>
          <w:p w14:paraId="4D773E36" w14:textId="77777777" w:rsidR="00D72F26" w:rsidRPr="002657D1" w:rsidRDefault="00D72F26" w:rsidP="00D72F26">
            <w:pPr>
              <w:adjustRightInd w:val="0"/>
              <w:snapToGrid w:val="0"/>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Ti-F</w:t>
            </w:r>
          </w:p>
        </w:tc>
        <w:tc>
          <w:tcPr>
            <w:tcW w:w="1034" w:type="dxa"/>
            <w:tcBorders>
              <w:top w:val="nil"/>
              <w:bottom w:val="nil"/>
            </w:tcBorders>
            <w:vAlign w:val="center"/>
          </w:tcPr>
          <w:p w14:paraId="729A8983" w14:textId="77777777" w:rsidR="00D72F26" w:rsidRPr="002657D1" w:rsidRDefault="00D72F26" w:rsidP="00D72F26">
            <w:pPr>
              <w:adjustRightInd w:val="0"/>
              <w:snapToGrid w:val="0"/>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kern w:val="0"/>
                <w:sz w:val="24"/>
                <w:szCs w:val="24"/>
                <w:lang w:bidi="ar"/>
              </w:rPr>
              <w:t>5.7</w:t>
            </w:r>
          </w:p>
        </w:tc>
        <w:tc>
          <w:tcPr>
            <w:tcW w:w="1355" w:type="dxa"/>
            <w:tcBorders>
              <w:top w:val="nil"/>
              <w:bottom w:val="nil"/>
            </w:tcBorders>
            <w:vAlign w:val="center"/>
          </w:tcPr>
          <w:p w14:paraId="2D9A5602" w14:textId="77777777" w:rsidR="00D72F26" w:rsidRPr="002657D1" w:rsidRDefault="00D72F26" w:rsidP="00D72F26">
            <w:pPr>
              <w:adjustRightInd w:val="0"/>
              <w:snapToGrid w:val="0"/>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kern w:val="0"/>
                <w:sz w:val="24"/>
                <w:szCs w:val="24"/>
                <w:lang w:bidi="ar"/>
              </w:rPr>
              <w:t>1.997</w:t>
            </w:r>
          </w:p>
        </w:tc>
        <w:tc>
          <w:tcPr>
            <w:tcW w:w="1559" w:type="dxa"/>
            <w:tcBorders>
              <w:top w:val="nil"/>
              <w:bottom w:val="nil"/>
            </w:tcBorders>
            <w:vAlign w:val="center"/>
          </w:tcPr>
          <w:p w14:paraId="14E26877" w14:textId="77777777" w:rsidR="00D72F26" w:rsidRPr="002657D1" w:rsidRDefault="00D72F26" w:rsidP="00D72F26">
            <w:pPr>
              <w:adjustRightInd w:val="0"/>
              <w:snapToGrid w:val="0"/>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0.0130</w:t>
            </w:r>
          </w:p>
        </w:tc>
        <w:tc>
          <w:tcPr>
            <w:tcW w:w="1066" w:type="dxa"/>
            <w:tcBorders>
              <w:top w:val="nil"/>
              <w:bottom w:val="nil"/>
            </w:tcBorders>
            <w:vAlign w:val="center"/>
          </w:tcPr>
          <w:p w14:paraId="4CCE599F" w14:textId="77777777" w:rsidR="00D72F26" w:rsidRPr="002657D1" w:rsidRDefault="00D72F26" w:rsidP="00D72F26">
            <w:pPr>
              <w:adjustRightInd w:val="0"/>
              <w:snapToGrid w:val="0"/>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kern w:val="0"/>
                <w:sz w:val="24"/>
                <w:szCs w:val="24"/>
                <w:lang w:bidi="ar"/>
              </w:rPr>
              <w:t>-0.5</w:t>
            </w:r>
          </w:p>
        </w:tc>
        <w:tc>
          <w:tcPr>
            <w:tcW w:w="1154" w:type="dxa"/>
            <w:tcBorders>
              <w:top w:val="nil"/>
              <w:bottom w:val="nil"/>
            </w:tcBorders>
            <w:vAlign w:val="center"/>
          </w:tcPr>
          <w:p w14:paraId="2351120A" w14:textId="77777777" w:rsidR="00D72F26" w:rsidRPr="002657D1" w:rsidRDefault="00D72F26" w:rsidP="00D72F26">
            <w:pPr>
              <w:adjustRightInd w:val="0"/>
              <w:snapToGrid w:val="0"/>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0.0188</w:t>
            </w:r>
          </w:p>
        </w:tc>
      </w:tr>
      <w:tr w:rsidR="002657D1" w:rsidRPr="002657D1" w14:paraId="3995A42A" w14:textId="77777777" w:rsidTr="00CD659A">
        <w:trPr>
          <w:cantSplit/>
          <w:trHeight w:val="340"/>
          <w:jc w:val="center"/>
        </w:trPr>
        <w:tc>
          <w:tcPr>
            <w:tcW w:w="1261" w:type="dxa"/>
            <w:vMerge w:val="restart"/>
            <w:tcBorders>
              <w:top w:val="nil"/>
              <w:bottom w:val="single" w:sz="4" w:space="0" w:color="auto"/>
            </w:tcBorders>
            <w:vAlign w:val="center"/>
          </w:tcPr>
          <w:p w14:paraId="0EEA7F45" w14:textId="481A38D4" w:rsidR="00D72F26" w:rsidRPr="002657D1" w:rsidRDefault="001C5501" w:rsidP="00D72F26">
            <w:pPr>
              <w:adjustRightInd w:val="0"/>
              <w:snapToGrid w:val="0"/>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LZC-10TF</w:t>
            </w:r>
          </w:p>
        </w:tc>
        <w:tc>
          <w:tcPr>
            <w:tcW w:w="1013" w:type="dxa"/>
            <w:tcBorders>
              <w:top w:val="nil"/>
              <w:bottom w:val="nil"/>
            </w:tcBorders>
            <w:vAlign w:val="center"/>
          </w:tcPr>
          <w:p w14:paraId="55212274" w14:textId="77777777" w:rsidR="00D72F26" w:rsidRPr="002657D1" w:rsidRDefault="00D72F26" w:rsidP="00D72F26">
            <w:pPr>
              <w:adjustRightInd w:val="0"/>
              <w:snapToGrid w:val="0"/>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Ti-F</w:t>
            </w:r>
          </w:p>
        </w:tc>
        <w:tc>
          <w:tcPr>
            <w:tcW w:w="1034" w:type="dxa"/>
            <w:tcBorders>
              <w:top w:val="nil"/>
              <w:bottom w:val="nil"/>
            </w:tcBorders>
            <w:vAlign w:val="center"/>
          </w:tcPr>
          <w:p w14:paraId="7333924E" w14:textId="06C13721" w:rsidR="00D72F26" w:rsidRPr="002657D1" w:rsidRDefault="00A83DA5" w:rsidP="00D72F26">
            <w:pPr>
              <w:adjustRightInd w:val="0"/>
              <w:snapToGrid w:val="0"/>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kern w:val="0"/>
                <w:sz w:val="24"/>
                <w:szCs w:val="24"/>
                <w:lang w:bidi="ar"/>
              </w:rPr>
              <w:t>4.0</w:t>
            </w:r>
          </w:p>
        </w:tc>
        <w:tc>
          <w:tcPr>
            <w:tcW w:w="1355" w:type="dxa"/>
            <w:tcBorders>
              <w:top w:val="nil"/>
              <w:bottom w:val="nil"/>
            </w:tcBorders>
            <w:vAlign w:val="center"/>
          </w:tcPr>
          <w:p w14:paraId="1C80B632" w14:textId="77777777" w:rsidR="00D72F26" w:rsidRPr="002657D1" w:rsidRDefault="00D72F26" w:rsidP="00D72F26">
            <w:pPr>
              <w:adjustRightInd w:val="0"/>
              <w:snapToGrid w:val="0"/>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kern w:val="0"/>
                <w:sz w:val="24"/>
                <w:szCs w:val="24"/>
                <w:lang w:bidi="ar"/>
              </w:rPr>
              <w:t>1.988</w:t>
            </w:r>
          </w:p>
        </w:tc>
        <w:tc>
          <w:tcPr>
            <w:tcW w:w="1559" w:type="dxa"/>
            <w:vMerge w:val="restart"/>
            <w:tcBorders>
              <w:top w:val="nil"/>
              <w:bottom w:val="single" w:sz="4" w:space="0" w:color="auto"/>
            </w:tcBorders>
            <w:vAlign w:val="center"/>
          </w:tcPr>
          <w:p w14:paraId="10DA5962" w14:textId="77777777" w:rsidR="00D72F26" w:rsidRPr="002657D1" w:rsidRDefault="00D72F26" w:rsidP="00D72F26">
            <w:pPr>
              <w:adjustRightInd w:val="0"/>
              <w:snapToGrid w:val="0"/>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0.0090</w:t>
            </w:r>
          </w:p>
        </w:tc>
        <w:tc>
          <w:tcPr>
            <w:tcW w:w="1066" w:type="dxa"/>
            <w:vMerge w:val="restart"/>
            <w:tcBorders>
              <w:top w:val="nil"/>
              <w:bottom w:val="single" w:sz="4" w:space="0" w:color="auto"/>
            </w:tcBorders>
            <w:vAlign w:val="center"/>
          </w:tcPr>
          <w:p w14:paraId="23A3C771" w14:textId="77777777" w:rsidR="00D72F26" w:rsidRPr="002657D1" w:rsidRDefault="00D72F26" w:rsidP="00D72F26">
            <w:pPr>
              <w:adjustRightInd w:val="0"/>
              <w:snapToGrid w:val="0"/>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kern w:val="0"/>
                <w:sz w:val="24"/>
                <w:szCs w:val="24"/>
                <w:lang w:bidi="ar"/>
              </w:rPr>
              <w:t>4.3</w:t>
            </w:r>
          </w:p>
        </w:tc>
        <w:tc>
          <w:tcPr>
            <w:tcW w:w="1154" w:type="dxa"/>
            <w:vMerge w:val="restart"/>
            <w:tcBorders>
              <w:top w:val="nil"/>
              <w:bottom w:val="single" w:sz="4" w:space="0" w:color="auto"/>
            </w:tcBorders>
            <w:vAlign w:val="center"/>
          </w:tcPr>
          <w:p w14:paraId="5D26EE6D" w14:textId="77777777" w:rsidR="00D72F26" w:rsidRPr="002657D1" w:rsidRDefault="00D72F26" w:rsidP="00D72F26">
            <w:pPr>
              <w:adjustRightInd w:val="0"/>
              <w:snapToGrid w:val="0"/>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0.0268</w:t>
            </w:r>
          </w:p>
        </w:tc>
      </w:tr>
      <w:tr w:rsidR="002657D1" w:rsidRPr="002657D1" w14:paraId="5E830D4C" w14:textId="77777777" w:rsidTr="00CD659A">
        <w:trPr>
          <w:cantSplit/>
          <w:trHeight w:val="340"/>
          <w:jc w:val="center"/>
        </w:trPr>
        <w:tc>
          <w:tcPr>
            <w:tcW w:w="1261" w:type="dxa"/>
            <w:vMerge/>
            <w:tcBorders>
              <w:top w:val="single" w:sz="4" w:space="0" w:color="auto"/>
            </w:tcBorders>
            <w:vAlign w:val="center"/>
          </w:tcPr>
          <w:p w14:paraId="3CC7AD8F" w14:textId="77777777" w:rsidR="00D72F26" w:rsidRPr="002657D1" w:rsidRDefault="00D72F26" w:rsidP="00D72F26">
            <w:pPr>
              <w:adjustRightInd w:val="0"/>
              <w:snapToGrid w:val="0"/>
              <w:jc w:val="center"/>
              <w:textAlignment w:val="center"/>
              <w:rPr>
                <w:rFonts w:ascii="Times New Roman" w:eastAsia="宋体" w:hAnsi="Times New Roman" w:cs="Times New Roman"/>
                <w:color w:val="000000" w:themeColor="text1"/>
                <w:sz w:val="24"/>
                <w:szCs w:val="24"/>
              </w:rPr>
            </w:pPr>
          </w:p>
        </w:tc>
        <w:tc>
          <w:tcPr>
            <w:tcW w:w="1013" w:type="dxa"/>
            <w:tcBorders>
              <w:top w:val="nil"/>
              <w:bottom w:val="single" w:sz="12" w:space="0" w:color="auto"/>
            </w:tcBorders>
            <w:vAlign w:val="center"/>
          </w:tcPr>
          <w:p w14:paraId="535A19AB" w14:textId="77777777" w:rsidR="00D72F26" w:rsidRPr="002657D1" w:rsidRDefault="00D72F26" w:rsidP="00D72F26">
            <w:pPr>
              <w:adjustRightInd w:val="0"/>
              <w:snapToGrid w:val="0"/>
              <w:jc w:val="center"/>
              <w:textAlignment w:val="center"/>
              <w:rPr>
                <w:rFonts w:ascii="Times New Roman" w:eastAsia="宋体" w:hAnsi="Times New Roman" w:cs="Times New Roman"/>
                <w:color w:val="000000" w:themeColor="text1"/>
                <w:sz w:val="24"/>
                <w:szCs w:val="24"/>
                <w:lang w:val="fr-FR"/>
              </w:rPr>
            </w:pPr>
            <w:r w:rsidRPr="002657D1">
              <w:rPr>
                <w:rFonts w:ascii="Times New Roman" w:eastAsia="宋体" w:hAnsi="Times New Roman" w:cs="Times New Roman"/>
                <w:color w:val="000000" w:themeColor="text1"/>
                <w:sz w:val="24"/>
                <w:szCs w:val="24"/>
              </w:rPr>
              <w:t>Ti-Cl</w:t>
            </w:r>
          </w:p>
        </w:tc>
        <w:tc>
          <w:tcPr>
            <w:tcW w:w="1034" w:type="dxa"/>
            <w:tcBorders>
              <w:top w:val="nil"/>
              <w:bottom w:val="single" w:sz="12" w:space="0" w:color="auto"/>
            </w:tcBorders>
            <w:vAlign w:val="center"/>
          </w:tcPr>
          <w:p w14:paraId="4297A357" w14:textId="65407DD0" w:rsidR="00D72F26" w:rsidRPr="002657D1" w:rsidRDefault="00A83DA5" w:rsidP="00D72F26">
            <w:pPr>
              <w:adjustRightInd w:val="0"/>
              <w:snapToGrid w:val="0"/>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kern w:val="0"/>
                <w:sz w:val="24"/>
                <w:szCs w:val="24"/>
                <w:lang w:bidi="ar"/>
              </w:rPr>
              <w:t>1.7</w:t>
            </w:r>
          </w:p>
        </w:tc>
        <w:tc>
          <w:tcPr>
            <w:tcW w:w="1355" w:type="dxa"/>
            <w:tcBorders>
              <w:top w:val="nil"/>
              <w:bottom w:val="single" w:sz="12" w:space="0" w:color="auto"/>
            </w:tcBorders>
            <w:vAlign w:val="center"/>
          </w:tcPr>
          <w:p w14:paraId="4E6221DD" w14:textId="77777777" w:rsidR="00D72F26" w:rsidRPr="002657D1" w:rsidRDefault="00D72F26" w:rsidP="00D72F26">
            <w:pPr>
              <w:adjustRightInd w:val="0"/>
              <w:snapToGrid w:val="0"/>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kern w:val="0"/>
                <w:sz w:val="24"/>
                <w:szCs w:val="24"/>
                <w:lang w:bidi="ar"/>
              </w:rPr>
              <w:t>2.367</w:t>
            </w:r>
          </w:p>
        </w:tc>
        <w:tc>
          <w:tcPr>
            <w:tcW w:w="1559" w:type="dxa"/>
            <w:vMerge/>
            <w:tcBorders>
              <w:top w:val="single" w:sz="4" w:space="0" w:color="auto"/>
            </w:tcBorders>
            <w:vAlign w:val="center"/>
          </w:tcPr>
          <w:p w14:paraId="25B9EC49" w14:textId="77777777" w:rsidR="00D72F26" w:rsidRPr="002657D1" w:rsidRDefault="00D72F26" w:rsidP="00D72F26">
            <w:pPr>
              <w:adjustRightInd w:val="0"/>
              <w:snapToGrid w:val="0"/>
              <w:jc w:val="center"/>
              <w:textAlignment w:val="center"/>
              <w:rPr>
                <w:rFonts w:ascii="Times New Roman" w:eastAsia="宋体" w:hAnsi="Times New Roman" w:cs="Times New Roman"/>
                <w:color w:val="000000" w:themeColor="text1"/>
                <w:sz w:val="24"/>
                <w:szCs w:val="24"/>
              </w:rPr>
            </w:pPr>
          </w:p>
        </w:tc>
        <w:tc>
          <w:tcPr>
            <w:tcW w:w="1066" w:type="dxa"/>
            <w:vMerge/>
            <w:tcBorders>
              <w:top w:val="single" w:sz="4" w:space="0" w:color="auto"/>
            </w:tcBorders>
            <w:vAlign w:val="center"/>
          </w:tcPr>
          <w:p w14:paraId="68AA6D8E" w14:textId="77777777" w:rsidR="00D72F26" w:rsidRPr="002657D1" w:rsidRDefault="00D72F26" w:rsidP="00D72F26">
            <w:pPr>
              <w:adjustRightInd w:val="0"/>
              <w:snapToGrid w:val="0"/>
              <w:jc w:val="center"/>
              <w:textAlignment w:val="center"/>
              <w:rPr>
                <w:rFonts w:ascii="Times New Roman" w:eastAsia="宋体" w:hAnsi="Times New Roman" w:cs="Times New Roman"/>
                <w:color w:val="000000" w:themeColor="text1"/>
                <w:sz w:val="24"/>
                <w:szCs w:val="24"/>
              </w:rPr>
            </w:pPr>
          </w:p>
        </w:tc>
        <w:tc>
          <w:tcPr>
            <w:tcW w:w="1154" w:type="dxa"/>
            <w:vMerge/>
            <w:tcBorders>
              <w:top w:val="single" w:sz="4" w:space="0" w:color="auto"/>
            </w:tcBorders>
            <w:vAlign w:val="center"/>
          </w:tcPr>
          <w:p w14:paraId="6D39D3E6" w14:textId="77777777" w:rsidR="00D72F26" w:rsidRPr="002657D1" w:rsidRDefault="00D72F26" w:rsidP="00D72F26">
            <w:pPr>
              <w:adjustRightInd w:val="0"/>
              <w:snapToGrid w:val="0"/>
              <w:jc w:val="center"/>
              <w:textAlignment w:val="center"/>
              <w:rPr>
                <w:rFonts w:ascii="Times New Roman" w:eastAsia="宋体" w:hAnsi="Times New Roman" w:cs="Times New Roman"/>
                <w:color w:val="000000" w:themeColor="text1"/>
                <w:sz w:val="24"/>
                <w:szCs w:val="24"/>
              </w:rPr>
            </w:pPr>
          </w:p>
        </w:tc>
      </w:tr>
    </w:tbl>
    <w:p w14:paraId="64A2086E" w14:textId="7368D860" w:rsidR="00D72F26" w:rsidRPr="002657D1" w:rsidRDefault="00D72F26" w:rsidP="00D72F26">
      <w:pPr>
        <w:widowControl/>
        <w:spacing w:before="120" w:afterLines="50" w:after="156" w:line="360" w:lineRule="auto"/>
        <w:rPr>
          <w:rFonts w:ascii="Times New Roman" w:eastAsia="宋体" w:hAnsi="Times New Roman" w:cs="Times New Roman"/>
          <w:color w:val="000000" w:themeColor="text1"/>
          <w:sz w:val="24"/>
          <w:szCs w:val="24"/>
        </w:rPr>
      </w:pPr>
      <w:proofErr w:type="spellStart"/>
      <w:r w:rsidRPr="002657D1">
        <w:rPr>
          <w:rFonts w:ascii="Times New Roman" w:eastAsia="宋体" w:hAnsi="Times New Roman" w:cs="Times New Roman"/>
          <w:i/>
          <w:iCs/>
          <w:color w:val="000000" w:themeColor="text1"/>
          <w:kern w:val="0"/>
          <w:sz w:val="24"/>
          <w:szCs w:val="24"/>
          <w:vertAlign w:val="superscript"/>
          <w:lang w:bidi="ar"/>
        </w:rPr>
        <w:t>a</w:t>
      </w:r>
      <w:r w:rsidRPr="002657D1">
        <w:rPr>
          <w:rFonts w:ascii="Times New Roman" w:eastAsia="宋体" w:hAnsi="Times New Roman" w:cs="Times New Roman"/>
          <w:i/>
          <w:iCs/>
          <w:color w:val="000000" w:themeColor="text1"/>
          <w:kern w:val="0"/>
          <w:sz w:val="24"/>
          <w:szCs w:val="24"/>
          <w:lang w:bidi="ar"/>
        </w:rPr>
        <w:t>CN</w:t>
      </w:r>
      <w:proofErr w:type="spellEnd"/>
      <w:r w:rsidRPr="002657D1">
        <w:rPr>
          <w:rFonts w:ascii="Times New Roman" w:eastAsia="宋体" w:hAnsi="Times New Roman" w:cs="Times New Roman"/>
          <w:color w:val="000000" w:themeColor="text1"/>
          <w:kern w:val="0"/>
          <w:sz w:val="24"/>
          <w:szCs w:val="24"/>
          <w:lang w:bidi="ar"/>
        </w:rPr>
        <w:t xml:space="preserve">, coordination number; </w:t>
      </w:r>
      <w:proofErr w:type="spellStart"/>
      <w:r w:rsidRPr="002657D1">
        <w:rPr>
          <w:rFonts w:ascii="Times New Roman" w:eastAsia="宋体" w:hAnsi="Times New Roman" w:cs="Times New Roman"/>
          <w:i/>
          <w:color w:val="000000" w:themeColor="text1"/>
          <w:sz w:val="24"/>
          <w:szCs w:val="24"/>
          <w:vertAlign w:val="superscript"/>
        </w:rPr>
        <w:t>b</w:t>
      </w:r>
      <w:r w:rsidRPr="002657D1">
        <w:rPr>
          <w:rFonts w:ascii="Times New Roman" w:eastAsia="宋体" w:hAnsi="Times New Roman" w:cs="Times New Roman"/>
          <w:i/>
          <w:color w:val="000000" w:themeColor="text1"/>
          <w:kern w:val="0"/>
          <w:sz w:val="24"/>
          <w:szCs w:val="24"/>
          <w:lang w:bidi="ar"/>
        </w:rPr>
        <w:t>R</w:t>
      </w:r>
      <w:proofErr w:type="spellEnd"/>
      <w:r w:rsidRPr="002657D1">
        <w:rPr>
          <w:rFonts w:ascii="Times New Roman" w:eastAsia="宋体" w:hAnsi="Times New Roman" w:cs="Times New Roman"/>
          <w:color w:val="000000" w:themeColor="text1"/>
          <w:kern w:val="0"/>
          <w:sz w:val="24"/>
          <w:szCs w:val="24"/>
          <w:lang w:bidi="ar"/>
        </w:rPr>
        <w:t xml:space="preserve">, </w:t>
      </w:r>
      <w:r w:rsidRPr="002657D1">
        <w:rPr>
          <w:rFonts w:ascii="Times New Roman" w:eastAsia="宋体" w:hAnsi="Times New Roman" w:cs="Times New Roman"/>
          <w:color w:val="000000" w:themeColor="text1"/>
          <w:sz w:val="24"/>
          <w:szCs w:val="28"/>
        </w:rPr>
        <w:t>the distance between absorber and backscatter atoms</w:t>
      </w:r>
      <w:r w:rsidRPr="002657D1">
        <w:rPr>
          <w:rFonts w:ascii="Times New Roman" w:eastAsia="宋体" w:hAnsi="Times New Roman" w:cs="Times New Roman"/>
          <w:color w:val="000000" w:themeColor="text1"/>
          <w:kern w:val="0"/>
          <w:sz w:val="24"/>
          <w:szCs w:val="24"/>
          <w:lang w:bidi="ar"/>
        </w:rPr>
        <w:t xml:space="preserve">; </w:t>
      </w:r>
      <w:r w:rsidRPr="002657D1">
        <w:rPr>
          <w:rFonts w:ascii="Times New Roman" w:eastAsia="宋体" w:hAnsi="Times New Roman" w:cs="Times New Roman"/>
          <w:i/>
          <w:color w:val="000000" w:themeColor="text1"/>
          <w:sz w:val="24"/>
          <w:szCs w:val="24"/>
          <w:vertAlign w:val="superscript"/>
        </w:rPr>
        <w:t>c</w:t>
      </w:r>
      <w:r w:rsidRPr="002657D1">
        <w:rPr>
          <w:rFonts w:ascii="Times New Roman" w:eastAsia="宋体" w:hAnsi="Times New Roman" w:cs="Times New Roman"/>
          <w:i/>
          <w:color w:val="000000" w:themeColor="text1"/>
          <w:kern w:val="0"/>
          <w:sz w:val="24"/>
          <w:szCs w:val="24"/>
          <w:lang w:bidi="ar"/>
        </w:rPr>
        <w:t>σ</w:t>
      </w:r>
      <w:r w:rsidRPr="002657D1">
        <w:rPr>
          <w:rFonts w:ascii="Times New Roman" w:eastAsia="宋体" w:hAnsi="Times New Roman" w:cs="Times New Roman"/>
          <w:color w:val="000000" w:themeColor="text1"/>
          <w:kern w:val="0"/>
          <w:sz w:val="24"/>
          <w:szCs w:val="24"/>
          <w:vertAlign w:val="superscript"/>
          <w:lang w:bidi="ar"/>
        </w:rPr>
        <w:t>2</w:t>
      </w:r>
      <w:r w:rsidRPr="002657D1">
        <w:rPr>
          <w:rFonts w:ascii="Times New Roman" w:eastAsia="宋体" w:hAnsi="Times New Roman" w:cs="Times New Roman"/>
          <w:color w:val="000000" w:themeColor="text1"/>
          <w:kern w:val="0"/>
          <w:sz w:val="24"/>
          <w:szCs w:val="24"/>
          <w:lang w:bidi="ar"/>
        </w:rPr>
        <w:t xml:space="preserve">, </w:t>
      </w:r>
      <w:r w:rsidRPr="002657D1">
        <w:rPr>
          <w:rFonts w:ascii="Times New Roman" w:eastAsia="宋体" w:hAnsi="Times New Roman" w:cs="Times New Roman"/>
          <w:color w:val="000000" w:themeColor="text1"/>
          <w:sz w:val="24"/>
          <w:szCs w:val="28"/>
        </w:rPr>
        <w:t>the Debye</w:t>
      </w:r>
      <w:r w:rsidR="00CD659A" w:rsidRPr="002657D1">
        <w:rPr>
          <w:rFonts w:ascii="Times New Roman" w:eastAsia="宋体" w:hAnsi="Times New Roman" w:cs="Times New Roman"/>
          <w:color w:val="000000" w:themeColor="text1"/>
          <w:sz w:val="24"/>
          <w:szCs w:val="28"/>
        </w:rPr>
        <w:t>-</w:t>
      </w:r>
      <w:r w:rsidRPr="002657D1">
        <w:rPr>
          <w:rFonts w:ascii="Times New Roman" w:eastAsia="宋体" w:hAnsi="Times New Roman" w:cs="Times New Roman"/>
          <w:color w:val="000000" w:themeColor="text1"/>
          <w:sz w:val="24"/>
          <w:szCs w:val="28"/>
        </w:rPr>
        <w:t>Waller factor value</w:t>
      </w:r>
      <w:r w:rsidRPr="002657D1">
        <w:rPr>
          <w:rFonts w:ascii="Times New Roman" w:eastAsia="宋体" w:hAnsi="Times New Roman" w:cs="Times New Roman"/>
          <w:color w:val="000000" w:themeColor="text1"/>
          <w:kern w:val="0"/>
          <w:sz w:val="24"/>
          <w:szCs w:val="24"/>
          <w:lang w:bidi="ar"/>
        </w:rPr>
        <w:t xml:space="preserve">; </w:t>
      </w:r>
      <w:r w:rsidRPr="002657D1">
        <w:rPr>
          <w:rFonts w:ascii="Times New Roman" w:eastAsia="宋体" w:hAnsi="Times New Roman" w:cs="Times New Roman"/>
          <w:i/>
          <w:color w:val="000000" w:themeColor="text1"/>
          <w:sz w:val="24"/>
          <w:szCs w:val="24"/>
          <w:vertAlign w:val="superscript"/>
        </w:rPr>
        <w:t>d</w:t>
      </w:r>
      <w:r w:rsidRPr="002657D1">
        <w:rPr>
          <w:rFonts w:ascii="Times New Roman" w:eastAsia="宋体" w:hAnsi="Times New Roman" w:cs="Times New Roman"/>
          <w:i/>
          <w:color w:val="000000" w:themeColor="text1"/>
          <w:kern w:val="0"/>
          <w:sz w:val="24"/>
          <w:szCs w:val="24"/>
          <w:lang w:bidi="ar"/>
        </w:rPr>
        <w:t>ΔE</w:t>
      </w:r>
      <w:r w:rsidRPr="002657D1">
        <w:rPr>
          <w:rFonts w:ascii="Times New Roman" w:eastAsia="宋体" w:hAnsi="Times New Roman" w:cs="Times New Roman"/>
          <w:color w:val="000000" w:themeColor="text1"/>
          <w:kern w:val="0"/>
          <w:sz w:val="24"/>
          <w:szCs w:val="24"/>
          <w:vertAlign w:val="subscript"/>
          <w:lang w:bidi="ar"/>
        </w:rPr>
        <w:t>0</w:t>
      </w:r>
      <w:r w:rsidRPr="002657D1">
        <w:rPr>
          <w:rFonts w:ascii="Times New Roman" w:eastAsia="宋体" w:hAnsi="Times New Roman" w:cs="Times New Roman"/>
          <w:color w:val="000000" w:themeColor="text1"/>
          <w:kern w:val="0"/>
          <w:sz w:val="24"/>
          <w:szCs w:val="24"/>
          <w:lang w:bidi="ar"/>
        </w:rPr>
        <w:t xml:space="preserve">, inner potential correction to account for the difference in the inner potential between the sample and the reference compound; </w:t>
      </w:r>
      <w:r w:rsidRPr="002657D1">
        <w:rPr>
          <w:rFonts w:ascii="Times New Roman" w:eastAsia="宋体" w:hAnsi="Times New Roman" w:cs="Times New Roman"/>
          <w:i/>
          <w:color w:val="000000" w:themeColor="text1"/>
          <w:kern w:val="0"/>
          <w:sz w:val="24"/>
          <w:szCs w:val="24"/>
          <w:lang w:bidi="ar"/>
        </w:rPr>
        <w:t xml:space="preserve">R </w:t>
      </w:r>
      <w:r w:rsidRPr="002657D1">
        <w:rPr>
          <w:rFonts w:ascii="Times New Roman" w:eastAsia="宋体" w:hAnsi="Times New Roman" w:cs="Times New Roman"/>
          <w:color w:val="000000" w:themeColor="text1"/>
          <w:kern w:val="0"/>
          <w:sz w:val="24"/>
          <w:szCs w:val="24"/>
          <w:lang w:bidi="ar"/>
        </w:rPr>
        <w:t xml:space="preserve">factor indicates the goodness of the fit. </w:t>
      </w:r>
      <w:r w:rsidRPr="002657D1">
        <w:rPr>
          <w:rFonts w:ascii="Times New Roman" w:eastAsia="宋体" w:hAnsi="Times New Roman" w:cs="Times New Roman"/>
          <w:i/>
          <w:color w:val="000000" w:themeColor="text1"/>
          <w:kern w:val="0"/>
          <w:sz w:val="24"/>
          <w:szCs w:val="24"/>
          <w:lang w:bidi="ar"/>
        </w:rPr>
        <w:t>S</w:t>
      </w:r>
      <w:r w:rsidRPr="002657D1">
        <w:rPr>
          <w:rFonts w:ascii="Times New Roman" w:eastAsia="宋体" w:hAnsi="Times New Roman" w:cs="Times New Roman"/>
          <w:color w:val="000000" w:themeColor="text1"/>
          <w:kern w:val="0"/>
          <w:sz w:val="24"/>
          <w:szCs w:val="24"/>
          <w:vertAlign w:val="subscript"/>
          <w:lang w:bidi="ar"/>
        </w:rPr>
        <w:t>0</w:t>
      </w:r>
      <w:r w:rsidRPr="002657D1">
        <w:rPr>
          <w:rFonts w:ascii="Times New Roman" w:eastAsia="宋体" w:hAnsi="Times New Roman" w:cs="Times New Roman"/>
          <w:color w:val="000000" w:themeColor="text1"/>
          <w:kern w:val="0"/>
          <w:sz w:val="24"/>
          <w:szCs w:val="24"/>
          <w:vertAlign w:val="superscript"/>
          <w:lang w:bidi="ar"/>
        </w:rPr>
        <w:t>2</w:t>
      </w:r>
      <w:r w:rsidRPr="002657D1">
        <w:rPr>
          <w:rFonts w:ascii="Times New Roman" w:eastAsia="宋体" w:hAnsi="Times New Roman" w:cs="Times New Roman"/>
          <w:color w:val="000000" w:themeColor="text1"/>
          <w:kern w:val="0"/>
          <w:sz w:val="24"/>
          <w:szCs w:val="24"/>
          <w:lang w:bidi="ar"/>
        </w:rPr>
        <w:t xml:space="preserve"> was fixed to 0.738, </w:t>
      </w:r>
      <w:r w:rsidRPr="002657D1">
        <w:rPr>
          <w:rFonts w:ascii="Times New Roman" w:eastAsia="宋体" w:hAnsi="Times New Roman" w:cs="Times New Roman"/>
          <w:color w:val="000000" w:themeColor="text1"/>
          <w:sz w:val="24"/>
          <w:szCs w:val="28"/>
        </w:rPr>
        <w:t xml:space="preserve">according to the experimental EXAFS fit of </w:t>
      </w:r>
      <w:r w:rsidRPr="002657D1">
        <w:rPr>
          <w:rFonts w:ascii="Times New Roman" w:eastAsia="宋体" w:hAnsi="Times New Roman" w:cs="Times New Roman"/>
          <w:color w:val="000000" w:themeColor="text1"/>
          <w:sz w:val="24"/>
          <w:szCs w:val="24"/>
        </w:rPr>
        <w:t>Ti</w:t>
      </w:r>
      <w:r w:rsidRPr="002657D1">
        <w:rPr>
          <w:rFonts w:ascii="Times New Roman" w:eastAsia="宋体" w:hAnsi="Times New Roman" w:cs="Times New Roman"/>
          <w:color w:val="000000" w:themeColor="text1"/>
          <w:sz w:val="24"/>
          <w:szCs w:val="24"/>
          <w:lang w:val="fr-FR"/>
        </w:rPr>
        <w:t xml:space="preserve"> foil b</w:t>
      </w:r>
      <w:r w:rsidRPr="002657D1">
        <w:rPr>
          <w:rFonts w:ascii="Times New Roman" w:eastAsia="宋体" w:hAnsi="Times New Roman" w:cs="Times New Roman"/>
          <w:color w:val="000000" w:themeColor="text1"/>
          <w:sz w:val="24"/>
          <w:szCs w:val="28"/>
        </w:rPr>
        <w:t xml:space="preserve">y fixing </w:t>
      </w:r>
      <w:r w:rsidRPr="002657D1">
        <w:rPr>
          <w:rFonts w:ascii="Times New Roman" w:eastAsia="宋体" w:hAnsi="Times New Roman" w:cs="Times New Roman"/>
          <w:i/>
          <w:iCs/>
          <w:color w:val="000000" w:themeColor="text1"/>
          <w:sz w:val="24"/>
          <w:szCs w:val="28"/>
        </w:rPr>
        <w:t>CN</w:t>
      </w:r>
      <w:r w:rsidRPr="002657D1">
        <w:rPr>
          <w:rFonts w:ascii="Times New Roman" w:eastAsia="宋体" w:hAnsi="Times New Roman" w:cs="Times New Roman"/>
          <w:color w:val="000000" w:themeColor="text1"/>
          <w:sz w:val="24"/>
          <w:szCs w:val="28"/>
        </w:rPr>
        <w:t xml:space="preserve"> as the known crystallographic value</w:t>
      </w:r>
      <w:r w:rsidRPr="002657D1">
        <w:rPr>
          <w:rFonts w:ascii="Times New Roman" w:eastAsia="宋体" w:hAnsi="Times New Roman" w:cs="Times New Roman"/>
          <w:color w:val="000000" w:themeColor="text1"/>
          <w:kern w:val="0"/>
          <w:sz w:val="24"/>
          <w:szCs w:val="24"/>
          <w:lang w:bidi="ar"/>
        </w:rPr>
        <w:t>. *</w:t>
      </w:r>
      <w:r w:rsidR="001C5501" w:rsidRPr="002657D1">
        <w:rPr>
          <w:rFonts w:ascii="Times New Roman" w:eastAsia="宋体" w:hAnsi="Times New Roman" w:cs="Times New Roman"/>
          <w:color w:val="000000" w:themeColor="text1"/>
          <w:kern w:val="0"/>
          <w:sz w:val="24"/>
          <w:szCs w:val="24"/>
          <w:lang w:bidi="ar"/>
        </w:rPr>
        <w:t xml:space="preserve"> </w:t>
      </w:r>
      <w:r w:rsidRPr="002657D1">
        <w:rPr>
          <w:rFonts w:ascii="Times New Roman" w:eastAsia="宋体" w:hAnsi="Times New Roman" w:cs="Times New Roman"/>
          <w:color w:val="000000" w:themeColor="text1"/>
          <w:kern w:val="0"/>
          <w:sz w:val="24"/>
          <w:szCs w:val="24"/>
          <w:lang w:bidi="ar"/>
        </w:rPr>
        <w:t xml:space="preserve">This value was fixed during EXAFS fitting, based on the known structure of Ti. Fitting conditions: </w:t>
      </w:r>
      <w:r w:rsidRPr="002657D1">
        <w:rPr>
          <w:rFonts w:ascii="Times New Roman" w:eastAsia="宋体" w:hAnsi="Times New Roman" w:cs="Times New Roman"/>
          <w:i/>
          <w:iCs/>
          <w:color w:val="000000" w:themeColor="text1"/>
          <w:sz w:val="24"/>
          <w:szCs w:val="28"/>
        </w:rPr>
        <w:t>k</w:t>
      </w:r>
      <w:r w:rsidRPr="002657D1">
        <w:rPr>
          <w:rFonts w:ascii="Times New Roman" w:eastAsia="宋体" w:hAnsi="Times New Roman" w:cs="Times New Roman"/>
          <w:color w:val="000000" w:themeColor="text1"/>
          <w:sz w:val="24"/>
          <w:szCs w:val="28"/>
        </w:rPr>
        <w:t xml:space="preserve"> range</w:t>
      </w:r>
      <w:r w:rsidR="002657D1">
        <w:rPr>
          <w:rFonts w:ascii="Times New Roman" w:eastAsia="宋体" w:hAnsi="Times New Roman" w:cs="Times New Roman" w:hint="eastAsia"/>
          <w:color w:val="000000" w:themeColor="text1"/>
          <w:sz w:val="24"/>
          <w:szCs w:val="28"/>
        </w:rPr>
        <w:t xml:space="preserve">: </w:t>
      </w:r>
      <w:r w:rsidRPr="002657D1">
        <w:rPr>
          <w:rFonts w:ascii="Times New Roman" w:eastAsia="宋体" w:hAnsi="Times New Roman" w:cs="Times New Roman"/>
          <w:color w:val="000000" w:themeColor="text1"/>
          <w:sz w:val="24"/>
          <w:szCs w:val="28"/>
        </w:rPr>
        <w:t xml:space="preserve">1.0-6.0; </w:t>
      </w:r>
      <w:r w:rsidRPr="002657D1">
        <w:rPr>
          <w:rFonts w:ascii="Times New Roman" w:eastAsia="宋体" w:hAnsi="Times New Roman" w:cs="Times New Roman"/>
          <w:i/>
          <w:iCs/>
          <w:color w:val="000000" w:themeColor="text1"/>
          <w:sz w:val="24"/>
          <w:szCs w:val="28"/>
        </w:rPr>
        <w:t>R</w:t>
      </w:r>
      <w:r w:rsidRPr="002657D1">
        <w:rPr>
          <w:rFonts w:ascii="Times New Roman" w:eastAsia="宋体" w:hAnsi="Times New Roman" w:cs="Times New Roman"/>
          <w:color w:val="000000" w:themeColor="text1"/>
          <w:sz w:val="24"/>
          <w:szCs w:val="28"/>
        </w:rPr>
        <w:t xml:space="preserve"> range: 1.0-3.0; fitting space: R space; </w:t>
      </w:r>
      <w:r w:rsidRPr="002657D1">
        <w:rPr>
          <w:rFonts w:ascii="Times New Roman" w:eastAsia="宋体" w:hAnsi="Times New Roman" w:cs="Times New Roman"/>
          <w:i/>
          <w:iCs/>
          <w:color w:val="000000" w:themeColor="text1"/>
          <w:sz w:val="24"/>
          <w:szCs w:val="28"/>
        </w:rPr>
        <w:t>k</w:t>
      </w:r>
      <w:r w:rsidRPr="002657D1">
        <w:rPr>
          <w:rFonts w:ascii="Times New Roman" w:eastAsia="宋体" w:hAnsi="Times New Roman" w:cs="Times New Roman"/>
          <w:color w:val="000000" w:themeColor="text1"/>
          <w:sz w:val="24"/>
          <w:szCs w:val="28"/>
        </w:rPr>
        <w:t>-weight = 3.</w:t>
      </w:r>
      <w:r w:rsidRPr="002657D1">
        <w:rPr>
          <w:rFonts w:ascii="Times New Roman" w:eastAsia="宋体" w:hAnsi="Times New Roman" w:cs="Times New Roman"/>
          <w:color w:val="000000" w:themeColor="text1"/>
          <w:kern w:val="0"/>
          <w:sz w:val="24"/>
          <w:szCs w:val="24"/>
          <w:lang w:bidi="ar"/>
        </w:rPr>
        <w:t xml:space="preserve"> A reasonable range of EXAFS fitting parameters: 0.700 &lt; </w:t>
      </w:r>
      <w:r w:rsidRPr="002657D1">
        <w:rPr>
          <w:rFonts w:ascii="Times New Roman" w:eastAsia="宋体" w:hAnsi="Times New Roman" w:cs="Times New Roman"/>
          <w:i/>
          <w:color w:val="000000" w:themeColor="text1"/>
          <w:sz w:val="24"/>
          <w:szCs w:val="28"/>
        </w:rPr>
        <w:t>Ѕ</w:t>
      </w:r>
      <w:r w:rsidRPr="002657D1">
        <w:rPr>
          <w:rFonts w:ascii="Times New Roman" w:eastAsia="宋体" w:hAnsi="Times New Roman" w:cs="Times New Roman"/>
          <w:color w:val="000000" w:themeColor="text1"/>
          <w:sz w:val="24"/>
          <w:szCs w:val="28"/>
          <w:vertAlign w:val="subscript"/>
        </w:rPr>
        <w:t>0</w:t>
      </w:r>
      <w:r w:rsidRPr="002657D1">
        <w:rPr>
          <w:rFonts w:ascii="Times New Roman" w:eastAsia="宋体" w:hAnsi="Times New Roman" w:cs="Times New Roman"/>
          <w:color w:val="000000" w:themeColor="text1"/>
          <w:sz w:val="24"/>
          <w:szCs w:val="28"/>
          <w:vertAlign w:val="superscript"/>
        </w:rPr>
        <w:t>2</w:t>
      </w:r>
      <w:r w:rsidRPr="002657D1">
        <w:rPr>
          <w:rFonts w:ascii="Times New Roman" w:eastAsia="宋体" w:hAnsi="Times New Roman" w:cs="Times New Roman"/>
          <w:color w:val="000000" w:themeColor="text1"/>
          <w:sz w:val="24"/>
          <w:szCs w:val="28"/>
        </w:rPr>
        <w:t xml:space="preserve"> &lt; 1.000; </w:t>
      </w:r>
      <w:r w:rsidRPr="002657D1">
        <w:rPr>
          <w:rFonts w:ascii="Times New Roman" w:eastAsia="宋体" w:hAnsi="Times New Roman" w:cs="Times New Roman"/>
          <w:i/>
          <w:color w:val="000000" w:themeColor="text1"/>
          <w:sz w:val="24"/>
          <w:szCs w:val="24"/>
        </w:rPr>
        <w:t xml:space="preserve">CN &gt; </w:t>
      </w:r>
      <w:r w:rsidRPr="002657D1">
        <w:rPr>
          <w:rFonts w:ascii="Times New Roman" w:eastAsia="宋体" w:hAnsi="Times New Roman" w:cs="Times New Roman"/>
          <w:iCs/>
          <w:color w:val="000000" w:themeColor="text1"/>
          <w:sz w:val="24"/>
          <w:szCs w:val="24"/>
        </w:rPr>
        <w:t xml:space="preserve">0; </w:t>
      </w:r>
      <w:r w:rsidRPr="002657D1">
        <w:rPr>
          <w:rFonts w:ascii="Times New Roman" w:eastAsia="宋体" w:hAnsi="Times New Roman" w:cs="Times New Roman"/>
          <w:i/>
          <w:color w:val="000000" w:themeColor="text1"/>
          <w:sz w:val="24"/>
          <w:szCs w:val="24"/>
          <w:lang w:eastAsia="en-US"/>
        </w:rPr>
        <w:t>σ</w:t>
      </w:r>
      <w:r w:rsidRPr="002657D1">
        <w:rPr>
          <w:rFonts w:ascii="Times New Roman" w:eastAsia="宋体" w:hAnsi="Times New Roman" w:cs="Times New Roman"/>
          <w:color w:val="000000" w:themeColor="text1"/>
          <w:sz w:val="24"/>
          <w:szCs w:val="24"/>
          <w:vertAlign w:val="superscript"/>
          <w:lang w:eastAsia="en-US"/>
        </w:rPr>
        <w:t>2</w:t>
      </w:r>
      <w:r w:rsidRPr="002657D1">
        <w:rPr>
          <w:rFonts w:ascii="Times New Roman" w:eastAsia="宋体" w:hAnsi="Times New Roman" w:cs="Times New Roman"/>
          <w:color w:val="000000" w:themeColor="text1"/>
          <w:sz w:val="24"/>
          <w:szCs w:val="24"/>
          <w:vertAlign w:val="superscript"/>
        </w:rPr>
        <w:t xml:space="preserve"> </w:t>
      </w:r>
      <w:r w:rsidRPr="002657D1">
        <w:rPr>
          <w:rFonts w:ascii="Times New Roman" w:eastAsia="宋体" w:hAnsi="Times New Roman" w:cs="Times New Roman"/>
          <w:color w:val="000000" w:themeColor="text1"/>
          <w:sz w:val="24"/>
          <w:szCs w:val="24"/>
        </w:rPr>
        <w:t xml:space="preserve">&gt; 0 </w:t>
      </w:r>
      <w:r w:rsidRPr="002657D1">
        <w:rPr>
          <w:rFonts w:ascii="Times New Roman" w:eastAsia="宋体" w:hAnsi="Times New Roman" w:cs="Times New Roman"/>
          <w:color w:val="000000" w:themeColor="text1"/>
          <w:sz w:val="24"/>
          <w:szCs w:val="24"/>
          <w:lang w:eastAsia="en-US"/>
        </w:rPr>
        <w:t>Å</w:t>
      </w:r>
      <w:r w:rsidRPr="002657D1">
        <w:rPr>
          <w:rFonts w:ascii="Times New Roman" w:eastAsia="宋体" w:hAnsi="Times New Roman" w:cs="Times New Roman"/>
          <w:color w:val="000000" w:themeColor="text1"/>
          <w:sz w:val="24"/>
          <w:szCs w:val="24"/>
          <w:vertAlign w:val="superscript"/>
          <w:lang w:eastAsia="en-US"/>
        </w:rPr>
        <w:t>2</w:t>
      </w:r>
      <w:r w:rsidRPr="002657D1">
        <w:rPr>
          <w:rFonts w:ascii="Times New Roman" w:eastAsia="宋体" w:hAnsi="Times New Roman" w:cs="Times New Roman"/>
          <w:color w:val="000000" w:themeColor="text1"/>
          <w:sz w:val="24"/>
          <w:szCs w:val="24"/>
        </w:rPr>
        <w:t>; |</w:t>
      </w:r>
      <w:r w:rsidRPr="002657D1">
        <w:rPr>
          <w:rFonts w:ascii="Times New Roman" w:eastAsia="宋体" w:hAnsi="Times New Roman" w:cs="Times New Roman"/>
          <w:color w:val="000000" w:themeColor="text1"/>
          <w:sz w:val="24"/>
          <w:szCs w:val="24"/>
          <w:lang w:eastAsia="en-US"/>
        </w:rPr>
        <w:t>Δ</w:t>
      </w:r>
      <w:r w:rsidRPr="002657D1">
        <w:rPr>
          <w:rFonts w:ascii="Times New Roman" w:eastAsia="宋体" w:hAnsi="Times New Roman" w:cs="Times New Roman"/>
          <w:i/>
          <w:color w:val="000000" w:themeColor="text1"/>
          <w:sz w:val="24"/>
          <w:szCs w:val="24"/>
          <w:lang w:eastAsia="en-US"/>
        </w:rPr>
        <w:t>E</w:t>
      </w:r>
      <w:r w:rsidRPr="002657D1">
        <w:rPr>
          <w:rFonts w:ascii="Times New Roman" w:eastAsia="宋体" w:hAnsi="Times New Roman" w:cs="Times New Roman"/>
          <w:color w:val="000000" w:themeColor="text1"/>
          <w:sz w:val="24"/>
          <w:szCs w:val="24"/>
          <w:vertAlign w:val="subscript"/>
          <w:lang w:eastAsia="en-US"/>
        </w:rPr>
        <w:t>0</w:t>
      </w:r>
      <w:r w:rsidRPr="002657D1">
        <w:rPr>
          <w:rFonts w:ascii="Times New Roman" w:eastAsia="宋体" w:hAnsi="Times New Roman" w:cs="Times New Roman"/>
          <w:color w:val="000000" w:themeColor="text1"/>
          <w:sz w:val="24"/>
          <w:szCs w:val="24"/>
        </w:rPr>
        <w:t xml:space="preserve">| &lt; 15 eV; </w:t>
      </w:r>
      <w:r w:rsidRPr="002657D1">
        <w:rPr>
          <w:rFonts w:ascii="Times New Roman" w:eastAsia="宋体" w:hAnsi="Times New Roman" w:cs="Times New Roman"/>
          <w:i/>
          <w:color w:val="000000" w:themeColor="text1"/>
          <w:sz w:val="24"/>
          <w:szCs w:val="24"/>
        </w:rPr>
        <w:t>R</w:t>
      </w:r>
      <w:r w:rsidRPr="002657D1">
        <w:rPr>
          <w:rFonts w:ascii="Times New Roman" w:eastAsia="宋体" w:hAnsi="Times New Roman" w:cs="Times New Roman"/>
          <w:color w:val="000000" w:themeColor="text1"/>
          <w:sz w:val="24"/>
          <w:szCs w:val="24"/>
        </w:rPr>
        <w:t xml:space="preserve"> factor &lt; 0.02.</w:t>
      </w:r>
    </w:p>
    <w:p w14:paraId="57079DF0" w14:textId="77777777" w:rsidR="00D72F26" w:rsidRPr="002657D1" w:rsidRDefault="00D72F26">
      <w:pPr>
        <w:widowControl/>
        <w:jc w:val="left"/>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br w:type="page"/>
      </w:r>
    </w:p>
    <w:p w14:paraId="30945F90" w14:textId="5050416A" w:rsidR="00AD3CB0" w:rsidRPr="002657D1" w:rsidRDefault="00AD3CB0" w:rsidP="00AD3CB0">
      <w:pPr>
        <w:adjustRightInd w:val="0"/>
        <w:snapToGrid w:val="0"/>
        <w:spacing w:before="120" w:afterLines="50" w:after="156" w:line="360" w:lineRule="auto"/>
        <w:rPr>
          <w:rFonts w:ascii="Times New Roman" w:eastAsia="宋体" w:hAnsi="Times New Roman" w:cs="Times New Roman"/>
          <w:color w:val="000000" w:themeColor="text1"/>
          <w:sz w:val="24"/>
          <w:szCs w:val="22"/>
        </w:rPr>
      </w:pPr>
      <w:r w:rsidRPr="002657D1">
        <w:rPr>
          <w:rFonts w:ascii="Times New Roman" w:eastAsia="宋体" w:hAnsi="Times New Roman" w:cs="Times New Roman"/>
          <w:b/>
          <w:color w:val="000000" w:themeColor="text1"/>
          <w:sz w:val="24"/>
          <w:szCs w:val="22"/>
        </w:rPr>
        <w:lastRenderedPageBreak/>
        <w:t xml:space="preserve">Supplementary Table </w:t>
      </w:r>
      <w:r w:rsidR="0046513C" w:rsidRPr="002657D1">
        <w:rPr>
          <w:rFonts w:ascii="Times New Roman" w:eastAsia="宋体" w:hAnsi="Times New Roman" w:cs="Times New Roman"/>
          <w:b/>
          <w:color w:val="000000" w:themeColor="text1"/>
          <w:sz w:val="24"/>
          <w:szCs w:val="22"/>
        </w:rPr>
        <w:t>5</w:t>
      </w:r>
      <w:r w:rsidRPr="002657D1">
        <w:rPr>
          <w:rFonts w:ascii="Times New Roman" w:eastAsia="宋体" w:hAnsi="Times New Roman" w:cs="Times New Roman"/>
          <w:b/>
          <w:color w:val="000000" w:themeColor="text1"/>
          <w:sz w:val="24"/>
          <w:szCs w:val="22"/>
        </w:rPr>
        <w:t>.</w:t>
      </w:r>
      <w:r w:rsidRPr="002657D1">
        <w:rPr>
          <w:rFonts w:ascii="Times New Roman" w:eastAsia="宋体" w:hAnsi="Times New Roman" w:cs="Times New Roman"/>
          <w:color w:val="000000" w:themeColor="text1"/>
          <w:sz w:val="24"/>
          <w:szCs w:val="22"/>
        </w:rPr>
        <w:t xml:space="preserve"> EXAFS data fitting results of Zr K-edge for Zr foil, LZC</w:t>
      </w:r>
      <w:r w:rsidR="00CD659A" w:rsidRPr="002657D1">
        <w:rPr>
          <w:rFonts w:ascii="Times New Roman" w:eastAsia="宋体" w:hAnsi="Times New Roman" w:cs="Times New Roman"/>
          <w:color w:val="000000" w:themeColor="text1"/>
          <w:sz w:val="24"/>
          <w:szCs w:val="22"/>
        </w:rPr>
        <w:t>,</w:t>
      </w:r>
      <w:r w:rsidRPr="002657D1">
        <w:rPr>
          <w:rFonts w:ascii="Times New Roman" w:eastAsia="宋体" w:hAnsi="Times New Roman" w:cs="Times New Roman"/>
          <w:color w:val="000000" w:themeColor="text1"/>
          <w:sz w:val="24"/>
          <w:szCs w:val="22"/>
        </w:rPr>
        <w:t xml:space="preserve"> and LZC-10TF.</w:t>
      </w:r>
    </w:p>
    <w:tbl>
      <w:tblPr>
        <w:tblW w:w="8442" w:type="dxa"/>
        <w:jc w:val="center"/>
        <w:tblBorders>
          <w:top w:val="single" w:sz="12" w:space="0" w:color="auto"/>
          <w:bottom w:val="single" w:sz="4" w:space="0" w:color="auto"/>
          <w:insideH w:val="single" w:sz="6" w:space="0" w:color="auto"/>
        </w:tblBorders>
        <w:tblLayout w:type="fixed"/>
        <w:tblLook w:val="04A0" w:firstRow="1" w:lastRow="0" w:firstColumn="1" w:lastColumn="0" w:noHBand="0" w:noVBand="1"/>
      </w:tblPr>
      <w:tblGrid>
        <w:gridCol w:w="1206"/>
        <w:gridCol w:w="1206"/>
        <w:gridCol w:w="1206"/>
        <w:gridCol w:w="1206"/>
        <w:gridCol w:w="1206"/>
        <w:gridCol w:w="1206"/>
        <w:gridCol w:w="1206"/>
      </w:tblGrid>
      <w:tr w:rsidR="002657D1" w:rsidRPr="002657D1" w14:paraId="0ABCDDE3" w14:textId="77777777" w:rsidTr="00D5111A">
        <w:trPr>
          <w:cantSplit/>
          <w:trHeight w:val="340"/>
          <w:jc w:val="center"/>
        </w:trPr>
        <w:tc>
          <w:tcPr>
            <w:tcW w:w="1185" w:type="dxa"/>
            <w:tcBorders>
              <w:top w:val="single" w:sz="12" w:space="0" w:color="auto"/>
              <w:bottom w:val="single" w:sz="6" w:space="0" w:color="auto"/>
            </w:tcBorders>
            <w:vAlign w:val="center"/>
          </w:tcPr>
          <w:p w14:paraId="4722D3EF"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lang w:eastAsia="en-US"/>
              </w:rPr>
            </w:pPr>
            <w:r w:rsidRPr="002657D1">
              <w:rPr>
                <w:rFonts w:ascii="Times New Roman" w:eastAsia="宋体" w:hAnsi="Times New Roman" w:cs="Times New Roman"/>
                <w:color w:val="000000" w:themeColor="text1"/>
                <w:sz w:val="24"/>
                <w:szCs w:val="24"/>
              </w:rPr>
              <w:t>Sample</w:t>
            </w:r>
          </w:p>
        </w:tc>
        <w:tc>
          <w:tcPr>
            <w:tcW w:w="1185" w:type="dxa"/>
            <w:tcBorders>
              <w:top w:val="single" w:sz="12" w:space="0" w:color="auto"/>
              <w:bottom w:val="single" w:sz="6" w:space="0" w:color="auto"/>
            </w:tcBorders>
            <w:vAlign w:val="center"/>
          </w:tcPr>
          <w:p w14:paraId="1E294048"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Path</w:t>
            </w:r>
          </w:p>
        </w:tc>
        <w:tc>
          <w:tcPr>
            <w:tcW w:w="1185" w:type="dxa"/>
            <w:tcBorders>
              <w:top w:val="single" w:sz="12" w:space="0" w:color="auto"/>
              <w:bottom w:val="single" w:sz="6" w:space="0" w:color="auto"/>
            </w:tcBorders>
            <w:vAlign w:val="center"/>
          </w:tcPr>
          <w:p w14:paraId="2F93D66F"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rPr>
            </w:pPr>
            <w:proofErr w:type="spellStart"/>
            <w:r w:rsidRPr="002657D1">
              <w:rPr>
                <w:rFonts w:ascii="Times New Roman" w:eastAsia="宋体" w:hAnsi="Times New Roman" w:cs="Times New Roman"/>
                <w:i/>
                <w:color w:val="000000" w:themeColor="text1"/>
                <w:sz w:val="24"/>
                <w:szCs w:val="24"/>
              </w:rPr>
              <w:t>CN</w:t>
            </w:r>
            <w:r w:rsidRPr="002657D1">
              <w:rPr>
                <w:rFonts w:ascii="Times New Roman" w:eastAsia="宋体" w:hAnsi="Times New Roman" w:cs="Times New Roman"/>
                <w:i/>
                <w:color w:val="000000" w:themeColor="text1"/>
                <w:sz w:val="24"/>
                <w:szCs w:val="24"/>
                <w:vertAlign w:val="superscript"/>
              </w:rPr>
              <w:t>a</w:t>
            </w:r>
            <w:proofErr w:type="spellEnd"/>
          </w:p>
        </w:tc>
        <w:tc>
          <w:tcPr>
            <w:tcW w:w="1185" w:type="dxa"/>
            <w:tcBorders>
              <w:top w:val="single" w:sz="12" w:space="0" w:color="auto"/>
              <w:bottom w:val="single" w:sz="6" w:space="0" w:color="auto"/>
            </w:tcBorders>
            <w:vAlign w:val="center"/>
          </w:tcPr>
          <w:p w14:paraId="559636B7"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i/>
                <w:color w:val="000000" w:themeColor="text1"/>
                <w:sz w:val="24"/>
                <w:szCs w:val="24"/>
              </w:rPr>
            </w:pPr>
            <w:r w:rsidRPr="002657D1">
              <w:rPr>
                <w:rFonts w:ascii="Times New Roman" w:eastAsia="宋体" w:hAnsi="Times New Roman" w:cs="Times New Roman"/>
                <w:i/>
                <w:color w:val="000000" w:themeColor="text1"/>
                <w:sz w:val="24"/>
                <w:szCs w:val="24"/>
                <w:lang w:eastAsia="en-US"/>
              </w:rPr>
              <w:t>R</w:t>
            </w:r>
            <w:r w:rsidRPr="002657D1">
              <w:rPr>
                <w:rFonts w:ascii="Times New Roman" w:eastAsia="宋体" w:hAnsi="Times New Roman" w:cs="Times New Roman"/>
                <w:color w:val="000000" w:themeColor="text1"/>
                <w:sz w:val="24"/>
                <w:szCs w:val="24"/>
                <w:lang w:eastAsia="en-US"/>
              </w:rPr>
              <w:t>(Å)</w:t>
            </w:r>
            <w:r w:rsidRPr="002657D1">
              <w:rPr>
                <w:rFonts w:ascii="Times New Roman" w:eastAsia="宋体" w:hAnsi="Times New Roman" w:cs="Times New Roman"/>
                <w:i/>
                <w:color w:val="000000" w:themeColor="text1"/>
                <w:sz w:val="24"/>
                <w:szCs w:val="24"/>
                <w:vertAlign w:val="superscript"/>
              </w:rPr>
              <w:t>b</w:t>
            </w:r>
          </w:p>
        </w:tc>
        <w:tc>
          <w:tcPr>
            <w:tcW w:w="1185" w:type="dxa"/>
            <w:tcBorders>
              <w:top w:val="single" w:sz="12" w:space="0" w:color="auto"/>
              <w:bottom w:val="single" w:sz="6" w:space="0" w:color="auto"/>
            </w:tcBorders>
            <w:vAlign w:val="center"/>
          </w:tcPr>
          <w:p w14:paraId="7EBDF4E0"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i/>
                <w:color w:val="000000" w:themeColor="text1"/>
                <w:sz w:val="24"/>
                <w:szCs w:val="24"/>
                <w:lang w:eastAsia="en-US"/>
              </w:rPr>
              <w:t>σ</w:t>
            </w:r>
            <w:r w:rsidRPr="002657D1">
              <w:rPr>
                <w:rFonts w:ascii="Times New Roman" w:eastAsia="宋体" w:hAnsi="Times New Roman" w:cs="Times New Roman"/>
                <w:color w:val="000000" w:themeColor="text1"/>
                <w:sz w:val="24"/>
                <w:szCs w:val="24"/>
                <w:vertAlign w:val="superscript"/>
                <w:lang w:eastAsia="en-US"/>
              </w:rPr>
              <w:t>2</w:t>
            </w:r>
            <w:r w:rsidRPr="002657D1">
              <w:rPr>
                <w:rFonts w:ascii="Times New Roman" w:eastAsia="宋体" w:hAnsi="Times New Roman" w:cs="Times New Roman"/>
                <w:color w:val="000000" w:themeColor="text1"/>
                <w:sz w:val="24"/>
                <w:szCs w:val="24"/>
                <w:vertAlign w:val="superscript"/>
              </w:rPr>
              <w:t xml:space="preserve"> </w:t>
            </w:r>
            <w:r w:rsidRPr="002657D1">
              <w:rPr>
                <w:rFonts w:ascii="Times New Roman" w:eastAsia="宋体" w:hAnsi="Times New Roman" w:cs="Times New Roman"/>
                <w:color w:val="000000" w:themeColor="text1"/>
                <w:sz w:val="24"/>
                <w:szCs w:val="24"/>
                <w:lang w:eastAsia="en-US"/>
              </w:rPr>
              <w:t>(</w:t>
            </w:r>
            <w:bookmarkStart w:id="97" w:name="OLE_LINK13"/>
            <w:bookmarkStart w:id="98" w:name="OLE_LINK14"/>
            <w:bookmarkStart w:id="99" w:name="OLE_LINK12"/>
            <w:r w:rsidRPr="002657D1">
              <w:rPr>
                <w:rFonts w:ascii="Times New Roman" w:eastAsia="宋体" w:hAnsi="Times New Roman" w:cs="Times New Roman"/>
                <w:color w:val="000000" w:themeColor="text1"/>
                <w:sz w:val="24"/>
                <w:szCs w:val="24"/>
                <w:lang w:eastAsia="en-US"/>
              </w:rPr>
              <w:t>Å</w:t>
            </w:r>
            <w:bookmarkEnd w:id="97"/>
            <w:bookmarkEnd w:id="98"/>
            <w:bookmarkEnd w:id="99"/>
            <w:proofErr w:type="gramStart"/>
            <w:r w:rsidRPr="002657D1">
              <w:rPr>
                <w:rFonts w:ascii="Times New Roman" w:eastAsia="宋体" w:hAnsi="Times New Roman" w:cs="Times New Roman"/>
                <w:color w:val="000000" w:themeColor="text1"/>
                <w:sz w:val="24"/>
                <w:szCs w:val="24"/>
                <w:vertAlign w:val="superscript"/>
                <w:lang w:eastAsia="en-US"/>
              </w:rPr>
              <w:t>2</w:t>
            </w:r>
            <w:r w:rsidRPr="002657D1">
              <w:rPr>
                <w:rFonts w:ascii="Times New Roman" w:eastAsia="宋体" w:hAnsi="Times New Roman" w:cs="Times New Roman"/>
                <w:color w:val="000000" w:themeColor="text1"/>
                <w:sz w:val="24"/>
                <w:szCs w:val="24"/>
                <w:lang w:eastAsia="en-US"/>
              </w:rPr>
              <w:t>)</w:t>
            </w:r>
            <w:r w:rsidRPr="002657D1">
              <w:rPr>
                <w:rFonts w:ascii="Times New Roman" w:eastAsia="宋体" w:hAnsi="Times New Roman" w:cs="Times New Roman"/>
                <w:i/>
                <w:color w:val="000000" w:themeColor="text1"/>
                <w:sz w:val="24"/>
                <w:szCs w:val="24"/>
                <w:vertAlign w:val="superscript"/>
              </w:rPr>
              <w:t>c</w:t>
            </w:r>
            <w:proofErr w:type="gramEnd"/>
          </w:p>
        </w:tc>
        <w:tc>
          <w:tcPr>
            <w:tcW w:w="1185" w:type="dxa"/>
            <w:tcBorders>
              <w:top w:val="single" w:sz="12" w:space="0" w:color="auto"/>
              <w:bottom w:val="single" w:sz="6" w:space="0" w:color="auto"/>
            </w:tcBorders>
            <w:vAlign w:val="center"/>
          </w:tcPr>
          <w:p w14:paraId="586832E1"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lang w:eastAsia="en-US"/>
              </w:rPr>
              <w:t>Δ</w:t>
            </w:r>
            <w:r w:rsidRPr="002657D1">
              <w:rPr>
                <w:rFonts w:ascii="Times New Roman" w:eastAsia="宋体" w:hAnsi="Times New Roman" w:cs="Times New Roman"/>
                <w:i/>
                <w:color w:val="000000" w:themeColor="text1"/>
                <w:sz w:val="24"/>
                <w:szCs w:val="24"/>
                <w:lang w:eastAsia="en-US"/>
              </w:rPr>
              <w:t>E</w:t>
            </w:r>
            <w:r w:rsidRPr="002657D1">
              <w:rPr>
                <w:rFonts w:ascii="Times New Roman" w:eastAsia="宋体" w:hAnsi="Times New Roman" w:cs="Times New Roman"/>
                <w:color w:val="000000" w:themeColor="text1"/>
                <w:sz w:val="24"/>
                <w:szCs w:val="24"/>
                <w:vertAlign w:val="subscript"/>
                <w:lang w:eastAsia="en-US"/>
              </w:rPr>
              <w:t>0</w:t>
            </w:r>
            <w:r w:rsidRPr="002657D1">
              <w:rPr>
                <w:rFonts w:ascii="Times New Roman" w:eastAsia="宋体" w:hAnsi="Times New Roman" w:cs="Times New Roman"/>
                <w:color w:val="000000" w:themeColor="text1"/>
                <w:sz w:val="24"/>
                <w:szCs w:val="24"/>
                <w:lang w:eastAsia="en-US"/>
              </w:rPr>
              <w:t>(eV)</w:t>
            </w:r>
            <w:r w:rsidRPr="002657D1">
              <w:rPr>
                <w:rFonts w:ascii="Times New Roman" w:eastAsia="宋体" w:hAnsi="Times New Roman" w:cs="Times New Roman"/>
                <w:i/>
                <w:color w:val="000000" w:themeColor="text1"/>
                <w:sz w:val="24"/>
                <w:szCs w:val="24"/>
                <w:vertAlign w:val="superscript"/>
              </w:rPr>
              <w:t>d</w:t>
            </w:r>
          </w:p>
        </w:tc>
        <w:tc>
          <w:tcPr>
            <w:tcW w:w="1185" w:type="dxa"/>
            <w:tcBorders>
              <w:top w:val="single" w:sz="12" w:space="0" w:color="auto"/>
              <w:bottom w:val="single" w:sz="6" w:space="0" w:color="auto"/>
            </w:tcBorders>
            <w:vAlign w:val="center"/>
          </w:tcPr>
          <w:p w14:paraId="3074C52B"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i/>
                <w:color w:val="000000" w:themeColor="text1"/>
                <w:sz w:val="24"/>
                <w:szCs w:val="24"/>
                <w:lang w:eastAsia="en-US"/>
              </w:rPr>
              <w:t>R</w:t>
            </w:r>
            <w:r w:rsidRPr="002657D1">
              <w:rPr>
                <w:rFonts w:ascii="Times New Roman" w:eastAsia="宋体" w:hAnsi="Times New Roman" w:cs="Times New Roman"/>
                <w:color w:val="000000" w:themeColor="text1"/>
                <w:sz w:val="24"/>
                <w:szCs w:val="24"/>
                <w:lang w:eastAsia="en-US"/>
              </w:rPr>
              <w:t xml:space="preserve"> factor</w:t>
            </w:r>
          </w:p>
        </w:tc>
      </w:tr>
      <w:tr w:rsidR="002657D1" w:rsidRPr="002657D1" w14:paraId="2C249F72" w14:textId="77777777" w:rsidTr="00CD659A">
        <w:trPr>
          <w:cantSplit/>
          <w:trHeight w:val="340"/>
          <w:jc w:val="center"/>
        </w:trPr>
        <w:tc>
          <w:tcPr>
            <w:tcW w:w="1185" w:type="dxa"/>
            <w:gridSpan w:val="7"/>
            <w:tcBorders>
              <w:top w:val="single" w:sz="6" w:space="0" w:color="auto"/>
              <w:bottom w:val="single" w:sz="12" w:space="0" w:color="auto"/>
            </w:tcBorders>
            <w:vAlign w:val="center"/>
          </w:tcPr>
          <w:p w14:paraId="0A990A16"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Zr K-edge (</w:t>
            </w:r>
            <w:r w:rsidRPr="002657D1">
              <w:rPr>
                <w:rFonts w:ascii="Times New Roman" w:eastAsia="宋体" w:hAnsi="Times New Roman" w:cs="Times New Roman"/>
                <w:i/>
                <w:color w:val="000000" w:themeColor="text1"/>
                <w:sz w:val="24"/>
                <w:szCs w:val="28"/>
              </w:rPr>
              <w:t>Ѕ</w:t>
            </w:r>
            <w:r w:rsidRPr="002657D1">
              <w:rPr>
                <w:rFonts w:ascii="Times New Roman" w:eastAsia="宋体" w:hAnsi="Times New Roman" w:cs="Times New Roman"/>
                <w:color w:val="000000" w:themeColor="text1"/>
                <w:sz w:val="24"/>
                <w:szCs w:val="28"/>
                <w:vertAlign w:val="subscript"/>
              </w:rPr>
              <w:t>0</w:t>
            </w:r>
            <w:r w:rsidRPr="002657D1">
              <w:rPr>
                <w:rFonts w:ascii="Times New Roman" w:eastAsia="宋体" w:hAnsi="Times New Roman" w:cs="Times New Roman"/>
                <w:color w:val="000000" w:themeColor="text1"/>
                <w:sz w:val="24"/>
                <w:szCs w:val="28"/>
                <w:vertAlign w:val="superscript"/>
              </w:rPr>
              <w:t>2</w:t>
            </w:r>
            <w:r w:rsidRPr="002657D1">
              <w:rPr>
                <w:rFonts w:ascii="Times New Roman" w:eastAsia="宋体" w:hAnsi="Times New Roman" w:cs="Times New Roman"/>
                <w:color w:val="000000" w:themeColor="text1"/>
                <w:sz w:val="24"/>
                <w:szCs w:val="28"/>
              </w:rPr>
              <w:t>=0.896</w:t>
            </w:r>
            <w:r w:rsidRPr="002657D1">
              <w:rPr>
                <w:rFonts w:ascii="Times New Roman" w:eastAsia="宋体" w:hAnsi="Times New Roman" w:cs="Times New Roman"/>
                <w:color w:val="000000" w:themeColor="text1"/>
                <w:sz w:val="24"/>
                <w:szCs w:val="24"/>
              </w:rPr>
              <w:t>)</w:t>
            </w:r>
          </w:p>
        </w:tc>
      </w:tr>
      <w:tr w:rsidR="002657D1" w:rsidRPr="002657D1" w14:paraId="323D545A" w14:textId="77777777" w:rsidTr="00CD659A">
        <w:trPr>
          <w:cantSplit/>
          <w:trHeight w:val="340"/>
          <w:jc w:val="center"/>
        </w:trPr>
        <w:tc>
          <w:tcPr>
            <w:tcW w:w="1185" w:type="dxa"/>
            <w:tcBorders>
              <w:top w:val="single" w:sz="12" w:space="0" w:color="auto"/>
              <w:bottom w:val="nil"/>
            </w:tcBorders>
            <w:vAlign w:val="center"/>
          </w:tcPr>
          <w:p w14:paraId="1405ADC3"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lang w:val="fr-FR"/>
              </w:rPr>
            </w:pPr>
            <w:r w:rsidRPr="002657D1">
              <w:rPr>
                <w:rFonts w:ascii="Times New Roman" w:eastAsia="宋体" w:hAnsi="Times New Roman" w:cs="Times New Roman"/>
                <w:color w:val="000000" w:themeColor="text1"/>
                <w:sz w:val="24"/>
                <w:szCs w:val="24"/>
              </w:rPr>
              <w:t>Zr</w:t>
            </w:r>
            <w:r w:rsidRPr="002657D1">
              <w:rPr>
                <w:rFonts w:ascii="Times New Roman" w:eastAsia="宋体" w:hAnsi="Times New Roman" w:cs="Times New Roman"/>
                <w:color w:val="000000" w:themeColor="text1"/>
                <w:sz w:val="24"/>
                <w:szCs w:val="24"/>
                <w:lang w:val="fr-FR"/>
              </w:rPr>
              <w:t xml:space="preserve"> foil</w:t>
            </w:r>
          </w:p>
        </w:tc>
        <w:tc>
          <w:tcPr>
            <w:tcW w:w="1185" w:type="dxa"/>
            <w:tcBorders>
              <w:top w:val="single" w:sz="12" w:space="0" w:color="auto"/>
              <w:bottom w:val="nil"/>
            </w:tcBorders>
            <w:vAlign w:val="center"/>
          </w:tcPr>
          <w:p w14:paraId="38E7C10C"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Zr-Zr</w:t>
            </w:r>
          </w:p>
        </w:tc>
        <w:tc>
          <w:tcPr>
            <w:tcW w:w="1185" w:type="dxa"/>
            <w:tcBorders>
              <w:top w:val="single" w:sz="12" w:space="0" w:color="auto"/>
              <w:bottom w:val="nil"/>
            </w:tcBorders>
            <w:vAlign w:val="center"/>
          </w:tcPr>
          <w:p w14:paraId="2DE5AD78"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12.0*</w:t>
            </w:r>
          </w:p>
        </w:tc>
        <w:tc>
          <w:tcPr>
            <w:tcW w:w="1185" w:type="dxa"/>
            <w:tcBorders>
              <w:top w:val="single" w:sz="12" w:space="0" w:color="auto"/>
              <w:bottom w:val="nil"/>
            </w:tcBorders>
            <w:vAlign w:val="center"/>
          </w:tcPr>
          <w:p w14:paraId="5F3CB2B4"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kern w:val="0"/>
                <w:sz w:val="24"/>
                <w:szCs w:val="24"/>
                <w:lang w:bidi="ar"/>
              </w:rPr>
              <w:t>3.207</w:t>
            </w:r>
          </w:p>
        </w:tc>
        <w:tc>
          <w:tcPr>
            <w:tcW w:w="1185" w:type="dxa"/>
            <w:tcBorders>
              <w:top w:val="single" w:sz="12" w:space="0" w:color="auto"/>
              <w:bottom w:val="nil"/>
            </w:tcBorders>
            <w:vAlign w:val="center"/>
          </w:tcPr>
          <w:p w14:paraId="36A082A0"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0.0089</w:t>
            </w:r>
          </w:p>
        </w:tc>
        <w:tc>
          <w:tcPr>
            <w:tcW w:w="1185" w:type="dxa"/>
            <w:tcBorders>
              <w:top w:val="single" w:sz="12" w:space="0" w:color="auto"/>
              <w:bottom w:val="nil"/>
            </w:tcBorders>
            <w:vAlign w:val="center"/>
          </w:tcPr>
          <w:p w14:paraId="46C008CB"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4.2</w:t>
            </w:r>
            <w:r w:rsidRPr="002657D1">
              <w:rPr>
                <w:rFonts w:ascii="Times New Roman" w:eastAsia="宋体" w:hAnsi="Times New Roman" w:cs="Times New Roman"/>
                <w:color w:val="000000" w:themeColor="text1"/>
                <w:kern w:val="0"/>
                <w:sz w:val="24"/>
                <w:szCs w:val="24"/>
                <w:lang w:bidi="ar"/>
              </w:rPr>
              <w:t>±0.5</w:t>
            </w:r>
          </w:p>
        </w:tc>
        <w:tc>
          <w:tcPr>
            <w:tcW w:w="1185" w:type="dxa"/>
            <w:tcBorders>
              <w:top w:val="single" w:sz="12" w:space="0" w:color="auto"/>
              <w:bottom w:val="nil"/>
            </w:tcBorders>
            <w:vAlign w:val="center"/>
          </w:tcPr>
          <w:p w14:paraId="501E3753"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0.0130</w:t>
            </w:r>
          </w:p>
        </w:tc>
      </w:tr>
      <w:tr w:rsidR="002657D1" w:rsidRPr="002657D1" w14:paraId="0A48028A" w14:textId="77777777" w:rsidTr="00CD659A">
        <w:trPr>
          <w:cantSplit/>
          <w:trHeight w:val="340"/>
          <w:jc w:val="center"/>
        </w:trPr>
        <w:tc>
          <w:tcPr>
            <w:tcW w:w="1185" w:type="dxa"/>
            <w:tcBorders>
              <w:top w:val="nil"/>
              <w:bottom w:val="nil"/>
            </w:tcBorders>
            <w:vAlign w:val="center"/>
          </w:tcPr>
          <w:p w14:paraId="75D9DB6E"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rPr>
            </w:pPr>
            <w:bookmarkStart w:id="100" w:name="_Hlk525762101"/>
            <w:bookmarkStart w:id="101" w:name="_Hlk519496888"/>
            <w:r w:rsidRPr="002657D1">
              <w:rPr>
                <w:rFonts w:ascii="Times New Roman" w:eastAsia="宋体" w:hAnsi="Times New Roman" w:cs="Times New Roman"/>
                <w:color w:val="000000" w:themeColor="text1"/>
                <w:sz w:val="24"/>
                <w:szCs w:val="24"/>
              </w:rPr>
              <w:t>LZC</w:t>
            </w:r>
          </w:p>
        </w:tc>
        <w:tc>
          <w:tcPr>
            <w:tcW w:w="1185" w:type="dxa"/>
            <w:tcBorders>
              <w:top w:val="nil"/>
              <w:bottom w:val="nil"/>
            </w:tcBorders>
            <w:vAlign w:val="center"/>
          </w:tcPr>
          <w:p w14:paraId="41C409E4"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Zr-Cl</w:t>
            </w:r>
          </w:p>
        </w:tc>
        <w:tc>
          <w:tcPr>
            <w:tcW w:w="1185" w:type="dxa"/>
            <w:tcBorders>
              <w:top w:val="nil"/>
              <w:bottom w:val="nil"/>
            </w:tcBorders>
            <w:vAlign w:val="center"/>
          </w:tcPr>
          <w:p w14:paraId="18BC3E48"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kern w:val="0"/>
                <w:sz w:val="24"/>
                <w:szCs w:val="24"/>
                <w:lang w:bidi="ar"/>
              </w:rPr>
              <w:t>6.0</w:t>
            </w:r>
          </w:p>
        </w:tc>
        <w:tc>
          <w:tcPr>
            <w:tcW w:w="1185" w:type="dxa"/>
            <w:tcBorders>
              <w:top w:val="nil"/>
              <w:bottom w:val="nil"/>
            </w:tcBorders>
            <w:vAlign w:val="center"/>
          </w:tcPr>
          <w:p w14:paraId="08AE0A74"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kern w:val="0"/>
                <w:sz w:val="24"/>
                <w:szCs w:val="24"/>
                <w:lang w:bidi="ar"/>
              </w:rPr>
              <w:t>2.478</w:t>
            </w:r>
          </w:p>
        </w:tc>
        <w:tc>
          <w:tcPr>
            <w:tcW w:w="1185" w:type="dxa"/>
            <w:tcBorders>
              <w:top w:val="nil"/>
              <w:bottom w:val="nil"/>
            </w:tcBorders>
            <w:vAlign w:val="center"/>
          </w:tcPr>
          <w:p w14:paraId="17D3C3C2"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0.0033</w:t>
            </w:r>
          </w:p>
        </w:tc>
        <w:tc>
          <w:tcPr>
            <w:tcW w:w="1185" w:type="dxa"/>
            <w:tcBorders>
              <w:top w:val="nil"/>
              <w:bottom w:val="nil"/>
            </w:tcBorders>
            <w:vAlign w:val="center"/>
          </w:tcPr>
          <w:p w14:paraId="3209A51F"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kern w:val="0"/>
                <w:sz w:val="24"/>
                <w:szCs w:val="24"/>
                <w:lang w:bidi="ar"/>
              </w:rPr>
              <w:t>2.5±2.2</w:t>
            </w:r>
          </w:p>
        </w:tc>
        <w:tc>
          <w:tcPr>
            <w:tcW w:w="1185" w:type="dxa"/>
            <w:tcBorders>
              <w:top w:val="nil"/>
              <w:bottom w:val="nil"/>
            </w:tcBorders>
            <w:vAlign w:val="center"/>
          </w:tcPr>
          <w:p w14:paraId="37106038"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0.0189</w:t>
            </w:r>
          </w:p>
        </w:tc>
      </w:tr>
      <w:tr w:rsidR="002657D1" w:rsidRPr="002657D1" w14:paraId="504D2CA9" w14:textId="77777777" w:rsidTr="00CD659A">
        <w:trPr>
          <w:cantSplit/>
          <w:trHeight w:val="340"/>
          <w:jc w:val="center"/>
        </w:trPr>
        <w:tc>
          <w:tcPr>
            <w:tcW w:w="1185" w:type="dxa"/>
            <w:vMerge w:val="restart"/>
            <w:tcBorders>
              <w:top w:val="nil"/>
              <w:bottom w:val="nil"/>
            </w:tcBorders>
            <w:vAlign w:val="center"/>
          </w:tcPr>
          <w:p w14:paraId="07961279"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LZC-10TF</w:t>
            </w:r>
          </w:p>
        </w:tc>
        <w:tc>
          <w:tcPr>
            <w:tcW w:w="1185" w:type="dxa"/>
            <w:tcBorders>
              <w:top w:val="nil"/>
              <w:bottom w:val="nil"/>
            </w:tcBorders>
            <w:vAlign w:val="center"/>
          </w:tcPr>
          <w:p w14:paraId="234F5120"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Zr-F</w:t>
            </w:r>
          </w:p>
        </w:tc>
        <w:tc>
          <w:tcPr>
            <w:tcW w:w="1185" w:type="dxa"/>
            <w:tcBorders>
              <w:top w:val="nil"/>
              <w:bottom w:val="nil"/>
            </w:tcBorders>
            <w:vAlign w:val="center"/>
          </w:tcPr>
          <w:p w14:paraId="34E7EFB3"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kern w:val="0"/>
                <w:sz w:val="24"/>
                <w:szCs w:val="24"/>
                <w:lang w:bidi="ar"/>
              </w:rPr>
              <w:t>0.9</w:t>
            </w:r>
          </w:p>
        </w:tc>
        <w:tc>
          <w:tcPr>
            <w:tcW w:w="1185" w:type="dxa"/>
            <w:tcBorders>
              <w:top w:val="nil"/>
              <w:bottom w:val="nil"/>
            </w:tcBorders>
            <w:vAlign w:val="center"/>
          </w:tcPr>
          <w:p w14:paraId="40E36CE9"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kern w:val="0"/>
                <w:sz w:val="24"/>
                <w:szCs w:val="24"/>
                <w:lang w:bidi="ar"/>
              </w:rPr>
              <w:t>1.922</w:t>
            </w:r>
          </w:p>
        </w:tc>
        <w:tc>
          <w:tcPr>
            <w:tcW w:w="1185" w:type="dxa"/>
            <w:vMerge w:val="restart"/>
            <w:tcBorders>
              <w:top w:val="nil"/>
              <w:bottom w:val="nil"/>
            </w:tcBorders>
            <w:vAlign w:val="center"/>
          </w:tcPr>
          <w:p w14:paraId="6FD5FA0A"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0.0067</w:t>
            </w:r>
          </w:p>
        </w:tc>
        <w:tc>
          <w:tcPr>
            <w:tcW w:w="1185" w:type="dxa"/>
            <w:vMerge w:val="restart"/>
            <w:tcBorders>
              <w:top w:val="nil"/>
              <w:bottom w:val="nil"/>
            </w:tcBorders>
            <w:vAlign w:val="center"/>
          </w:tcPr>
          <w:p w14:paraId="7EE631D6"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kern w:val="0"/>
                <w:sz w:val="24"/>
                <w:szCs w:val="24"/>
                <w:lang w:bidi="ar"/>
              </w:rPr>
              <w:t>-1.7±1.3</w:t>
            </w:r>
          </w:p>
        </w:tc>
        <w:tc>
          <w:tcPr>
            <w:tcW w:w="1185" w:type="dxa"/>
            <w:vMerge w:val="restart"/>
            <w:tcBorders>
              <w:top w:val="nil"/>
              <w:bottom w:val="nil"/>
            </w:tcBorders>
            <w:vAlign w:val="center"/>
          </w:tcPr>
          <w:p w14:paraId="6012E7A2"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0.0067</w:t>
            </w:r>
          </w:p>
        </w:tc>
      </w:tr>
      <w:tr w:rsidR="002657D1" w:rsidRPr="002657D1" w14:paraId="2C1D4191" w14:textId="77777777" w:rsidTr="00CD659A">
        <w:trPr>
          <w:cantSplit/>
          <w:trHeight w:val="340"/>
          <w:jc w:val="center"/>
        </w:trPr>
        <w:tc>
          <w:tcPr>
            <w:tcW w:w="1185" w:type="dxa"/>
            <w:vMerge/>
            <w:tcBorders>
              <w:top w:val="nil"/>
              <w:bottom w:val="single" w:sz="12" w:space="0" w:color="auto"/>
            </w:tcBorders>
            <w:vAlign w:val="center"/>
          </w:tcPr>
          <w:p w14:paraId="3BB71E12"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rPr>
            </w:pPr>
          </w:p>
        </w:tc>
        <w:tc>
          <w:tcPr>
            <w:tcW w:w="1185" w:type="dxa"/>
            <w:tcBorders>
              <w:top w:val="nil"/>
              <w:bottom w:val="single" w:sz="12" w:space="0" w:color="auto"/>
            </w:tcBorders>
            <w:vAlign w:val="center"/>
          </w:tcPr>
          <w:p w14:paraId="7B0967BC"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lang w:val="fr-FR"/>
              </w:rPr>
            </w:pPr>
            <w:r w:rsidRPr="002657D1">
              <w:rPr>
                <w:rFonts w:ascii="Times New Roman" w:eastAsia="宋体" w:hAnsi="Times New Roman" w:cs="Times New Roman"/>
                <w:color w:val="000000" w:themeColor="text1"/>
                <w:sz w:val="24"/>
                <w:szCs w:val="24"/>
              </w:rPr>
              <w:t>Zr-Cl</w:t>
            </w:r>
          </w:p>
        </w:tc>
        <w:tc>
          <w:tcPr>
            <w:tcW w:w="1185" w:type="dxa"/>
            <w:tcBorders>
              <w:top w:val="nil"/>
              <w:bottom w:val="single" w:sz="12" w:space="0" w:color="auto"/>
            </w:tcBorders>
            <w:vAlign w:val="center"/>
          </w:tcPr>
          <w:p w14:paraId="32DD9747"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kern w:val="0"/>
                <w:sz w:val="24"/>
                <w:szCs w:val="24"/>
                <w:lang w:bidi="ar"/>
              </w:rPr>
              <w:t>5.2</w:t>
            </w:r>
          </w:p>
        </w:tc>
        <w:tc>
          <w:tcPr>
            <w:tcW w:w="1185" w:type="dxa"/>
            <w:tcBorders>
              <w:top w:val="nil"/>
              <w:bottom w:val="single" w:sz="12" w:space="0" w:color="auto"/>
            </w:tcBorders>
            <w:vAlign w:val="center"/>
          </w:tcPr>
          <w:p w14:paraId="7A013B8E"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kern w:val="0"/>
                <w:sz w:val="24"/>
                <w:szCs w:val="24"/>
                <w:lang w:bidi="ar"/>
              </w:rPr>
              <w:t>2.451</w:t>
            </w:r>
          </w:p>
        </w:tc>
        <w:tc>
          <w:tcPr>
            <w:tcW w:w="1185" w:type="dxa"/>
            <w:vMerge/>
            <w:tcBorders>
              <w:top w:val="nil"/>
              <w:bottom w:val="single" w:sz="12" w:space="0" w:color="auto"/>
            </w:tcBorders>
            <w:vAlign w:val="center"/>
          </w:tcPr>
          <w:p w14:paraId="1C56C2B4"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rPr>
            </w:pPr>
          </w:p>
        </w:tc>
        <w:tc>
          <w:tcPr>
            <w:tcW w:w="1185" w:type="dxa"/>
            <w:vMerge/>
            <w:tcBorders>
              <w:top w:val="nil"/>
              <w:bottom w:val="single" w:sz="12" w:space="0" w:color="auto"/>
            </w:tcBorders>
            <w:vAlign w:val="center"/>
          </w:tcPr>
          <w:p w14:paraId="477840A4"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rPr>
            </w:pPr>
          </w:p>
        </w:tc>
        <w:tc>
          <w:tcPr>
            <w:tcW w:w="1185" w:type="dxa"/>
            <w:vMerge/>
            <w:tcBorders>
              <w:top w:val="nil"/>
              <w:bottom w:val="single" w:sz="12" w:space="0" w:color="auto"/>
            </w:tcBorders>
            <w:vAlign w:val="center"/>
          </w:tcPr>
          <w:p w14:paraId="6B54B7D4" w14:textId="77777777" w:rsidR="00AD3CB0" w:rsidRPr="002657D1" w:rsidRDefault="00AD3CB0" w:rsidP="0073434B">
            <w:pPr>
              <w:adjustRightInd w:val="0"/>
              <w:snapToGrid w:val="0"/>
              <w:spacing w:line="360" w:lineRule="auto"/>
              <w:jc w:val="center"/>
              <w:textAlignment w:val="center"/>
              <w:rPr>
                <w:rFonts w:ascii="Times New Roman" w:eastAsia="宋体" w:hAnsi="Times New Roman" w:cs="Times New Roman"/>
                <w:color w:val="000000" w:themeColor="text1"/>
                <w:sz w:val="24"/>
                <w:szCs w:val="24"/>
              </w:rPr>
            </w:pPr>
          </w:p>
        </w:tc>
      </w:tr>
    </w:tbl>
    <w:bookmarkEnd w:id="100"/>
    <w:bookmarkEnd w:id="101"/>
    <w:p w14:paraId="2A881B55" w14:textId="6142A52D" w:rsidR="000F1516" w:rsidRPr="002657D1" w:rsidRDefault="00AD3CB0" w:rsidP="00AD3CB0">
      <w:pPr>
        <w:widowControl/>
        <w:spacing w:before="120" w:afterLines="50" w:after="156" w:line="360" w:lineRule="auto"/>
        <w:rPr>
          <w:rFonts w:ascii="Times New Roman" w:eastAsia="宋体" w:hAnsi="Times New Roman" w:cs="Times New Roman"/>
          <w:color w:val="000000" w:themeColor="text1"/>
          <w:sz w:val="24"/>
          <w:szCs w:val="24"/>
        </w:rPr>
        <w:sectPr w:rsidR="000F1516" w:rsidRPr="002657D1">
          <w:headerReference w:type="even" r:id="rId62"/>
          <w:headerReference w:type="default" r:id="rId63"/>
          <w:footerReference w:type="even" r:id="rId64"/>
          <w:footerReference w:type="default" r:id="rId65"/>
          <w:pgSz w:w="11906" w:h="16838"/>
          <w:pgMar w:top="1440" w:right="1800" w:bottom="1440" w:left="1800" w:header="851" w:footer="992" w:gutter="0"/>
          <w:lnNumType w:countBy="1" w:restart="continuous"/>
          <w:cols w:space="425"/>
          <w:docGrid w:type="lines" w:linePitch="312"/>
        </w:sectPr>
      </w:pPr>
      <w:proofErr w:type="spellStart"/>
      <w:r w:rsidRPr="002657D1">
        <w:rPr>
          <w:rFonts w:ascii="Times New Roman" w:eastAsia="宋体" w:hAnsi="Times New Roman" w:cs="Times New Roman"/>
          <w:i/>
          <w:iCs/>
          <w:color w:val="000000" w:themeColor="text1"/>
          <w:kern w:val="0"/>
          <w:sz w:val="24"/>
          <w:szCs w:val="24"/>
          <w:vertAlign w:val="superscript"/>
          <w:lang w:bidi="ar"/>
        </w:rPr>
        <w:t>a</w:t>
      </w:r>
      <w:r w:rsidRPr="002657D1">
        <w:rPr>
          <w:rFonts w:ascii="Times New Roman" w:eastAsia="宋体" w:hAnsi="Times New Roman" w:cs="Times New Roman"/>
          <w:i/>
          <w:iCs/>
          <w:color w:val="000000" w:themeColor="text1"/>
          <w:kern w:val="0"/>
          <w:sz w:val="24"/>
          <w:szCs w:val="24"/>
          <w:lang w:bidi="ar"/>
        </w:rPr>
        <w:t>CN</w:t>
      </w:r>
      <w:proofErr w:type="spellEnd"/>
      <w:r w:rsidRPr="002657D1">
        <w:rPr>
          <w:rFonts w:ascii="Times New Roman" w:eastAsia="宋体" w:hAnsi="Times New Roman" w:cs="Times New Roman"/>
          <w:color w:val="000000" w:themeColor="text1"/>
          <w:kern w:val="0"/>
          <w:sz w:val="24"/>
          <w:szCs w:val="24"/>
          <w:lang w:bidi="ar"/>
        </w:rPr>
        <w:t xml:space="preserve">, coordination number; </w:t>
      </w:r>
      <w:proofErr w:type="spellStart"/>
      <w:r w:rsidRPr="002657D1">
        <w:rPr>
          <w:rFonts w:ascii="Times New Roman" w:eastAsia="宋体" w:hAnsi="Times New Roman" w:cs="Times New Roman"/>
          <w:i/>
          <w:color w:val="000000" w:themeColor="text1"/>
          <w:sz w:val="24"/>
          <w:szCs w:val="24"/>
          <w:vertAlign w:val="superscript"/>
        </w:rPr>
        <w:t>b</w:t>
      </w:r>
      <w:r w:rsidRPr="002657D1">
        <w:rPr>
          <w:rFonts w:ascii="Times New Roman" w:eastAsia="宋体" w:hAnsi="Times New Roman" w:cs="Times New Roman"/>
          <w:i/>
          <w:color w:val="000000" w:themeColor="text1"/>
          <w:kern w:val="0"/>
          <w:sz w:val="24"/>
          <w:szCs w:val="24"/>
          <w:lang w:bidi="ar"/>
        </w:rPr>
        <w:t>R</w:t>
      </w:r>
      <w:proofErr w:type="spellEnd"/>
      <w:r w:rsidRPr="002657D1">
        <w:rPr>
          <w:rFonts w:ascii="Times New Roman" w:eastAsia="宋体" w:hAnsi="Times New Roman" w:cs="Times New Roman"/>
          <w:color w:val="000000" w:themeColor="text1"/>
          <w:kern w:val="0"/>
          <w:sz w:val="24"/>
          <w:szCs w:val="24"/>
          <w:lang w:bidi="ar"/>
        </w:rPr>
        <w:t xml:space="preserve">, </w:t>
      </w:r>
      <w:r w:rsidRPr="002657D1">
        <w:rPr>
          <w:rFonts w:ascii="Times New Roman" w:eastAsia="宋体" w:hAnsi="Times New Roman" w:cs="Times New Roman"/>
          <w:color w:val="000000" w:themeColor="text1"/>
          <w:sz w:val="24"/>
          <w:szCs w:val="28"/>
        </w:rPr>
        <w:t>the distance between absorber and backscatter atoms</w:t>
      </w:r>
      <w:r w:rsidRPr="002657D1">
        <w:rPr>
          <w:rFonts w:ascii="Times New Roman" w:eastAsia="宋体" w:hAnsi="Times New Roman" w:cs="Times New Roman"/>
          <w:color w:val="000000" w:themeColor="text1"/>
          <w:kern w:val="0"/>
          <w:sz w:val="24"/>
          <w:szCs w:val="24"/>
          <w:lang w:bidi="ar"/>
        </w:rPr>
        <w:t xml:space="preserve">; </w:t>
      </w:r>
      <w:r w:rsidRPr="002657D1">
        <w:rPr>
          <w:rFonts w:ascii="Times New Roman" w:eastAsia="宋体" w:hAnsi="Times New Roman" w:cs="Times New Roman"/>
          <w:i/>
          <w:color w:val="000000" w:themeColor="text1"/>
          <w:sz w:val="24"/>
          <w:szCs w:val="24"/>
          <w:vertAlign w:val="superscript"/>
        </w:rPr>
        <w:t>c</w:t>
      </w:r>
      <w:r w:rsidRPr="002657D1">
        <w:rPr>
          <w:rFonts w:ascii="Times New Roman" w:eastAsia="宋体" w:hAnsi="Times New Roman" w:cs="Times New Roman"/>
          <w:i/>
          <w:color w:val="000000" w:themeColor="text1"/>
          <w:kern w:val="0"/>
          <w:sz w:val="24"/>
          <w:szCs w:val="24"/>
          <w:lang w:bidi="ar"/>
        </w:rPr>
        <w:t>σ</w:t>
      </w:r>
      <w:r w:rsidRPr="002657D1">
        <w:rPr>
          <w:rFonts w:ascii="Times New Roman" w:eastAsia="宋体" w:hAnsi="Times New Roman" w:cs="Times New Roman"/>
          <w:color w:val="000000" w:themeColor="text1"/>
          <w:kern w:val="0"/>
          <w:sz w:val="24"/>
          <w:szCs w:val="24"/>
          <w:vertAlign w:val="superscript"/>
          <w:lang w:bidi="ar"/>
        </w:rPr>
        <w:t>2</w:t>
      </w:r>
      <w:r w:rsidRPr="002657D1">
        <w:rPr>
          <w:rFonts w:ascii="Times New Roman" w:eastAsia="宋体" w:hAnsi="Times New Roman" w:cs="Times New Roman"/>
          <w:color w:val="000000" w:themeColor="text1"/>
          <w:kern w:val="0"/>
          <w:sz w:val="24"/>
          <w:szCs w:val="24"/>
          <w:lang w:bidi="ar"/>
        </w:rPr>
        <w:t xml:space="preserve">, </w:t>
      </w:r>
      <w:r w:rsidRPr="002657D1">
        <w:rPr>
          <w:rFonts w:ascii="Times New Roman" w:eastAsia="宋体" w:hAnsi="Times New Roman" w:cs="Times New Roman"/>
          <w:color w:val="000000" w:themeColor="text1"/>
          <w:sz w:val="24"/>
          <w:szCs w:val="28"/>
        </w:rPr>
        <w:t>the Debye</w:t>
      </w:r>
      <w:r w:rsidR="00CD659A" w:rsidRPr="002657D1">
        <w:rPr>
          <w:rFonts w:ascii="Times New Roman" w:eastAsia="宋体" w:hAnsi="Times New Roman" w:cs="Times New Roman"/>
          <w:color w:val="000000" w:themeColor="text1"/>
          <w:sz w:val="24"/>
          <w:szCs w:val="28"/>
        </w:rPr>
        <w:t>-</w:t>
      </w:r>
      <w:r w:rsidRPr="002657D1">
        <w:rPr>
          <w:rFonts w:ascii="Times New Roman" w:eastAsia="宋体" w:hAnsi="Times New Roman" w:cs="Times New Roman"/>
          <w:color w:val="000000" w:themeColor="text1"/>
          <w:sz w:val="24"/>
          <w:szCs w:val="28"/>
        </w:rPr>
        <w:t>Waller factor value</w:t>
      </w:r>
      <w:r w:rsidRPr="002657D1">
        <w:rPr>
          <w:rFonts w:ascii="Times New Roman" w:eastAsia="宋体" w:hAnsi="Times New Roman" w:cs="Times New Roman"/>
          <w:color w:val="000000" w:themeColor="text1"/>
          <w:kern w:val="0"/>
          <w:sz w:val="24"/>
          <w:szCs w:val="24"/>
          <w:lang w:bidi="ar"/>
        </w:rPr>
        <w:t xml:space="preserve">; </w:t>
      </w:r>
      <w:r w:rsidRPr="002657D1">
        <w:rPr>
          <w:rFonts w:ascii="Times New Roman" w:eastAsia="宋体" w:hAnsi="Times New Roman" w:cs="Times New Roman"/>
          <w:i/>
          <w:color w:val="000000" w:themeColor="text1"/>
          <w:sz w:val="24"/>
          <w:szCs w:val="24"/>
          <w:vertAlign w:val="superscript"/>
        </w:rPr>
        <w:t>d</w:t>
      </w:r>
      <w:r w:rsidRPr="002657D1">
        <w:rPr>
          <w:rFonts w:ascii="Times New Roman" w:eastAsia="宋体" w:hAnsi="Times New Roman" w:cs="Times New Roman"/>
          <w:i/>
          <w:color w:val="000000" w:themeColor="text1"/>
          <w:kern w:val="0"/>
          <w:sz w:val="24"/>
          <w:szCs w:val="24"/>
          <w:lang w:bidi="ar"/>
        </w:rPr>
        <w:t>ΔE</w:t>
      </w:r>
      <w:r w:rsidRPr="002657D1">
        <w:rPr>
          <w:rFonts w:ascii="Times New Roman" w:eastAsia="宋体" w:hAnsi="Times New Roman" w:cs="Times New Roman"/>
          <w:color w:val="000000" w:themeColor="text1"/>
          <w:kern w:val="0"/>
          <w:sz w:val="24"/>
          <w:szCs w:val="24"/>
          <w:vertAlign w:val="subscript"/>
          <w:lang w:bidi="ar"/>
        </w:rPr>
        <w:t>0</w:t>
      </w:r>
      <w:r w:rsidRPr="002657D1">
        <w:rPr>
          <w:rFonts w:ascii="Times New Roman" w:eastAsia="宋体" w:hAnsi="Times New Roman" w:cs="Times New Roman"/>
          <w:color w:val="000000" w:themeColor="text1"/>
          <w:kern w:val="0"/>
          <w:sz w:val="24"/>
          <w:szCs w:val="24"/>
          <w:lang w:bidi="ar"/>
        </w:rPr>
        <w:t xml:space="preserve">, inner potential correction to account for the difference in the inner potential between the sample and the reference compound; </w:t>
      </w:r>
      <w:r w:rsidRPr="002657D1">
        <w:rPr>
          <w:rFonts w:ascii="Times New Roman" w:eastAsia="宋体" w:hAnsi="Times New Roman" w:cs="Times New Roman"/>
          <w:i/>
          <w:color w:val="000000" w:themeColor="text1"/>
          <w:kern w:val="0"/>
          <w:sz w:val="24"/>
          <w:szCs w:val="24"/>
          <w:lang w:bidi="ar"/>
        </w:rPr>
        <w:t xml:space="preserve">R </w:t>
      </w:r>
      <w:r w:rsidRPr="002657D1">
        <w:rPr>
          <w:rFonts w:ascii="Times New Roman" w:eastAsia="宋体" w:hAnsi="Times New Roman" w:cs="Times New Roman"/>
          <w:color w:val="000000" w:themeColor="text1"/>
          <w:kern w:val="0"/>
          <w:sz w:val="24"/>
          <w:szCs w:val="24"/>
          <w:lang w:bidi="ar"/>
        </w:rPr>
        <w:t xml:space="preserve">factor indicates the goodness of the fit. </w:t>
      </w:r>
      <w:r w:rsidRPr="002657D1">
        <w:rPr>
          <w:rFonts w:ascii="Times New Roman" w:eastAsia="宋体" w:hAnsi="Times New Roman" w:cs="Times New Roman"/>
          <w:i/>
          <w:color w:val="000000" w:themeColor="text1"/>
          <w:kern w:val="0"/>
          <w:sz w:val="24"/>
          <w:szCs w:val="24"/>
          <w:lang w:bidi="ar"/>
        </w:rPr>
        <w:t>S</w:t>
      </w:r>
      <w:r w:rsidRPr="002657D1">
        <w:rPr>
          <w:rFonts w:ascii="Times New Roman" w:eastAsia="宋体" w:hAnsi="Times New Roman" w:cs="Times New Roman"/>
          <w:color w:val="000000" w:themeColor="text1"/>
          <w:kern w:val="0"/>
          <w:sz w:val="24"/>
          <w:szCs w:val="24"/>
          <w:vertAlign w:val="subscript"/>
          <w:lang w:bidi="ar"/>
        </w:rPr>
        <w:t>0</w:t>
      </w:r>
      <w:r w:rsidRPr="002657D1">
        <w:rPr>
          <w:rFonts w:ascii="Times New Roman" w:eastAsia="宋体" w:hAnsi="Times New Roman" w:cs="Times New Roman"/>
          <w:color w:val="000000" w:themeColor="text1"/>
          <w:kern w:val="0"/>
          <w:sz w:val="24"/>
          <w:szCs w:val="24"/>
          <w:vertAlign w:val="superscript"/>
          <w:lang w:bidi="ar"/>
        </w:rPr>
        <w:t>2</w:t>
      </w:r>
      <w:r w:rsidRPr="002657D1">
        <w:rPr>
          <w:rFonts w:ascii="Times New Roman" w:eastAsia="宋体" w:hAnsi="Times New Roman" w:cs="Times New Roman"/>
          <w:color w:val="000000" w:themeColor="text1"/>
          <w:kern w:val="0"/>
          <w:sz w:val="24"/>
          <w:szCs w:val="24"/>
          <w:lang w:bidi="ar"/>
        </w:rPr>
        <w:t xml:space="preserve"> was fixed to 0.896, </w:t>
      </w:r>
      <w:r w:rsidRPr="002657D1">
        <w:rPr>
          <w:rFonts w:ascii="Times New Roman" w:eastAsia="宋体" w:hAnsi="Times New Roman" w:cs="Times New Roman"/>
          <w:color w:val="000000" w:themeColor="text1"/>
          <w:sz w:val="24"/>
          <w:szCs w:val="28"/>
        </w:rPr>
        <w:t xml:space="preserve">according to the experimental EXAFS fit of </w:t>
      </w:r>
      <w:r w:rsidRPr="002657D1">
        <w:rPr>
          <w:rFonts w:ascii="Times New Roman" w:eastAsia="宋体" w:hAnsi="Times New Roman" w:cs="Times New Roman"/>
          <w:color w:val="000000" w:themeColor="text1"/>
          <w:sz w:val="24"/>
          <w:szCs w:val="24"/>
        </w:rPr>
        <w:t>Zr</w:t>
      </w:r>
      <w:r w:rsidRPr="002657D1">
        <w:rPr>
          <w:rFonts w:ascii="Times New Roman" w:eastAsia="宋体" w:hAnsi="Times New Roman" w:cs="Times New Roman"/>
          <w:color w:val="000000" w:themeColor="text1"/>
          <w:sz w:val="24"/>
          <w:szCs w:val="24"/>
          <w:lang w:val="fr-FR"/>
        </w:rPr>
        <w:t xml:space="preserve"> foil b</w:t>
      </w:r>
      <w:r w:rsidRPr="002657D1">
        <w:rPr>
          <w:rFonts w:ascii="Times New Roman" w:eastAsia="宋体" w:hAnsi="Times New Roman" w:cs="Times New Roman"/>
          <w:color w:val="000000" w:themeColor="text1"/>
          <w:sz w:val="24"/>
          <w:szCs w:val="28"/>
        </w:rPr>
        <w:t xml:space="preserve">y fixing </w:t>
      </w:r>
      <w:r w:rsidRPr="002657D1">
        <w:rPr>
          <w:rFonts w:ascii="Times New Roman" w:eastAsia="宋体" w:hAnsi="Times New Roman" w:cs="Times New Roman"/>
          <w:i/>
          <w:iCs/>
          <w:color w:val="000000" w:themeColor="text1"/>
          <w:sz w:val="24"/>
          <w:szCs w:val="28"/>
        </w:rPr>
        <w:t>CN</w:t>
      </w:r>
      <w:r w:rsidRPr="002657D1">
        <w:rPr>
          <w:rFonts w:ascii="Times New Roman" w:eastAsia="宋体" w:hAnsi="Times New Roman" w:cs="Times New Roman"/>
          <w:color w:val="000000" w:themeColor="text1"/>
          <w:sz w:val="24"/>
          <w:szCs w:val="28"/>
        </w:rPr>
        <w:t xml:space="preserve"> as the known crystallographic value</w:t>
      </w:r>
      <w:r w:rsidRPr="002657D1">
        <w:rPr>
          <w:rFonts w:ascii="Times New Roman" w:eastAsia="宋体" w:hAnsi="Times New Roman" w:cs="Times New Roman"/>
          <w:color w:val="000000" w:themeColor="text1"/>
          <w:kern w:val="0"/>
          <w:sz w:val="24"/>
          <w:szCs w:val="24"/>
          <w:lang w:bidi="ar"/>
        </w:rPr>
        <w:t xml:space="preserve">. * This value was fixed during EXAFS fitting, based on the known structure of Zr. Fitting conditions: </w:t>
      </w:r>
      <w:r w:rsidRPr="002657D1">
        <w:rPr>
          <w:rFonts w:ascii="Times New Roman" w:eastAsia="宋体" w:hAnsi="Times New Roman" w:cs="Times New Roman"/>
          <w:i/>
          <w:iCs/>
          <w:color w:val="000000" w:themeColor="text1"/>
          <w:sz w:val="24"/>
          <w:szCs w:val="28"/>
        </w:rPr>
        <w:t>k</w:t>
      </w:r>
      <w:r w:rsidRPr="002657D1">
        <w:rPr>
          <w:rFonts w:ascii="Times New Roman" w:eastAsia="宋体" w:hAnsi="Times New Roman" w:cs="Times New Roman"/>
          <w:color w:val="000000" w:themeColor="text1"/>
          <w:sz w:val="24"/>
          <w:szCs w:val="28"/>
        </w:rPr>
        <w:t xml:space="preserve"> range</w:t>
      </w:r>
      <w:r w:rsidR="002657D1">
        <w:rPr>
          <w:rFonts w:ascii="Times New Roman" w:eastAsia="宋体" w:hAnsi="Times New Roman" w:cs="Times New Roman" w:hint="eastAsia"/>
          <w:color w:val="000000" w:themeColor="text1"/>
          <w:sz w:val="24"/>
          <w:szCs w:val="28"/>
        </w:rPr>
        <w:t xml:space="preserve">: </w:t>
      </w:r>
      <w:r w:rsidRPr="002657D1">
        <w:rPr>
          <w:rFonts w:ascii="Times New Roman" w:eastAsia="宋体" w:hAnsi="Times New Roman" w:cs="Times New Roman"/>
          <w:color w:val="000000" w:themeColor="text1"/>
          <w:sz w:val="24"/>
          <w:szCs w:val="28"/>
        </w:rPr>
        <w:t xml:space="preserve">2.0-10.0; </w:t>
      </w:r>
      <w:r w:rsidRPr="002657D1">
        <w:rPr>
          <w:rFonts w:ascii="Times New Roman" w:eastAsia="宋体" w:hAnsi="Times New Roman" w:cs="Times New Roman"/>
          <w:i/>
          <w:iCs/>
          <w:color w:val="000000" w:themeColor="text1"/>
          <w:sz w:val="24"/>
          <w:szCs w:val="28"/>
        </w:rPr>
        <w:t>R</w:t>
      </w:r>
      <w:r w:rsidRPr="002657D1">
        <w:rPr>
          <w:rFonts w:ascii="Times New Roman" w:eastAsia="宋体" w:hAnsi="Times New Roman" w:cs="Times New Roman"/>
          <w:color w:val="000000" w:themeColor="text1"/>
          <w:sz w:val="24"/>
          <w:szCs w:val="28"/>
        </w:rPr>
        <w:t xml:space="preserve"> range: 1.1-2.3; fitting space: R space; </w:t>
      </w:r>
      <w:r w:rsidRPr="002657D1">
        <w:rPr>
          <w:rFonts w:ascii="Times New Roman" w:eastAsia="宋体" w:hAnsi="Times New Roman" w:cs="Times New Roman"/>
          <w:i/>
          <w:iCs/>
          <w:color w:val="000000" w:themeColor="text1"/>
          <w:sz w:val="24"/>
          <w:szCs w:val="28"/>
        </w:rPr>
        <w:t>k</w:t>
      </w:r>
      <w:r w:rsidRPr="002657D1">
        <w:rPr>
          <w:rFonts w:ascii="Times New Roman" w:eastAsia="宋体" w:hAnsi="Times New Roman" w:cs="Times New Roman"/>
          <w:color w:val="000000" w:themeColor="text1"/>
          <w:sz w:val="24"/>
          <w:szCs w:val="28"/>
        </w:rPr>
        <w:t>-weight = 3.</w:t>
      </w:r>
      <w:r w:rsidRPr="002657D1">
        <w:rPr>
          <w:rFonts w:ascii="Times New Roman" w:eastAsia="宋体" w:hAnsi="Times New Roman" w:cs="Times New Roman"/>
          <w:color w:val="000000" w:themeColor="text1"/>
          <w:kern w:val="0"/>
          <w:sz w:val="24"/>
          <w:szCs w:val="24"/>
          <w:lang w:bidi="ar"/>
        </w:rPr>
        <w:t xml:space="preserve"> A reasonable range of EXAFS fitting parameters: 0.800 &lt; </w:t>
      </w:r>
      <w:r w:rsidRPr="002657D1">
        <w:rPr>
          <w:rFonts w:ascii="Times New Roman" w:eastAsia="宋体" w:hAnsi="Times New Roman" w:cs="Times New Roman"/>
          <w:i/>
          <w:color w:val="000000" w:themeColor="text1"/>
          <w:sz w:val="24"/>
          <w:szCs w:val="28"/>
        </w:rPr>
        <w:t>Ѕ</w:t>
      </w:r>
      <w:r w:rsidRPr="002657D1">
        <w:rPr>
          <w:rFonts w:ascii="Times New Roman" w:eastAsia="宋体" w:hAnsi="Times New Roman" w:cs="Times New Roman"/>
          <w:color w:val="000000" w:themeColor="text1"/>
          <w:sz w:val="24"/>
          <w:szCs w:val="28"/>
          <w:vertAlign w:val="subscript"/>
        </w:rPr>
        <w:t>0</w:t>
      </w:r>
      <w:r w:rsidRPr="002657D1">
        <w:rPr>
          <w:rFonts w:ascii="Times New Roman" w:eastAsia="宋体" w:hAnsi="Times New Roman" w:cs="Times New Roman"/>
          <w:color w:val="000000" w:themeColor="text1"/>
          <w:sz w:val="24"/>
          <w:szCs w:val="28"/>
          <w:vertAlign w:val="superscript"/>
        </w:rPr>
        <w:t>2</w:t>
      </w:r>
      <w:r w:rsidRPr="002657D1">
        <w:rPr>
          <w:rFonts w:ascii="Times New Roman" w:eastAsia="宋体" w:hAnsi="Times New Roman" w:cs="Times New Roman"/>
          <w:color w:val="000000" w:themeColor="text1"/>
          <w:sz w:val="24"/>
          <w:szCs w:val="28"/>
        </w:rPr>
        <w:t xml:space="preserve"> &lt; 1.000; </w:t>
      </w:r>
      <w:r w:rsidRPr="002657D1">
        <w:rPr>
          <w:rFonts w:ascii="Times New Roman" w:eastAsia="宋体" w:hAnsi="Times New Roman" w:cs="Times New Roman"/>
          <w:i/>
          <w:color w:val="000000" w:themeColor="text1"/>
          <w:sz w:val="24"/>
          <w:szCs w:val="24"/>
        </w:rPr>
        <w:t xml:space="preserve">CN &gt; </w:t>
      </w:r>
      <w:r w:rsidRPr="002657D1">
        <w:rPr>
          <w:rFonts w:ascii="Times New Roman" w:eastAsia="宋体" w:hAnsi="Times New Roman" w:cs="Times New Roman"/>
          <w:iCs/>
          <w:color w:val="000000" w:themeColor="text1"/>
          <w:sz w:val="24"/>
          <w:szCs w:val="24"/>
        </w:rPr>
        <w:t xml:space="preserve">0; </w:t>
      </w:r>
      <w:r w:rsidRPr="002657D1">
        <w:rPr>
          <w:rFonts w:ascii="Times New Roman" w:eastAsia="宋体" w:hAnsi="Times New Roman" w:cs="Times New Roman"/>
          <w:i/>
          <w:color w:val="000000" w:themeColor="text1"/>
          <w:sz w:val="24"/>
          <w:szCs w:val="24"/>
          <w:lang w:eastAsia="en-US"/>
        </w:rPr>
        <w:t>σ</w:t>
      </w:r>
      <w:r w:rsidRPr="002657D1">
        <w:rPr>
          <w:rFonts w:ascii="Times New Roman" w:eastAsia="宋体" w:hAnsi="Times New Roman" w:cs="Times New Roman"/>
          <w:color w:val="000000" w:themeColor="text1"/>
          <w:sz w:val="24"/>
          <w:szCs w:val="24"/>
          <w:vertAlign w:val="superscript"/>
          <w:lang w:eastAsia="en-US"/>
        </w:rPr>
        <w:t>2</w:t>
      </w:r>
      <w:r w:rsidRPr="002657D1">
        <w:rPr>
          <w:rFonts w:ascii="Times New Roman" w:eastAsia="宋体" w:hAnsi="Times New Roman" w:cs="Times New Roman"/>
          <w:color w:val="000000" w:themeColor="text1"/>
          <w:sz w:val="24"/>
          <w:szCs w:val="24"/>
          <w:vertAlign w:val="superscript"/>
        </w:rPr>
        <w:t xml:space="preserve"> </w:t>
      </w:r>
      <w:r w:rsidRPr="002657D1">
        <w:rPr>
          <w:rFonts w:ascii="Times New Roman" w:eastAsia="宋体" w:hAnsi="Times New Roman" w:cs="Times New Roman"/>
          <w:color w:val="000000" w:themeColor="text1"/>
          <w:sz w:val="24"/>
          <w:szCs w:val="24"/>
        </w:rPr>
        <w:t xml:space="preserve">&gt; 0 </w:t>
      </w:r>
      <w:r w:rsidRPr="002657D1">
        <w:rPr>
          <w:rFonts w:ascii="Times New Roman" w:eastAsia="宋体" w:hAnsi="Times New Roman" w:cs="Times New Roman"/>
          <w:color w:val="000000" w:themeColor="text1"/>
          <w:sz w:val="24"/>
          <w:szCs w:val="24"/>
          <w:lang w:eastAsia="en-US"/>
        </w:rPr>
        <w:t>Å</w:t>
      </w:r>
      <w:r w:rsidRPr="002657D1">
        <w:rPr>
          <w:rFonts w:ascii="Times New Roman" w:eastAsia="宋体" w:hAnsi="Times New Roman" w:cs="Times New Roman"/>
          <w:color w:val="000000" w:themeColor="text1"/>
          <w:sz w:val="24"/>
          <w:szCs w:val="24"/>
          <w:vertAlign w:val="superscript"/>
          <w:lang w:eastAsia="en-US"/>
        </w:rPr>
        <w:t>2</w:t>
      </w:r>
      <w:r w:rsidRPr="002657D1">
        <w:rPr>
          <w:rFonts w:ascii="Times New Roman" w:eastAsia="宋体" w:hAnsi="Times New Roman" w:cs="Times New Roman"/>
          <w:color w:val="000000" w:themeColor="text1"/>
          <w:sz w:val="24"/>
          <w:szCs w:val="24"/>
        </w:rPr>
        <w:t>; |</w:t>
      </w:r>
      <w:r w:rsidRPr="002657D1">
        <w:rPr>
          <w:rFonts w:ascii="Times New Roman" w:eastAsia="宋体" w:hAnsi="Times New Roman" w:cs="Times New Roman"/>
          <w:color w:val="000000" w:themeColor="text1"/>
          <w:sz w:val="24"/>
          <w:szCs w:val="24"/>
          <w:lang w:eastAsia="en-US"/>
        </w:rPr>
        <w:t>Δ</w:t>
      </w:r>
      <w:r w:rsidRPr="002657D1">
        <w:rPr>
          <w:rFonts w:ascii="Times New Roman" w:eastAsia="宋体" w:hAnsi="Times New Roman" w:cs="Times New Roman"/>
          <w:i/>
          <w:color w:val="000000" w:themeColor="text1"/>
          <w:sz w:val="24"/>
          <w:szCs w:val="24"/>
          <w:lang w:eastAsia="en-US"/>
        </w:rPr>
        <w:t>E</w:t>
      </w:r>
      <w:r w:rsidRPr="002657D1">
        <w:rPr>
          <w:rFonts w:ascii="Times New Roman" w:eastAsia="宋体" w:hAnsi="Times New Roman" w:cs="Times New Roman"/>
          <w:color w:val="000000" w:themeColor="text1"/>
          <w:sz w:val="24"/>
          <w:szCs w:val="24"/>
          <w:vertAlign w:val="subscript"/>
          <w:lang w:eastAsia="en-US"/>
        </w:rPr>
        <w:t>0</w:t>
      </w:r>
      <w:r w:rsidRPr="002657D1">
        <w:rPr>
          <w:rFonts w:ascii="Times New Roman" w:eastAsia="宋体" w:hAnsi="Times New Roman" w:cs="Times New Roman"/>
          <w:color w:val="000000" w:themeColor="text1"/>
          <w:sz w:val="24"/>
          <w:szCs w:val="24"/>
        </w:rPr>
        <w:t xml:space="preserve">| &lt; 15 eV; </w:t>
      </w:r>
      <w:r w:rsidRPr="002657D1">
        <w:rPr>
          <w:rFonts w:ascii="Times New Roman" w:eastAsia="宋体" w:hAnsi="Times New Roman" w:cs="Times New Roman"/>
          <w:i/>
          <w:color w:val="000000" w:themeColor="text1"/>
          <w:sz w:val="24"/>
          <w:szCs w:val="24"/>
        </w:rPr>
        <w:t>R</w:t>
      </w:r>
      <w:r w:rsidRPr="002657D1">
        <w:rPr>
          <w:rFonts w:ascii="Times New Roman" w:eastAsia="宋体" w:hAnsi="Times New Roman" w:cs="Times New Roman"/>
          <w:color w:val="000000" w:themeColor="text1"/>
          <w:sz w:val="24"/>
          <w:szCs w:val="24"/>
        </w:rPr>
        <w:t xml:space="preserve"> factor &lt; 0.02.</w:t>
      </w:r>
    </w:p>
    <w:p w14:paraId="11E05817" w14:textId="42BF12B5" w:rsidR="00C91068" w:rsidRPr="002657D1" w:rsidRDefault="00C91068" w:rsidP="00DE3A76">
      <w:pPr>
        <w:widowControl/>
        <w:spacing w:before="120" w:afterLines="50" w:after="156" w:line="360" w:lineRule="auto"/>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lastRenderedPageBreak/>
        <w:t>Supplementary Table 6.</w:t>
      </w:r>
      <w:r w:rsidRPr="002657D1">
        <w:rPr>
          <w:rFonts w:ascii="Times New Roman" w:hAnsi="Times New Roman" w:cs="Times New Roman"/>
          <w:color w:val="000000" w:themeColor="text1"/>
          <w:sz w:val="24"/>
          <w:szCs w:val="24"/>
        </w:rPr>
        <w:t xml:space="preserve"> </w:t>
      </w:r>
      <w:r w:rsidR="00453A6E" w:rsidRPr="002657D1">
        <w:rPr>
          <w:rFonts w:ascii="Times New Roman" w:hAnsi="Times New Roman" w:cs="Times New Roman"/>
          <w:color w:val="000000" w:themeColor="text1"/>
          <w:sz w:val="24"/>
          <w:szCs w:val="24"/>
        </w:rPr>
        <w:t xml:space="preserve">Performance comparison of </w:t>
      </w:r>
      <w:r w:rsidR="00AF3BB2" w:rsidRPr="002657D1">
        <w:rPr>
          <w:rFonts w:ascii="Times New Roman" w:hAnsi="Times New Roman" w:cs="Times New Roman"/>
          <w:color w:val="000000" w:themeColor="text1"/>
          <w:sz w:val="24"/>
          <w:szCs w:val="24"/>
        </w:rPr>
        <w:t xml:space="preserve">Li </w:t>
      </w:r>
      <w:r w:rsidR="00453A6E" w:rsidRPr="002657D1">
        <w:rPr>
          <w:rFonts w:ascii="Times New Roman" w:hAnsi="Times New Roman" w:cs="Times New Roman"/>
          <w:color w:val="000000" w:themeColor="text1"/>
          <w:sz w:val="24"/>
          <w:szCs w:val="24"/>
        </w:rPr>
        <w:t>symmetric cells with HSEs</w:t>
      </w:r>
      <w:r w:rsidR="002C52D1" w:rsidRPr="002657D1">
        <w:rPr>
          <w:rFonts w:ascii="Times New Roman" w:hAnsi="Times New Roman" w:cs="Times New Roman"/>
          <w:color w:val="000000" w:themeColor="text1"/>
          <w:sz w:val="24"/>
          <w:szCs w:val="24"/>
        </w:rPr>
        <w:t>.</w:t>
      </w:r>
    </w:p>
    <w:tbl>
      <w:tblPr>
        <w:tblStyle w:val="af7"/>
        <w:tblW w:w="12049" w:type="dxa"/>
        <w:jc w:val="center"/>
        <w:tblLayout w:type="fixed"/>
        <w:tblLook w:val="04A0" w:firstRow="1" w:lastRow="0" w:firstColumn="1" w:lastColumn="0" w:noHBand="0" w:noVBand="1"/>
      </w:tblPr>
      <w:tblGrid>
        <w:gridCol w:w="2943"/>
        <w:gridCol w:w="1310"/>
        <w:gridCol w:w="1701"/>
        <w:gridCol w:w="1276"/>
        <w:gridCol w:w="1842"/>
        <w:gridCol w:w="1701"/>
        <w:gridCol w:w="1276"/>
      </w:tblGrid>
      <w:tr w:rsidR="002657D1" w:rsidRPr="002657D1" w14:paraId="55ECD943" w14:textId="77777777" w:rsidTr="009C3A29">
        <w:trPr>
          <w:jc w:val="center"/>
        </w:trPr>
        <w:tc>
          <w:tcPr>
            <w:tcW w:w="2943" w:type="dxa"/>
            <w:tcBorders>
              <w:top w:val="single" w:sz="12" w:space="0" w:color="auto"/>
              <w:left w:val="nil"/>
              <w:bottom w:val="single" w:sz="12" w:space="0" w:color="auto"/>
              <w:right w:val="nil"/>
            </w:tcBorders>
            <w:vAlign w:val="center"/>
          </w:tcPr>
          <w:p w14:paraId="3D98EAC1" w14:textId="0AF14217" w:rsidR="00F7477F" w:rsidRPr="002657D1" w:rsidRDefault="00F7477F" w:rsidP="004C269A">
            <w:pPr>
              <w:pStyle w:val="ac"/>
              <w:spacing w:before="0" w:beforeAutospacing="0" w:after="0" w:afterAutospacing="0" w:line="360" w:lineRule="auto"/>
              <w:jc w:val="center"/>
              <w:rPr>
                <w:rFonts w:ascii="Times New Roman" w:hAnsi="Times New Roman" w:cs="Times New Roman"/>
                <w:color w:val="000000" w:themeColor="text1"/>
              </w:rPr>
            </w:pPr>
            <w:r w:rsidRPr="002657D1">
              <w:rPr>
                <w:rFonts w:ascii="Times New Roman" w:hAnsi="Times New Roman" w:cs="Times New Roman"/>
                <w:color w:val="000000" w:themeColor="text1"/>
                <w:kern w:val="18"/>
              </w:rPr>
              <w:t>Cell structure</w:t>
            </w:r>
          </w:p>
        </w:tc>
        <w:tc>
          <w:tcPr>
            <w:tcW w:w="1310" w:type="dxa"/>
            <w:tcBorders>
              <w:top w:val="single" w:sz="12" w:space="0" w:color="auto"/>
              <w:left w:val="nil"/>
              <w:bottom w:val="single" w:sz="12" w:space="0" w:color="auto"/>
              <w:right w:val="nil"/>
            </w:tcBorders>
            <w:vAlign w:val="center"/>
          </w:tcPr>
          <w:p w14:paraId="2E72C542" w14:textId="40306934" w:rsidR="00F7477F" w:rsidRPr="002657D1" w:rsidRDefault="00F7477F" w:rsidP="004C269A">
            <w:pPr>
              <w:widowControl/>
              <w:spacing w:line="360" w:lineRule="auto"/>
              <w:jc w:val="center"/>
              <w:rPr>
                <w:rFonts w:ascii="Times New Roman" w:hAnsi="Times New Roman" w:cs="Times New Roman"/>
                <w:color w:val="000000" w:themeColor="text1"/>
                <w:sz w:val="24"/>
                <w:szCs w:val="24"/>
              </w:rPr>
            </w:pPr>
            <w:r w:rsidRPr="002657D1">
              <w:rPr>
                <w:rFonts w:ascii="Times New Roman" w:eastAsia="宋体" w:hAnsi="Times New Roman" w:cs="Times New Roman"/>
                <w:color w:val="000000" w:themeColor="text1"/>
                <w:kern w:val="18"/>
                <w:sz w:val="24"/>
                <w:szCs w:val="24"/>
              </w:rPr>
              <w:t>Current</w:t>
            </w:r>
            <w:r w:rsidRPr="002657D1">
              <w:rPr>
                <w:rFonts w:ascii="Times New Roman" w:eastAsia="宋体" w:hAnsi="Times New Roman" w:cs="Times New Roman"/>
                <w:color w:val="000000" w:themeColor="text1"/>
                <w:kern w:val="0"/>
                <w:sz w:val="24"/>
                <w:szCs w:val="24"/>
              </w:rPr>
              <w:t xml:space="preserve"> </w:t>
            </w:r>
            <w:r w:rsidRPr="002657D1">
              <w:rPr>
                <w:rFonts w:ascii="Times New Roman" w:eastAsia="MS Mincho" w:hAnsi="Times New Roman" w:cs="Times New Roman"/>
                <w:color w:val="000000" w:themeColor="text1"/>
                <w:kern w:val="18"/>
                <w:sz w:val="24"/>
                <w:szCs w:val="24"/>
              </w:rPr>
              <w:t>density (mA cm</w:t>
            </w:r>
            <w:bookmarkStart w:id="102" w:name="OLE_LINK61"/>
            <w:r w:rsidRPr="002657D1">
              <w:rPr>
                <w:rFonts w:ascii="Times New Roman" w:hAnsi="Times New Roman" w:cs="Times New Roman"/>
                <w:color w:val="000000" w:themeColor="text1"/>
                <w:kern w:val="24"/>
                <w:sz w:val="24"/>
                <w:szCs w:val="24"/>
                <w:vertAlign w:val="superscript"/>
              </w:rPr>
              <w:t>−</w:t>
            </w:r>
            <w:r w:rsidRPr="002657D1">
              <w:rPr>
                <w:rFonts w:ascii="Times New Roman" w:hAnsi="Times New Roman" w:cs="Times New Roman"/>
                <w:color w:val="000000" w:themeColor="text1"/>
                <w:kern w:val="18"/>
                <w:sz w:val="24"/>
                <w:szCs w:val="24"/>
                <w:vertAlign w:val="superscript"/>
              </w:rPr>
              <w:t>2</w:t>
            </w:r>
            <w:bookmarkEnd w:id="102"/>
            <w:r w:rsidRPr="002657D1">
              <w:rPr>
                <w:rFonts w:ascii="Times New Roman" w:eastAsia="MS Mincho" w:hAnsi="Times New Roman" w:cs="Times New Roman"/>
                <w:color w:val="000000" w:themeColor="text1"/>
                <w:kern w:val="18"/>
                <w:sz w:val="24"/>
                <w:szCs w:val="24"/>
              </w:rPr>
              <w:t>)</w:t>
            </w:r>
          </w:p>
        </w:tc>
        <w:tc>
          <w:tcPr>
            <w:tcW w:w="1701" w:type="dxa"/>
            <w:tcBorders>
              <w:top w:val="single" w:sz="12" w:space="0" w:color="auto"/>
              <w:left w:val="nil"/>
              <w:bottom w:val="single" w:sz="12" w:space="0" w:color="auto"/>
              <w:right w:val="nil"/>
            </w:tcBorders>
            <w:vAlign w:val="center"/>
          </w:tcPr>
          <w:p w14:paraId="2D9D3217" w14:textId="77777777" w:rsidR="005219E0" w:rsidRPr="002657D1" w:rsidRDefault="00F7477F" w:rsidP="004C269A">
            <w:pPr>
              <w:widowControl/>
              <w:spacing w:line="360" w:lineRule="auto"/>
              <w:jc w:val="center"/>
              <w:rPr>
                <w:rFonts w:ascii="Times New Roman" w:hAnsi="Times New Roman" w:cs="Times New Roman"/>
                <w:color w:val="000000" w:themeColor="text1"/>
                <w:kern w:val="18"/>
                <w:sz w:val="24"/>
                <w:szCs w:val="24"/>
              </w:rPr>
            </w:pPr>
            <w:r w:rsidRPr="002657D1">
              <w:rPr>
                <w:rFonts w:ascii="Times New Roman" w:hAnsi="Times New Roman" w:cs="Times New Roman"/>
                <w:color w:val="000000" w:themeColor="text1"/>
                <w:kern w:val="18"/>
                <w:sz w:val="24"/>
                <w:szCs w:val="24"/>
              </w:rPr>
              <w:t>C</w:t>
            </w:r>
            <w:r w:rsidRPr="002657D1">
              <w:rPr>
                <w:rFonts w:ascii="Times New Roman" w:eastAsia="MS Mincho" w:hAnsi="Times New Roman" w:cs="Times New Roman"/>
                <w:color w:val="000000" w:themeColor="text1"/>
                <w:kern w:val="18"/>
                <w:sz w:val="24"/>
                <w:szCs w:val="24"/>
              </w:rPr>
              <w:t>apacity</w:t>
            </w:r>
            <w:r w:rsidRPr="002657D1">
              <w:rPr>
                <w:rFonts w:ascii="Times New Roman" w:hAnsi="Times New Roman" w:cs="Times New Roman"/>
                <w:color w:val="000000" w:themeColor="text1"/>
                <w:kern w:val="18"/>
                <w:sz w:val="24"/>
                <w:szCs w:val="24"/>
              </w:rPr>
              <w:t xml:space="preserve"> </w:t>
            </w:r>
          </w:p>
          <w:p w14:paraId="040631F9" w14:textId="489F9829" w:rsidR="00F7477F" w:rsidRPr="002657D1" w:rsidRDefault="00F7477F" w:rsidP="004C269A">
            <w:pPr>
              <w:widowControl/>
              <w:spacing w:line="360" w:lineRule="auto"/>
              <w:jc w:val="center"/>
              <w:rPr>
                <w:rFonts w:ascii="Times New Roman" w:hAnsi="Times New Roman" w:cs="Times New Roman"/>
                <w:color w:val="000000" w:themeColor="text1"/>
                <w:sz w:val="24"/>
                <w:szCs w:val="24"/>
              </w:rPr>
            </w:pPr>
            <w:r w:rsidRPr="002657D1">
              <w:rPr>
                <w:rFonts w:ascii="Times New Roman" w:eastAsia="MS Mincho" w:hAnsi="Times New Roman" w:cs="Times New Roman"/>
                <w:color w:val="000000" w:themeColor="text1"/>
                <w:kern w:val="18"/>
                <w:sz w:val="24"/>
                <w:szCs w:val="24"/>
              </w:rPr>
              <w:t>(mAh cm</w:t>
            </w:r>
            <w:r w:rsidRPr="002657D1">
              <w:rPr>
                <w:rFonts w:ascii="Times New Roman" w:hAnsi="Times New Roman" w:cs="Times New Roman"/>
                <w:color w:val="000000" w:themeColor="text1"/>
                <w:kern w:val="24"/>
                <w:sz w:val="24"/>
                <w:szCs w:val="24"/>
                <w:vertAlign w:val="superscript"/>
              </w:rPr>
              <w:t>−</w:t>
            </w:r>
            <w:r w:rsidRPr="002657D1">
              <w:rPr>
                <w:rFonts w:ascii="Times New Roman" w:hAnsi="Times New Roman" w:cs="Times New Roman"/>
                <w:color w:val="000000" w:themeColor="text1"/>
                <w:kern w:val="18"/>
                <w:sz w:val="24"/>
                <w:szCs w:val="24"/>
                <w:vertAlign w:val="superscript"/>
              </w:rPr>
              <w:t>2</w:t>
            </w:r>
            <w:r w:rsidRPr="002657D1">
              <w:rPr>
                <w:rFonts w:ascii="Times New Roman" w:eastAsia="MS Mincho" w:hAnsi="Times New Roman" w:cs="Times New Roman"/>
                <w:color w:val="000000" w:themeColor="text1"/>
                <w:kern w:val="18"/>
                <w:sz w:val="24"/>
                <w:szCs w:val="24"/>
              </w:rPr>
              <w:t>)</w:t>
            </w:r>
          </w:p>
        </w:tc>
        <w:tc>
          <w:tcPr>
            <w:tcW w:w="1276" w:type="dxa"/>
            <w:tcBorders>
              <w:top w:val="single" w:sz="12" w:space="0" w:color="auto"/>
              <w:left w:val="nil"/>
              <w:bottom w:val="single" w:sz="12" w:space="0" w:color="auto"/>
              <w:right w:val="nil"/>
            </w:tcBorders>
            <w:vAlign w:val="center"/>
          </w:tcPr>
          <w:p w14:paraId="7CB7CB62" w14:textId="7E68B2E3" w:rsidR="00F7477F" w:rsidRPr="002657D1" w:rsidRDefault="00F7477F" w:rsidP="004C269A">
            <w:pPr>
              <w:pStyle w:val="ac"/>
              <w:spacing w:before="0" w:beforeAutospacing="0" w:after="0" w:afterAutospacing="0" w:line="360" w:lineRule="auto"/>
              <w:jc w:val="center"/>
              <w:rPr>
                <w:rFonts w:ascii="Times New Roman" w:eastAsiaTheme="minorEastAsia" w:hAnsi="Times New Roman" w:cs="Times New Roman"/>
                <w:color w:val="000000" w:themeColor="text1"/>
              </w:rPr>
            </w:pPr>
            <w:r w:rsidRPr="002657D1">
              <w:rPr>
                <w:rFonts w:ascii="Times New Roman" w:hAnsi="Times New Roman" w:cs="Times New Roman"/>
                <w:color w:val="000000" w:themeColor="text1"/>
                <w:kern w:val="18"/>
              </w:rPr>
              <w:t>Number of</w:t>
            </w:r>
            <w:r w:rsidRPr="002657D1">
              <w:rPr>
                <w:rFonts w:ascii="Times New Roman" w:hAnsi="Times New Roman" w:cs="Times New Roman"/>
                <w:color w:val="000000" w:themeColor="text1"/>
              </w:rPr>
              <w:t xml:space="preserve"> </w:t>
            </w:r>
            <w:r w:rsidRPr="002657D1">
              <w:rPr>
                <w:rFonts w:ascii="Times New Roman" w:eastAsia="MS Mincho" w:hAnsi="Times New Roman" w:cs="Times New Roman"/>
                <w:color w:val="000000" w:themeColor="text1"/>
                <w:kern w:val="18"/>
              </w:rPr>
              <w:t>cycles</w:t>
            </w:r>
          </w:p>
        </w:tc>
        <w:tc>
          <w:tcPr>
            <w:tcW w:w="1842" w:type="dxa"/>
            <w:tcBorders>
              <w:top w:val="single" w:sz="12" w:space="0" w:color="auto"/>
              <w:left w:val="nil"/>
              <w:bottom w:val="single" w:sz="12" w:space="0" w:color="auto"/>
              <w:right w:val="nil"/>
            </w:tcBorders>
            <w:vAlign w:val="center"/>
          </w:tcPr>
          <w:p w14:paraId="1025F93F" w14:textId="1CB00140" w:rsidR="00F7477F" w:rsidRPr="002657D1" w:rsidRDefault="002D11D4" w:rsidP="00A03B76">
            <w:pPr>
              <w:widowControl/>
              <w:spacing w:line="360" w:lineRule="auto"/>
              <w:jc w:val="center"/>
              <w:rPr>
                <w:rFonts w:ascii="Times New Roman" w:hAnsi="Times New Roman" w:cs="Times New Roman"/>
                <w:color w:val="000000" w:themeColor="text1"/>
                <w:sz w:val="24"/>
                <w:szCs w:val="24"/>
              </w:rPr>
            </w:pPr>
            <w:bookmarkStart w:id="103" w:name="OLE_LINK33"/>
            <w:r w:rsidRPr="002657D1">
              <w:rPr>
                <w:rFonts w:ascii="Times New Roman" w:hAnsi="Times New Roman" w:cs="Times New Roman" w:hint="eastAsia"/>
                <w:color w:val="000000" w:themeColor="text1"/>
                <w:sz w:val="24"/>
                <w:szCs w:val="24"/>
              </w:rPr>
              <w:t xml:space="preserve">Cumulative </w:t>
            </w:r>
            <w:bookmarkStart w:id="104" w:name="OLE_LINK84"/>
            <w:r w:rsidRPr="002657D1">
              <w:rPr>
                <w:rFonts w:ascii="Times New Roman" w:hAnsi="Times New Roman" w:cs="Times New Roman" w:hint="eastAsia"/>
                <w:color w:val="000000" w:themeColor="text1"/>
                <w:sz w:val="24"/>
                <w:szCs w:val="24"/>
              </w:rPr>
              <w:t xml:space="preserve">plating </w:t>
            </w:r>
            <w:bookmarkEnd w:id="104"/>
            <w:r w:rsidRPr="002657D1">
              <w:rPr>
                <w:rFonts w:ascii="Times New Roman" w:hAnsi="Times New Roman" w:cs="Times New Roman" w:hint="eastAsia"/>
                <w:color w:val="000000" w:themeColor="text1"/>
                <w:sz w:val="24"/>
                <w:szCs w:val="24"/>
              </w:rPr>
              <w:t>capacity (mAh</w:t>
            </w:r>
            <w:r w:rsidR="00D20FBA" w:rsidRPr="002657D1">
              <w:rPr>
                <w:rFonts w:ascii="Times New Roman" w:hAnsi="Times New Roman" w:cs="Times New Roman" w:hint="eastAsia"/>
                <w:color w:val="000000" w:themeColor="text1"/>
                <w:sz w:val="24"/>
                <w:szCs w:val="24"/>
              </w:rPr>
              <w:t xml:space="preserve"> cm</w:t>
            </w:r>
            <w:r w:rsidR="00D20FBA" w:rsidRPr="002657D1">
              <w:rPr>
                <w:rFonts w:ascii="Times New Roman" w:hAnsi="Times New Roman" w:cs="Times New Roman"/>
                <w:color w:val="000000" w:themeColor="text1"/>
                <w:kern w:val="24"/>
                <w:sz w:val="24"/>
                <w:szCs w:val="24"/>
                <w:vertAlign w:val="superscript"/>
              </w:rPr>
              <w:t>−</w:t>
            </w:r>
            <w:r w:rsidR="00D20FBA" w:rsidRPr="002657D1">
              <w:rPr>
                <w:rFonts w:ascii="Times New Roman" w:hAnsi="Times New Roman" w:cs="Times New Roman"/>
                <w:color w:val="000000" w:themeColor="text1"/>
                <w:kern w:val="18"/>
                <w:sz w:val="24"/>
                <w:szCs w:val="24"/>
                <w:vertAlign w:val="superscript"/>
              </w:rPr>
              <w:t>2</w:t>
            </w:r>
            <w:r w:rsidRPr="002657D1">
              <w:rPr>
                <w:rFonts w:ascii="Times New Roman" w:hAnsi="Times New Roman" w:cs="Times New Roman" w:hint="eastAsia"/>
                <w:color w:val="000000" w:themeColor="text1"/>
                <w:sz w:val="24"/>
                <w:szCs w:val="24"/>
              </w:rPr>
              <w:t>)</w:t>
            </w:r>
            <w:bookmarkEnd w:id="103"/>
          </w:p>
        </w:tc>
        <w:tc>
          <w:tcPr>
            <w:tcW w:w="1701" w:type="dxa"/>
            <w:tcBorders>
              <w:top w:val="single" w:sz="12" w:space="0" w:color="auto"/>
              <w:left w:val="nil"/>
              <w:bottom w:val="single" w:sz="12" w:space="0" w:color="auto"/>
              <w:right w:val="nil"/>
            </w:tcBorders>
            <w:vAlign w:val="center"/>
          </w:tcPr>
          <w:p w14:paraId="32027C11" w14:textId="6B114236" w:rsidR="00F7477F" w:rsidRPr="002657D1" w:rsidRDefault="00F7477F" w:rsidP="00A03B76">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Test temperature (℃)</w:t>
            </w:r>
          </w:p>
        </w:tc>
        <w:tc>
          <w:tcPr>
            <w:tcW w:w="1276" w:type="dxa"/>
            <w:tcBorders>
              <w:top w:val="single" w:sz="12" w:space="0" w:color="auto"/>
              <w:left w:val="nil"/>
              <w:bottom w:val="single" w:sz="12" w:space="0" w:color="auto"/>
              <w:right w:val="nil"/>
            </w:tcBorders>
            <w:vAlign w:val="center"/>
          </w:tcPr>
          <w:p w14:paraId="245E6F9E" w14:textId="3676D97F" w:rsidR="00F7477F" w:rsidRPr="002657D1" w:rsidRDefault="00F7477F" w:rsidP="00A03B76">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Reference</w:t>
            </w:r>
          </w:p>
        </w:tc>
      </w:tr>
      <w:tr w:rsidR="002657D1" w:rsidRPr="002657D1" w14:paraId="34912941" w14:textId="77777777" w:rsidTr="009C3A29">
        <w:trPr>
          <w:jc w:val="center"/>
        </w:trPr>
        <w:tc>
          <w:tcPr>
            <w:tcW w:w="2943" w:type="dxa"/>
            <w:tcBorders>
              <w:left w:val="nil"/>
              <w:bottom w:val="nil"/>
              <w:right w:val="nil"/>
            </w:tcBorders>
            <w:vAlign w:val="center"/>
          </w:tcPr>
          <w:p w14:paraId="55A0D16A" w14:textId="064936B1" w:rsidR="00F7477F" w:rsidRPr="002657D1" w:rsidRDefault="005967A7" w:rsidP="00960574">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hint="eastAsia"/>
                <w:b/>
                <w:bCs/>
                <w:color w:val="000000" w:themeColor="text1"/>
                <w:sz w:val="24"/>
                <w:szCs w:val="24"/>
              </w:rPr>
              <w:t>Li/LZC-10TF/Li</w:t>
            </w:r>
          </w:p>
        </w:tc>
        <w:tc>
          <w:tcPr>
            <w:tcW w:w="1310" w:type="dxa"/>
            <w:tcBorders>
              <w:top w:val="nil"/>
              <w:left w:val="nil"/>
              <w:bottom w:val="nil"/>
              <w:right w:val="nil"/>
            </w:tcBorders>
            <w:vAlign w:val="center"/>
          </w:tcPr>
          <w:p w14:paraId="158EBA49" w14:textId="06009FE3" w:rsidR="00F7477F" w:rsidRPr="002657D1" w:rsidRDefault="00F7477F" w:rsidP="004E587E">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t>1</w:t>
            </w:r>
          </w:p>
        </w:tc>
        <w:tc>
          <w:tcPr>
            <w:tcW w:w="1701" w:type="dxa"/>
            <w:tcBorders>
              <w:top w:val="nil"/>
              <w:left w:val="nil"/>
              <w:bottom w:val="nil"/>
              <w:right w:val="nil"/>
            </w:tcBorders>
            <w:vAlign w:val="center"/>
          </w:tcPr>
          <w:p w14:paraId="1F8D2FC7" w14:textId="6102886D" w:rsidR="00F7477F" w:rsidRPr="002657D1" w:rsidRDefault="00F7477F" w:rsidP="004E587E">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t>1</w:t>
            </w:r>
          </w:p>
        </w:tc>
        <w:tc>
          <w:tcPr>
            <w:tcW w:w="1276" w:type="dxa"/>
            <w:tcBorders>
              <w:top w:val="single" w:sz="12" w:space="0" w:color="auto"/>
              <w:left w:val="nil"/>
              <w:bottom w:val="nil"/>
              <w:right w:val="nil"/>
            </w:tcBorders>
            <w:vAlign w:val="center"/>
          </w:tcPr>
          <w:p w14:paraId="066EB40C" w14:textId="38402E1A" w:rsidR="00F7477F" w:rsidRPr="002657D1" w:rsidRDefault="00F7477F" w:rsidP="004E587E">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hint="eastAsia"/>
                <w:b/>
                <w:bCs/>
                <w:color w:val="000000" w:themeColor="text1"/>
                <w:sz w:val="24"/>
                <w:szCs w:val="24"/>
              </w:rPr>
              <w:t>1</w:t>
            </w:r>
            <w:r w:rsidRPr="002657D1">
              <w:rPr>
                <w:rFonts w:ascii="Times New Roman" w:hAnsi="Times New Roman" w:cs="Times New Roman"/>
                <w:b/>
                <w:bCs/>
                <w:color w:val="000000" w:themeColor="text1"/>
                <w:sz w:val="24"/>
                <w:szCs w:val="24"/>
              </w:rPr>
              <w:t>000</w:t>
            </w:r>
          </w:p>
        </w:tc>
        <w:tc>
          <w:tcPr>
            <w:tcW w:w="1842" w:type="dxa"/>
            <w:tcBorders>
              <w:top w:val="single" w:sz="12" w:space="0" w:color="auto"/>
              <w:left w:val="nil"/>
              <w:bottom w:val="nil"/>
              <w:right w:val="nil"/>
            </w:tcBorders>
          </w:tcPr>
          <w:p w14:paraId="3A59C87E" w14:textId="5A61F3FB" w:rsidR="00F7477F" w:rsidRPr="002657D1" w:rsidRDefault="002D11D4" w:rsidP="004E587E">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hint="eastAsia"/>
                <w:b/>
                <w:bCs/>
                <w:color w:val="000000" w:themeColor="text1"/>
                <w:sz w:val="24"/>
                <w:szCs w:val="24"/>
              </w:rPr>
              <w:t>1000</w:t>
            </w:r>
          </w:p>
        </w:tc>
        <w:tc>
          <w:tcPr>
            <w:tcW w:w="1701" w:type="dxa"/>
            <w:tcBorders>
              <w:top w:val="single" w:sz="12" w:space="0" w:color="auto"/>
              <w:left w:val="nil"/>
              <w:bottom w:val="nil"/>
              <w:right w:val="nil"/>
            </w:tcBorders>
            <w:vAlign w:val="center"/>
          </w:tcPr>
          <w:p w14:paraId="5FFDE029" w14:textId="1BD7A175" w:rsidR="00F7477F" w:rsidRPr="002657D1" w:rsidRDefault="00F7477F" w:rsidP="004E587E">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t>25</w:t>
            </w:r>
          </w:p>
        </w:tc>
        <w:tc>
          <w:tcPr>
            <w:tcW w:w="1276" w:type="dxa"/>
            <w:tcBorders>
              <w:left w:val="nil"/>
              <w:bottom w:val="nil"/>
              <w:right w:val="nil"/>
            </w:tcBorders>
            <w:vAlign w:val="center"/>
          </w:tcPr>
          <w:p w14:paraId="298D80C1" w14:textId="07AC7757" w:rsidR="00F7477F" w:rsidRPr="002657D1" w:rsidRDefault="005967A7" w:rsidP="00025586">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hint="eastAsia"/>
                <w:b/>
                <w:bCs/>
                <w:color w:val="000000" w:themeColor="text1"/>
                <w:sz w:val="24"/>
                <w:szCs w:val="24"/>
              </w:rPr>
              <w:t>This work</w:t>
            </w:r>
          </w:p>
        </w:tc>
      </w:tr>
      <w:tr w:rsidR="002657D1" w:rsidRPr="002657D1" w14:paraId="3FFD80E0" w14:textId="77777777" w:rsidTr="009C3A29">
        <w:trPr>
          <w:jc w:val="center"/>
        </w:trPr>
        <w:tc>
          <w:tcPr>
            <w:tcW w:w="2943" w:type="dxa"/>
            <w:tcBorders>
              <w:top w:val="nil"/>
              <w:left w:val="nil"/>
              <w:bottom w:val="nil"/>
              <w:right w:val="nil"/>
            </w:tcBorders>
            <w:vAlign w:val="center"/>
          </w:tcPr>
          <w:p w14:paraId="3FE884D8" w14:textId="486C2D2F" w:rsidR="00F7477F" w:rsidRPr="002657D1" w:rsidRDefault="00F7477F" w:rsidP="0096057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Li/Li</w:t>
            </w:r>
            <w:r w:rsidRPr="002657D1">
              <w:rPr>
                <w:rFonts w:ascii="Times New Roman" w:hAnsi="Times New Roman" w:cs="Times New Roman"/>
                <w:color w:val="000000" w:themeColor="text1"/>
                <w:kern w:val="24"/>
                <w:position w:val="-4"/>
                <w:sz w:val="24"/>
                <w:szCs w:val="24"/>
                <w:vertAlign w:val="subscript"/>
              </w:rPr>
              <w:t>2</w:t>
            </w:r>
            <w:proofErr w:type="spellStart"/>
            <w:r w:rsidRPr="002657D1">
              <w:rPr>
                <w:rFonts w:ascii="Times New Roman" w:hAnsi="Times New Roman" w:cs="Times New Roman"/>
                <w:color w:val="000000" w:themeColor="text1"/>
                <w:kern w:val="24"/>
                <w:sz w:val="24"/>
                <w:szCs w:val="24"/>
              </w:rPr>
              <w:t>ZrCl</w:t>
            </w:r>
            <w:proofErr w:type="spellEnd"/>
            <w:r w:rsidRPr="002657D1">
              <w:rPr>
                <w:rFonts w:ascii="Times New Roman" w:hAnsi="Times New Roman" w:cs="Times New Roman"/>
                <w:color w:val="000000" w:themeColor="text1"/>
                <w:kern w:val="24"/>
                <w:position w:val="-4"/>
                <w:sz w:val="24"/>
                <w:szCs w:val="24"/>
                <w:vertAlign w:val="subscript"/>
              </w:rPr>
              <w:t>6</w:t>
            </w:r>
            <w:r w:rsidRPr="002657D1">
              <w:rPr>
                <w:rFonts w:ascii="Times New Roman" w:hAnsi="Times New Roman" w:cs="Times New Roman"/>
                <w:color w:val="000000" w:themeColor="text1"/>
                <w:kern w:val="24"/>
                <w:sz w:val="24"/>
                <w:szCs w:val="24"/>
              </w:rPr>
              <w:t>/Li</w:t>
            </w:r>
          </w:p>
        </w:tc>
        <w:tc>
          <w:tcPr>
            <w:tcW w:w="1310" w:type="dxa"/>
            <w:tcBorders>
              <w:top w:val="nil"/>
              <w:left w:val="nil"/>
              <w:bottom w:val="nil"/>
              <w:right w:val="nil"/>
            </w:tcBorders>
            <w:vAlign w:val="center"/>
          </w:tcPr>
          <w:p w14:paraId="563D3154" w14:textId="790E4B66"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0.5</w:t>
            </w:r>
          </w:p>
        </w:tc>
        <w:tc>
          <w:tcPr>
            <w:tcW w:w="1701" w:type="dxa"/>
            <w:tcBorders>
              <w:top w:val="nil"/>
              <w:left w:val="nil"/>
              <w:bottom w:val="nil"/>
              <w:right w:val="nil"/>
            </w:tcBorders>
            <w:vAlign w:val="center"/>
          </w:tcPr>
          <w:p w14:paraId="049A3BB6" w14:textId="346F7467"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0.25</w:t>
            </w:r>
          </w:p>
        </w:tc>
        <w:tc>
          <w:tcPr>
            <w:tcW w:w="1276" w:type="dxa"/>
            <w:tcBorders>
              <w:top w:val="nil"/>
              <w:left w:val="nil"/>
              <w:bottom w:val="nil"/>
              <w:right w:val="nil"/>
            </w:tcBorders>
            <w:vAlign w:val="center"/>
          </w:tcPr>
          <w:p w14:paraId="2BF16094" w14:textId="32D16012"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87</w:t>
            </w:r>
          </w:p>
        </w:tc>
        <w:tc>
          <w:tcPr>
            <w:tcW w:w="1842" w:type="dxa"/>
            <w:tcBorders>
              <w:top w:val="nil"/>
              <w:left w:val="nil"/>
              <w:bottom w:val="nil"/>
              <w:right w:val="nil"/>
            </w:tcBorders>
          </w:tcPr>
          <w:p w14:paraId="790CB850" w14:textId="4F342BE0" w:rsidR="00F7477F" w:rsidRPr="002657D1" w:rsidRDefault="005967A7"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21.75</w:t>
            </w:r>
          </w:p>
        </w:tc>
        <w:tc>
          <w:tcPr>
            <w:tcW w:w="1701" w:type="dxa"/>
            <w:tcBorders>
              <w:top w:val="nil"/>
              <w:left w:val="nil"/>
              <w:bottom w:val="nil"/>
              <w:right w:val="nil"/>
            </w:tcBorders>
            <w:vAlign w:val="center"/>
          </w:tcPr>
          <w:p w14:paraId="6612CEBA" w14:textId="216D4C16"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25</w:t>
            </w:r>
          </w:p>
        </w:tc>
        <w:tc>
          <w:tcPr>
            <w:tcW w:w="1276" w:type="dxa"/>
            <w:tcBorders>
              <w:top w:val="nil"/>
              <w:left w:val="nil"/>
              <w:bottom w:val="nil"/>
              <w:right w:val="nil"/>
            </w:tcBorders>
            <w:vAlign w:val="center"/>
          </w:tcPr>
          <w:p w14:paraId="7A91A1EA" w14:textId="7F11A5CF" w:rsidR="00F7477F" w:rsidRPr="002657D1" w:rsidRDefault="00F7477F" w:rsidP="00025586">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fldChar w:fldCharType="begin"/>
            </w:r>
            <w:r w:rsidRPr="002657D1">
              <w:rPr>
                <w:rFonts w:ascii="Times New Roman" w:hAnsi="Times New Roman" w:cs="Times New Roman"/>
                <w:b/>
                <w:bCs/>
                <w:color w:val="000000" w:themeColor="text1"/>
                <w:sz w:val="24"/>
                <w:szCs w:val="24"/>
              </w:rPr>
              <w:instrText xml:space="preserve"> ADDIN ZOTERO_ITEM CSL_CITATION {"citationID":"au5gcb5hmg","properties":{"formattedCitation":"\\super 1\\nosupersub{}","plainCitation":"1","noteIndex":0},"citationItems":[{"id":29,"uris":["http://zotero.org/users/local/J1vikkcu/items/3R2LFZWA"],"itemData":{"id":29,"type":"article-journal","abstract":"Abstract\n            \n              Li-ion-conducting chloride solid electrolytes receive considerable attention due to their physicochemical characteristics such as high ionic conductivity, deformability and oxidative stability. However, the raw materials are expensive, and large-scale use of this class of inorganic superionic conductors seems unlikely. Here, a cost-effective chloride solid electrolyte, Li\n              2\n              ZrCl\n              6\n              , is reported. Its raw materials are several orders of magnitude cheaper than those for the state-of-the-art chloride solid electrolytes, but high ionic conductivity (0.81 mS cm\n              –1\n              at room temperature), deformability, and compatibility with 4V-class cathodes are still simultaneously achieved in Li\n              2\n              ZrCl\n              6\n              . Moreover, Li\n              2\n              ZrCl\n              6\n              demonstrates a humidity tolerance with no sign of moisture uptake or conductivity degradation after exposure to an atmosphere with 5% relative humidity. By combining Li\n              2\n              ZrCl\n              6\n              with the Li-In anode and the single-crystal LiNi\n              0.8\n              Mn\n              0.1\n              Co\n              0.1\n              O\n              2\n              cathode, we report a room-temperature all-solid-state cell with a stable specific capacity of about 150 mAh g\n              –1\n              for 200 cycles at 200 mA g\n              –1\n              .","container-title":"Nature Communications","DOI":"10.1038/s41467-021-24697-2","ISSN":"2041-1723","issue":"1","journalAbbreviation":"Nat Commun","language":"en","page":"4410","source":"DOI.org (Crossref)","title":"A cost-effective and humidity-tolerant chloride solid electrolyte for lithium batteries","volume":"12","author":[{"family":"Wang","given":"Kai"},{"family":"Ren","given":"Qingyong"},{"family":"Gu","given":"Zhenqi"},{"family":"Duan","given":"Chaomin"},{"family":"Wang","given":"Jinzhu"},{"family":"Zhu","given":"Feng"},{"family":"Fu","given":"Yuanyuan"},{"family":"Hao","given":"Jipeng"},{"family":"Zhu","given":"Jinfeng"},{"family":"He","given":"Lunhua"},{"family":"Wang","given":"Chin-Wei"},{"family":"Lu","given":"Yingying"},{"family":"Ma","given":"Jie"},{"family":"Ma","given":"Cheng"}],"issued":{"date-parts":[["2021",7,20]]}}}],"schema":"https://github.com/citation-style-language/schema/raw/master/csl-citation.json"} </w:instrText>
            </w:r>
            <w:r w:rsidRPr="002657D1">
              <w:rPr>
                <w:rFonts w:ascii="Times New Roman" w:hAnsi="Times New Roman" w:cs="Times New Roman"/>
                <w:b/>
                <w:bCs/>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1</w:t>
            </w:r>
            <w:r w:rsidRPr="002657D1">
              <w:rPr>
                <w:rFonts w:ascii="Times New Roman" w:hAnsi="Times New Roman" w:cs="Times New Roman"/>
                <w:b/>
                <w:bCs/>
                <w:color w:val="000000" w:themeColor="text1"/>
                <w:sz w:val="24"/>
                <w:szCs w:val="24"/>
              </w:rPr>
              <w:fldChar w:fldCharType="end"/>
            </w:r>
          </w:p>
        </w:tc>
      </w:tr>
      <w:tr w:rsidR="002657D1" w:rsidRPr="002657D1" w14:paraId="63CE05AD" w14:textId="77777777" w:rsidTr="009C3A29">
        <w:trPr>
          <w:jc w:val="center"/>
        </w:trPr>
        <w:tc>
          <w:tcPr>
            <w:tcW w:w="2943" w:type="dxa"/>
            <w:tcBorders>
              <w:top w:val="nil"/>
              <w:left w:val="nil"/>
              <w:bottom w:val="nil"/>
              <w:right w:val="nil"/>
            </w:tcBorders>
            <w:vAlign w:val="center"/>
          </w:tcPr>
          <w:p w14:paraId="7B45D661" w14:textId="24FB5A98" w:rsidR="00F7477F" w:rsidRPr="002657D1" w:rsidRDefault="00F7477F" w:rsidP="0096057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Li/</w:t>
            </w:r>
            <w:bookmarkStart w:id="105" w:name="OLE_LINK70"/>
            <w:r w:rsidR="005967A7" w:rsidRPr="002657D1">
              <w:rPr>
                <w:rFonts w:ascii="Times New Roman" w:hAnsi="Times New Roman" w:cs="Times New Roman" w:hint="eastAsia"/>
                <w:color w:val="000000" w:themeColor="text1"/>
                <w:kern w:val="24"/>
                <w:sz w:val="24"/>
                <w:szCs w:val="24"/>
              </w:rPr>
              <w:t>Li</w:t>
            </w:r>
            <w:r w:rsidR="005967A7" w:rsidRPr="002657D1">
              <w:rPr>
                <w:rFonts w:ascii="Times New Roman" w:hAnsi="Times New Roman" w:cs="Times New Roman"/>
                <w:color w:val="000000" w:themeColor="text1"/>
                <w:kern w:val="24"/>
                <w:sz w:val="24"/>
                <w:szCs w:val="24"/>
                <w:vertAlign w:val="subscript"/>
              </w:rPr>
              <w:t>1.75</w:t>
            </w:r>
            <w:r w:rsidR="005967A7" w:rsidRPr="002657D1">
              <w:rPr>
                <w:rFonts w:ascii="Times New Roman" w:hAnsi="Times New Roman" w:cs="Times New Roman" w:hint="eastAsia"/>
                <w:color w:val="000000" w:themeColor="text1"/>
                <w:kern w:val="24"/>
                <w:sz w:val="24"/>
                <w:szCs w:val="24"/>
              </w:rPr>
              <w:t>ZrCl</w:t>
            </w:r>
            <w:r w:rsidR="005967A7" w:rsidRPr="002657D1">
              <w:rPr>
                <w:rFonts w:ascii="Times New Roman" w:hAnsi="Times New Roman" w:cs="Times New Roman"/>
                <w:color w:val="000000" w:themeColor="text1"/>
                <w:kern w:val="24"/>
                <w:sz w:val="24"/>
                <w:szCs w:val="24"/>
                <w:vertAlign w:val="subscript"/>
              </w:rPr>
              <w:t>4.75</w:t>
            </w:r>
            <w:r w:rsidR="005967A7" w:rsidRPr="002657D1">
              <w:rPr>
                <w:rFonts w:ascii="Times New Roman" w:hAnsi="Times New Roman" w:cs="Times New Roman" w:hint="eastAsia"/>
                <w:color w:val="000000" w:themeColor="text1"/>
                <w:kern w:val="24"/>
                <w:sz w:val="24"/>
                <w:szCs w:val="24"/>
              </w:rPr>
              <w:t>O</w:t>
            </w:r>
            <w:r w:rsidR="005967A7" w:rsidRPr="002657D1">
              <w:rPr>
                <w:rFonts w:ascii="Times New Roman" w:hAnsi="Times New Roman" w:cs="Times New Roman"/>
                <w:color w:val="000000" w:themeColor="text1"/>
                <w:kern w:val="24"/>
                <w:sz w:val="24"/>
                <w:szCs w:val="24"/>
                <w:vertAlign w:val="subscript"/>
              </w:rPr>
              <w:t>0.5</w:t>
            </w:r>
            <w:bookmarkEnd w:id="105"/>
            <w:r w:rsidRPr="002657D1">
              <w:rPr>
                <w:rFonts w:ascii="Times New Roman" w:hAnsi="Times New Roman" w:cs="Times New Roman"/>
                <w:color w:val="000000" w:themeColor="text1"/>
                <w:kern w:val="24"/>
                <w:sz w:val="24"/>
                <w:szCs w:val="24"/>
              </w:rPr>
              <w:t>/Li</w:t>
            </w:r>
          </w:p>
        </w:tc>
        <w:tc>
          <w:tcPr>
            <w:tcW w:w="1310" w:type="dxa"/>
            <w:tcBorders>
              <w:top w:val="nil"/>
              <w:left w:val="nil"/>
              <w:bottom w:val="nil"/>
              <w:right w:val="nil"/>
            </w:tcBorders>
            <w:vAlign w:val="center"/>
          </w:tcPr>
          <w:p w14:paraId="413E529B" w14:textId="35C5A38D"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0.1</w:t>
            </w:r>
          </w:p>
        </w:tc>
        <w:tc>
          <w:tcPr>
            <w:tcW w:w="1701" w:type="dxa"/>
            <w:tcBorders>
              <w:top w:val="nil"/>
              <w:left w:val="nil"/>
              <w:bottom w:val="nil"/>
              <w:right w:val="nil"/>
            </w:tcBorders>
            <w:vAlign w:val="center"/>
          </w:tcPr>
          <w:p w14:paraId="0EF3D875" w14:textId="7A2022EC"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0.05</w:t>
            </w:r>
          </w:p>
        </w:tc>
        <w:tc>
          <w:tcPr>
            <w:tcW w:w="1276" w:type="dxa"/>
            <w:tcBorders>
              <w:top w:val="nil"/>
              <w:left w:val="nil"/>
              <w:bottom w:val="nil"/>
              <w:right w:val="nil"/>
            </w:tcBorders>
            <w:vAlign w:val="center"/>
          </w:tcPr>
          <w:p w14:paraId="3BC3B34E" w14:textId="3DE8BB9C"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200</w:t>
            </w:r>
          </w:p>
        </w:tc>
        <w:tc>
          <w:tcPr>
            <w:tcW w:w="1842" w:type="dxa"/>
            <w:tcBorders>
              <w:top w:val="nil"/>
              <w:left w:val="nil"/>
              <w:bottom w:val="nil"/>
              <w:right w:val="nil"/>
            </w:tcBorders>
          </w:tcPr>
          <w:p w14:paraId="5DEF7612" w14:textId="19E3A96E" w:rsidR="00F7477F" w:rsidRPr="002657D1" w:rsidRDefault="005967A7"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10</w:t>
            </w:r>
          </w:p>
        </w:tc>
        <w:tc>
          <w:tcPr>
            <w:tcW w:w="1701" w:type="dxa"/>
            <w:tcBorders>
              <w:top w:val="nil"/>
              <w:left w:val="nil"/>
              <w:bottom w:val="nil"/>
              <w:right w:val="nil"/>
            </w:tcBorders>
            <w:vAlign w:val="center"/>
          </w:tcPr>
          <w:p w14:paraId="5DC29705" w14:textId="7807CA79"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25</w:t>
            </w:r>
          </w:p>
        </w:tc>
        <w:bookmarkStart w:id="106" w:name="OLE_LINK71"/>
        <w:tc>
          <w:tcPr>
            <w:tcW w:w="1276" w:type="dxa"/>
            <w:tcBorders>
              <w:top w:val="nil"/>
              <w:left w:val="nil"/>
              <w:bottom w:val="nil"/>
              <w:right w:val="nil"/>
            </w:tcBorders>
            <w:vAlign w:val="center"/>
          </w:tcPr>
          <w:p w14:paraId="0D2872EF" w14:textId="504F59E3" w:rsidR="00F7477F" w:rsidRPr="002657D1" w:rsidRDefault="00F7477F" w:rsidP="00025586">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fldChar w:fldCharType="begin"/>
            </w:r>
            <w:r w:rsidR="00E725CF" w:rsidRPr="002657D1">
              <w:rPr>
                <w:rFonts w:ascii="Times New Roman" w:hAnsi="Times New Roman" w:cs="Times New Roman"/>
                <w:b/>
                <w:bCs/>
                <w:color w:val="000000" w:themeColor="text1"/>
                <w:sz w:val="24"/>
                <w:szCs w:val="24"/>
              </w:rPr>
              <w:instrText xml:space="preserve"> ADDIN ZOTERO_ITEM CSL_CITATION {"citationID":"O1dFhuB2","properties":{"formattedCitation":"\\super 27\\nosupersub{}","plainCitation":"27","noteIndex":0},"citationItems":[{"id":"IXaoCdHi/uH4nRAUi","uris":["http://zotero.org/users/local/As3BANDe/items/8Y3L3AFH"],"itemData":{"id":21,"type":"article-journal","abstract":"Abstract\n            \n              To enable the development of all-solid-state batteries, an inorganic solid-state electrolyte should demonstrate high ionic conductivity (i.e., &gt; 1 mS cm\n              −1\n              at 25 °C), compressibility (e.g., &gt; 90% density under 250−350 MPa), and cost-effectiveness (e.g., &lt; $50/kg). Here we report the development and preparation of Li\n              1.75\n              ZrCl\n              4.75\n              O\n              0.5\n              oxychloride solid-state electrolyte that demonstrates an ionic conductivity of 2.42 mS cm\n              −1\n              at 25 °C, a compressibility enabling 94.2% density under 300 MPa and an estimated raw materials cost of $11.60/kg. As proof of concept, the Li\n              1.75\n              ZrCl\n              4.75\n              O\n              0.5\n              is tested in combination with a LiNi\n              0.8\n              Mn\n              0.1\n              Co\n              0.1\n              O\n              2\n              -based positive electrode and a Li\n              6\n              PS\n              5\n              Cl-coated Li-In negative electrode in lab-scale cell configuration. This all-solid-state cell delivers a discharge capacity retention of 70.34% (final discharge capacity of 70.2 mAh g\n              −1\n              ) after 2082 cycles at 1 A g\n              −1\n              , 25 °C and 1.5 tons of stacking pressure.","container-title":"Nature Communications","DOI":"10.1038/s41467-023-39522-1","ISSN":"2041-1723","issue":"1","journalAbbreviation":"Nat Commun","language":"en","page":"3807","source":"DOI.org (Crossref)","title":"A cost-effective, ionically conductive and compressible oxychloride solid-state electrolyte for stable all-solid-state lithium-based batteries","volume":"14","author":[{"family":"Hu","given":"Lv"},{"family":"Wang","given":"Jinzhu"},{"family":"Wang","given":"Kai"},{"family":"Gu","given":"Zhenqi"},{"family":"Xi","given":"Zhiwei"},{"family":"Li","given":"Hui"},{"family":"Chen","given":"Fang"},{"family":"Wang","given":"Youxi"},{"family":"Li","given":"Zhenyu"},{"family":"Ma","given":"Cheng"}],"issued":{"date-parts":[["2023",6,27]]}}}],"schema":"https://github.com/citation-style-language/schema/raw/master/csl-citation.json"} </w:instrText>
            </w:r>
            <w:r w:rsidRPr="002657D1">
              <w:rPr>
                <w:rFonts w:ascii="Times New Roman" w:hAnsi="Times New Roman" w:cs="Times New Roman"/>
                <w:b/>
                <w:bCs/>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27</w:t>
            </w:r>
            <w:r w:rsidRPr="002657D1">
              <w:rPr>
                <w:rFonts w:ascii="Times New Roman" w:hAnsi="Times New Roman" w:cs="Times New Roman"/>
                <w:b/>
                <w:bCs/>
                <w:color w:val="000000" w:themeColor="text1"/>
                <w:sz w:val="24"/>
                <w:szCs w:val="24"/>
              </w:rPr>
              <w:fldChar w:fldCharType="end"/>
            </w:r>
            <w:bookmarkEnd w:id="106"/>
          </w:p>
        </w:tc>
      </w:tr>
      <w:tr w:rsidR="002657D1" w:rsidRPr="002657D1" w14:paraId="16E6644E" w14:textId="77777777" w:rsidTr="009C3A29">
        <w:trPr>
          <w:jc w:val="center"/>
        </w:trPr>
        <w:tc>
          <w:tcPr>
            <w:tcW w:w="2943" w:type="dxa"/>
            <w:tcBorders>
              <w:top w:val="nil"/>
              <w:left w:val="nil"/>
              <w:bottom w:val="nil"/>
              <w:right w:val="nil"/>
            </w:tcBorders>
            <w:vAlign w:val="center"/>
          </w:tcPr>
          <w:p w14:paraId="71BCA94B" w14:textId="48E36CF4" w:rsidR="00F7477F" w:rsidRPr="002657D1" w:rsidRDefault="00F7477F" w:rsidP="0096057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Li/Li</w:t>
            </w:r>
            <w:r w:rsidRPr="002657D1">
              <w:rPr>
                <w:rFonts w:ascii="Times New Roman" w:hAnsi="Times New Roman" w:cs="Times New Roman"/>
                <w:color w:val="000000" w:themeColor="text1"/>
                <w:kern w:val="24"/>
                <w:position w:val="-4"/>
                <w:sz w:val="24"/>
                <w:szCs w:val="24"/>
                <w:vertAlign w:val="subscript"/>
              </w:rPr>
              <w:t>0.388</w:t>
            </w:r>
            <w:r w:rsidRPr="002657D1">
              <w:rPr>
                <w:rFonts w:ascii="Times New Roman" w:hAnsi="Times New Roman" w:cs="Times New Roman"/>
                <w:color w:val="000000" w:themeColor="text1"/>
                <w:kern w:val="24"/>
                <w:sz w:val="24"/>
                <w:szCs w:val="24"/>
              </w:rPr>
              <w:t>Ta</w:t>
            </w:r>
            <w:r w:rsidRPr="002657D1">
              <w:rPr>
                <w:rFonts w:ascii="Times New Roman" w:hAnsi="Times New Roman" w:cs="Times New Roman"/>
                <w:color w:val="000000" w:themeColor="text1"/>
                <w:kern w:val="24"/>
                <w:position w:val="-4"/>
                <w:sz w:val="24"/>
                <w:szCs w:val="24"/>
                <w:vertAlign w:val="subscript"/>
              </w:rPr>
              <w:t>0.238</w:t>
            </w:r>
            <w:r w:rsidRPr="002657D1">
              <w:rPr>
                <w:rFonts w:ascii="Times New Roman" w:hAnsi="Times New Roman" w:cs="Times New Roman"/>
                <w:color w:val="000000" w:themeColor="text1"/>
                <w:kern w:val="24"/>
                <w:sz w:val="24"/>
                <w:szCs w:val="24"/>
              </w:rPr>
              <w:t>La</w:t>
            </w:r>
            <w:r w:rsidRPr="002657D1">
              <w:rPr>
                <w:rFonts w:ascii="Times New Roman" w:hAnsi="Times New Roman" w:cs="Times New Roman"/>
                <w:color w:val="000000" w:themeColor="text1"/>
                <w:kern w:val="24"/>
                <w:position w:val="-4"/>
                <w:sz w:val="24"/>
                <w:szCs w:val="24"/>
                <w:vertAlign w:val="subscript"/>
              </w:rPr>
              <w:t>0.475</w:t>
            </w:r>
            <w:r w:rsidRPr="002657D1">
              <w:rPr>
                <w:rFonts w:ascii="Times New Roman" w:hAnsi="Times New Roman" w:cs="Times New Roman"/>
                <w:color w:val="000000" w:themeColor="text1"/>
                <w:kern w:val="24"/>
                <w:sz w:val="24"/>
                <w:szCs w:val="24"/>
              </w:rPr>
              <w:t>Cl</w:t>
            </w:r>
            <w:r w:rsidRPr="002657D1">
              <w:rPr>
                <w:rFonts w:ascii="Times New Roman" w:hAnsi="Times New Roman" w:cs="Times New Roman"/>
                <w:color w:val="000000" w:themeColor="text1"/>
                <w:kern w:val="24"/>
                <w:position w:val="-4"/>
                <w:sz w:val="24"/>
                <w:szCs w:val="24"/>
                <w:vertAlign w:val="subscript"/>
              </w:rPr>
              <w:t>3</w:t>
            </w:r>
            <w:r w:rsidRPr="002657D1">
              <w:rPr>
                <w:rFonts w:ascii="Times New Roman" w:hAnsi="Times New Roman" w:cs="Times New Roman"/>
                <w:color w:val="000000" w:themeColor="text1"/>
                <w:kern w:val="24"/>
                <w:sz w:val="24"/>
                <w:szCs w:val="24"/>
              </w:rPr>
              <w:t>/Li</w:t>
            </w:r>
          </w:p>
        </w:tc>
        <w:tc>
          <w:tcPr>
            <w:tcW w:w="1310" w:type="dxa"/>
            <w:tcBorders>
              <w:top w:val="nil"/>
              <w:left w:val="nil"/>
              <w:bottom w:val="nil"/>
              <w:right w:val="nil"/>
            </w:tcBorders>
            <w:vAlign w:val="center"/>
          </w:tcPr>
          <w:p w14:paraId="6DB78E37" w14:textId="57D7AD39"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0.2</w:t>
            </w:r>
          </w:p>
        </w:tc>
        <w:tc>
          <w:tcPr>
            <w:tcW w:w="1701" w:type="dxa"/>
            <w:tcBorders>
              <w:top w:val="nil"/>
              <w:left w:val="nil"/>
              <w:bottom w:val="nil"/>
              <w:right w:val="nil"/>
            </w:tcBorders>
            <w:vAlign w:val="center"/>
          </w:tcPr>
          <w:p w14:paraId="35D7CA71" w14:textId="081D42B8"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1.0</w:t>
            </w:r>
          </w:p>
        </w:tc>
        <w:tc>
          <w:tcPr>
            <w:tcW w:w="1276" w:type="dxa"/>
            <w:tcBorders>
              <w:top w:val="nil"/>
              <w:left w:val="nil"/>
              <w:bottom w:val="nil"/>
              <w:right w:val="nil"/>
            </w:tcBorders>
            <w:vAlign w:val="center"/>
          </w:tcPr>
          <w:p w14:paraId="327E31A2" w14:textId="65954C9B"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500</w:t>
            </w:r>
          </w:p>
        </w:tc>
        <w:tc>
          <w:tcPr>
            <w:tcW w:w="1842" w:type="dxa"/>
            <w:tcBorders>
              <w:top w:val="nil"/>
              <w:left w:val="nil"/>
              <w:bottom w:val="nil"/>
              <w:right w:val="nil"/>
            </w:tcBorders>
          </w:tcPr>
          <w:p w14:paraId="5759B27D" w14:textId="723C7738" w:rsidR="00F7477F" w:rsidRPr="002657D1" w:rsidRDefault="005967A7"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500</w:t>
            </w:r>
          </w:p>
        </w:tc>
        <w:tc>
          <w:tcPr>
            <w:tcW w:w="1701" w:type="dxa"/>
            <w:tcBorders>
              <w:top w:val="nil"/>
              <w:left w:val="nil"/>
              <w:bottom w:val="nil"/>
              <w:right w:val="nil"/>
            </w:tcBorders>
            <w:vAlign w:val="center"/>
          </w:tcPr>
          <w:p w14:paraId="2E42F2DD" w14:textId="469182F4"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30</w:t>
            </w:r>
          </w:p>
        </w:tc>
        <w:tc>
          <w:tcPr>
            <w:tcW w:w="1276" w:type="dxa"/>
            <w:tcBorders>
              <w:top w:val="nil"/>
              <w:left w:val="nil"/>
              <w:bottom w:val="nil"/>
              <w:right w:val="nil"/>
            </w:tcBorders>
            <w:vAlign w:val="center"/>
          </w:tcPr>
          <w:p w14:paraId="596BC80C" w14:textId="3CCFA39C" w:rsidR="00F7477F" w:rsidRPr="002657D1" w:rsidRDefault="009B6062" w:rsidP="00025586">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fldChar w:fldCharType="begin"/>
            </w:r>
            <w:r w:rsidRPr="002657D1">
              <w:rPr>
                <w:rFonts w:ascii="Times New Roman" w:hAnsi="Times New Roman" w:cs="Times New Roman"/>
                <w:b/>
                <w:bCs/>
                <w:color w:val="000000" w:themeColor="text1"/>
                <w:sz w:val="24"/>
                <w:szCs w:val="24"/>
              </w:rPr>
              <w:instrText xml:space="preserve"> ADDIN ZOTERO_ITEM CSL_CITATION {"citationID":"a1254k1qreo","properties":{"formattedCitation":"\\super 53\\nosupersub{}","plainCitation":"53","noteIndex":0},"citationItems":[{"id":37,"uris":["http://zotero.org/users/local/J1vikkcu/items/AGLXRULG"],"itemData":{"id":37,"type":"article-journal","container-title":"Nature","DOI":"10.1038/s41586-023-05899-8","ISSN":"0028-0836, 1476-4687","issue":"7955","journalAbbreviation":"Nature","language":"en","page":"77-83","source":"DOI.org (Crossref)","title":"A LaCl3-based lithium superionic conductor compatible with lithium metal","volume":"616","author":[{"family":"Yin","given":"Yi-Chen"},{"family":"Yang","given":"Jing-Tian"},{"family":"Luo","given":"Jin-Da"},{"family":"Lu","given":"Gong-Xun"},{"family":"Huang","given":"Zhongyuan"},{"family":"Wang","given":"Jian-Ping"},{"family":"Li","given":"Pai"},{"family":"Li","given":"Feng"},{"family":"Wu","given":"Ye-Chao"},{"family":"Tian","given":"Te"},{"family":"Meng","given":"Yu-Feng"},{"family":"Mo","given":"Hong-Sheng"},{"family":"Song","given":"Yong-Hui"},{"family":"Yang","given":"Jun-Nan"},{"family":"Feng","given":"Li-Zhe"},{"family":"Ma","given":"Tao"},{"family":"Wen","given":"Wen"},{"family":"Gong","given":"Ke"},{"family":"Wang","given":"Lin-Jun"},{"family":"Ju","given":"Huan-Xin"},{"family":"Xiao","given":"Yinguo"},{"family":"Li","given":"Zhenyu"},{"family":"Tao","given":"Xinyong"},{"family":"Yao","given":"Hong-Bin"}],"issued":{"date-parts":[["2023",4,6]]}}}],"schema":"https://github.com/citation-style-language/schema/raw/master/csl-citation.json"} </w:instrText>
            </w:r>
            <w:r w:rsidRPr="002657D1">
              <w:rPr>
                <w:rFonts w:ascii="Times New Roman" w:hAnsi="Times New Roman" w:cs="Times New Roman"/>
                <w:b/>
                <w:bCs/>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53</w:t>
            </w:r>
            <w:r w:rsidRPr="002657D1">
              <w:rPr>
                <w:rFonts w:ascii="Times New Roman" w:hAnsi="Times New Roman" w:cs="Times New Roman"/>
                <w:b/>
                <w:bCs/>
                <w:color w:val="000000" w:themeColor="text1"/>
                <w:sz w:val="24"/>
                <w:szCs w:val="24"/>
              </w:rPr>
              <w:fldChar w:fldCharType="end"/>
            </w:r>
          </w:p>
        </w:tc>
      </w:tr>
      <w:tr w:rsidR="002657D1" w:rsidRPr="002657D1" w14:paraId="108698E8" w14:textId="77777777" w:rsidTr="009C3A29">
        <w:trPr>
          <w:jc w:val="center"/>
        </w:trPr>
        <w:tc>
          <w:tcPr>
            <w:tcW w:w="2943" w:type="dxa"/>
            <w:tcBorders>
              <w:top w:val="nil"/>
              <w:left w:val="nil"/>
              <w:bottom w:val="nil"/>
              <w:right w:val="nil"/>
            </w:tcBorders>
            <w:vAlign w:val="center"/>
          </w:tcPr>
          <w:p w14:paraId="1FA2C60D" w14:textId="5F5A9A4C" w:rsidR="00F7477F" w:rsidRPr="002657D1" w:rsidRDefault="00F7477F" w:rsidP="0096057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Li/Li</w:t>
            </w:r>
            <w:r w:rsidRPr="002657D1">
              <w:rPr>
                <w:rFonts w:ascii="Times New Roman" w:hAnsi="Times New Roman" w:cs="Times New Roman"/>
                <w:color w:val="000000" w:themeColor="text1"/>
                <w:kern w:val="24"/>
                <w:position w:val="-4"/>
                <w:sz w:val="24"/>
                <w:szCs w:val="24"/>
                <w:vertAlign w:val="subscript"/>
              </w:rPr>
              <w:t>4</w:t>
            </w:r>
            <w:r w:rsidRPr="002657D1">
              <w:rPr>
                <w:rFonts w:ascii="Times New Roman" w:hAnsi="Times New Roman" w:cs="Times New Roman"/>
                <w:color w:val="000000" w:themeColor="text1"/>
                <w:kern w:val="24"/>
                <w:sz w:val="24"/>
                <w:szCs w:val="24"/>
              </w:rPr>
              <w:t>YI</w:t>
            </w:r>
            <w:r w:rsidRPr="002657D1">
              <w:rPr>
                <w:rFonts w:ascii="Times New Roman" w:hAnsi="Times New Roman" w:cs="Times New Roman"/>
                <w:color w:val="000000" w:themeColor="text1"/>
                <w:kern w:val="24"/>
                <w:position w:val="-4"/>
                <w:sz w:val="24"/>
                <w:szCs w:val="24"/>
                <w:vertAlign w:val="subscript"/>
              </w:rPr>
              <w:t>7</w:t>
            </w:r>
            <w:r w:rsidRPr="002657D1">
              <w:rPr>
                <w:rFonts w:ascii="Times New Roman" w:hAnsi="Times New Roman" w:cs="Times New Roman"/>
                <w:color w:val="000000" w:themeColor="text1"/>
                <w:kern w:val="24"/>
                <w:sz w:val="24"/>
                <w:szCs w:val="24"/>
              </w:rPr>
              <w:t>/Li</w:t>
            </w:r>
          </w:p>
        </w:tc>
        <w:tc>
          <w:tcPr>
            <w:tcW w:w="1310" w:type="dxa"/>
            <w:tcBorders>
              <w:top w:val="nil"/>
              <w:left w:val="nil"/>
              <w:bottom w:val="nil"/>
              <w:right w:val="nil"/>
            </w:tcBorders>
            <w:vAlign w:val="center"/>
          </w:tcPr>
          <w:p w14:paraId="42949FAA" w14:textId="31DE36A5"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0.1</w:t>
            </w:r>
          </w:p>
        </w:tc>
        <w:tc>
          <w:tcPr>
            <w:tcW w:w="1701" w:type="dxa"/>
            <w:tcBorders>
              <w:top w:val="nil"/>
              <w:left w:val="nil"/>
              <w:bottom w:val="nil"/>
              <w:right w:val="nil"/>
            </w:tcBorders>
            <w:vAlign w:val="center"/>
          </w:tcPr>
          <w:p w14:paraId="5ABE0669" w14:textId="34E31409"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0.1</w:t>
            </w:r>
          </w:p>
        </w:tc>
        <w:tc>
          <w:tcPr>
            <w:tcW w:w="1276" w:type="dxa"/>
            <w:tcBorders>
              <w:top w:val="nil"/>
              <w:left w:val="nil"/>
              <w:bottom w:val="nil"/>
              <w:right w:val="nil"/>
            </w:tcBorders>
            <w:vAlign w:val="center"/>
          </w:tcPr>
          <w:p w14:paraId="4708D930" w14:textId="06846AAD"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500</w:t>
            </w:r>
          </w:p>
        </w:tc>
        <w:tc>
          <w:tcPr>
            <w:tcW w:w="1842" w:type="dxa"/>
            <w:tcBorders>
              <w:top w:val="nil"/>
              <w:left w:val="nil"/>
              <w:bottom w:val="nil"/>
              <w:right w:val="nil"/>
            </w:tcBorders>
          </w:tcPr>
          <w:p w14:paraId="45D9DA01" w14:textId="31C746F4" w:rsidR="00F7477F" w:rsidRPr="002657D1" w:rsidRDefault="005967A7"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50</w:t>
            </w:r>
          </w:p>
        </w:tc>
        <w:tc>
          <w:tcPr>
            <w:tcW w:w="1701" w:type="dxa"/>
            <w:tcBorders>
              <w:top w:val="nil"/>
              <w:left w:val="nil"/>
              <w:bottom w:val="nil"/>
              <w:right w:val="nil"/>
            </w:tcBorders>
            <w:vAlign w:val="center"/>
          </w:tcPr>
          <w:p w14:paraId="3980E79F" w14:textId="27215C2C"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25</w:t>
            </w:r>
          </w:p>
        </w:tc>
        <w:tc>
          <w:tcPr>
            <w:tcW w:w="1276" w:type="dxa"/>
            <w:tcBorders>
              <w:top w:val="nil"/>
              <w:left w:val="nil"/>
              <w:bottom w:val="nil"/>
              <w:right w:val="nil"/>
            </w:tcBorders>
            <w:vAlign w:val="center"/>
          </w:tcPr>
          <w:p w14:paraId="214288CB" w14:textId="12AD5223" w:rsidR="00F7477F" w:rsidRPr="002657D1" w:rsidRDefault="00F7477F" w:rsidP="00025586">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fldChar w:fldCharType="begin"/>
            </w:r>
            <w:r w:rsidR="00E725CF" w:rsidRPr="002657D1">
              <w:rPr>
                <w:rFonts w:ascii="Times New Roman" w:hAnsi="Times New Roman" w:cs="Times New Roman"/>
                <w:b/>
                <w:bCs/>
                <w:color w:val="000000" w:themeColor="text1"/>
                <w:sz w:val="24"/>
                <w:szCs w:val="24"/>
              </w:rPr>
              <w:instrText xml:space="preserve"> ADDIN ZOTERO_ITEM CSL_CITATION {"citationID":"Wa5qEMPh","properties":{"formattedCitation":"\\super 54\\nosupersub{}","plainCitation":"54","noteIndex":0},"citationItems":[{"id":"IXaoCdHi/VfR0JBF7","uris":["http://zotero.org/users/local/As3BANDe/items/3KKPW9P7"],"itemData":{"id":2829,"type":"article-journal","abstract":"Halide solid electrolytes (SEs) have attracted significant attention due to their competitive ionic conductivity and good electrochemical stability. Among typical halide SEs (chlorides, bromides, and iodides), substantial efforts have been dedicated to chlorides or bromides, with iodide SEs receiving less attention. Nevertheless, compared with chlorides or bromides, iodides have both a softer Li sublattice and lower reduction limit, which enable iodides to possess potentially high ionic conductivity and intrinsic anti-reduction stability, respectively. Herein, we report a new series of iodide SEs: LixYI3+x (x = 2, 3, 4, or 9). Through synchrotron X-ray/neutron diffraction characterizations and theoretical calculations, we revealed that the LixYI3+x SEs belong to the high-symmetry cubic structure, and can accommodate abundant vacancies. By manipulating the defects in the iodide structure, balanced Li-ion concentration and generated vacancies enables an optimized ionic conductivity of 1.04 × 10À 3 S cmÀ 1 at 25 °C for Li4YI7. Additionally, the promising Li-metal compatibility of Li4YI7 is demonstrated via electrochemical characterizations (particularly all-solid-state Li-S batteries) combined with interface molecular dynamics simulations. Our study on iodide SEs provides deep insights into the relation between high-symmetry halide structures and ionic conduction, which can inspire future efforts to revitalize halide SEs.","container-title":"Angewandte Chemie","DOI":"10.1002/ange.202316360","ISSN":"0044-8249, 1521-3757","issue":"12","journalAbbreviation":"Angewandte Chemie","language":"en","page":"e202316360","source":"DOI.org (Crossref)","title":"Cubic Iodide Li &lt;sub&gt;x&lt;/sub&gt; YI &lt;sub&gt;3+x&lt;/sub&gt;</w:instrText>
            </w:r>
            <w:r w:rsidR="00E725CF" w:rsidRPr="002657D1">
              <w:rPr>
                <w:rFonts w:ascii="Times New Roman" w:hAnsi="Times New Roman" w:cs="Times New Roman" w:hint="eastAsia"/>
                <w:b/>
                <w:bCs/>
                <w:color w:val="000000" w:themeColor="text1"/>
                <w:sz w:val="24"/>
                <w:szCs w:val="24"/>
              </w:rPr>
              <w:instrText xml:space="preserve"> Superionic Conductors through Defect Manipulation for All</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Solid</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State Li Batteries","volume":"136","author":[{"family":"Zhang","given":"Shumin"},{"family":"Zhao","given":"Feipeng"},{"family":"Su","given":"Han"},{"family":"Zhong","given":"Yu"},{"family":"Liang","given":"Jianwen"},{"family":"Chen","given":"Jiatang"},{"family":"Zheng","given":"Matthew Liu"},{"family":"Liu","given":"Jue"},{"family":"Chang","given":"Lo</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Yueh"},{"family":"Fu","given":"Jiamin"},{"family":"Alahakoon","given":"Sandamini H."},{"family":"Hu","given":"Yang"},{"family":"Liu","given":"Yu"},{"family":"Huang","given":"Yining"},{"family":"Tu","given":"Jiangping"},{"family":"Sham","given":"Tsun</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Kong"},{"family":"Sun","given":"Xueliang"}],"issued":{"date-parts":[["2024",3,18]]}}}],"schema":</w:instrText>
            </w:r>
            <w:r w:rsidR="00E725CF" w:rsidRPr="002657D1">
              <w:rPr>
                <w:rFonts w:ascii="Times New Roman" w:hAnsi="Times New Roman" w:cs="Times New Roman"/>
                <w:b/>
                <w:bCs/>
                <w:color w:val="000000" w:themeColor="text1"/>
                <w:sz w:val="24"/>
                <w:szCs w:val="24"/>
              </w:rPr>
              <w:instrText xml:space="preserve">"https://github.com/citation-style-language/schema/raw/master/csl-citation.json"} </w:instrText>
            </w:r>
            <w:r w:rsidRPr="002657D1">
              <w:rPr>
                <w:rFonts w:ascii="Times New Roman" w:hAnsi="Times New Roman" w:cs="Times New Roman"/>
                <w:b/>
                <w:bCs/>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54</w:t>
            </w:r>
            <w:r w:rsidRPr="002657D1">
              <w:rPr>
                <w:rFonts w:ascii="Times New Roman" w:hAnsi="Times New Roman" w:cs="Times New Roman"/>
                <w:b/>
                <w:bCs/>
                <w:color w:val="000000" w:themeColor="text1"/>
                <w:sz w:val="24"/>
                <w:szCs w:val="24"/>
              </w:rPr>
              <w:fldChar w:fldCharType="end"/>
            </w:r>
          </w:p>
        </w:tc>
      </w:tr>
      <w:tr w:rsidR="002657D1" w:rsidRPr="002657D1" w14:paraId="16EDAFD4" w14:textId="77777777" w:rsidTr="009C3A29">
        <w:trPr>
          <w:jc w:val="center"/>
        </w:trPr>
        <w:tc>
          <w:tcPr>
            <w:tcW w:w="2943" w:type="dxa"/>
            <w:tcBorders>
              <w:top w:val="nil"/>
              <w:left w:val="nil"/>
              <w:bottom w:val="nil"/>
              <w:right w:val="nil"/>
            </w:tcBorders>
            <w:vAlign w:val="center"/>
          </w:tcPr>
          <w:p w14:paraId="16A4C8DC" w14:textId="62895228" w:rsidR="00F7477F" w:rsidRPr="002657D1" w:rsidRDefault="00F7477F" w:rsidP="00960574">
            <w:pPr>
              <w:pStyle w:val="ac"/>
              <w:spacing w:before="0" w:beforeAutospacing="0" w:after="0" w:afterAutospacing="0" w:line="360" w:lineRule="auto"/>
              <w:jc w:val="center"/>
              <w:rPr>
                <w:rFonts w:ascii="Times New Roman" w:hAnsi="Times New Roman" w:cs="Times New Roman"/>
                <w:color w:val="000000" w:themeColor="text1"/>
              </w:rPr>
            </w:pPr>
            <w:r w:rsidRPr="002657D1">
              <w:rPr>
                <w:rFonts w:ascii="Times New Roman" w:eastAsiaTheme="minorEastAsia" w:hAnsi="Times New Roman" w:cs="Times New Roman"/>
                <w:color w:val="000000" w:themeColor="text1"/>
                <w:kern w:val="24"/>
              </w:rPr>
              <w:t>Li/</w:t>
            </w:r>
            <w:proofErr w:type="spellStart"/>
            <w:r w:rsidRPr="002657D1">
              <w:rPr>
                <w:rFonts w:ascii="Times New Roman" w:eastAsiaTheme="minorEastAsia" w:hAnsi="Times New Roman" w:cs="Times New Roman"/>
                <w:color w:val="000000" w:themeColor="text1"/>
                <w:kern w:val="24"/>
              </w:rPr>
              <w:t>LiAlCl</w:t>
            </w:r>
            <w:proofErr w:type="spellEnd"/>
            <w:r w:rsidRPr="002657D1">
              <w:rPr>
                <w:rFonts w:ascii="Times New Roman" w:eastAsiaTheme="minorEastAsia" w:hAnsi="Times New Roman" w:cs="Times New Roman"/>
                <w:color w:val="000000" w:themeColor="text1"/>
                <w:kern w:val="24"/>
                <w:position w:val="-4"/>
                <w:vertAlign w:val="subscript"/>
              </w:rPr>
              <w:t>4</w:t>
            </w:r>
            <w:r w:rsidRPr="002657D1">
              <w:rPr>
                <w:rFonts w:ascii="Times New Roman" w:eastAsiaTheme="minorEastAsia" w:hAnsi="Times New Roman" w:cs="Times New Roman"/>
                <w:color w:val="000000" w:themeColor="text1"/>
                <w:kern w:val="24"/>
              </w:rPr>
              <w:t>/Li</w:t>
            </w:r>
          </w:p>
        </w:tc>
        <w:tc>
          <w:tcPr>
            <w:tcW w:w="1310" w:type="dxa"/>
            <w:tcBorders>
              <w:top w:val="nil"/>
              <w:left w:val="nil"/>
              <w:bottom w:val="nil"/>
              <w:right w:val="nil"/>
            </w:tcBorders>
            <w:vAlign w:val="center"/>
          </w:tcPr>
          <w:p w14:paraId="4ABA6BD3" w14:textId="1A0549EF"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0.1</w:t>
            </w:r>
          </w:p>
        </w:tc>
        <w:tc>
          <w:tcPr>
            <w:tcW w:w="1701" w:type="dxa"/>
            <w:tcBorders>
              <w:top w:val="nil"/>
              <w:left w:val="nil"/>
              <w:bottom w:val="nil"/>
              <w:right w:val="nil"/>
            </w:tcBorders>
            <w:vAlign w:val="center"/>
          </w:tcPr>
          <w:p w14:paraId="6CC75790" w14:textId="57F20793"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0.1</w:t>
            </w:r>
          </w:p>
        </w:tc>
        <w:tc>
          <w:tcPr>
            <w:tcW w:w="1276" w:type="dxa"/>
            <w:tcBorders>
              <w:top w:val="nil"/>
              <w:left w:val="nil"/>
              <w:bottom w:val="nil"/>
              <w:right w:val="nil"/>
            </w:tcBorders>
            <w:vAlign w:val="center"/>
          </w:tcPr>
          <w:p w14:paraId="36772E51" w14:textId="7B19839E"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80</w:t>
            </w:r>
          </w:p>
        </w:tc>
        <w:tc>
          <w:tcPr>
            <w:tcW w:w="1842" w:type="dxa"/>
            <w:tcBorders>
              <w:top w:val="nil"/>
              <w:left w:val="nil"/>
              <w:bottom w:val="nil"/>
              <w:right w:val="nil"/>
            </w:tcBorders>
          </w:tcPr>
          <w:p w14:paraId="2E0E661F" w14:textId="5C6F6173" w:rsidR="00F7477F" w:rsidRPr="002657D1" w:rsidRDefault="005967A7"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8</w:t>
            </w:r>
          </w:p>
        </w:tc>
        <w:tc>
          <w:tcPr>
            <w:tcW w:w="1701" w:type="dxa"/>
            <w:tcBorders>
              <w:top w:val="nil"/>
              <w:left w:val="nil"/>
              <w:bottom w:val="nil"/>
              <w:right w:val="nil"/>
            </w:tcBorders>
            <w:vAlign w:val="center"/>
          </w:tcPr>
          <w:p w14:paraId="1538AEC6" w14:textId="518D1FEB"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25</w:t>
            </w:r>
          </w:p>
        </w:tc>
        <w:tc>
          <w:tcPr>
            <w:tcW w:w="1276" w:type="dxa"/>
            <w:tcBorders>
              <w:top w:val="nil"/>
              <w:left w:val="nil"/>
              <w:bottom w:val="nil"/>
              <w:right w:val="nil"/>
            </w:tcBorders>
            <w:vAlign w:val="center"/>
          </w:tcPr>
          <w:p w14:paraId="3A959123" w14:textId="13B336CA" w:rsidR="00F7477F" w:rsidRPr="002657D1" w:rsidRDefault="00F7477F" w:rsidP="00025586">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fldChar w:fldCharType="begin"/>
            </w:r>
            <w:r w:rsidR="00E725CF" w:rsidRPr="002657D1">
              <w:rPr>
                <w:rFonts w:ascii="Times New Roman" w:hAnsi="Times New Roman" w:cs="Times New Roman"/>
                <w:b/>
                <w:bCs/>
                <w:color w:val="000000" w:themeColor="text1"/>
                <w:sz w:val="24"/>
                <w:szCs w:val="24"/>
              </w:rPr>
              <w:instrText xml:space="preserve"> ADDIN ZOTERO_ITEM CSL_CITATION {"citationID":"BzPLiqzc","properties":{"formattedCitation":"\\super 55\\nosupersub{}","plainCitation":"55","noteIndex":0},"citationItems":[{"id":"IXaoCdHi/PCtXQGzH","uris":["http://zotero.org/users/local/As3BANDe/items/H25C2D4S"],"itemData":{"id":4691,"type":"article-journal","abstract":"Dense solid electrolytes in all-solid-state Li batteries are expected to suppress Li dendrite phenomena that prevent the application of high-energy-density Li metal electrodes. However, voids and cracks in sintered electrolytes still permit short-circuiting due to Li dendrites. This study aimed to investigate solid electrolytes with high formability in which green compacts can prevent Li dendrites. Li+ ion migration energies, bulk moduli, and energies above the hull were comprehensively investigated using ﬁrst-principles and classical force ﬁeld calculations as the indicators for ionic conductivity, formability, and thermodynamic stability. The 231 compounds containing Li and Cl listed in the Materials Project database were studied due to their high polarizability and weak Coulombic interaction with Li+ ions. Among them, monoclinic LiAlCl4 (LAC, S.G.: P121/c1) was focused on, owing to its low values of all three indicators. A mechanochemical synthesis was attempted to prepare the metastable phase, where Li ions occupy the interstitial sites, not just the original sites, because the computation for the migration energy suggested conductive pathways between the original Li sites. XRD and 7Li-MAS NMR measurements indicated that the mechanochemically synthesized LAC possessed a monoclinic host structure, while 2.5% Li occupied interstitial tetrahedral sites. Impedance measurements showed that the LAC green compacts exhibited an ionic conductivity of 2.1 × 10−5 S cm−1, 20 times higher than the conventional solid-state synthesized LAC at room temperature. The conductivity was more than one order of magnitude higher than that of garnet-type Li6.6La3Zr1.6Ta0.4O12 (LLZT), which has been attractive for the application of the sintered body for Li metal electrodes. The SEM observations and distribution of relaxation times analysis indicated that dense LAC green compacts with large necking between the particles contributed minimal grain-boundary resistance (7.5%) to the total resistance, while the LLZT green compacts contributed almost completely (99%). Li metal symmetric cells using the LAC pellet showed good cycle performance without short-circuiting and an overvoltage increase for 70 cycles at a current density of 0.1 mA cm−2, while short circuiting occurred at the 1st cycle in the LLZT cells.","container-title":"ACS Materials Letters","DOI":"10.1021/acsmaterialslett.0c00127","ISSN":"2639-4979, 2639-4979","issue":"8","journalAbbreviation":"ACS Materials Lett.","language":"en","license":"https://doi.org/10.15223/policy-029","page":"880-886","source":"DOI.org (Crossref)","title":"Metastable Chloride Solid Electrolyte with High Formability for Rechargeable All-Solid-State Lithium Metal Batteries","volume":"2","author":[{"family":"Tanibata","given":"Naoto"},{"family":"Takimoto","given":"Shuta"},{"family":"Nakano","given":"Koki"},{"family":"Takeda","given":"Hayami"},{"family":"Nakayama","given":"Masanobu"},{"family":"Sumi","given":"Hirofumi"}],"issued":{"date-parts":[["2020",8,3]]}}}],"schema":"https://github.com/citation-style-language/schema/raw/master/csl-citation.json"} </w:instrText>
            </w:r>
            <w:r w:rsidRPr="002657D1">
              <w:rPr>
                <w:rFonts w:ascii="Times New Roman" w:hAnsi="Times New Roman" w:cs="Times New Roman"/>
                <w:b/>
                <w:bCs/>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55</w:t>
            </w:r>
            <w:r w:rsidRPr="002657D1">
              <w:rPr>
                <w:rFonts w:ascii="Times New Roman" w:hAnsi="Times New Roman" w:cs="Times New Roman"/>
                <w:b/>
                <w:bCs/>
                <w:color w:val="000000" w:themeColor="text1"/>
                <w:sz w:val="24"/>
                <w:szCs w:val="24"/>
              </w:rPr>
              <w:fldChar w:fldCharType="end"/>
            </w:r>
          </w:p>
        </w:tc>
      </w:tr>
      <w:tr w:rsidR="002657D1" w:rsidRPr="002657D1" w14:paraId="35A3C6A2" w14:textId="77777777" w:rsidTr="009C3A29">
        <w:trPr>
          <w:jc w:val="center"/>
        </w:trPr>
        <w:tc>
          <w:tcPr>
            <w:tcW w:w="2943" w:type="dxa"/>
            <w:tcBorders>
              <w:top w:val="nil"/>
              <w:left w:val="nil"/>
              <w:bottom w:val="nil"/>
              <w:right w:val="nil"/>
            </w:tcBorders>
            <w:vAlign w:val="center"/>
          </w:tcPr>
          <w:p w14:paraId="42A6F73A" w14:textId="5B44F67C" w:rsidR="00F7477F" w:rsidRPr="002657D1" w:rsidRDefault="00F7477F" w:rsidP="0096057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Li/Li</w:t>
            </w:r>
            <w:r w:rsidRPr="002657D1">
              <w:rPr>
                <w:rFonts w:ascii="Times New Roman" w:hAnsi="Times New Roman" w:cs="Times New Roman"/>
                <w:color w:val="000000" w:themeColor="text1"/>
                <w:kern w:val="24"/>
                <w:position w:val="-4"/>
                <w:sz w:val="24"/>
                <w:szCs w:val="24"/>
                <w:vertAlign w:val="subscript"/>
              </w:rPr>
              <w:t>3</w:t>
            </w:r>
            <w:proofErr w:type="spellStart"/>
            <w:r w:rsidRPr="002657D1">
              <w:rPr>
                <w:rFonts w:ascii="Times New Roman" w:hAnsi="Times New Roman" w:cs="Times New Roman"/>
                <w:color w:val="000000" w:themeColor="text1"/>
                <w:kern w:val="24"/>
                <w:sz w:val="24"/>
                <w:szCs w:val="24"/>
              </w:rPr>
              <w:t>ScCl</w:t>
            </w:r>
            <w:proofErr w:type="spellEnd"/>
            <w:r w:rsidRPr="002657D1">
              <w:rPr>
                <w:rFonts w:ascii="Times New Roman" w:hAnsi="Times New Roman" w:cs="Times New Roman"/>
                <w:color w:val="000000" w:themeColor="text1"/>
                <w:kern w:val="24"/>
                <w:position w:val="-4"/>
                <w:sz w:val="24"/>
                <w:szCs w:val="24"/>
                <w:vertAlign w:val="subscript"/>
              </w:rPr>
              <w:t>6</w:t>
            </w:r>
            <w:r w:rsidRPr="002657D1">
              <w:rPr>
                <w:rFonts w:ascii="Times New Roman" w:hAnsi="Times New Roman" w:cs="Times New Roman"/>
                <w:color w:val="000000" w:themeColor="text1"/>
                <w:kern w:val="24"/>
                <w:sz w:val="24"/>
                <w:szCs w:val="24"/>
              </w:rPr>
              <w:t>/Li</w:t>
            </w:r>
          </w:p>
        </w:tc>
        <w:tc>
          <w:tcPr>
            <w:tcW w:w="1310" w:type="dxa"/>
            <w:tcBorders>
              <w:top w:val="nil"/>
              <w:left w:val="nil"/>
              <w:bottom w:val="nil"/>
              <w:right w:val="nil"/>
            </w:tcBorders>
            <w:vAlign w:val="center"/>
          </w:tcPr>
          <w:p w14:paraId="1A674AC8" w14:textId="7FB0EC21"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0.1</w:t>
            </w:r>
          </w:p>
        </w:tc>
        <w:tc>
          <w:tcPr>
            <w:tcW w:w="1701" w:type="dxa"/>
            <w:tcBorders>
              <w:top w:val="nil"/>
              <w:left w:val="nil"/>
              <w:bottom w:val="nil"/>
              <w:right w:val="nil"/>
            </w:tcBorders>
            <w:vAlign w:val="center"/>
          </w:tcPr>
          <w:p w14:paraId="07ACA4EA" w14:textId="755C096B" w:rsidR="00F7477F" w:rsidRPr="002657D1" w:rsidRDefault="005967A7"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hint="eastAsia"/>
                <w:color w:val="000000" w:themeColor="text1"/>
                <w:kern w:val="24"/>
                <w:sz w:val="24"/>
                <w:szCs w:val="24"/>
              </w:rPr>
              <w:t>0.5</w:t>
            </w:r>
          </w:p>
        </w:tc>
        <w:tc>
          <w:tcPr>
            <w:tcW w:w="1276" w:type="dxa"/>
            <w:tcBorders>
              <w:top w:val="nil"/>
              <w:left w:val="nil"/>
              <w:bottom w:val="nil"/>
              <w:right w:val="nil"/>
            </w:tcBorders>
            <w:vAlign w:val="center"/>
          </w:tcPr>
          <w:p w14:paraId="053F58B6" w14:textId="66E23D23" w:rsidR="00F7477F" w:rsidRPr="002657D1" w:rsidRDefault="005967A7"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hint="eastAsia"/>
                <w:color w:val="000000" w:themeColor="text1"/>
                <w:kern w:val="24"/>
                <w:sz w:val="24"/>
                <w:szCs w:val="24"/>
              </w:rPr>
              <w:t>280</w:t>
            </w:r>
          </w:p>
        </w:tc>
        <w:tc>
          <w:tcPr>
            <w:tcW w:w="1842" w:type="dxa"/>
            <w:tcBorders>
              <w:top w:val="nil"/>
              <w:left w:val="nil"/>
              <w:bottom w:val="nil"/>
              <w:right w:val="nil"/>
            </w:tcBorders>
          </w:tcPr>
          <w:p w14:paraId="69476523" w14:textId="6AB64EF7" w:rsidR="00F7477F" w:rsidRPr="002657D1" w:rsidRDefault="005967A7"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140</w:t>
            </w:r>
          </w:p>
        </w:tc>
        <w:tc>
          <w:tcPr>
            <w:tcW w:w="1701" w:type="dxa"/>
            <w:tcBorders>
              <w:top w:val="nil"/>
              <w:left w:val="nil"/>
              <w:bottom w:val="nil"/>
              <w:right w:val="nil"/>
            </w:tcBorders>
            <w:vAlign w:val="center"/>
          </w:tcPr>
          <w:p w14:paraId="6A3AFE54" w14:textId="79706E61"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25</w:t>
            </w:r>
          </w:p>
        </w:tc>
        <w:tc>
          <w:tcPr>
            <w:tcW w:w="1276" w:type="dxa"/>
            <w:tcBorders>
              <w:top w:val="nil"/>
              <w:left w:val="nil"/>
              <w:bottom w:val="nil"/>
              <w:right w:val="nil"/>
            </w:tcBorders>
            <w:vAlign w:val="center"/>
          </w:tcPr>
          <w:p w14:paraId="743BCFE7" w14:textId="0881B475" w:rsidR="00F7477F" w:rsidRPr="002657D1" w:rsidRDefault="00F7477F" w:rsidP="00025586">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fldChar w:fldCharType="begin"/>
            </w:r>
            <w:r w:rsidRPr="002657D1">
              <w:rPr>
                <w:rFonts w:ascii="Times New Roman" w:hAnsi="Times New Roman" w:cs="Times New Roman"/>
                <w:b/>
                <w:bCs/>
                <w:color w:val="000000" w:themeColor="text1"/>
                <w:sz w:val="24"/>
                <w:szCs w:val="24"/>
              </w:rPr>
              <w:instrText xml:space="preserve"> ADDIN ZOTERO_ITEM CSL_CITATION {"citationID":"a174tke3oo4","properties":{"formattedCitation":"\\super 35\\nosupersub{}","plainCitation":"35","noteIndex":0},"citationItems":[{"id":1106,"uris":["http://zotero.org/users/local/J1vikkcu/items/SURXXNYN"],"itemData":{"id":1106,"type":"article-journal","container-title":"Journal of the American Chemical Society","DOI":"10.1021/jacs.0c00134","ISSN":"0002-7863, 1520-5126","issue":"15","journalAbbreviation":"J. Am. Chem. Soc.","language":"en","license":"https://doi.org/10.15223/policy-029","page":"7012-7022","source":"DOI.org (Crossref)","title":"Site-Occupation-Tuned Superionic Li&lt;sub&gt; &lt;i&gt;x&lt;/i&gt; &lt;/sub&gt; ScCl&lt;sub&gt; 3+ &lt;i&gt;x&lt;/i&gt; &lt;/sub&gt; Halide Solid Electrolytes for All-Solid-State Batteries","volume":"142","author":[{"family":"Liang","given":"Jianwen"},{"family":"Li","given":"Xiaona"},{"family":"Wang","given":"Shuo"},{"family":"Adair","given":"Keegan R."},{"family":"Li","given":"Weihan"},{"family":"Zhao","given":"Yang"},{"family":"Wang","given":"Changhong"},{"family":"Hu","given":"Yongfeng"},{"family":"Zhang","given":"Li"},{"family":"Zhao","given":"Shangqian"},{"family":"Lu","given":"Shigang"},{"family":"Huang","given":"Huan"},{"family":"Li","given":"Ruying"},{"family":"Mo","given":"Yifei"},{"family":"Sun","given":"Xueliang"}],"issued":{"date-parts":[["2020",4,15]]}}}],"schema":"https://github.com/citation-style-language/schema/raw/master/csl-citation.json"} </w:instrText>
            </w:r>
            <w:r w:rsidRPr="002657D1">
              <w:rPr>
                <w:rFonts w:ascii="Times New Roman" w:hAnsi="Times New Roman" w:cs="Times New Roman"/>
                <w:b/>
                <w:bCs/>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35</w:t>
            </w:r>
            <w:r w:rsidRPr="002657D1">
              <w:rPr>
                <w:rFonts w:ascii="Times New Roman" w:hAnsi="Times New Roman" w:cs="Times New Roman"/>
                <w:b/>
                <w:bCs/>
                <w:color w:val="000000" w:themeColor="text1"/>
                <w:sz w:val="24"/>
                <w:szCs w:val="24"/>
              </w:rPr>
              <w:fldChar w:fldCharType="end"/>
            </w:r>
          </w:p>
        </w:tc>
      </w:tr>
      <w:tr w:rsidR="002657D1" w:rsidRPr="002657D1" w14:paraId="42EB14DE" w14:textId="77777777" w:rsidTr="009C3A29">
        <w:trPr>
          <w:jc w:val="center"/>
        </w:trPr>
        <w:tc>
          <w:tcPr>
            <w:tcW w:w="2943" w:type="dxa"/>
            <w:tcBorders>
              <w:top w:val="nil"/>
              <w:left w:val="nil"/>
              <w:bottom w:val="nil"/>
              <w:right w:val="nil"/>
            </w:tcBorders>
            <w:vAlign w:val="center"/>
          </w:tcPr>
          <w:p w14:paraId="6707F61D" w14:textId="7CF5D8FA" w:rsidR="00F7477F" w:rsidRPr="002657D1" w:rsidRDefault="00F7477F" w:rsidP="0096057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Li/Li</w:t>
            </w:r>
            <w:r w:rsidRPr="002657D1">
              <w:rPr>
                <w:rFonts w:ascii="Times New Roman" w:hAnsi="Times New Roman" w:cs="Times New Roman"/>
                <w:color w:val="000000" w:themeColor="text1"/>
                <w:kern w:val="24"/>
                <w:position w:val="-4"/>
                <w:sz w:val="24"/>
                <w:szCs w:val="24"/>
                <w:vertAlign w:val="subscript"/>
              </w:rPr>
              <w:t>3</w:t>
            </w:r>
            <w:proofErr w:type="spellStart"/>
            <w:r w:rsidRPr="002657D1">
              <w:rPr>
                <w:rFonts w:ascii="Times New Roman" w:hAnsi="Times New Roman" w:cs="Times New Roman"/>
                <w:color w:val="000000" w:themeColor="text1"/>
                <w:kern w:val="24"/>
                <w:sz w:val="24"/>
                <w:szCs w:val="24"/>
              </w:rPr>
              <w:t>HoBr</w:t>
            </w:r>
            <w:proofErr w:type="spellEnd"/>
            <w:r w:rsidRPr="002657D1">
              <w:rPr>
                <w:rFonts w:ascii="Times New Roman" w:hAnsi="Times New Roman" w:cs="Times New Roman"/>
                <w:color w:val="000000" w:themeColor="text1"/>
                <w:kern w:val="24"/>
                <w:position w:val="-4"/>
                <w:sz w:val="24"/>
                <w:szCs w:val="24"/>
                <w:vertAlign w:val="subscript"/>
              </w:rPr>
              <w:t>3</w:t>
            </w:r>
            <w:r w:rsidRPr="002657D1">
              <w:rPr>
                <w:rFonts w:ascii="Times New Roman" w:hAnsi="Times New Roman" w:cs="Times New Roman"/>
                <w:color w:val="000000" w:themeColor="text1"/>
                <w:kern w:val="24"/>
                <w:sz w:val="24"/>
                <w:szCs w:val="24"/>
              </w:rPr>
              <w:t>Cl</w:t>
            </w:r>
            <w:r w:rsidRPr="002657D1">
              <w:rPr>
                <w:rFonts w:ascii="Times New Roman" w:hAnsi="Times New Roman" w:cs="Times New Roman"/>
                <w:color w:val="000000" w:themeColor="text1"/>
                <w:kern w:val="24"/>
                <w:position w:val="-4"/>
                <w:sz w:val="24"/>
                <w:szCs w:val="24"/>
                <w:vertAlign w:val="subscript"/>
              </w:rPr>
              <w:t>3</w:t>
            </w:r>
            <w:r w:rsidRPr="002657D1">
              <w:rPr>
                <w:rFonts w:ascii="Times New Roman" w:hAnsi="Times New Roman" w:cs="Times New Roman"/>
                <w:color w:val="000000" w:themeColor="text1"/>
                <w:kern w:val="24"/>
                <w:sz w:val="24"/>
                <w:szCs w:val="24"/>
              </w:rPr>
              <w:t>/Li</w:t>
            </w:r>
          </w:p>
        </w:tc>
        <w:tc>
          <w:tcPr>
            <w:tcW w:w="1310" w:type="dxa"/>
            <w:tcBorders>
              <w:top w:val="nil"/>
              <w:left w:val="nil"/>
              <w:bottom w:val="nil"/>
              <w:right w:val="nil"/>
            </w:tcBorders>
            <w:vAlign w:val="center"/>
          </w:tcPr>
          <w:p w14:paraId="37799864" w14:textId="25E2C311"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0.1</w:t>
            </w:r>
          </w:p>
        </w:tc>
        <w:tc>
          <w:tcPr>
            <w:tcW w:w="1701" w:type="dxa"/>
            <w:tcBorders>
              <w:top w:val="nil"/>
              <w:left w:val="nil"/>
              <w:bottom w:val="nil"/>
              <w:right w:val="nil"/>
            </w:tcBorders>
            <w:vAlign w:val="center"/>
          </w:tcPr>
          <w:p w14:paraId="4ED816B5" w14:textId="076232D4"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0.1</w:t>
            </w:r>
          </w:p>
        </w:tc>
        <w:tc>
          <w:tcPr>
            <w:tcW w:w="1276" w:type="dxa"/>
            <w:tcBorders>
              <w:top w:val="nil"/>
              <w:left w:val="nil"/>
              <w:bottom w:val="nil"/>
              <w:right w:val="nil"/>
            </w:tcBorders>
            <w:vAlign w:val="center"/>
          </w:tcPr>
          <w:p w14:paraId="52EC0A8D" w14:textId="5D44A5B6"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400</w:t>
            </w:r>
          </w:p>
        </w:tc>
        <w:tc>
          <w:tcPr>
            <w:tcW w:w="1842" w:type="dxa"/>
            <w:tcBorders>
              <w:top w:val="nil"/>
              <w:left w:val="nil"/>
              <w:bottom w:val="nil"/>
              <w:right w:val="nil"/>
            </w:tcBorders>
          </w:tcPr>
          <w:p w14:paraId="5FD1D9F9" w14:textId="442D357F" w:rsidR="00F7477F" w:rsidRPr="002657D1" w:rsidRDefault="005967A7"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40</w:t>
            </w:r>
          </w:p>
        </w:tc>
        <w:tc>
          <w:tcPr>
            <w:tcW w:w="1701" w:type="dxa"/>
            <w:tcBorders>
              <w:top w:val="nil"/>
              <w:left w:val="nil"/>
              <w:bottom w:val="nil"/>
              <w:right w:val="nil"/>
            </w:tcBorders>
            <w:vAlign w:val="center"/>
          </w:tcPr>
          <w:p w14:paraId="445D932C" w14:textId="72FFF11D"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25</w:t>
            </w:r>
          </w:p>
        </w:tc>
        <w:tc>
          <w:tcPr>
            <w:tcW w:w="1276" w:type="dxa"/>
            <w:tcBorders>
              <w:top w:val="nil"/>
              <w:left w:val="nil"/>
              <w:bottom w:val="nil"/>
              <w:right w:val="nil"/>
            </w:tcBorders>
            <w:vAlign w:val="center"/>
          </w:tcPr>
          <w:p w14:paraId="54E3D18E" w14:textId="1DC85E66" w:rsidR="00F7477F" w:rsidRPr="002657D1" w:rsidRDefault="00F7477F" w:rsidP="00025586">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fldChar w:fldCharType="begin"/>
            </w:r>
            <w:r w:rsidR="00E725CF" w:rsidRPr="002657D1">
              <w:rPr>
                <w:rFonts w:ascii="Times New Roman" w:hAnsi="Times New Roman" w:cs="Times New Roman"/>
                <w:b/>
                <w:bCs/>
                <w:color w:val="000000" w:themeColor="text1"/>
                <w:sz w:val="24"/>
                <w:szCs w:val="24"/>
              </w:rPr>
              <w:instrText xml:space="preserve"> ADDIN ZOTERO_ITEM CSL_CITATION {"citationID":"wFxmH0d4","properties":{"formattedCitation":"\\super 56\\nosupersub{}","plainCitation":"56","noteIndex":0},"citationItems":[{"id":"IXaoCdHi/wRItwOg9","uris":["http://zotero.org/users/local/As3BANDe/items/2CNUMYTU"],"itemData":{"id":4695,"type":"article-journal","abstract":"Halide solid-state electrolytes have attracted much attention due to their high ionic conductivity, good deformability, and chemical stability with cathode materials, but their instability with lithium metal has seriously hindered further development in all-solid-state batteries. In this study, the Li3HoBr6 electrolyte was doped with Cl− with high electronegativity to further improve the interface stability between the electrolyte and lithium metal, while maintaining the original monoclinic structure of Li3HoBr6 and the ionic conductivity of the electrolyte (1.71 × 10−3 S cm−1) without sacrificing the ionic conductivity of the electrolyte. The assembled Li/Li3HoBr3Cl3/Li symmetric cell (0.1 mA cm−2) was stably cycled for more than 800 h in a small overpotential state (0.26 V). Further research has shown that halide solid electrolytes are always unstable for metallic lithium, but Cl−-substituted Li3HoBr3Cl3 electrolytes can effectively inhibit the generation of lithium bromide at the interface between halides and metallic lithium, which can improve the interface stability. The study demonstrates that changing the electronegativity of the halogenated elements in the electrolyte lattice will have a profound effect on ion transport in the bulk phase and on the intrinsic redox properties of the electrolyte.","container-title":"ACS Applied Energy Materials","DOI":"10.1021/acsaem.3c02855","ISSN":"2574-0962, 2574-0962","issue":"9","journalAbbreviation":"ACS Appl. Energy Mater.","language":"en","license":"https://doi.org/10.15223/policy-029","page":"3550-3557","source":"DOI.org (Crossref)","title":"Improving the Stability of Li&lt;sub&gt;3&lt;/sub&gt; HoBr&lt;sub&gt;6&lt;/sub&gt; on Metallic Lithium by Using a Double-Halogen Strategy","volume":"7","author":[{"family":"Li","given":"Bo"},{"family":"Xian","given":"Lei"},{"family":"Peng","given":"Jun"},{"family":"Kong","given":"Ling-Bin"}],"issued":{"date-parts":[["2024",5,13]]}}}],"schema":"https://github.com/citation-style-language/schema/raw/master/csl-citation.json"} </w:instrText>
            </w:r>
            <w:r w:rsidRPr="002657D1">
              <w:rPr>
                <w:rFonts w:ascii="Times New Roman" w:hAnsi="Times New Roman" w:cs="Times New Roman"/>
                <w:b/>
                <w:bCs/>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56</w:t>
            </w:r>
            <w:r w:rsidRPr="002657D1">
              <w:rPr>
                <w:rFonts w:ascii="Times New Roman" w:hAnsi="Times New Roman" w:cs="Times New Roman"/>
                <w:b/>
                <w:bCs/>
                <w:color w:val="000000" w:themeColor="text1"/>
                <w:sz w:val="24"/>
                <w:szCs w:val="24"/>
              </w:rPr>
              <w:fldChar w:fldCharType="end"/>
            </w:r>
          </w:p>
        </w:tc>
      </w:tr>
      <w:tr w:rsidR="002657D1" w:rsidRPr="002657D1" w14:paraId="4A4499DD" w14:textId="77777777" w:rsidTr="009C3A29">
        <w:trPr>
          <w:jc w:val="center"/>
        </w:trPr>
        <w:tc>
          <w:tcPr>
            <w:tcW w:w="2943" w:type="dxa"/>
            <w:tcBorders>
              <w:top w:val="nil"/>
              <w:left w:val="nil"/>
              <w:bottom w:val="nil"/>
              <w:right w:val="nil"/>
            </w:tcBorders>
            <w:vAlign w:val="center"/>
          </w:tcPr>
          <w:p w14:paraId="5FC5B72F" w14:textId="56D9036F" w:rsidR="005967A7" w:rsidRPr="002657D1" w:rsidRDefault="005967A7" w:rsidP="0096057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Li/Li</w:t>
            </w:r>
            <w:r w:rsidRPr="002657D1">
              <w:rPr>
                <w:rFonts w:ascii="Times New Roman" w:hAnsi="Times New Roman" w:cs="Times New Roman"/>
                <w:color w:val="000000" w:themeColor="text1"/>
                <w:kern w:val="24"/>
                <w:sz w:val="24"/>
                <w:szCs w:val="24"/>
                <w:vertAlign w:val="subscript"/>
              </w:rPr>
              <w:t>3</w:t>
            </w:r>
            <w:r w:rsidRPr="002657D1">
              <w:rPr>
                <w:rFonts w:ascii="Times New Roman" w:hAnsi="Times New Roman" w:cs="Times New Roman" w:hint="eastAsia"/>
                <w:color w:val="000000" w:themeColor="text1"/>
                <w:kern w:val="24"/>
                <w:sz w:val="24"/>
                <w:szCs w:val="24"/>
              </w:rPr>
              <w:t>YBr</w:t>
            </w:r>
            <w:r w:rsidRPr="002657D1">
              <w:rPr>
                <w:rFonts w:ascii="Times New Roman" w:hAnsi="Times New Roman" w:cs="Times New Roman"/>
                <w:color w:val="000000" w:themeColor="text1"/>
                <w:kern w:val="24"/>
                <w:sz w:val="24"/>
                <w:szCs w:val="24"/>
                <w:vertAlign w:val="subscript"/>
              </w:rPr>
              <w:t>6</w:t>
            </w:r>
            <w:r w:rsidRPr="002657D1">
              <w:rPr>
                <w:rFonts w:ascii="Times New Roman" w:hAnsi="Times New Roman" w:cs="Times New Roman" w:hint="eastAsia"/>
                <w:color w:val="000000" w:themeColor="text1"/>
                <w:kern w:val="24"/>
                <w:sz w:val="24"/>
                <w:szCs w:val="24"/>
              </w:rPr>
              <w:t>/Li</w:t>
            </w:r>
          </w:p>
        </w:tc>
        <w:tc>
          <w:tcPr>
            <w:tcW w:w="1310" w:type="dxa"/>
            <w:tcBorders>
              <w:top w:val="nil"/>
              <w:left w:val="nil"/>
              <w:bottom w:val="nil"/>
              <w:right w:val="nil"/>
            </w:tcBorders>
            <w:vAlign w:val="center"/>
          </w:tcPr>
          <w:p w14:paraId="3F117917" w14:textId="30A489DE" w:rsidR="005967A7" w:rsidRPr="002657D1" w:rsidRDefault="005967A7"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0.1</w:t>
            </w:r>
          </w:p>
        </w:tc>
        <w:tc>
          <w:tcPr>
            <w:tcW w:w="1701" w:type="dxa"/>
            <w:tcBorders>
              <w:top w:val="nil"/>
              <w:left w:val="nil"/>
              <w:bottom w:val="nil"/>
              <w:right w:val="nil"/>
            </w:tcBorders>
            <w:vAlign w:val="center"/>
          </w:tcPr>
          <w:p w14:paraId="1C5F3A3B" w14:textId="5DD8943B" w:rsidR="005967A7" w:rsidRPr="002657D1" w:rsidRDefault="005967A7"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0.1</w:t>
            </w:r>
          </w:p>
        </w:tc>
        <w:tc>
          <w:tcPr>
            <w:tcW w:w="1276" w:type="dxa"/>
            <w:tcBorders>
              <w:top w:val="nil"/>
              <w:left w:val="nil"/>
              <w:bottom w:val="nil"/>
              <w:right w:val="nil"/>
            </w:tcBorders>
            <w:vAlign w:val="center"/>
          </w:tcPr>
          <w:p w14:paraId="0C4998DE" w14:textId="55748E45" w:rsidR="005967A7" w:rsidRPr="002657D1" w:rsidRDefault="005967A7"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250</w:t>
            </w:r>
          </w:p>
        </w:tc>
        <w:tc>
          <w:tcPr>
            <w:tcW w:w="1842" w:type="dxa"/>
            <w:tcBorders>
              <w:top w:val="nil"/>
              <w:left w:val="nil"/>
              <w:bottom w:val="nil"/>
              <w:right w:val="nil"/>
            </w:tcBorders>
          </w:tcPr>
          <w:p w14:paraId="7E7A2F4C" w14:textId="068B193A" w:rsidR="005967A7" w:rsidRPr="002657D1" w:rsidRDefault="005967A7"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25</w:t>
            </w:r>
          </w:p>
        </w:tc>
        <w:tc>
          <w:tcPr>
            <w:tcW w:w="1701" w:type="dxa"/>
            <w:tcBorders>
              <w:top w:val="nil"/>
              <w:left w:val="nil"/>
              <w:bottom w:val="nil"/>
              <w:right w:val="nil"/>
            </w:tcBorders>
            <w:vAlign w:val="center"/>
          </w:tcPr>
          <w:p w14:paraId="30756EB9" w14:textId="56CD1932" w:rsidR="005967A7" w:rsidRPr="002657D1" w:rsidRDefault="004321C5"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25</w:t>
            </w:r>
          </w:p>
        </w:tc>
        <w:tc>
          <w:tcPr>
            <w:tcW w:w="1276" w:type="dxa"/>
            <w:tcBorders>
              <w:top w:val="nil"/>
              <w:left w:val="nil"/>
              <w:bottom w:val="nil"/>
              <w:right w:val="nil"/>
            </w:tcBorders>
            <w:vAlign w:val="center"/>
          </w:tcPr>
          <w:p w14:paraId="24256947" w14:textId="7FB40A70" w:rsidR="005967A7" w:rsidRPr="002657D1" w:rsidRDefault="00403882" w:rsidP="00025586">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fldChar w:fldCharType="begin"/>
            </w:r>
            <w:r w:rsidR="00E725CF" w:rsidRPr="002657D1">
              <w:rPr>
                <w:rFonts w:ascii="Times New Roman" w:hAnsi="Times New Roman" w:cs="Times New Roman"/>
                <w:b/>
                <w:bCs/>
                <w:color w:val="000000" w:themeColor="text1"/>
                <w:sz w:val="24"/>
                <w:szCs w:val="24"/>
              </w:rPr>
              <w:instrText xml:space="preserve"> ADDIN ZOTERO_ITEM CSL_CITATION {"citationID":"udm6IaGb","properties":{"formattedCitation":"\\super 28\\nosupersub{}","plainCitation":"28","noteIndex":0},"citationItems":[{"id":"IXaoCdHi/nusVTCKG","uris":["http://zotero.org/users/local/As3BANDe/items/PGQE</w:instrText>
            </w:r>
            <w:r w:rsidR="00E725CF" w:rsidRPr="002657D1">
              <w:rPr>
                <w:rFonts w:ascii="Times New Roman" w:hAnsi="Times New Roman" w:cs="Times New Roman" w:hint="eastAsia"/>
                <w:b/>
                <w:bCs/>
                <w:color w:val="000000" w:themeColor="text1"/>
                <w:sz w:val="24"/>
                <w:szCs w:val="24"/>
              </w:rPr>
              <w:instrText>PSXT"],"itemData":{"id":2814,"type":"article-journal","abstract":"Abstract\n            \n              The halide solid</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state electrolytes (SSEs) have received significant attention due to their high ionic conductivity and desirable compatibility with ca</w:instrText>
            </w:r>
            <w:r w:rsidR="00E725CF" w:rsidRPr="002657D1">
              <w:rPr>
                <w:rFonts w:ascii="Times New Roman" w:hAnsi="Times New Roman" w:cs="Times New Roman"/>
                <w:b/>
                <w:bCs/>
                <w:color w:val="000000" w:themeColor="text1"/>
                <w:sz w:val="24"/>
                <w:szCs w:val="24"/>
              </w:rPr>
              <w:instrText>thode materials. However, the reduction potential of the halide is still &gt;0.6 V (versus Li/Li\n              +\n              ). Reduction stability is still one of the challenges that need to be addressed. The fluorides have a wide electrochemical stability window due to the large electronegativity of F\n              –\n              . In contrast, Li\n              3\n              YBr\n              6\n              (LYB) bromides have a narrower electrochemical window, although they have high lithium</w:instrText>
            </w:r>
            <w:r w:rsidR="00E725CF" w:rsidRPr="002657D1">
              <w:rPr>
                <w:rFonts w:ascii="Times New Roman" w:hAnsi="Times New Roman" w:cs="Times New Roman" w:hint="eastAsia"/>
                <w:b/>
                <w:bCs/>
                <w:color w:val="000000" w:themeColor="text1"/>
                <w:sz w:val="24"/>
                <w:szCs w:val="24"/>
              </w:rPr>
              <w:instrText xml:space="preserve"> ion conductivity (&gt;10\n              </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 xml:space="preserve">3\n              S cm\n              </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1\n              ). Herein, a fluorine doping strategy is employed. The interfacial stability between fluoride</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 xml:space="preserve">doped bromides and lithium metal is researched by cycling of lithium symmetric cells. Li plating/stripping can maintain over 1000 h at 0.75 mA cm\n              </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2\n              . Interfacial protection mechanisms investigated by X</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ray photoelectron spectroscopy. A fluoride</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rich interfacial layer is formed in situ durin</w:instrText>
            </w:r>
            <w:r w:rsidR="00E725CF" w:rsidRPr="002657D1">
              <w:rPr>
                <w:rFonts w:ascii="Times New Roman" w:hAnsi="Times New Roman" w:cs="Times New Roman"/>
                <w:b/>
                <w:bCs/>
                <w:color w:val="000000" w:themeColor="text1"/>
                <w:sz w:val="24"/>
                <w:szCs w:val="24"/>
              </w:rPr>
              <w:instrText xml:space="preserve">g the cycle, which achieves inhibition of the reduction. The Li metal treated fluorine doping of LYB exhibits significant potential in full cells. In fact, the induction of a stable in situ interfacial layer by fluorine doping can effectively improve the </w:instrText>
            </w:r>
            <w:r w:rsidR="00E725CF" w:rsidRPr="002657D1">
              <w:rPr>
                <w:rFonts w:ascii="Times New Roman" w:hAnsi="Times New Roman" w:cs="Times New Roman" w:hint="eastAsia"/>
                <w:b/>
                <w:bCs/>
                <w:color w:val="000000" w:themeColor="text1"/>
                <w:sz w:val="24"/>
                <w:szCs w:val="24"/>
              </w:rPr>
              <w:instrText>interfacial stability of bromides to lithium metal. Fluorine</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doped modification offers a new attempt to realize lithium metal applications in all</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solid</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state lithium batteries.","container-title":"Advanced Energy Materials","DOI":"10.1002/aenm.202101915","ISSN":"1614-6832, 1614-6840","issue":"36","journalAbbreviation":"Advanced Energy Materials","language":"en","page":"2101915","source":"DOI.org (Crossref)","title":"Superionic Fluorinated Halide Solid Electrolytes for Highly Stable Li</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Metal in All</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Solid</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S</w:instrText>
            </w:r>
            <w:r w:rsidR="00E725CF" w:rsidRPr="002657D1">
              <w:rPr>
                <w:rFonts w:ascii="Times New Roman" w:hAnsi="Times New Roman" w:cs="Times New Roman"/>
                <w:b/>
                <w:bCs/>
                <w:color w:val="000000" w:themeColor="text1"/>
                <w:sz w:val="24"/>
                <w:szCs w:val="24"/>
              </w:rPr>
              <w:instrText xml:space="preserve">tate Li Batteries","volume":"11","author":[{"family":"Yu","given":"Tianwei"},{"family":"Liang","given":"Jianwen"},{"family":"Luo","given":"Liang"},{"family":"Wang","given":"Limin"},{"family":"Zhao","given":"Feipeng"},{"family":"Xu","given":"Guofeng"},{"family":"Bai","given":"Xiangtao"},{"family":"Yang","given":"Rong"},{"family":"Zhao","given":"Shangqian"},{"family":"Wang","given":"Jiantao"},{"family":"Yu","given":"Jinqiu"},{"family":"Sun","given":"Xueliang"}],"issued":{"date-parts":[["2021",9]]}}}],"schema":"https://github.com/citation-style-language/schema/raw/master/csl-citation.json"} </w:instrText>
            </w:r>
            <w:r w:rsidRPr="002657D1">
              <w:rPr>
                <w:rFonts w:ascii="Times New Roman" w:hAnsi="Times New Roman" w:cs="Times New Roman"/>
                <w:b/>
                <w:bCs/>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28</w:t>
            </w:r>
            <w:r w:rsidRPr="002657D1">
              <w:rPr>
                <w:rFonts w:ascii="Times New Roman" w:hAnsi="Times New Roman" w:cs="Times New Roman"/>
                <w:b/>
                <w:bCs/>
                <w:color w:val="000000" w:themeColor="text1"/>
                <w:sz w:val="24"/>
                <w:szCs w:val="24"/>
              </w:rPr>
              <w:fldChar w:fldCharType="end"/>
            </w:r>
          </w:p>
        </w:tc>
      </w:tr>
      <w:tr w:rsidR="002657D1" w:rsidRPr="002657D1" w14:paraId="437016BC" w14:textId="77777777" w:rsidTr="009C3A29">
        <w:trPr>
          <w:jc w:val="center"/>
        </w:trPr>
        <w:tc>
          <w:tcPr>
            <w:tcW w:w="2943" w:type="dxa"/>
            <w:tcBorders>
              <w:top w:val="nil"/>
              <w:left w:val="nil"/>
              <w:bottom w:val="nil"/>
              <w:right w:val="nil"/>
            </w:tcBorders>
            <w:vAlign w:val="center"/>
          </w:tcPr>
          <w:p w14:paraId="4F8C7226" w14:textId="78229A3D" w:rsidR="00F7477F" w:rsidRPr="002657D1" w:rsidRDefault="00F7477F" w:rsidP="0096057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Li/Li</w:t>
            </w:r>
            <w:r w:rsidRPr="002657D1">
              <w:rPr>
                <w:rFonts w:ascii="Times New Roman" w:hAnsi="Times New Roman" w:cs="Times New Roman"/>
                <w:color w:val="000000" w:themeColor="text1"/>
                <w:kern w:val="24"/>
                <w:position w:val="-4"/>
                <w:sz w:val="24"/>
                <w:szCs w:val="24"/>
                <w:vertAlign w:val="subscript"/>
              </w:rPr>
              <w:t>2</w:t>
            </w:r>
            <w:proofErr w:type="spellStart"/>
            <w:r w:rsidRPr="002657D1">
              <w:rPr>
                <w:rFonts w:ascii="Times New Roman" w:hAnsi="Times New Roman" w:cs="Times New Roman"/>
                <w:color w:val="000000" w:themeColor="text1"/>
                <w:kern w:val="24"/>
                <w:sz w:val="24"/>
                <w:szCs w:val="24"/>
              </w:rPr>
              <w:t>ZrCl</w:t>
            </w:r>
            <w:proofErr w:type="spellEnd"/>
            <w:r w:rsidRPr="002657D1">
              <w:rPr>
                <w:rFonts w:ascii="Times New Roman" w:hAnsi="Times New Roman" w:cs="Times New Roman"/>
                <w:color w:val="000000" w:themeColor="text1"/>
                <w:kern w:val="24"/>
                <w:position w:val="-4"/>
                <w:sz w:val="24"/>
                <w:szCs w:val="24"/>
                <w:vertAlign w:val="subscript"/>
              </w:rPr>
              <w:t>5.5</w:t>
            </w:r>
            <w:r w:rsidRPr="002657D1">
              <w:rPr>
                <w:rFonts w:ascii="Times New Roman" w:hAnsi="Times New Roman" w:cs="Times New Roman"/>
                <w:color w:val="000000" w:themeColor="text1"/>
                <w:kern w:val="24"/>
                <w:sz w:val="24"/>
                <w:szCs w:val="24"/>
              </w:rPr>
              <w:t>F</w:t>
            </w:r>
            <w:r w:rsidRPr="002657D1">
              <w:rPr>
                <w:rFonts w:ascii="Times New Roman" w:hAnsi="Times New Roman" w:cs="Times New Roman"/>
                <w:color w:val="000000" w:themeColor="text1"/>
                <w:kern w:val="24"/>
                <w:position w:val="-4"/>
                <w:sz w:val="24"/>
                <w:szCs w:val="24"/>
                <w:vertAlign w:val="subscript"/>
              </w:rPr>
              <w:t>0.5</w:t>
            </w:r>
            <w:r w:rsidRPr="002657D1">
              <w:rPr>
                <w:rFonts w:ascii="Times New Roman" w:hAnsi="Times New Roman" w:cs="Times New Roman"/>
                <w:color w:val="000000" w:themeColor="text1"/>
                <w:kern w:val="24"/>
                <w:sz w:val="24"/>
                <w:szCs w:val="24"/>
              </w:rPr>
              <w:t>/Li</w:t>
            </w:r>
          </w:p>
        </w:tc>
        <w:tc>
          <w:tcPr>
            <w:tcW w:w="1310" w:type="dxa"/>
            <w:tcBorders>
              <w:top w:val="nil"/>
              <w:left w:val="nil"/>
              <w:bottom w:val="nil"/>
              <w:right w:val="nil"/>
            </w:tcBorders>
            <w:vAlign w:val="center"/>
          </w:tcPr>
          <w:p w14:paraId="5A03EC0D" w14:textId="62841589"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0.1</w:t>
            </w:r>
          </w:p>
        </w:tc>
        <w:tc>
          <w:tcPr>
            <w:tcW w:w="1701" w:type="dxa"/>
            <w:tcBorders>
              <w:top w:val="nil"/>
              <w:left w:val="nil"/>
              <w:bottom w:val="nil"/>
              <w:right w:val="nil"/>
            </w:tcBorders>
            <w:vAlign w:val="center"/>
          </w:tcPr>
          <w:p w14:paraId="63839D2A" w14:textId="003B20E2"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0.025</w:t>
            </w:r>
          </w:p>
        </w:tc>
        <w:tc>
          <w:tcPr>
            <w:tcW w:w="1276" w:type="dxa"/>
            <w:tcBorders>
              <w:top w:val="nil"/>
              <w:left w:val="nil"/>
              <w:bottom w:val="nil"/>
              <w:right w:val="nil"/>
            </w:tcBorders>
            <w:vAlign w:val="center"/>
          </w:tcPr>
          <w:p w14:paraId="4B314A6B" w14:textId="77693818"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1600</w:t>
            </w:r>
          </w:p>
        </w:tc>
        <w:tc>
          <w:tcPr>
            <w:tcW w:w="1842" w:type="dxa"/>
            <w:tcBorders>
              <w:top w:val="nil"/>
              <w:left w:val="nil"/>
              <w:bottom w:val="nil"/>
              <w:right w:val="nil"/>
            </w:tcBorders>
          </w:tcPr>
          <w:p w14:paraId="0018462E" w14:textId="3F2EA144" w:rsidR="00F7477F" w:rsidRPr="002657D1" w:rsidRDefault="00403882"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40</w:t>
            </w:r>
          </w:p>
        </w:tc>
        <w:tc>
          <w:tcPr>
            <w:tcW w:w="1701" w:type="dxa"/>
            <w:tcBorders>
              <w:top w:val="nil"/>
              <w:left w:val="nil"/>
              <w:bottom w:val="nil"/>
              <w:right w:val="nil"/>
            </w:tcBorders>
            <w:vAlign w:val="center"/>
          </w:tcPr>
          <w:p w14:paraId="3D00D5DF" w14:textId="10A409CA"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25</w:t>
            </w:r>
          </w:p>
        </w:tc>
        <w:tc>
          <w:tcPr>
            <w:tcW w:w="1276" w:type="dxa"/>
            <w:tcBorders>
              <w:top w:val="nil"/>
              <w:left w:val="nil"/>
              <w:bottom w:val="nil"/>
              <w:right w:val="nil"/>
            </w:tcBorders>
            <w:vAlign w:val="center"/>
          </w:tcPr>
          <w:p w14:paraId="64198E2C" w14:textId="24EE0E85" w:rsidR="00F7477F" w:rsidRPr="002657D1" w:rsidRDefault="00F7477F" w:rsidP="00025586">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fldChar w:fldCharType="begin"/>
            </w:r>
            <w:r w:rsidR="00E725CF" w:rsidRPr="002657D1">
              <w:rPr>
                <w:rFonts w:ascii="Times New Roman" w:hAnsi="Times New Roman" w:cs="Times New Roman"/>
                <w:b/>
                <w:bCs/>
                <w:color w:val="000000" w:themeColor="text1"/>
                <w:sz w:val="24"/>
                <w:szCs w:val="24"/>
              </w:rPr>
              <w:instrText xml:space="preserve"> ADDIN ZOTERO_ITEM CSL_CITATION {"citationID":"wPB6xMpM","properties":{"formattedCitation":"\\super 13\\nosupersub{}","plainCitation":"13","noteIndex":0},"citationItems":[{"id":"IXaoCdHi/M4TqEsCC","uris":["http://zotero.org/users/local/As3BANDe/items/BRZF9XW8"],"itemData":{"id":2792,"type":"article-journal","container-title":"ACS Applied Materials &amp; Interfaces","DOI":"10.1021/acsami.3c03513","ISSN":"1944-8244, 1944-8252","issue":"32","journalAbbreviation":"ACS Appl. Mater. Interfaces","language":"en","license":"https://creativecommons.org/licenses/by-nc-nd/4.0/","page":"38391-38402","source":"DOI.org (Crossref)","title":"Fluorine-Substituted Halide Solid Electrolytes with Enhanced Stability toward the Lithium Metal","volume":"15","author":[{"family":"Ganesan","given":"Priya"},{"family":"Soans","given":"Mervyn"},{"family":"Cambaz","given":"Musa Ali"},{"family":"Zimmermanns","given":"Ramon"},{"family":"Gond","given":"Ritambhara"},{"family":"Fuchs","given":"Stefan"},{"family":"Hu","given":"Yang"},{"family":"Baumgart","given":"Sebastian"},{"family":"Sotoudeh","given":"Mohsen"},{"family":"Stepien","given":"Dominik"},{"family":"Stein","given":"Helge"},{"family":"Groß","given":"Axel"},{"family":"Bresser","given":"Dominic"},{"family":"Varzi","given":"Alberto"},{"family":"Fichtner","given":"Maximilian"}],"issued":{"date-parts":[["2023",8,16]]}}}],"schema":"https://github.com/citation-style-language/schema/raw/master/csl-citation.json"} </w:instrText>
            </w:r>
            <w:r w:rsidRPr="002657D1">
              <w:rPr>
                <w:rFonts w:ascii="Times New Roman" w:hAnsi="Times New Roman" w:cs="Times New Roman"/>
                <w:b/>
                <w:bCs/>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13</w:t>
            </w:r>
            <w:r w:rsidRPr="002657D1">
              <w:rPr>
                <w:rFonts w:ascii="Times New Roman" w:hAnsi="Times New Roman" w:cs="Times New Roman"/>
                <w:b/>
                <w:bCs/>
                <w:color w:val="000000" w:themeColor="text1"/>
                <w:sz w:val="24"/>
                <w:szCs w:val="24"/>
              </w:rPr>
              <w:fldChar w:fldCharType="end"/>
            </w:r>
          </w:p>
        </w:tc>
      </w:tr>
      <w:tr w:rsidR="002657D1" w:rsidRPr="002657D1" w14:paraId="023A5A6B" w14:textId="77777777" w:rsidTr="009C3A29">
        <w:trPr>
          <w:jc w:val="center"/>
        </w:trPr>
        <w:tc>
          <w:tcPr>
            <w:tcW w:w="2943" w:type="dxa"/>
            <w:tcBorders>
              <w:top w:val="nil"/>
              <w:left w:val="nil"/>
              <w:bottom w:val="nil"/>
              <w:right w:val="nil"/>
            </w:tcBorders>
            <w:vAlign w:val="center"/>
          </w:tcPr>
          <w:p w14:paraId="3E250197" w14:textId="06945D81" w:rsidR="00F7477F" w:rsidRPr="002657D1" w:rsidRDefault="00F7477F" w:rsidP="0096057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Li/Li</w:t>
            </w:r>
            <w:r w:rsidRPr="002657D1">
              <w:rPr>
                <w:rFonts w:ascii="Times New Roman" w:hAnsi="Times New Roman" w:cs="Times New Roman"/>
                <w:color w:val="000000" w:themeColor="text1"/>
                <w:kern w:val="24"/>
                <w:position w:val="-4"/>
                <w:sz w:val="24"/>
                <w:szCs w:val="24"/>
                <w:vertAlign w:val="subscript"/>
              </w:rPr>
              <w:t>2</w:t>
            </w:r>
            <w:proofErr w:type="spellStart"/>
            <w:r w:rsidRPr="002657D1">
              <w:rPr>
                <w:rFonts w:ascii="Times New Roman" w:hAnsi="Times New Roman" w:cs="Times New Roman"/>
                <w:color w:val="000000" w:themeColor="text1"/>
                <w:kern w:val="24"/>
                <w:sz w:val="24"/>
                <w:szCs w:val="24"/>
              </w:rPr>
              <w:t>ZrCl</w:t>
            </w:r>
            <w:proofErr w:type="spellEnd"/>
            <w:r w:rsidRPr="002657D1">
              <w:rPr>
                <w:rFonts w:ascii="Times New Roman" w:hAnsi="Times New Roman" w:cs="Times New Roman"/>
                <w:color w:val="000000" w:themeColor="text1"/>
                <w:kern w:val="24"/>
                <w:position w:val="-4"/>
                <w:sz w:val="24"/>
                <w:szCs w:val="24"/>
                <w:vertAlign w:val="subscript"/>
              </w:rPr>
              <w:t>5.2</w:t>
            </w:r>
            <w:r w:rsidRPr="002657D1">
              <w:rPr>
                <w:rFonts w:ascii="Times New Roman" w:hAnsi="Times New Roman" w:cs="Times New Roman"/>
                <w:color w:val="000000" w:themeColor="text1"/>
                <w:kern w:val="24"/>
                <w:sz w:val="24"/>
                <w:szCs w:val="24"/>
              </w:rPr>
              <w:t>F</w:t>
            </w:r>
            <w:r w:rsidRPr="002657D1">
              <w:rPr>
                <w:rFonts w:ascii="Times New Roman" w:hAnsi="Times New Roman" w:cs="Times New Roman"/>
                <w:color w:val="000000" w:themeColor="text1"/>
                <w:kern w:val="24"/>
                <w:position w:val="-4"/>
                <w:sz w:val="24"/>
                <w:szCs w:val="24"/>
                <w:vertAlign w:val="subscript"/>
              </w:rPr>
              <w:t>0.8</w:t>
            </w:r>
            <w:r w:rsidRPr="002657D1">
              <w:rPr>
                <w:rFonts w:ascii="Times New Roman" w:hAnsi="Times New Roman" w:cs="Times New Roman"/>
                <w:color w:val="000000" w:themeColor="text1"/>
                <w:kern w:val="24"/>
                <w:sz w:val="24"/>
                <w:szCs w:val="24"/>
              </w:rPr>
              <w:t>/Li</w:t>
            </w:r>
          </w:p>
        </w:tc>
        <w:tc>
          <w:tcPr>
            <w:tcW w:w="1310" w:type="dxa"/>
            <w:tcBorders>
              <w:top w:val="nil"/>
              <w:left w:val="nil"/>
              <w:bottom w:val="nil"/>
              <w:right w:val="nil"/>
            </w:tcBorders>
            <w:vAlign w:val="center"/>
          </w:tcPr>
          <w:p w14:paraId="2CBAC8C9" w14:textId="04D3C581"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0.1</w:t>
            </w:r>
          </w:p>
        </w:tc>
        <w:tc>
          <w:tcPr>
            <w:tcW w:w="1701" w:type="dxa"/>
            <w:tcBorders>
              <w:top w:val="nil"/>
              <w:left w:val="nil"/>
              <w:bottom w:val="nil"/>
              <w:right w:val="nil"/>
            </w:tcBorders>
            <w:vAlign w:val="center"/>
          </w:tcPr>
          <w:p w14:paraId="14B59313" w14:textId="4B4C9CB6"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0.5</w:t>
            </w:r>
          </w:p>
        </w:tc>
        <w:tc>
          <w:tcPr>
            <w:tcW w:w="1276" w:type="dxa"/>
            <w:tcBorders>
              <w:top w:val="nil"/>
              <w:left w:val="nil"/>
              <w:bottom w:val="nil"/>
              <w:right w:val="nil"/>
            </w:tcBorders>
            <w:vAlign w:val="center"/>
          </w:tcPr>
          <w:p w14:paraId="14D80165" w14:textId="5524CA75"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210</w:t>
            </w:r>
          </w:p>
        </w:tc>
        <w:tc>
          <w:tcPr>
            <w:tcW w:w="1842" w:type="dxa"/>
            <w:tcBorders>
              <w:top w:val="nil"/>
              <w:left w:val="nil"/>
              <w:bottom w:val="nil"/>
              <w:right w:val="nil"/>
            </w:tcBorders>
          </w:tcPr>
          <w:p w14:paraId="1234747A" w14:textId="7AA7ED59" w:rsidR="00F7477F" w:rsidRPr="002657D1" w:rsidRDefault="00403882"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105</w:t>
            </w:r>
          </w:p>
        </w:tc>
        <w:tc>
          <w:tcPr>
            <w:tcW w:w="1701" w:type="dxa"/>
            <w:tcBorders>
              <w:top w:val="nil"/>
              <w:left w:val="nil"/>
              <w:bottom w:val="nil"/>
              <w:right w:val="nil"/>
            </w:tcBorders>
            <w:vAlign w:val="center"/>
          </w:tcPr>
          <w:p w14:paraId="3DBA29BA" w14:textId="3E49043D"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25</w:t>
            </w:r>
          </w:p>
        </w:tc>
        <w:tc>
          <w:tcPr>
            <w:tcW w:w="1276" w:type="dxa"/>
            <w:tcBorders>
              <w:top w:val="nil"/>
              <w:left w:val="nil"/>
              <w:bottom w:val="nil"/>
              <w:right w:val="nil"/>
            </w:tcBorders>
            <w:vAlign w:val="center"/>
          </w:tcPr>
          <w:p w14:paraId="29DF9A97" w14:textId="42381FDC" w:rsidR="00F7477F" w:rsidRPr="002657D1" w:rsidRDefault="00F7477F" w:rsidP="00025586">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fldChar w:fldCharType="begin"/>
            </w:r>
            <w:r w:rsidR="00E725CF" w:rsidRPr="002657D1">
              <w:rPr>
                <w:rFonts w:ascii="Times New Roman" w:hAnsi="Times New Roman" w:cs="Times New Roman"/>
                <w:b/>
                <w:bCs/>
                <w:color w:val="000000" w:themeColor="text1"/>
                <w:sz w:val="24"/>
                <w:szCs w:val="24"/>
              </w:rPr>
              <w:instrText xml:space="preserve"> ADDIN ZOTERO_ITEM CSL_CITATION {"citationID":"IpnQ2YFW","properties":{"formattedCitation":"\\super 57\\nosupersub{}","plainCitation":"57","noteIndex":0},"citationItems":[{"id":"IXaoCdHi/CpUPWyPP","uris":["http://zotero.org/users/local/As3BANDe/items/73IVZDWZ"],"itemData":{"id":1378,"type":"article-journal","abstract":"Several halide electrolytes have come back into the spotlight with their high ionic conductivity, soft texture and compatibility with high-voltage electrodes. However, the instability with lithium metal has hindered their application in all-solid-state lithium-metal batteries (ASSLMBs). Thereby, it is urgent to find an efficient way to tackle this issue. Herein, we have simultaneously enhanced the kinetic stability towards lithium metal and intrinsic stability towards high-voltage cathodes for Li2ZrCl6 electrolytes via effective dual-halogen strategy while the ionic conductivity of electrolyte is not sacrificed due to the effects of morphology modification. Specially, the symmetric Li/Li2ZrCl5.2F0.8/Li cell can cycle stably for over 2000 h (0.1 mA cm-2, 0.5 mA h cm-2) and the modified electrolyte Li2ZrCl5.2F0.8 also shows higher oxidative stability than the original Li2ZrCl6. The insitu formed fluoride interphase (LiF, ZrFx) can account for the excellent kinetic stability at Li/Li2ZrCl5.2F0.8 interface while the improved oxidative stability can be attributed to the higher electronegativity of F element. Finally, the Li2ZrCl5.2F0.8 is also proved appliable in the Li/Li2ZrCl5.2F0.8/LiNi0.8Co0.1Mn0.1O2 battery in the form of stable and satisfied discharge capacity (~106.9 mAh g-1, the 20th - 65th cycle) due to the achievement of kinetic stability at Li/Li2ZrCl5.2F0.8 interface in the initial stage (the first ~ 19 cycles). The clever dual-halogen strategy proposed in this work can effectively enhance the electrochemical stability of electrolytes and foster the application of cost-effective Li2ZrCl6 halides in ASSLMBs.","container-title":"Chemical Engineering Journal","DOI":"10.1016/j.cej.2023.143036","ISSN":"13858947","journalAbbreviation":"Chemical Engineering Journal","language":"en","page":"143036","source":"DOI.org (Crossref)","title":"Effective regulation towards electrochemical stability of superionic solid electrolyte via facile dual-halogen strategy","volume":"465","author":[{"family":"Luo","given":"Xuming"},{"family":"He","given":"Xianneng"},{"family":"Su","given":"Han"},{"family":"Zhong","given":"Yu"},{"family":"Wang","given":"Xiuli"},{"family":"Tu","given":"Jiangping"}],"issued":{"date-parts":[["2023",6]]}}}],"schema":"https://github.com/citation-style-language/schema/raw/master/csl-citation.json"} </w:instrText>
            </w:r>
            <w:r w:rsidRPr="002657D1">
              <w:rPr>
                <w:rFonts w:ascii="Times New Roman" w:hAnsi="Times New Roman" w:cs="Times New Roman"/>
                <w:b/>
                <w:bCs/>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57</w:t>
            </w:r>
            <w:r w:rsidRPr="002657D1">
              <w:rPr>
                <w:rFonts w:ascii="Times New Roman" w:hAnsi="Times New Roman" w:cs="Times New Roman"/>
                <w:b/>
                <w:bCs/>
                <w:color w:val="000000" w:themeColor="text1"/>
                <w:sz w:val="24"/>
                <w:szCs w:val="24"/>
              </w:rPr>
              <w:fldChar w:fldCharType="end"/>
            </w:r>
          </w:p>
        </w:tc>
      </w:tr>
      <w:tr w:rsidR="002657D1" w:rsidRPr="002657D1" w14:paraId="53377B0D" w14:textId="77777777" w:rsidTr="009C3A29">
        <w:trPr>
          <w:jc w:val="center"/>
        </w:trPr>
        <w:tc>
          <w:tcPr>
            <w:tcW w:w="2943" w:type="dxa"/>
            <w:tcBorders>
              <w:top w:val="nil"/>
              <w:left w:val="nil"/>
              <w:bottom w:val="nil"/>
              <w:right w:val="nil"/>
            </w:tcBorders>
            <w:vAlign w:val="center"/>
          </w:tcPr>
          <w:p w14:paraId="13AB59E5" w14:textId="7E91F89C" w:rsidR="00F7477F" w:rsidRPr="002657D1" w:rsidRDefault="00F7477F" w:rsidP="0096057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Li/Li</w:t>
            </w:r>
            <w:r w:rsidRPr="002657D1">
              <w:rPr>
                <w:rFonts w:ascii="Times New Roman" w:hAnsi="Times New Roman" w:cs="Times New Roman"/>
                <w:color w:val="000000" w:themeColor="text1"/>
                <w:kern w:val="24"/>
                <w:position w:val="-4"/>
                <w:sz w:val="24"/>
                <w:szCs w:val="24"/>
                <w:vertAlign w:val="subscript"/>
              </w:rPr>
              <w:t>3</w:t>
            </w:r>
            <w:proofErr w:type="spellStart"/>
            <w:r w:rsidRPr="002657D1">
              <w:rPr>
                <w:rFonts w:ascii="Times New Roman" w:hAnsi="Times New Roman" w:cs="Times New Roman"/>
                <w:color w:val="000000" w:themeColor="text1"/>
                <w:kern w:val="24"/>
                <w:sz w:val="24"/>
                <w:szCs w:val="24"/>
              </w:rPr>
              <w:t>YBr</w:t>
            </w:r>
            <w:proofErr w:type="spellEnd"/>
            <w:r w:rsidRPr="002657D1">
              <w:rPr>
                <w:rFonts w:ascii="Times New Roman" w:hAnsi="Times New Roman" w:cs="Times New Roman"/>
                <w:color w:val="000000" w:themeColor="text1"/>
                <w:kern w:val="24"/>
                <w:position w:val="-4"/>
                <w:sz w:val="24"/>
                <w:szCs w:val="24"/>
                <w:vertAlign w:val="subscript"/>
              </w:rPr>
              <w:t>5.7</w:t>
            </w:r>
            <w:r w:rsidRPr="002657D1">
              <w:rPr>
                <w:rFonts w:ascii="Times New Roman" w:hAnsi="Times New Roman" w:cs="Times New Roman"/>
                <w:color w:val="000000" w:themeColor="text1"/>
                <w:kern w:val="24"/>
                <w:sz w:val="24"/>
                <w:szCs w:val="24"/>
              </w:rPr>
              <w:t>F</w:t>
            </w:r>
            <w:r w:rsidRPr="002657D1">
              <w:rPr>
                <w:rFonts w:ascii="Times New Roman" w:hAnsi="Times New Roman" w:cs="Times New Roman"/>
                <w:color w:val="000000" w:themeColor="text1"/>
                <w:kern w:val="24"/>
                <w:position w:val="-4"/>
                <w:sz w:val="24"/>
                <w:szCs w:val="24"/>
                <w:vertAlign w:val="subscript"/>
              </w:rPr>
              <w:t>0.3</w:t>
            </w:r>
            <w:r w:rsidRPr="002657D1">
              <w:rPr>
                <w:rFonts w:ascii="Times New Roman" w:hAnsi="Times New Roman" w:cs="Times New Roman"/>
                <w:color w:val="000000" w:themeColor="text1"/>
                <w:kern w:val="24"/>
                <w:sz w:val="24"/>
                <w:szCs w:val="24"/>
              </w:rPr>
              <w:t>/Li</w:t>
            </w:r>
          </w:p>
        </w:tc>
        <w:tc>
          <w:tcPr>
            <w:tcW w:w="1310" w:type="dxa"/>
            <w:tcBorders>
              <w:top w:val="nil"/>
              <w:left w:val="nil"/>
              <w:bottom w:val="nil"/>
              <w:right w:val="nil"/>
            </w:tcBorders>
            <w:vAlign w:val="center"/>
          </w:tcPr>
          <w:p w14:paraId="2FA46150" w14:textId="10505DE1"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0.</w:t>
            </w:r>
            <w:r w:rsidR="00403882" w:rsidRPr="002657D1">
              <w:rPr>
                <w:rFonts w:ascii="Times New Roman" w:hAnsi="Times New Roman" w:cs="Times New Roman" w:hint="eastAsia"/>
                <w:color w:val="000000" w:themeColor="text1"/>
                <w:kern w:val="24"/>
                <w:sz w:val="24"/>
                <w:szCs w:val="24"/>
              </w:rPr>
              <w:t>75</w:t>
            </w:r>
          </w:p>
        </w:tc>
        <w:tc>
          <w:tcPr>
            <w:tcW w:w="1701" w:type="dxa"/>
            <w:tcBorders>
              <w:top w:val="nil"/>
              <w:left w:val="nil"/>
              <w:bottom w:val="nil"/>
              <w:right w:val="nil"/>
            </w:tcBorders>
            <w:vAlign w:val="center"/>
          </w:tcPr>
          <w:p w14:paraId="5036109B" w14:textId="762E455F"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0.</w:t>
            </w:r>
            <w:r w:rsidR="00403882" w:rsidRPr="002657D1">
              <w:rPr>
                <w:rFonts w:ascii="Times New Roman" w:hAnsi="Times New Roman" w:cs="Times New Roman" w:hint="eastAsia"/>
                <w:color w:val="000000" w:themeColor="text1"/>
                <w:kern w:val="24"/>
                <w:sz w:val="24"/>
                <w:szCs w:val="24"/>
              </w:rPr>
              <w:t>75</w:t>
            </w:r>
          </w:p>
        </w:tc>
        <w:tc>
          <w:tcPr>
            <w:tcW w:w="1276" w:type="dxa"/>
            <w:tcBorders>
              <w:top w:val="nil"/>
              <w:left w:val="nil"/>
              <w:bottom w:val="nil"/>
              <w:right w:val="nil"/>
            </w:tcBorders>
            <w:vAlign w:val="center"/>
          </w:tcPr>
          <w:p w14:paraId="4527DC48" w14:textId="596ED11D"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500</w:t>
            </w:r>
          </w:p>
        </w:tc>
        <w:tc>
          <w:tcPr>
            <w:tcW w:w="1842" w:type="dxa"/>
            <w:tcBorders>
              <w:top w:val="nil"/>
              <w:left w:val="nil"/>
              <w:bottom w:val="nil"/>
              <w:right w:val="nil"/>
            </w:tcBorders>
          </w:tcPr>
          <w:p w14:paraId="204ADDBB" w14:textId="76C6FCCE" w:rsidR="00F7477F" w:rsidRPr="002657D1" w:rsidRDefault="00403882"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375</w:t>
            </w:r>
          </w:p>
        </w:tc>
        <w:tc>
          <w:tcPr>
            <w:tcW w:w="1701" w:type="dxa"/>
            <w:tcBorders>
              <w:top w:val="nil"/>
              <w:left w:val="nil"/>
              <w:bottom w:val="nil"/>
              <w:right w:val="nil"/>
            </w:tcBorders>
            <w:vAlign w:val="center"/>
          </w:tcPr>
          <w:p w14:paraId="253A850F" w14:textId="0165250C" w:rsidR="00F7477F" w:rsidRPr="002657D1" w:rsidRDefault="00F7477F" w:rsidP="004E587E">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25</w:t>
            </w:r>
          </w:p>
        </w:tc>
        <w:tc>
          <w:tcPr>
            <w:tcW w:w="1276" w:type="dxa"/>
            <w:tcBorders>
              <w:top w:val="nil"/>
              <w:left w:val="nil"/>
              <w:bottom w:val="nil"/>
              <w:right w:val="nil"/>
            </w:tcBorders>
            <w:vAlign w:val="center"/>
          </w:tcPr>
          <w:p w14:paraId="510F4E30" w14:textId="48AD259E" w:rsidR="00F7477F" w:rsidRPr="002657D1" w:rsidRDefault="00F7477F" w:rsidP="00025586">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fldChar w:fldCharType="begin"/>
            </w:r>
            <w:r w:rsidR="00E725CF" w:rsidRPr="002657D1">
              <w:rPr>
                <w:rFonts w:ascii="Times New Roman" w:hAnsi="Times New Roman" w:cs="Times New Roman"/>
                <w:b/>
                <w:bCs/>
                <w:color w:val="000000" w:themeColor="text1"/>
                <w:sz w:val="24"/>
                <w:szCs w:val="24"/>
              </w:rPr>
              <w:instrText xml:space="preserve"> ADDIN ZOTERO_ITEM CSL_CITATION {"citationID":"6UPEvLHo","properties":{"formattedCitation":"\\super 28\\nosupersub{}","plainCitation":"28","noteIndex":0},"citationItems":[{"id":"IXaoCdHi/nusVTCKG","uris":["http://zotero.org/users/local/As3BANDe/items/PGQE</w:instrText>
            </w:r>
            <w:r w:rsidR="00E725CF" w:rsidRPr="002657D1">
              <w:rPr>
                <w:rFonts w:ascii="Times New Roman" w:hAnsi="Times New Roman" w:cs="Times New Roman" w:hint="eastAsia"/>
                <w:b/>
                <w:bCs/>
                <w:color w:val="000000" w:themeColor="text1"/>
                <w:sz w:val="24"/>
                <w:szCs w:val="24"/>
              </w:rPr>
              <w:instrText>PSXT"],"itemData":{"id":2814,"type":"article-journal","abstract":"Abstract\n            \n              The halide solid</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state electrolytes (SSEs) have received significant attention due to their high ionic conductivity and desirable compatibility with ca</w:instrText>
            </w:r>
            <w:r w:rsidR="00E725CF" w:rsidRPr="002657D1">
              <w:rPr>
                <w:rFonts w:ascii="Times New Roman" w:hAnsi="Times New Roman" w:cs="Times New Roman"/>
                <w:b/>
                <w:bCs/>
                <w:color w:val="000000" w:themeColor="text1"/>
                <w:sz w:val="24"/>
                <w:szCs w:val="24"/>
              </w:rPr>
              <w:instrText>thode materials. However, the reduction potential of the halide is still &gt;0.6 V (versus Li/Li\n              +\n              ). Reduction stability is still one of the challenges that need to be addressed. The fluorides have a wide electrochemical stability window due to the large electronegativity of F\n              –\n              . In contrast, Li\n              3\n              YBr\n              6\n              (LYB) bromides have a narrower electrochemical window, although they have high lithium</w:instrText>
            </w:r>
            <w:r w:rsidR="00E725CF" w:rsidRPr="002657D1">
              <w:rPr>
                <w:rFonts w:ascii="Times New Roman" w:hAnsi="Times New Roman" w:cs="Times New Roman" w:hint="eastAsia"/>
                <w:b/>
                <w:bCs/>
                <w:color w:val="000000" w:themeColor="text1"/>
                <w:sz w:val="24"/>
                <w:szCs w:val="24"/>
              </w:rPr>
              <w:instrText xml:space="preserve"> ion conductivity (&gt;10\n              </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 xml:space="preserve">3\n              S cm\n              </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1\n              ). Herein, a fluorine doping strategy is employed. The interfacial stability between fluoride</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 xml:space="preserve">doped bromides and lithium metal is researched by cycling of lithium symmetric cells. Li plating/stripping can maintain over 1000 h at 0.75 mA cm\n              </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2\n              . Interfacial protection mechanisms investigated by X</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ray photoelectron spectroscopy. A fluoride</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rich interfacial layer is formed in situ durin</w:instrText>
            </w:r>
            <w:r w:rsidR="00E725CF" w:rsidRPr="002657D1">
              <w:rPr>
                <w:rFonts w:ascii="Times New Roman" w:hAnsi="Times New Roman" w:cs="Times New Roman"/>
                <w:b/>
                <w:bCs/>
                <w:color w:val="000000" w:themeColor="text1"/>
                <w:sz w:val="24"/>
                <w:szCs w:val="24"/>
              </w:rPr>
              <w:instrText xml:space="preserve">g the cycle, which achieves inhibition of the reduction. The Li metal treated fluorine doping of LYB exhibits significant potential in full cells. In fact, the induction of a stable in situ interfacial layer by fluorine doping can effectively improve the </w:instrText>
            </w:r>
            <w:r w:rsidR="00E725CF" w:rsidRPr="002657D1">
              <w:rPr>
                <w:rFonts w:ascii="Times New Roman" w:hAnsi="Times New Roman" w:cs="Times New Roman" w:hint="eastAsia"/>
                <w:b/>
                <w:bCs/>
                <w:color w:val="000000" w:themeColor="text1"/>
                <w:sz w:val="24"/>
                <w:szCs w:val="24"/>
              </w:rPr>
              <w:instrText>interfacial stability of bromides to lithium metal. Fluorine</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doped modification offers a new attempt to realize lithium metal applications in all</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solid</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state lithium batteries.","container-title":"Advanced Energy Materials","DOI":"10.1002/aenm.202101915","ISSN":"1614-6832, 1614-6840","issue":"36","journalAbbreviation":"Advanced Energy Materials","language":"en","page":"2101915","source":"DOI.org (Crossref)","title":"Superionic Fluorinated Halide Solid Electrolytes for Highly Stable Li</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Metal in All</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Solid</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S</w:instrText>
            </w:r>
            <w:r w:rsidR="00E725CF" w:rsidRPr="002657D1">
              <w:rPr>
                <w:rFonts w:ascii="Times New Roman" w:hAnsi="Times New Roman" w:cs="Times New Roman"/>
                <w:b/>
                <w:bCs/>
                <w:color w:val="000000" w:themeColor="text1"/>
                <w:sz w:val="24"/>
                <w:szCs w:val="24"/>
              </w:rPr>
              <w:instrText xml:space="preserve">tate Li Batteries","volume":"11","author":[{"family":"Yu","given":"Tianwei"},{"family":"Liang","given":"Jianwen"},{"family":"Luo","given":"Liang"},{"family":"Wang","given":"Limin"},{"family":"Zhao","given":"Feipeng"},{"family":"Xu","given":"Guofeng"},{"family":"Bai","given":"Xiangtao"},{"family":"Yang","given":"Rong"},{"family":"Zhao","given":"Shangqian"},{"family":"Wang","given":"Jiantao"},{"family":"Yu","given":"Jinqiu"},{"family":"Sun","given":"Xueliang"}],"issued":{"date-parts":[["2021",9]]}}}],"schema":"https://github.com/citation-style-language/schema/raw/master/csl-citation.json"} </w:instrText>
            </w:r>
            <w:r w:rsidRPr="002657D1">
              <w:rPr>
                <w:rFonts w:ascii="Times New Roman" w:hAnsi="Times New Roman" w:cs="Times New Roman"/>
                <w:b/>
                <w:bCs/>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28</w:t>
            </w:r>
            <w:r w:rsidRPr="002657D1">
              <w:rPr>
                <w:rFonts w:ascii="Times New Roman" w:hAnsi="Times New Roman" w:cs="Times New Roman"/>
                <w:b/>
                <w:bCs/>
                <w:color w:val="000000" w:themeColor="text1"/>
                <w:sz w:val="24"/>
                <w:szCs w:val="24"/>
              </w:rPr>
              <w:fldChar w:fldCharType="end"/>
            </w:r>
          </w:p>
        </w:tc>
      </w:tr>
      <w:tr w:rsidR="002657D1" w:rsidRPr="002657D1" w14:paraId="4AB8A814" w14:textId="77777777" w:rsidTr="009C3A29">
        <w:trPr>
          <w:jc w:val="center"/>
        </w:trPr>
        <w:tc>
          <w:tcPr>
            <w:tcW w:w="2943" w:type="dxa"/>
            <w:tcBorders>
              <w:top w:val="nil"/>
              <w:left w:val="nil"/>
              <w:bottom w:val="nil"/>
              <w:right w:val="nil"/>
            </w:tcBorders>
            <w:vAlign w:val="center"/>
          </w:tcPr>
          <w:p w14:paraId="6B15BCF3" w14:textId="7619BE96" w:rsidR="00F7477F" w:rsidRPr="002657D1" w:rsidRDefault="00F7477F" w:rsidP="00960574">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Li/Li</w:t>
            </w:r>
            <w:r w:rsidRPr="002657D1">
              <w:rPr>
                <w:rFonts w:ascii="Times New Roman" w:hAnsi="Times New Roman" w:cs="Times New Roman"/>
                <w:color w:val="000000" w:themeColor="text1"/>
                <w:kern w:val="24"/>
                <w:position w:val="-4"/>
                <w:sz w:val="24"/>
                <w:szCs w:val="24"/>
                <w:vertAlign w:val="subscript"/>
              </w:rPr>
              <w:t>3</w:t>
            </w:r>
            <w:proofErr w:type="spellStart"/>
            <w:r w:rsidRPr="002657D1">
              <w:rPr>
                <w:rFonts w:ascii="Times New Roman" w:hAnsi="Times New Roman" w:cs="Times New Roman"/>
                <w:color w:val="000000" w:themeColor="text1"/>
                <w:kern w:val="24"/>
                <w:sz w:val="24"/>
                <w:szCs w:val="24"/>
              </w:rPr>
              <w:t>AlF</w:t>
            </w:r>
            <w:proofErr w:type="spellEnd"/>
            <w:r w:rsidRPr="002657D1">
              <w:rPr>
                <w:rFonts w:ascii="Times New Roman" w:hAnsi="Times New Roman" w:cs="Times New Roman"/>
                <w:color w:val="000000" w:themeColor="text1"/>
                <w:kern w:val="24"/>
                <w:position w:val="-4"/>
                <w:sz w:val="24"/>
                <w:szCs w:val="24"/>
                <w:vertAlign w:val="subscript"/>
              </w:rPr>
              <w:t>5.87</w:t>
            </w:r>
            <w:r w:rsidRPr="002657D1">
              <w:rPr>
                <w:rFonts w:ascii="Times New Roman" w:hAnsi="Times New Roman" w:cs="Times New Roman"/>
                <w:color w:val="000000" w:themeColor="text1"/>
                <w:kern w:val="24"/>
                <w:sz w:val="24"/>
                <w:szCs w:val="24"/>
              </w:rPr>
              <w:t>Cl</w:t>
            </w:r>
            <w:r w:rsidRPr="002657D1">
              <w:rPr>
                <w:rFonts w:ascii="Times New Roman" w:hAnsi="Times New Roman" w:cs="Times New Roman"/>
                <w:color w:val="000000" w:themeColor="text1"/>
                <w:kern w:val="24"/>
                <w:position w:val="-4"/>
                <w:sz w:val="24"/>
                <w:szCs w:val="24"/>
                <w:vertAlign w:val="subscript"/>
              </w:rPr>
              <w:t>0.13</w:t>
            </w:r>
            <w:r w:rsidRPr="002657D1">
              <w:rPr>
                <w:rFonts w:ascii="Times New Roman" w:hAnsi="Times New Roman" w:cs="Times New Roman"/>
                <w:color w:val="000000" w:themeColor="text1"/>
                <w:kern w:val="24"/>
                <w:sz w:val="24"/>
                <w:szCs w:val="24"/>
              </w:rPr>
              <w:t>/Li</w:t>
            </w:r>
          </w:p>
        </w:tc>
        <w:tc>
          <w:tcPr>
            <w:tcW w:w="1310" w:type="dxa"/>
            <w:tcBorders>
              <w:top w:val="nil"/>
              <w:left w:val="nil"/>
              <w:bottom w:val="nil"/>
              <w:right w:val="nil"/>
            </w:tcBorders>
            <w:vAlign w:val="center"/>
          </w:tcPr>
          <w:p w14:paraId="3BFEA698" w14:textId="54B179BA" w:rsidR="00F7477F" w:rsidRPr="002657D1" w:rsidRDefault="00F7477F"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0.05</w:t>
            </w:r>
          </w:p>
        </w:tc>
        <w:tc>
          <w:tcPr>
            <w:tcW w:w="1701" w:type="dxa"/>
            <w:tcBorders>
              <w:top w:val="nil"/>
              <w:left w:val="nil"/>
              <w:bottom w:val="nil"/>
              <w:right w:val="nil"/>
            </w:tcBorders>
            <w:vAlign w:val="center"/>
          </w:tcPr>
          <w:p w14:paraId="3349F9D9" w14:textId="3797AA84" w:rsidR="00F7477F" w:rsidRPr="002657D1" w:rsidRDefault="00F7477F"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0.05</w:t>
            </w:r>
          </w:p>
        </w:tc>
        <w:tc>
          <w:tcPr>
            <w:tcW w:w="1276" w:type="dxa"/>
            <w:tcBorders>
              <w:top w:val="nil"/>
              <w:left w:val="nil"/>
              <w:bottom w:val="nil"/>
              <w:right w:val="nil"/>
            </w:tcBorders>
            <w:vAlign w:val="center"/>
          </w:tcPr>
          <w:p w14:paraId="3802D180" w14:textId="50754A8A" w:rsidR="00F7477F" w:rsidRPr="002657D1" w:rsidRDefault="00F7477F"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250</w:t>
            </w:r>
          </w:p>
        </w:tc>
        <w:tc>
          <w:tcPr>
            <w:tcW w:w="1842" w:type="dxa"/>
            <w:tcBorders>
              <w:top w:val="nil"/>
              <w:left w:val="nil"/>
              <w:bottom w:val="nil"/>
              <w:right w:val="nil"/>
            </w:tcBorders>
          </w:tcPr>
          <w:p w14:paraId="0A003449" w14:textId="6DF2B984" w:rsidR="00F7477F" w:rsidRPr="002657D1" w:rsidRDefault="00403882"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12.5</w:t>
            </w:r>
          </w:p>
        </w:tc>
        <w:tc>
          <w:tcPr>
            <w:tcW w:w="1701" w:type="dxa"/>
            <w:tcBorders>
              <w:top w:val="nil"/>
              <w:left w:val="nil"/>
              <w:bottom w:val="nil"/>
              <w:right w:val="nil"/>
            </w:tcBorders>
            <w:vAlign w:val="center"/>
          </w:tcPr>
          <w:p w14:paraId="5F2BE2E8" w14:textId="73291464" w:rsidR="00F7477F" w:rsidRPr="002657D1" w:rsidRDefault="00F7477F"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60</w:t>
            </w:r>
          </w:p>
        </w:tc>
        <w:tc>
          <w:tcPr>
            <w:tcW w:w="1276" w:type="dxa"/>
            <w:tcBorders>
              <w:top w:val="nil"/>
              <w:left w:val="nil"/>
              <w:bottom w:val="nil"/>
              <w:right w:val="nil"/>
            </w:tcBorders>
            <w:vAlign w:val="center"/>
          </w:tcPr>
          <w:p w14:paraId="31ACBC18" w14:textId="757799D8" w:rsidR="00F7477F" w:rsidRPr="002657D1" w:rsidRDefault="00F7477F" w:rsidP="00025586">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fldChar w:fldCharType="begin"/>
            </w:r>
            <w:r w:rsidR="00E725CF" w:rsidRPr="002657D1">
              <w:rPr>
                <w:rFonts w:ascii="Times New Roman" w:hAnsi="Times New Roman" w:cs="Times New Roman"/>
                <w:b/>
                <w:bCs/>
                <w:color w:val="000000" w:themeColor="text1"/>
                <w:sz w:val="24"/>
                <w:szCs w:val="24"/>
              </w:rPr>
              <w:instrText xml:space="preserve"> ADDIN ZOTERO_ITEM CSL_CITATION {"citationID":"f4hI59IJ","properties":{"formattedCitation":"\\super 58\\nosupersub{}","plainCitation":"58","noteIndex":0},"citationItems":[{"id":"IXaoCdHi/GqsUiitG","uris":["http://zotero.org/users/local/As3BANDe/items/KPSA</w:instrText>
            </w:r>
            <w:r w:rsidR="00E725CF" w:rsidRPr="002657D1">
              <w:rPr>
                <w:rFonts w:ascii="Times New Roman" w:hAnsi="Times New Roman" w:cs="Times New Roman" w:hint="eastAsia"/>
                <w:b/>
                <w:bCs/>
                <w:color w:val="000000" w:themeColor="text1"/>
                <w:sz w:val="24"/>
                <w:szCs w:val="24"/>
              </w:rPr>
              <w:instrText>PZDH"],"itemData":{"id":4697,"type":"article-journal","abstract":"Abstract\n            \n              Solid</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state lithium metal batteries based on fluorinated solid electrolytes have attracted attention due to their safety and stability advantages. However, the fluoride solid electrolytes face the problem of relatively low Li</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ion conductivity due to the lacking of suitable structural prototypes and their corresponding modulation modes. In this work, a chlorine</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doped fluoride solid electrolyte Li\n              3\n              AlF\n              5.87\n              Cl\n              0.13\n              is developed with high ionic conductivity by thermal fluorination and weak chlorination of mixed ionic liquids. The Cl anion is doped into the cryolite</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l</w:instrText>
            </w:r>
            <w:r w:rsidR="00E725CF" w:rsidRPr="002657D1">
              <w:rPr>
                <w:rFonts w:ascii="Times New Roman" w:hAnsi="Times New Roman" w:cs="Times New Roman"/>
                <w:b/>
                <w:bCs/>
                <w:color w:val="000000" w:themeColor="text1"/>
                <w:sz w:val="24"/>
                <w:szCs w:val="24"/>
              </w:rPr>
              <w:instrText>ike open framework structure, and the electrolyte particle boundaries are decorated by solidified thin</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b/>
                <w:bCs/>
                <w:color w:val="000000" w:themeColor="text1"/>
                <w:sz w:val="24"/>
                <w:szCs w:val="24"/>
              </w:rPr>
              <w:instrText>layer (</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b/>
                <w:bCs/>
                <w:color w:val="000000" w:themeColor="text1"/>
                <w:sz w:val="24"/>
                <w:szCs w:val="24"/>
              </w:rPr>
              <w:instrText>2 nm) ionic liquid. Both the bulk and interface modifications enable the improvement of Li</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b/>
                <w:bCs/>
                <w:color w:val="000000" w:themeColor="text1"/>
                <w:sz w:val="24"/>
                <w:szCs w:val="24"/>
              </w:rPr>
              <w:instrText>ion conductivity to 2 × 10\n              −4\n              S cm\n              −1\n              at 30 °C, which is the highest level among fluoride solid electrolytes. The Li\n              3\n              AlF\n              5.87\n              Cl\n              0.13\n              with residual solidifi</w:instrText>
            </w:r>
            <w:r w:rsidR="00E725CF" w:rsidRPr="002657D1">
              <w:rPr>
                <w:rFonts w:ascii="Times New Roman" w:hAnsi="Times New Roman" w:cs="Times New Roman" w:hint="eastAsia"/>
                <w:b/>
                <w:bCs/>
                <w:color w:val="000000" w:themeColor="text1"/>
                <w:sz w:val="24"/>
                <w:szCs w:val="24"/>
              </w:rPr>
              <w:instrText>ed ionic liquid shows the excellent stability of interface contact with Li metal, and the corresponding Li symmetric cell exhibits a small overvoltage (</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100 mV) with outstanding cycle life (at least 500 h). For the first time, a conversion</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type solid</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stat</w:instrText>
            </w:r>
            <w:r w:rsidR="00E725CF" w:rsidRPr="002657D1">
              <w:rPr>
                <w:rFonts w:ascii="Times New Roman" w:hAnsi="Times New Roman" w:cs="Times New Roman"/>
                <w:b/>
                <w:bCs/>
                <w:color w:val="000000" w:themeColor="text1"/>
                <w:sz w:val="24"/>
                <w:szCs w:val="24"/>
              </w:rPr>
              <w:instrText>e Li/FeF\n              3\n              battery is developed based on this fluoride electrolyte, delivering a reversible capacity as high as 430 mAh g\n              −1\n              . The existence of natural F</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b/>
                <w:bCs/>
                <w:color w:val="000000" w:themeColor="text1"/>
                <w:sz w:val="24"/>
                <w:szCs w:val="24"/>
              </w:rPr>
              <w:instrText xml:space="preserve">rich interface promotes the conversion reaction reversibility of FeF\n              3\n              cathode.","container-title":"Advanced Functional Materials","DOI":"10.1002/adfm.202314044","ISSN":"1616-301X, 1616-3028","journalAbbreviation":"Adv Funct Materials","language":"en","page":"2314044","source":"DOI.org (Crossref)","title":"Highly Conductive Doped Fluoride Solid Electrolytes with Solidified Ionic Liquid to Enable Reversible FeF&lt;sub&gt;3&lt;/sub&gt; Conversion Solid State Batteries","author":[{"family":"Hu","given":"Jiulin"},{"family":"Lei","given":"Meng"},{"family":"Zhu","given":"Chenxi"},{"family":"Zhang","given":"Bo"},{"family":"Li","given":"Chilin"}],"issued":{"date-parts":[["2024",3,28]]}}}],"schema":"https://github.com/citation-style-language/schema/raw/master/csl-citation.json"} </w:instrText>
            </w:r>
            <w:r w:rsidRPr="002657D1">
              <w:rPr>
                <w:rFonts w:ascii="Times New Roman" w:hAnsi="Times New Roman" w:cs="Times New Roman"/>
                <w:b/>
                <w:bCs/>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58</w:t>
            </w:r>
            <w:r w:rsidRPr="002657D1">
              <w:rPr>
                <w:rFonts w:ascii="Times New Roman" w:hAnsi="Times New Roman" w:cs="Times New Roman"/>
                <w:b/>
                <w:bCs/>
                <w:color w:val="000000" w:themeColor="text1"/>
                <w:sz w:val="24"/>
                <w:szCs w:val="24"/>
              </w:rPr>
              <w:fldChar w:fldCharType="end"/>
            </w:r>
          </w:p>
        </w:tc>
      </w:tr>
      <w:tr w:rsidR="002657D1" w:rsidRPr="002657D1" w14:paraId="72030AC9" w14:textId="77777777" w:rsidTr="009C3A29">
        <w:trPr>
          <w:jc w:val="center"/>
        </w:trPr>
        <w:tc>
          <w:tcPr>
            <w:tcW w:w="2943" w:type="dxa"/>
            <w:tcBorders>
              <w:top w:val="nil"/>
              <w:left w:val="nil"/>
              <w:bottom w:val="nil"/>
              <w:right w:val="nil"/>
            </w:tcBorders>
            <w:vAlign w:val="center"/>
          </w:tcPr>
          <w:p w14:paraId="4F489D1C" w14:textId="2DD2B25D" w:rsidR="00F7477F" w:rsidRPr="002657D1" w:rsidRDefault="00F7477F" w:rsidP="00960574">
            <w:pPr>
              <w:pStyle w:val="ac"/>
              <w:spacing w:before="0" w:beforeAutospacing="0" w:after="0" w:afterAutospacing="0" w:line="360" w:lineRule="auto"/>
              <w:jc w:val="center"/>
              <w:rPr>
                <w:rFonts w:ascii="Times New Roman" w:hAnsi="Times New Roman" w:cs="Times New Roman"/>
                <w:color w:val="000000" w:themeColor="text1"/>
              </w:rPr>
            </w:pPr>
            <w:r w:rsidRPr="002657D1">
              <w:rPr>
                <w:rFonts w:ascii="Times New Roman" w:eastAsiaTheme="minorEastAsia" w:hAnsi="Times New Roman" w:cs="Times New Roman"/>
                <w:color w:val="000000" w:themeColor="text1"/>
                <w:kern w:val="24"/>
              </w:rPr>
              <w:t>Li/Li</w:t>
            </w:r>
            <w:r w:rsidRPr="002657D1">
              <w:rPr>
                <w:rFonts w:ascii="Times New Roman" w:eastAsiaTheme="minorEastAsia" w:hAnsi="Times New Roman" w:cs="Times New Roman"/>
                <w:color w:val="000000" w:themeColor="text1"/>
                <w:kern w:val="24"/>
                <w:position w:val="-4"/>
                <w:vertAlign w:val="subscript"/>
              </w:rPr>
              <w:t>7</w:t>
            </w:r>
            <w:r w:rsidRPr="002657D1">
              <w:rPr>
                <w:rFonts w:ascii="Times New Roman" w:eastAsiaTheme="minorEastAsia" w:hAnsi="Times New Roman" w:cs="Times New Roman"/>
                <w:color w:val="000000" w:themeColor="text1"/>
                <w:kern w:val="24"/>
              </w:rPr>
              <w:t>N</w:t>
            </w:r>
            <w:r w:rsidRPr="002657D1">
              <w:rPr>
                <w:rFonts w:ascii="Times New Roman" w:eastAsiaTheme="minorEastAsia" w:hAnsi="Times New Roman" w:cs="Times New Roman"/>
                <w:color w:val="000000" w:themeColor="text1"/>
                <w:kern w:val="24"/>
                <w:position w:val="-4"/>
                <w:vertAlign w:val="subscript"/>
              </w:rPr>
              <w:t>2</w:t>
            </w:r>
            <w:r w:rsidRPr="002657D1">
              <w:rPr>
                <w:rFonts w:ascii="Times New Roman" w:eastAsiaTheme="minorEastAsia" w:hAnsi="Times New Roman" w:cs="Times New Roman"/>
                <w:color w:val="000000" w:themeColor="text1"/>
                <w:kern w:val="24"/>
              </w:rPr>
              <w:t xml:space="preserve">I-0.5LiOH/Li </w:t>
            </w:r>
          </w:p>
        </w:tc>
        <w:tc>
          <w:tcPr>
            <w:tcW w:w="1310" w:type="dxa"/>
            <w:tcBorders>
              <w:top w:val="nil"/>
              <w:left w:val="nil"/>
              <w:bottom w:val="nil"/>
              <w:right w:val="nil"/>
            </w:tcBorders>
            <w:vAlign w:val="center"/>
          </w:tcPr>
          <w:p w14:paraId="2FC01978" w14:textId="1CF4C161" w:rsidR="00F7477F" w:rsidRPr="002657D1" w:rsidRDefault="00F7477F"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0.2</w:t>
            </w:r>
          </w:p>
        </w:tc>
        <w:tc>
          <w:tcPr>
            <w:tcW w:w="1701" w:type="dxa"/>
            <w:tcBorders>
              <w:top w:val="nil"/>
              <w:left w:val="nil"/>
              <w:bottom w:val="nil"/>
              <w:right w:val="nil"/>
            </w:tcBorders>
            <w:vAlign w:val="center"/>
          </w:tcPr>
          <w:p w14:paraId="779DEE1A" w14:textId="74AB6ED7" w:rsidR="00F7477F" w:rsidRPr="002657D1" w:rsidRDefault="00F7477F"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0.2</w:t>
            </w:r>
          </w:p>
        </w:tc>
        <w:tc>
          <w:tcPr>
            <w:tcW w:w="1276" w:type="dxa"/>
            <w:tcBorders>
              <w:top w:val="nil"/>
              <w:left w:val="nil"/>
              <w:bottom w:val="nil"/>
              <w:right w:val="nil"/>
            </w:tcBorders>
            <w:vAlign w:val="center"/>
          </w:tcPr>
          <w:p w14:paraId="00C44FAA" w14:textId="6FC82EAE" w:rsidR="00F7477F" w:rsidRPr="002657D1" w:rsidRDefault="00F7477F"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250</w:t>
            </w:r>
          </w:p>
        </w:tc>
        <w:tc>
          <w:tcPr>
            <w:tcW w:w="1842" w:type="dxa"/>
            <w:tcBorders>
              <w:top w:val="nil"/>
              <w:left w:val="nil"/>
              <w:bottom w:val="nil"/>
              <w:right w:val="nil"/>
            </w:tcBorders>
          </w:tcPr>
          <w:p w14:paraId="3F2C6E78" w14:textId="652A03AB" w:rsidR="00F7477F" w:rsidRPr="002657D1" w:rsidRDefault="00403882"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125</w:t>
            </w:r>
          </w:p>
        </w:tc>
        <w:tc>
          <w:tcPr>
            <w:tcW w:w="1701" w:type="dxa"/>
            <w:tcBorders>
              <w:top w:val="nil"/>
              <w:left w:val="nil"/>
              <w:bottom w:val="nil"/>
              <w:right w:val="nil"/>
            </w:tcBorders>
            <w:vAlign w:val="center"/>
          </w:tcPr>
          <w:p w14:paraId="0630D5BF" w14:textId="44E27843" w:rsidR="00F7477F" w:rsidRPr="002657D1" w:rsidRDefault="00F7477F"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25</w:t>
            </w:r>
          </w:p>
        </w:tc>
        <w:tc>
          <w:tcPr>
            <w:tcW w:w="1276" w:type="dxa"/>
            <w:tcBorders>
              <w:top w:val="nil"/>
              <w:left w:val="nil"/>
              <w:bottom w:val="nil"/>
              <w:right w:val="nil"/>
            </w:tcBorders>
            <w:vAlign w:val="center"/>
          </w:tcPr>
          <w:p w14:paraId="1A84C194" w14:textId="56A44522" w:rsidR="00F7477F" w:rsidRPr="002657D1" w:rsidRDefault="00F7477F" w:rsidP="00025586">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fldChar w:fldCharType="begin"/>
            </w:r>
            <w:r w:rsidR="00E725CF" w:rsidRPr="002657D1">
              <w:rPr>
                <w:rFonts w:ascii="Times New Roman" w:hAnsi="Times New Roman" w:cs="Times New Roman"/>
                <w:b/>
                <w:bCs/>
                <w:color w:val="000000" w:themeColor="text1"/>
                <w:sz w:val="24"/>
                <w:szCs w:val="24"/>
              </w:rPr>
              <w:instrText xml:space="preserve"> ADDIN ZOTERO_ITEM CSL_CITATION {"citationID":"BAWcsZjJ","properties":{"formattedCitation":"\\super 59\\nosupersub{}","plainCitation":"59","noteIndex":0},"citationItems":[{"id":"IXaoCdHi/QRStYJGc","uris":["http://zotero.org/users/local/As3BANDe/items/E9E9</w:instrText>
            </w:r>
            <w:r w:rsidR="00E725CF" w:rsidRPr="002657D1">
              <w:rPr>
                <w:rFonts w:ascii="Times New Roman" w:hAnsi="Times New Roman" w:cs="Times New Roman" w:hint="eastAsia"/>
                <w:b/>
                <w:bCs/>
                <w:color w:val="000000" w:themeColor="text1"/>
                <w:sz w:val="24"/>
                <w:szCs w:val="24"/>
              </w:rPr>
              <w:instrText>FLEI"],"itemData":{"id":4699,"type":"article-journal","abstract":"Abstract\n            \n              Rechargeable all</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solid</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state lithium metal batteries (ASSLMBs) utilizing inorganic solid</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state electrolytes (SSEs) are promising for electric vehicles and large</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scale grid energy storage. However, the Li dendrite growth in SSEs still constrains the practical utility of ASSLMBs. To achieve a high dendrite</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suppression capability, SSEs must be chemically stable with Li, possess fast Li transfer kinetics, and exhibit high interface energy. Herein, a class of low</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cost, eco</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friendly, and sustainable oxyhalide</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 xml:space="preserve">nitride solid electrolytes (ONSEs), denoted as Li\n              \n                x\n              \n              N\n              \n                y\n              \n              I\n              \n                z\n              \n              </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 xml:space="preserve">\n              q\n              LiOH (where\n              x\n              = 3\n              y\n              +\n              z\n              , 0 </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\n</w:instrText>
            </w:r>
            <w:r w:rsidR="00E725CF" w:rsidRPr="002657D1">
              <w:rPr>
                <w:rFonts w:ascii="Times New Roman" w:hAnsi="Times New Roman" w:cs="Times New Roman"/>
                <w:b/>
                <w:bCs/>
                <w:color w:val="000000" w:themeColor="text1"/>
                <w:sz w:val="24"/>
                <w:szCs w:val="24"/>
              </w:rPr>
              <w:instrText xml:space="preserve">              q\n              </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b/>
                <w:bCs/>
                <w:color w:val="000000" w:themeColor="text1"/>
                <w:sz w:val="24"/>
                <w:szCs w:val="24"/>
              </w:rPr>
              <w:instrText xml:space="preserve"> 0.75), is designed to fulfill all the requirements. As</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b/>
                <w:bCs/>
                <w:color w:val="000000" w:themeColor="text1"/>
                <w:sz w:val="24"/>
                <w:szCs w:val="24"/>
              </w:rPr>
              <w:instrText>prepared ONSEs demonstrate chemically stable against Li and high interface energy (&gt;43.08 meV Å\n              −2\n              ), effectively restraining Li dendrite</w:instrText>
            </w:r>
            <w:r w:rsidR="00E725CF" w:rsidRPr="002657D1">
              <w:rPr>
                <w:rFonts w:ascii="Times New Roman" w:hAnsi="Times New Roman" w:cs="Times New Roman" w:hint="eastAsia"/>
                <w:b/>
                <w:bCs/>
                <w:color w:val="000000" w:themeColor="text1"/>
                <w:sz w:val="24"/>
                <w:szCs w:val="24"/>
              </w:rPr>
              <w:instrText xml:space="preserve"> growth and the self</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degradation at electrode interfaces. Furthermore, improved thermodynamic oxidation stability of ONSEs (&gt;3 V vs Li\n              +\n              /Li, 0.45 V for pure Li\n              3\n              N), arising from the increased i</w:instrText>
            </w:r>
            <w:r w:rsidR="00E725CF" w:rsidRPr="002657D1">
              <w:rPr>
                <w:rFonts w:ascii="Times New Roman" w:hAnsi="Times New Roman" w:cs="Times New Roman"/>
                <w:b/>
                <w:bCs/>
                <w:color w:val="000000" w:themeColor="text1"/>
                <w:sz w:val="24"/>
                <w:szCs w:val="24"/>
              </w:rPr>
              <w:instrText>onicity of Li</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b/>
                <w:bCs/>
                <w:color w:val="000000" w:themeColor="text1"/>
                <w:sz w:val="24"/>
                <w:szCs w:val="24"/>
              </w:rPr>
              <w:instrText>N bonds, contributes to the stability in ASSLMBs. As a proof</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b/>
                <w:bCs/>
                <w:color w:val="000000" w:themeColor="text1"/>
                <w:sz w:val="24"/>
                <w:szCs w:val="24"/>
              </w:rPr>
              <w:instrText>of</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b/>
                <w:bCs/>
                <w:color w:val="000000" w:themeColor="text1"/>
                <w:sz w:val="24"/>
                <w:szCs w:val="24"/>
              </w:rPr>
              <w:instrText>concept, the optimized ONSEs possess high ionic conductivity of 0.52 mS cm\n              −1\n              and achieve long</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b/>
                <w:bCs/>
                <w:color w:val="000000" w:themeColor="text1"/>
                <w:sz w:val="24"/>
                <w:szCs w:val="24"/>
              </w:rPr>
              <w:instrText>term cycling of Li||Li symmetric cell for over 500 h</w:instrText>
            </w:r>
            <w:r w:rsidR="00E725CF" w:rsidRPr="002657D1">
              <w:rPr>
                <w:rFonts w:ascii="Times New Roman" w:hAnsi="Times New Roman" w:cs="Times New Roman" w:hint="eastAsia"/>
                <w:b/>
                <w:bCs/>
                <w:color w:val="000000" w:themeColor="text1"/>
                <w:sz w:val="24"/>
                <w:szCs w:val="24"/>
              </w:rPr>
              <w:instrText>. When coupled with the Li\n              3\n              InCl\n              6\n              SSE for high</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voltage cathodes, the bilayer oxyhalide</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nitride/Li\n              3\n              InCl\n              6\n              electrolyte imparts 90% ca</w:instrText>
            </w:r>
            <w:r w:rsidR="00E725CF" w:rsidRPr="002657D1">
              <w:rPr>
                <w:rFonts w:ascii="Times New Roman" w:hAnsi="Times New Roman" w:cs="Times New Roman"/>
                <w:b/>
                <w:bCs/>
                <w:color w:val="000000" w:themeColor="text1"/>
                <w:sz w:val="24"/>
                <w:szCs w:val="24"/>
              </w:rPr>
              <w:instrText>pacity retention over 500 cycles for Li||1 mAh cm\n              −2\n              LiCoO\n              2\n              cells.","container-title":"Advanced Materials","DOI":"10.1002/adma.202402324","ISSN":"0935-9648, 1521-4095","issue":"30","journalAbbre</w:instrText>
            </w:r>
            <w:r w:rsidR="00E725CF" w:rsidRPr="002657D1">
              <w:rPr>
                <w:rFonts w:ascii="Times New Roman" w:hAnsi="Times New Roman" w:cs="Times New Roman" w:hint="eastAsia"/>
                <w:b/>
                <w:bCs/>
                <w:color w:val="000000" w:themeColor="text1"/>
                <w:sz w:val="24"/>
                <w:szCs w:val="24"/>
              </w:rPr>
              <w:instrText>viation":"Advanced Materials","language":"en","page":"2402324","source":"DOI.org (Crossref)","title":"Stable Oxyhalide</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Nitride Fast Ionic Conductors for All</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Solid</w:instrText>
            </w:r>
            <w:r w:rsidR="00E725CF" w:rsidRPr="002657D1">
              <w:rPr>
                <w:rFonts w:ascii="Times New Roman" w:hAnsi="Times New Roman" w:cs="Times New Roman" w:hint="eastAsia"/>
                <w:b/>
                <w:bCs/>
                <w:color w:val="000000" w:themeColor="text1"/>
                <w:sz w:val="24"/>
                <w:szCs w:val="24"/>
              </w:rPr>
              <w:instrText>‐</w:instrText>
            </w:r>
            <w:r w:rsidR="00E725CF" w:rsidRPr="002657D1">
              <w:rPr>
                <w:rFonts w:ascii="Times New Roman" w:hAnsi="Times New Roman" w:cs="Times New Roman" w:hint="eastAsia"/>
                <w:b/>
                <w:bCs/>
                <w:color w:val="000000" w:themeColor="text1"/>
                <w:sz w:val="24"/>
                <w:szCs w:val="24"/>
              </w:rPr>
              <w:instrText>State Li Metal Batteries","volume":"36","author":[{"family":"Ma","given":"Baochen"},{"family</w:instrText>
            </w:r>
            <w:r w:rsidR="00E725CF" w:rsidRPr="002657D1">
              <w:rPr>
                <w:rFonts w:ascii="Times New Roman" w:hAnsi="Times New Roman" w:cs="Times New Roman"/>
                <w:b/>
                <w:bCs/>
                <w:color w:val="000000" w:themeColor="text1"/>
                <w:sz w:val="24"/>
                <w:szCs w:val="24"/>
              </w:rPr>
              <w:instrText xml:space="preserve">":"Li","given":"Ruhong"},{"family":"Zhu","given":"Haotian"},{"family":"Zhou","given":"Tao"},{"family":"Lv","given":"Ling"},{"family":"Zhang","given":"Haikuo"},{"family":"Zhang","given":"Shuoqing"},{"family":"Chen","given":"Long"},{"family":"Wang","given":"Jinze"},{"family":"Xiao","given":"Xuezhang"},{"family":"Deng","given":"Tao"},{"family":"Chen","given":"Lixin"},{"family":"Wang","given":"Chunsheng"},{"family":"Fan","given":"Xiulin"}],"issued":{"date-parts":[["2024",7]]}}}],"schema":"https://github.com/citation-style-language/schema/raw/master/csl-citation.json"} </w:instrText>
            </w:r>
            <w:r w:rsidRPr="002657D1">
              <w:rPr>
                <w:rFonts w:ascii="Times New Roman" w:hAnsi="Times New Roman" w:cs="Times New Roman"/>
                <w:b/>
                <w:bCs/>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59</w:t>
            </w:r>
            <w:r w:rsidRPr="002657D1">
              <w:rPr>
                <w:rFonts w:ascii="Times New Roman" w:hAnsi="Times New Roman" w:cs="Times New Roman"/>
                <w:b/>
                <w:bCs/>
                <w:color w:val="000000" w:themeColor="text1"/>
                <w:sz w:val="24"/>
                <w:szCs w:val="24"/>
              </w:rPr>
              <w:fldChar w:fldCharType="end"/>
            </w:r>
          </w:p>
        </w:tc>
      </w:tr>
      <w:tr w:rsidR="002657D1" w:rsidRPr="002657D1" w14:paraId="40A3B880" w14:textId="77777777" w:rsidTr="009C3A29">
        <w:trPr>
          <w:jc w:val="center"/>
        </w:trPr>
        <w:tc>
          <w:tcPr>
            <w:tcW w:w="2943" w:type="dxa"/>
            <w:tcBorders>
              <w:top w:val="nil"/>
              <w:left w:val="nil"/>
              <w:bottom w:val="nil"/>
              <w:right w:val="nil"/>
            </w:tcBorders>
            <w:vAlign w:val="center"/>
          </w:tcPr>
          <w:p w14:paraId="78ED7A93" w14:textId="17A7AB26" w:rsidR="00403882" w:rsidRPr="002657D1" w:rsidRDefault="00403882" w:rsidP="00AC5B51">
            <w:pPr>
              <w:widowControl/>
              <w:spacing w:line="360" w:lineRule="auto"/>
              <w:jc w:val="center"/>
              <w:rPr>
                <w:rFonts w:ascii="Times New Roman" w:hAnsi="Times New Roman" w:cs="Times New Roman"/>
                <w:color w:val="000000" w:themeColor="text1"/>
                <w:kern w:val="24"/>
                <w:sz w:val="24"/>
                <w:szCs w:val="24"/>
                <w:lang w:val="it-IT"/>
              </w:rPr>
            </w:pPr>
            <w:r w:rsidRPr="002657D1">
              <w:rPr>
                <w:rFonts w:ascii="Times New Roman" w:hAnsi="Times New Roman" w:cs="Times New Roman" w:hint="eastAsia"/>
                <w:color w:val="000000" w:themeColor="text1"/>
                <w:kern w:val="24"/>
                <w:sz w:val="24"/>
                <w:szCs w:val="24"/>
                <w:lang w:val="it-IT"/>
              </w:rPr>
              <w:t>Li/Li</w:t>
            </w:r>
            <w:r w:rsidRPr="002657D1">
              <w:rPr>
                <w:rFonts w:ascii="Times New Roman" w:hAnsi="Times New Roman" w:cs="Times New Roman"/>
                <w:color w:val="000000" w:themeColor="text1"/>
                <w:kern w:val="24"/>
                <w:sz w:val="24"/>
                <w:szCs w:val="24"/>
                <w:vertAlign w:val="subscript"/>
                <w:lang w:val="it-IT"/>
              </w:rPr>
              <w:t>3</w:t>
            </w:r>
            <w:r w:rsidRPr="002657D1">
              <w:rPr>
                <w:rFonts w:ascii="Times New Roman" w:hAnsi="Times New Roman" w:cs="Times New Roman" w:hint="eastAsia"/>
                <w:color w:val="000000" w:themeColor="text1"/>
                <w:kern w:val="24"/>
                <w:sz w:val="24"/>
                <w:szCs w:val="24"/>
                <w:lang w:val="it-IT"/>
              </w:rPr>
              <w:t>YCl</w:t>
            </w:r>
            <w:r w:rsidRPr="002657D1">
              <w:rPr>
                <w:rFonts w:ascii="Times New Roman" w:hAnsi="Times New Roman" w:cs="Times New Roman"/>
                <w:color w:val="000000" w:themeColor="text1"/>
                <w:kern w:val="24"/>
                <w:sz w:val="24"/>
                <w:szCs w:val="24"/>
                <w:vertAlign w:val="subscript"/>
                <w:lang w:val="it-IT"/>
              </w:rPr>
              <w:t>6</w:t>
            </w:r>
            <w:r w:rsidRPr="002657D1">
              <w:rPr>
                <w:rFonts w:ascii="Times New Roman" w:hAnsi="Times New Roman" w:cs="Times New Roman" w:hint="eastAsia"/>
                <w:color w:val="000000" w:themeColor="text1"/>
                <w:kern w:val="24"/>
                <w:sz w:val="24"/>
                <w:szCs w:val="24"/>
                <w:lang w:val="it-IT"/>
              </w:rPr>
              <w:t>/Li</w:t>
            </w:r>
          </w:p>
        </w:tc>
        <w:tc>
          <w:tcPr>
            <w:tcW w:w="1310" w:type="dxa"/>
            <w:tcBorders>
              <w:top w:val="nil"/>
              <w:left w:val="nil"/>
              <w:bottom w:val="nil"/>
              <w:right w:val="nil"/>
            </w:tcBorders>
            <w:vAlign w:val="center"/>
          </w:tcPr>
          <w:p w14:paraId="4984473F" w14:textId="11B28BB9" w:rsidR="00403882" w:rsidRPr="002657D1" w:rsidRDefault="00403882"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0.2</w:t>
            </w:r>
          </w:p>
        </w:tc>
        <w:tc>
          <w:tcPr>
            <w:tcW w:w="1701" w:type="dxa"/>
            <w:tcBorders>
              <w:top w:val="nil"/>
              <w:left w:val="nil"/>
              <w:bottom w:val="nil"/>
              <w:right w:val="nil"/>
            </w:tcBorders>
            <w:vAlign w:val="center"/>
          </w:tcPr>
          <w:p w14:paraId="72AE20D0" w14:textId="677B53F4" w:rsidR="00403882" w:rsidRPr="002657D1" w:rsidRDefault="00403882"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0.2</w:t>
            </w:r>
          </w:p>
        </w:tc>
        <w:tc>
          <w:tcPr>
            <w:tcW w:w="1276" w:type="dxa"/>
            <w:tcBorders>
              <w:top w:val="nil"/>
              <w:left w:val="nil"/>
              <w:bottom w:val="nil"/>
              <w:right w:val="nil"/>
            </w:tcBorders>
            <w:vAlign w:val="center"/>
          </w:tcPr>
          <w:p w14:paraId="1D2DBF1B" w14:textId="29D2D0A8" w:rsidR="00403882" w:rsidRPr="002657D1" w:rsidRDefault="00403882"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36</w:t>
            </w:r>
          </w:p>
        </w:tc>
        <w:tc>
          <w:tcPr>
            <w:tcW w:w="1842" w:type="dxa"/>
            <w:tcBorders>
              <w:top w:val="nil"/>
              <w:left w:val="nil"/>
              <w:bottom w:val="nil"/>
              <w:right w:val="nil"/>
            </w:tcBorders>
          </w:tcPr>
          <w:p w14:paraId="7F0925E1" w14:textId="75F34088" w:rsidR="00403882" w:rsidRPr="002657D1" w:rsidRDefault="00403882"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7.2</w:t>
            </w:r>
          </w:p>
        </w:tc>
        <w:tc>
          <w:tcPr>
            <w:tcW w:w="1701" w:type="dxa"/>
            <w:tcBorders>
              <w:top w:val="nil"/>
              <w:left w:val="nil"/>
              <w:bottom w:val="nil"/>
              <w:right w:val="nil"/>
            </w:tcBorders>
            <w:vAlign w:val="center"/>
          </w:tcPr>
          <w:p w14:paraId="1CFF15FC" w14:textId="699E4467" w:rsidR="00403882" w:rsidRPr="002657D1" w:rsidRDefault="00403882"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25</w:t>
            </w:r>
          </w:p>
        </w:tc>
        <w:tc>
          <w:tcPr>
            <w:tcW w:w="1276" w:type="dxa"/>
            <w:tcBorders>
              <w:top w:val="nil"/>
              <w:left w:val="nil"/>
              <w:bottom w:val="nil"/>
              <w:right w:val="nil"/>
            </w:tcBorders>
            <w:vAlign w:val="center"/>
          </w:tcPr>
          <w:p w14:paraId="00FB3819" w14:textId="68F0950D" w:rsidR="00403882" w:rsidRPr="002657D1" w:rsidRDefault="00403882" w:rsidP="00025586">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fldChar w:fldCharType="begin"/>
            </w:r>
            <w:r w:rsidR="00E725CF" w:rsidRPr="002657D1">
              <w:rPr>
                <w:rFonts w:ascii="Times New Roman" w:hAnsi="Times New Roman" w:cs="Times New Roman"/>
                <w:b/>
                <w:bCs/>
                <w:color w:val="000000" w:themeColor="text1"/>
                <w:sz w:val="24"/>
                <w:szCs w:val="24"/>
              </w:rPr>
              <w:instrText xml:space="preserve"> ADDIN ZOTERO_ITEM CSL_CITATION {"citationID":"o5PSFMFj","properties":{"formattedCitation":"\\super 60\\nosupersub{}","plainCitation":"60","noteIndex":0},"citationItems":[{"id":"IXaoCdHi/LLTZ6E8M","uris":["http://zotero.org/users/local/As3BANDe/items/E8GK7G9G"],"itemData":{"id":4701,"type":"article-journal","abstract":"For the first time, protected metallic Li is employed as anode in halide-based all-solid-state batteries. A kinetically stable anode interface is realized by inserting an argyrodite interlayer between halide electrolyte and lithium metal.\n          , \n            \n              Despite their excellent ionic conductivity and electrochemical oxidative stability, the emerging halide-based solid electrolytes suffer from inherent instability toward Li metal anodes. A thick and resistive interface can be formed by continuous reaction between halide electrolytes and Li anodes, leading to high impedance, low coulombic efficiency, and even short circuit of solid-state cells. Here, we report a thin argyrodite (Li\n              6\n              PS\n              5\n              Cl) protection layer to avoid the direct physical contact of the Li anode with Li\n              3\n              YCl\n              6\n              , a representative halide electrolyte. Li\n              6\n              PS\n              5\n              Cl is kinetically stable towards lithium and can also form a good hetero-contact with Li\n              3\n              YCl\n              6\n              . Highly stable Li plating/stripping cycling of a symmetric cell with a steady overpotential of 100 mV after 1000 h was demonstrated, compared to severe overpotential build-up to reach 1500 mV after 60 h of the control group. Besides, the LiNi\n              0.8\n              Co\n              0.1\n              Mn\n              0.1\n              O\n              2\n              /Li full solid-state cell displayed a high initial coulombic efficiency of &gt;87% and a stable lifetime of over 100 cycles. The facile protection of Li\n              6\n              PS\n              5\n              Cl provides a universal way to prevent unfavorable interaction at the anode interface and realize high performance all-solid-state Li-metal batteries.","container-title":"Journal of Materials Chemistry A","DOI":"10.1039/D1TA03042F","ISSN":"2050-7488, 2050-7496","issue":"26","journalAbbreviation":"J. Mater. Chem. A","language":"en","page":"15012-15018","source":"DOI.org (Crossref)","title":"A kinetically stable anode interface for Li&lt;sub&gt;3&lt;/sub&gt; YCl&lt;sub&gt;6&lt;/sub&gt; -based all-solid-state lithium batteries","volume":"9","author":[{"family":"Ji","given":"Weixiao"},{"family":"Zheng","given":"Dong"},{"family":"Zhang","given":"Xiaoxiao"},{"family":"Ding","given":"Tianyao"},{"family":"Qu","given":"Deyang"}],"issued":{"date-parts":[["2021"]]}}}],"schema":"https://github.com/citation-style-language/schema/raw/master/csl-citation.json"} </w:instrText>
            </w:r>
            <w:r w:rsidRPr="002657D1">
              <w:rPr>
                <w:rFonts w:ascii="Times New Roman" w:hAnsi="Times New Roman" w:cs="Times New Roman"/>
                <w:b/>
                <w:bCs/>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60</w:t>
            </w:r>
            <w:r w:rsidRPr="002657D1">
              <w:rPr>
                <w:rFonts w:ascii="Times New Roman" w:hAnsi="Times New Roman" w:cs="Times New Roman"/>
                <w:b/>
                <w:bCs/>
                <w:color w:val="000000" w:themeColor="text1"/>
                <w:sz w:val="24"/>
                <w:szCs w:val="24"/>
              </w:rPr>
              <w:fldChar w:fldCharType="end"/>
            </w:r>
          </w:p>
        </w:tc>
      </w:tr>
      <w:tr w:rsidR="002657D1" w:rsidRPr="002657D1" w14:paraId="36074B35" w14:textId="77777777" w:rsidTr="009C3A29">
        <w:trPr>
          <w:jc w:val="center"/>
        </w:trPr>
        <w:tc>
          <w:tcPr>
            <w:tcW w:w="2943" w:type="dxa"/>
            <w:tcBorders>
              <w:top w:val="nil"/>
              <w:left w:val="nil"/>
              <w:bottom w:val="nil"/>
              <w:right w:val="nil"/>
            </w:tcBorders>
            <w:vAlign w:val="center"/>
          </w:tcPr>
          <w:p w14:paraId="2914EC6C" w14:textId="45E14BAC" w:rsidR="00F7477F" w:rsidRPr="002657D1" w:rsidRDefault="00403882" w:rsidP="00AC5B51">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lang w:val="it-IT"/>
              </w:rPr>
              <w:t>Li/Li</w:t>
            </w:r>
            <w:r w:rsidRPr="002657D1">
              <w:rPr>
                <w:rFonts w:ascii="Times New Roman" w:hAnsi="Times New Roman" w:cs="Times New Roman"/>
                <w:color w:val="000000" w:themeColor="text1"/>
                <w:kern w:val="24"/>
                <w:sz w:val="24"/>
                <w:szCs w:val="24"/>
                <w:vertAlign w:val="subscript"/>
                <w:lang w:val="it-IT"/>
              </w:rPr>
              <w:t>6</w:t>
            </w:r>
            <w:r w:rsidRPr="002657D1">
              <w:rPr>
                <w:rFonts w:ascii="Times New Roman" w:hAnsi="Times New Roman" w:cs="Times New Roman" w:hint="eastAsia"/>
                <w:color w:val="000000" w:themeColor="text1"/>
                <w:kern w:val="24"/>
                <w:sz w:val="24"/>
                <w:szCs w:val="24"/>
                <w:lang w:val="it-IT"/>
              </w:rPr>
              <w:t>PS</w:t>
            </w:r>
            <w:r w:rsidRPr="002657D1">
              <w:rPr>
                <w:rFonts w:ascii="Times New Roman" w:hAnsi="Times New Roman" w:cs="Times New Roman"/>
                <w:color w:val="000000" w:themeColor="text1"/>
                <w:kern w:val="24"/>
                <w:sz w:val="24"/>
                <w:szCs w:val="24"/>
                <w:vertAlign w:val="subscript"/>
                <w:lang w:val="it-IT"/>
              </w:rPr>
              <w:t>5</w:t>
            </w:r>
            <w:r w:rsidRPr="002657D1">
              <w:rPr>
                <w:rFonts w:ascii="Times New Roman" w:hAnsi="Times New Roman" w:cs="Times New Roman" w:hint="eastAsia"/>
                <w:color w:val="000000" w:themeColor="text1"/>
                <w:kern w:val="24"/>
                <w:sz w:val="24"/>
                <w:szCs w:val="24"/>
                <w:lang w:val="it-IT"/>
              </w:rPr>
              <w:t>Cl/Li</w:t>
            </w:r>
            <w:r w:rsidRPr="002657D1">
              <w:rPr>
                <w:rFonts w:ascii="Times New Roman" w:hAnsi="Times New Roman" w:cs="Times New Roman"/>
                <w:color w:val="000000" w:themeColor="text1"/>
                <w:kern w:val="24"/>
                <w:sz w:val="24"/>
                <w:szCs w:val="24"/>
                <w:vertAlign w:val="subscript"/>
                <w:lang w:val="it-IT"/>
              </w:rPr>
              <w:t>3</w:t>
            </w:r>
            <w:r w:rsidRPr="002657D1">
              <w:rPr>
                <w:rFonts w:ascii="Times New Roman" w:hAnsi="Times New Roman" w:cs="Times New Roman" w:hint="eastAsia"/>
                <w:color w:val="000000" w:themeColor="text1"/>
                <w:kern w:val="24"/>
                <w:sz w:val="24"/>
                <w:szCs w:val="24"/>
                <w:lang w:val="it-IT"/>
              </w:rPr>
              <w:t>YCl</w:t>
            </w:r>
            <w:r w:rsidRPr="002657D1">
              <w:rPr>
                <w:rFonts w:ascii="Times New Roman" w:hAnsi="Times New Roman" w:cs="Times New Roman"/>
                <w:color w:val="000000" w:themeColor="text1"/>
                <w:kern w:val="24"/>
                <w:sz w:val="24"/>
                <w:szCs w:val="24"/>
                <w:vertAlign w:val="subscript"/>
                <w:lang w:val="it-IT"/>
              </w:rPr>
              <w:t>6</w:t>
            </w:r>
            <w:r w:rsidRPr="002657D1">
              <w:rPr>
                <w:rFonts w:ascii="Times New Roman" w:hAnsi="Times New Roman" w:cs="Times New Roman" w:hint="eastAsia"/>
                <w:color w:val="000000" w:themeColor="text1"/>
                <w:kern w:val="24"/>
                <w:sz w:val="24"/>
                <w:szCs w:val="24"/>
                <w:lang w:val="it-IT"/>
              </w:rPr>
              <w:t>/Li</w:t>
            </w:r>
            <w:r w:rsidRPr="002657D1">
              <w:rPr>
                <w:rFonts w:ascii="Times New Roman" w:hAnsi="Times New Roman" w:cs="Times New Roman"/>
                <w:color w:val="000000" w:themeColor="text1"/>
                <w:kern w:val="24"/>
                <w:sz w:val="24"/>
                <w:szCs w:val="24"/>
                <w:vertAlign w:val="subscript"/>
                <w:lang w:val="it-IT"/>
              </w:rPr>
              <w:t>6</w:t>
            </w:r>
            <w:r w:rsidRPr="002657D1">
              <w:rPr>
                <w:rFonts w:ascii="Times New Roman" w:hAnsi="Times New Roman" w:cs="Times New Roman" w:hint="eastAsia"/>
                <w:color w:val="000000" w:themeColor="text1"/>
                <w:kern w:val="24"/>
                <w:sz w:val="24"/>
                <w:szCs w:val="24"/>
                <w:lang w:val="it-IT"/>
              </w:rPr>
              <w:t>PS</w:t>
            </w:r>
            <w:r w:rsidRPr="002657D1">
              <w:rPr>
                <w:rFonts w:ascii="Times New Roman" w:hAnsi="Times New Roman" w:cs="Times New Roman"/>
                <w:color w:val="000000" w:themeColor="text1"/>
                <w:kern w:val="24"/>
                <w:sz w:val="24"/>
                <w:szCs w:val="24"/>
                <w:vertAlign w:val="subscript"/>
                <w:lang w:val="it-IT"/>
              </w:rPr>
              <w:t>5</w:t>
            </w:r>
            <w:r w:rsidRPr="002657D1">
              <w:rPr>
                <w:rFonts w:ascii="Times New Roman" w:hAnsi="Times New Roman" w:cs="Times New Roman" w:hint="eastAsia"/>
                <w:color w:val="000000" w:themeColor="text1"/>
                <w:kern w:val="24"/>
                <w:sz w:val="24"/>
                <w:szCs w:val="24"/>
                <w:lang w:val="it-IT"/>
              </w:rPr>
              <w:t>Cl/Li</w:t>
            </w:r>
          </w:p>
        </w:tc>
        <w:tc>
          <w:tcPr>
            <w:tcW w:w="1310" w:type="dxa"/>
            <w:tcBorders>
              <w:top w:val="nil"/>
              <w:left w:val="nil"/>
              <w:bottom w:val="nil"/>
              <w:right w:val="nil"/>
            </w:tcBorders>
            <w:vAlign w:val="center"/>
          </w:tcPr>
          <w:p w14:paraId="22BEA6F4" w14:textId="584C82F7" w:rsidR="00F7477F" w:rsidRPr="002657D1" w:rsidRDefault="00F7477F"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0.2</w:t>
            </w:r>
          </w:p>
        </w:tc>
        <w:tc>
          <w:tcPr>
            <w:tcW w:w="1701" w:type="dxa"/>
            <w:tcBorders>
              <w:top w:val="nil"/>
              <w:left w:val="nil"/>
              <w:bottom w:val="nil"/>
              <w:right w:val="nil"/>
            </w:tcBorders>
            <w:vAlign w:val="center"/>
          </w:tcPr>
          <w:p w14:paraId="0717AF91" w14:textId="0A4929DB" w:rsidR="00F7477F" w:rsidRPr="002657D1" w:rsidRDefault="00F7477F"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0.2</w:t>
            </w:r>
          </w:p>
        </w:tc>
        <w:tc>
          <w:tcPr>
            <w:tcW w:w="1276" w:type="dxa"/>
            <w:tcBorders>
              <w:top w:val="nil"/>
              <w:left w:val="nil"/>
              <w:bottom w:val="nil"/>
              <w:right w:val="nil"/>
            </w:tcBorders>
            <w:vAlign w:val="center"/>
          </w:tcPr>
          <w:p w14:paraId="32B707BF" w14:textId="33D76E28" w:rsidR="00F7477F" w:rsidRPr="002657D1" w:rsidRDefault="00F7477F"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500</w:t>
            </w:r>
          </w:p>
        </w:tc>
        <w:tc>
          <w:tcPr>
            <w:tcW w:w="1842" w:type="dxa"/>
            <w:tcBorders>
              <w:top w:val="nil"/>
              <w:left w:val="nil"/>
              <w:bottom w:val="nil"/>
              <w:right w:val="nil"/>
            </w:tcBorders>
            <w:vAlign w:val="center"/>
          </w:tcPr>
          <w:p w14:paraId="7F6C50FF" w14:textId="5DDF241F" w:rsidR="00F7477F" w:rsidRPr="002657D1" w:rsidRDefault="00403882"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100</w:t>
            </w:r>
          </w:p>
        </w:tc>
        <w:tc>
          <w:tcPr>
            <w:tcW w:w="1701" w:type="dxa"/>
            <w:tcBorders>
              <w:top w:val="nil"/>
              <w:left w:val="nil"/>
              <w:bottom w:val="nil"/>
              <w:right w:val="nil"/>
            </w:tcBorders>
            <w:vAlign w:val="center"/>
          </w:tcPr>
          <w:p w14:paraId="32B0FB76" w14:textId="2696BA0D" w:rsidR="00F7477F" w:rsidRPr="002657D1" w:rsidRDefault="00F7477F"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25</w:t>
            </w:r>
          </w:p>
        </w:tc>
        <w:bookmarkStart w:id="107" w:name="OLE_LINK8"/>
        <w:tc>
          <w:tcPr>
            <w:tcW w:w="1276" w:type="dxa"/>
            <w:tcBorders>
              <w:top w:val="nil"/>
              <w:left w:val="nil"/>
              <w:bottom w:val="nil"/>
              <w:right w:val="nil"/>
            </w:tcBorders>
            <w:vAlign w:val="center"/>
          </w:tcPr>
          <w:p w14:paraId="4AABA5DF" w14:textId="1B541610" w:rsidR="00F7477F" w:rsidRPr="002657D1" w:rsidRDefault="00F7477F" w:rsidP="00025586">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fldChar w:fldCharType="begin"/>
            </w:r>
            <w:r w:rsidR="00E725CF" w:rsidRPr="002657D1">
              <w:rPr>
                <w:rFonts w:ascii="Times New Roman" w:hAnsi="Times New Roman" w:cs="Times New Roman"/>
                <w:b/>
                <w:bCs/>
                <w:color w:val="000000" w:themeColor="text1"/>
                <w:sz w:val="24"/>
                <w:szCs w:val="24"/>
              </w:rPr>
              <w:instrText xml:space="preserve"> ADDIN ZOTERO_ITEM CSL_CITATION {"citationID":"krFCLCRN","properties":{"formattedCitation":"\\super 60\\nosupersub{}","plainCitation":"60","noteIndex":0},"citationItems":[{"id":"IXaoCdHi/LLTZ6E8M","uris":["http://zotero.org/users/local/As3BANDe/items/E8GK7G9G"],"itemData":{"id":4701,"type":"article-journal","abstract":"For the first time, protected metallic Li is employed as anode in halide-based all-solid-state batteries. A kinetically stable anode interface is realized by inserting an argyrodite interlayer between halide electrolyte and lithium metal.\n          , \n            \n              Despite their excellent ionic conductivity and electrochemical oxidative stability, the emerging halide-based solid electrolytes suffer from inherent instability toward Li metal anodes. A thick and resistive interface can be formed by continuous reaction between halide electrolytes and Li anodes, leading to high impedance, low coulombic efficiency, and even short circuit of solid-state cells. Here, we report a thin argyrodite (Li\n              6\n              PS\n              5\n              Cl) protection layer to avoid the direct physical contact of the Li anode with Li\n              3\n              YCl\n              6\n              , a representative halide electrolyte. Li\n              6\n              PS\n              5\n              Cl is kinetically stable towards lithium and can also form a good hetero-contact with Li\n              3\n              YCl\n              6\n              . Highly stable Li plating/stripping cycling of a symmetric cell with a steady overpotential of 100 mV after 1000 h was demonstrated, compared to severe overpotential build-up to reach 1500 mV after 60 h of the control group. Besides, the LiNi\n              0.8\n              Co\n              0.1\n              Mn\n              0.1\n              O\n              2\n              /Li full solid-state cell displayed a high initial coulombic efficiency of &gt;87% and a stable lifetime of over 100 cycles. The facile protection of Li\n              6\n              PS\n              5\n              Cl provides a universal way to prevent unfavorable interaction at the anode interface and realize high performance all-solid-state Li-metal batteries.","container-title":"Journal of Materials Chemistry A","DOI":"10.1039/D1TA03042F","ISSN":"2050-7488, 2050-7496","issue":"26","journalAbbreviation":"J. Mater. Chem. A","language":"en","page":"15012-15018","source":"DOI.org (Crossref)","title":"A kinetically stable anode interface for Li&lt;sub&gt;3&lt;/sub&gt; YCl&lt;sub&gt;6&lt;/sub&gt; -based all-solid-state lithium batteries","volume":"9","author":[{"family":"Ji","given":"Weixiao"},{"family":"Zheng","given":"Dong"},{"family":"Zhang","given":"Xiaoxiao"},{"family":"Ding","given":"Tianyao"},{"family":"Qu","given":"Deyang"}],"issued":{"date-parts":[["2021"]]}}}],"schema":"https://github.com/citation-style-language/schema/raw/master/csl-citation.json"} </w:instrText>
            </w:r>
            <w:r w:rsidRPr="002657D1">
              <w:rPr>
                <w:rFonts w:ascii="Times New Roman" w:hAnsi="Times New Roman" w:cs="Times New Roman"/>
                <w:b/>
                <w:bCs/>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60</w:t>
            </w:r>
            <w:r w:rsidRPr="002657D1">
              <w:rPr>
                <w:rFonts w:ascii="Times New Roman" w:hAnsi="Times New Roman" w:cs="Times New Roman"/>
                <w:b/>
                <w:bCs/>
                <w:color w:val="000000" w:themeColor="text1"/>
                <w:sz w:val="24"/>
                <w:szCs w:val="24"/>
              </w:rPr>
              <w:fldChar w:fldCharType="end"/>
            </w:r>
            <w:bookmarkEnd w:id="107"/>
          </w:p>
        </w:tc>
      </w:tr>
      <w:tr w:rsidR="002657D1" w:rsidRPr="002657D1" w14:paraId="6999615F" w14:textId="77777777" w:rsidTr="009C3A29">
        <w:trPr>
          <w:jc w:val="center"/>
        </w:trPr>
        <w:tc>
          <w:tcPr>
            <w:tcW w:w="2943" w:type="dxa"/>
            <w:vMerge w:val="restart"/>
            <w:tcBorders>
              <w:top w:val="nil"/>
              <w:left w:val="nil"/>
              <w:right w:val="nil"/>
            </w:tcBorders>
            <w:vAlign w:val="center"/>
          </w:tcPr>
          <w:p w14:paraId="50DCF902" w14:textId="5E670A96" w:rsidR="00F7477F" w:rsidRPr="002657D1" w:rsidRDefault="00F7477F" w:rsidP="00960574">
            <w:pPr>
              <w:pStyle w:val="ac"/>
              <w:spacing w:before="0" w:beforeAutospacing="0" w:after="0" w:afterAutospacing="0" w:line="360" w:lineRule="auto"/>
              <w:jc w:val="center"/>
              <w:rPr>
                <w:rFonts w:ascii="Times New Roman" w:hAnsi="Times New Roman" w:cs="Times New Roman"/>
                <w:color w:val="000000" w:themeColor="text1"/>
              </w:rPr>
            </w:pPr>
            <w:r w:rsidRPr="002657D1">
              <w:rPr>
                <w:rFonts w:ascii="Times New Roman" w:eastAsiaTheme="minorEastAsia" w:hAnsi="Times New Roman" w:cs="Times New Roman"/>
                <w:color w:val="000000" w:themeColor="text1"/>
                <w:kern w:val="24"/>
              </w:rPr>
              <w:t>Li/Li</w:t>
            </w:r>
            <w:r w:rsidRPr="002657D1">
              <w:rPr>
                <w:rFonts w:ascii="Times New Roman" w:eastAsiaTheme="minorEastAsia" w:hAnsi="Times New Roman" w:cs="Times New Roman"/>
                <w:color w:val="000000" w:themeColor="text1"/>
                <w:kern w:val="24"/>
                <w:position w:val="-4"/>
                <w:vertAlign w:val="subscript"/>
              </w:rPr>
              <w:t>3</w:t>
            </w:r>
            <w:proofErr w:type="spellStart"/>
            <w:r w:rsidRPr="002657D1">
              <w:rPr>
                <w:rFonts w:ascii="Times New Roman" w:eastAsiaTheme="minorEastAsia" w:hAnsi="Times New Roman" w:cs="Times New Roman"/>
                <w:color w:val="000000" w:themeColor="text1"/>
                <w:kern w:val="24"/>
              </w:rPr>
              <w:t>InCl</w:t>
            </w:r>
            <w:proofErr w:type="spellEnd"/>
            <w:r w:rsidRPr="002657D1">
              <w:rPr>
                <w:rFonts w:ascii="Times New Roman" w:eastAsiaTheme="minorEastAsia" w:hAnsi="Times New Roman" w:cs="Times New Roman"/>
                <w:color w:val="000000" w:themeColor="text1"/>
                <w:kern w:val="24"/>
                <w:position w:val="-4"/>
                <w:vertAlign w:val="subscript"/>
              </w:rPr>
              <w:t>6</w:t>
            </w:r>
            <w:r w:rsidRPr="002657D1">
              <w:rPr>
                <w:rFonts w:ascii="Times New Roman" w:eastAsiaTheme="minorEastAsia" w:hAnsi="Times New Roman" w:cs="Times New Roman"/>
                <w:color w:val="000000" w:themeColor="text1"/>
                <w:kern w:val="24"/>
              </w:rPr>
              <w:t>/</w:t>
            </w:r>
            <w:proofErr w:type="spellStart"/>
            <w:r w:rsidRPr="002657D1">
              <w:rPr>
                <w:rFonts w:ascii="Times New Roman" w:eastAsiaTheme="minorEastAsia" w:hAnsi="Times New Roman" w:cs="Times New Roman"/>
                <w:color w:val="000000" w:themeColor="text1"/>
                <w:kern w:val="24"/>
              </w:rPr>
              <w:t>xPBO-SPE@Li</w:t>
            </w:r>
            <w:proofErr w:type="spellEnd"/>
          </w:p>
        </w:tc>
        <w:tc>
          <w:tcPr>
            <w:tcW w:w="1310" w:type="dxa"/>
            <w:tcBorders>
              <w:top w:val="nil"/>
              <w:left w:val="nil"/>
              <w:bottom w:val="nil"/>
              <w:right w:val="nil"/>
            </w:tcBorders>
            <w:vAlign w:val="center"/>
          </w:tcPr>
          <w:p w14:paraId="4849A9E0" w14:textId="4ABF3541" w:rsidR="00F7477F" w:rsidRPr="002657D1" w:rsidRDefault="00F7477F"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0.1</w:t>
            </w:r>
          </w:p>
        </w:tc>
        <w:tc>
          <w:tcPr>
            <w:tcW w:w="1701" w:type="dxa"/>
            <w:tcBorders>
              <w:top w:val="nil"/>
              <w:left w:val="nil"/>
              <w:bottom w:val="nil"/>
              <w:right w:val="nil"/>
            </w:tcBorders>
            <w:vAlign w:val="center"/>
          </w:tcPr>
          <w:p w14:paraId="4D06E2A5" w14:textId="246AD53B" w:rsidR="00F7477F" w:rsidRPr="002657D1" w:rsidRDefault="00F7477F"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0.1</w:t>
            </w:r>
          </w:p>
        </w:tc>
        <w:tc>
          <w:tcPr>
            <w:tcW w:w="1276" w:type="dxa"/>
            <w:tcBorders>
              <w:top w:val="nil"/>
              <w:left w:val="nil"/>
              <w:bottom w:val="nil"/>
              <w:right w:val="nil"/>
            </w:tcBorders>
            <w:vAlign w:val="center"/>
          </w:tcPr>
          <w:p w14:paraId="1C31BFD7" w14:textId="31831160" w:rsidR="00F7477F" w:rsidRPr="002657D1" w:rsidRDefault="00F7477F"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550</w:t>
            </w:r>
          </w:p>
        </w:tc>
        <w:tc>
          <w:tcPr>
            <w:tcW w:w="1842" w:type="dxa"/>
            <w:tcBorders>
              <w:top w:val="nil"/>
              <w:left w:val="nil"/>
              <w:bottom w:val="nil"/>
              <w:right w:val="nil"/>
            </w:tcBorders>
          </w:tcPr>
          <w:p w14:paraId="49623DCD" w14:textId="5D769098" w:rsidR="00F7477F" w:rsidRPr="002657D1" w:rsidRDefault="00403882"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55</w:t>
            </w:r>
          </w:p>
        </w:tc>
        <w:tc>
          <w:tcPr>
            <w:tcW w:w="1701" w:type="dxa"/>
            <w:tcBorders>
              <w:top w:val="nil"/>
              <w:left w:val="nil"/>
              <w:bottom w:val="nil"/>
              <w:right w:val="nil"/>
            </w:tcBorders>
            <w:vAlign w:val="center"/>
          </w:tcPr>
          <w:p w14:paraId="3B996429" w14:textId="796C4364" w:rsidR="00F7477F" w:rsidRPr="002657D1" w:rsidRDefault="00F7477F"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30</w:t>
            </w:r>
          </w:p>
        </w:tc>
        <w:bookmarkStart w:id="108" w:name="OLE_LINK91"/>
        <w:tc>
          <w:tcPr>
            <w:tcW w:w="1276" w:type="dxa"/>
            <w:vMerge w:val="restart"/>
            <w:tcBorders>
              <w:top w:val="nil"/>
              <w:left w:val="nil"/>
              <w:right w:val="nil"/>
            </w:tcBorders>
            <w:vAlign w:val="center"/>
          </w:tcPr>
          <w:p w14:paraId="06A4568F" w14:textId="715C59BD" w:rsidR="00F7477F" w:rsidRPr="002657D1" w:rsidRDefault="00F7477F" w:rsidP="00025586">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fldChar w:fldCharType="begin"/>
            </w:r>
            <w:r w:rsidR="00E725CF" w:rsidRPr="002657D1">
              <w:rPr>
                <w:rFonts w:ascii="Times New Roman" w:hAnsi="Times New Roman" w:cs="Times New Roman"/>
                <w:b/>
                <w:bCs/>
                <w:color w:val="000000" w:themeColor="text1"/>
                <w:sz w:val="24"/>
                <w:szCs w:val="24"/>
              </w:rPr>
              <w:instrText xml:space="preserve"> ADDIN ZOTERO_ITEM CSL_CITATION {"citationID":"MTc82aLs","properties":{"formattedCitation":"\\super 61\\nosupersub{}","plainCitation":"61","noteIndex":0},"citationItems":[{"id":"IXaoCdHi/f22Dpzk2","uris":["http://zotero.org/users/local/As3BANDe/items/9X4WXQEM"],"itemData":{"id":3463,"type":"article-journal","abstract":"Halide-based solid-state halide electrolytes (SSEs) were recently revived as promising candidates for next-generation all-solid-state batteries due to their superionic conductivity, direct compatibility with high-voltage cathodes, and scalable production. However, the incompatibility between halide SSEs and lithium metal anodes remains a main challenge to achieve high energy density. Herein, we demonstrate a thin cross-linked poly(butylene oxide) solid polymer electrolyte (xPBO SPE) interlayer on the superionic Li3InCl6 SSE to enable lithium metal compatibility. A rapid and solvent-free in situ cross-linking process is developed by reaction between a 0.5 s pulse of trimethylaluminum vapor and the hydroxyl terminal groups of poly(butylene oxide). The Li−Li symmetric cells using xPBO-SPE@Li3InCl6 demonstrate a highly stable cycling performance over 1100 h and up to 1.0 mA cm−2 and 1.0 mAh cm−2. All-solid-state lithium metal battery (ASSLMB) performance with a LiCoO2 cathode is presented. This new rapid cross-linking strategy shall inspire more possibilities for lithium metal anode integration in ASSLMBs.","container-title":"ACS Energy Letters","DOI":"10.1021/acsenergylett.3c01157","ISSN":"2380-8195, 2380-8195","issue":"9","journalAbbreviation":"ACS Energy Lett.","language":"en","license":"https://doi.org/10.15223/policy-029","page":"3676-3684","source":"DOI.org (Crossref)","title":"Rapidly In Situ Cross-Linked Poly(butylene oxide) Electrolyte Interface Enabling Halide-Based All-Solid-State Lithium Metal Batteries","volume":"8","author":[{"family":"Luo","given":"Jing"},{"family":"Sun","given":"Qian"},{"family":"Liang","given":"Jianwen"},{"family":"Adair","given":"Keegan"},{"family":"Zhao","given":"Feipeng"},{"family":"Deng","given":"Sixu"},{"family":"Zhao","given":"Yang"},{"family":"Li","given":"Ruying"},{"family":"Huang","given":"Huan"},{"family":"Yang","given":"Rong"},{"family":"Zhao","given":"Shangqian"},{"family":"Wang","given":"Jiantao"},{"family":"Sun","given":"Xueliang"}],"issued":{"date-parts":[["2023",9,8]]}}}],"schema":"https://github.com/citation-style-language/schema/raw/master/csl-citation.json"} </w:instrText>
            </w:r>
            <w:r w:rsidRPr="002657D1">
              <w:rPr>
                <w:rFonts w:ascii="Times New Roman" w:hAnsi="Times New Roman" w:cs="Times New Roman"/>
                <w:b/>
                <w:bCs/>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61</w:t>
            </w:r>
            <w:r w:rsidRPr="002657D1">
              <w:rPr>
                <w:rFonts w:ascii="Times New Roman" w:hAnsi="Times New Roman" w:cs="Times New Roman"/>
                <w:b/>
                <w:bCs/>
                <w:color w:val="000000" w:themeColor="text1"/>
                <w:sz w:val="24"/>
                <w:szCs w:val="24"/>
              </w:rPr>
              <w:fldChar w:fldCharType="end"/>
            </w:r>
            <w:bookmarkEnd w:id="108"/>
          </w:p>
        </w:tc>
      </w:tr>
      <w:tr w:rsidR="002657D1" w:rsidRPr="002657D1" w14:paraId="25AE267A" w14:textId="77777777" w:rsidTr="009C3A29">
        <w:trPr>
          <w:jc w:val="center"/>
        </w:trPr>
        <w:tc>
          <w:tcPr>
            <w:tcW w:w="2943" w:type="dxa"/>
            <w:vMerge/>
            <w:tcBorders>
              <w:left w:val="nil"/>
              <w:bottom w:val="nil"/>
              <w:right w:val="nil"/>
            </w:tcBorders>
            <w:vAlign w:val="center"/>
          </w:tcPr>
          <w:p w14:paraId="3E66C4DB" w14:textId="7F257D07" w:rsidR="00F7477F" w:rsidRPr="002657D1" w:rsidRDefault="00F7477F" w:rsidP="00081666">
            <w:pPr>
              <w:pStyle w:val="ac"/>
              <w:spacing w:before="0" w:beforeAutospacing="0" w:after="0" w:afterAutospacing="0" w:line="360" w:lineRule="auto"/>
              <w:rPr>
                <w:rFonts w:ascii="Times New Roman" w:eastAsiaTheme="minorEastAsia" w:hAnsi="Times New Roman" w:cs="Times New Roman"/>
                <w:color w:val="000000" w:themeColor="text1"/>
                <w:kern w:val="24"/>
              </w:rPr>
            </w:pPr>
          </w:p>
        </w:tc>
        <w:tc>
          <w:tcPr>
            <w:tcW w:w="1310" w:type="dxa"/>
            <w:tcBorders>
              <w:top w:val="nil"/>
              <w:left w:val="nil"/>
              <w:bottom w:val="nil"/>
              <w:right w:val="nil"/>
            </w:tcBorders>
            <w:vAlign w:val="center"/>
          </w:tcPr>
          <w:p w14:paraId="079AC9BF" w14:textId="77FB2718" w:rsidR="00F7477F" w:rsidRPr="002657D1" w:rsidRDefault="00F7477F"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1.0</w:t>
            </w:r>
          </w:p>
        </w:tc>
        <w:tc>
          <w:tcPr>
            <w:tcW w:w="1701" w:type="dxa"/>
            <w:tcBorders>
              <w:top w:val="nil"/>
              <w:left w:val="nil"/>
              <w:bottom w:val="nil"/>
              <w:right w:val="nil"/>
            </w:tcBorders>
            <w:vAlign w:val="center"/>
          </w:tcPr>
          <w:p w14:paraId="583A631A" w14:textId="3DFB42E7" w:rsidR="00F7477F" w:rsidRPr="002657D1" w:rsidRDefault="00F7477F"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1.0</w:t>
            </w:r>
          </w:p>
        </w:tc>
        <w:tc>
          <w:tcPr>
            <w:tcW w:w="1276" w:type="dxa"/>
            <w:tcBorders>
              <w:top w:val="nil"/>
              <w:left w:val="nil"/>
              <w:bottom w:val="nil"/>
              <w:right w:val="nil"/>
            </w:tcBorders>
            <w:vAlign w:val="center"/>
          </w:tcPr>
          <w:p w14:paraId="52F8B78F" w14:textId="5080C7F9" w:rsidR="00F7477F" w:rsidRPr="002657D1" w:rsidRDefault="00F7477F"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100</w:t>
            </w:r>
          </w:p>
        </w:tc>
        <w:tc>
          <w:tcPr>
            <w:tcW w:w="1842" w:type="dxa"/>
            <w:tcBorders>
              <w:top w:val="nil"/>
              <w:left w:val="nil"/>
              <w:bottom w:val="nil"/>
              <w:right w:val="nil"/>
            </w:tcBorders>
          </w:tcPr>
          <w:p w14:paraId="1A6A763C" w14:textId="6F358FB8" w:rsidR="00F7477F" w:rsidRPr="002657D1" w:rsidRDefault="00403882"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100</w:t>
            </w:r>
          </w:p>
        </w:tc>
        <w:tc>
          <w:tcPr>
            <w:tcW w:w="1701" w:type="dxa"/>
            <w:tcBorders>
              <w:top w:val="nil"/>
              <w:left w:val="nil"/>
              <w:bottom w:val="nil"/>
              <w:right w:val="nil"/>
            </w:tcBorders>
            <w:vAlign w:val="center"/>
          </w:tcPr>
          <w:p w14:paraId="2AA6BDFF" w14:textId="58E9BFA8" w:rsidR="00F7477F" w:rsidRPr="002657D1" w:rsidRDefault="00F7477F"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30</w:t>
            </w:r>
          </w:p>
        </w:tc>
        <w:tc>
          <w:tcPr>
            <w:tcW w:w="1276" w:type="dxa"/>
            <w:vMerge/>
            <w:tcBorders>
              <w:left w:val="nil"/>
              <w:bottom w:val="nil"/>
              <w:right w:val="nil"/>
            </w:tcBorders>
            <w:vAlign w:val="center"/>
          </w:tcPr>
          <w:p w14:paraId="59D39955" w14:textId="77777777" w:rsidR="00F7477F" w:rsidRPr="002657D1" w:rsidRDefault="00F7477F" w:rsidP="00025586">
            <w:pPr>
              <w:widowControl/>
              <w:spacing w:line="360" w:lineRule="auto"/>
              <w:jc w:val="center"/>
              <w:rPr>
                <w:rFonts w:ascii="Times New Roman" w:hAnsi="Times New Roman" w:cs="Times New Roman"/>
                <w:b/>
                <w:bCs/>
                <w:color w:val="000000" w:themeColor="text1"/>
                <w:sz w:val="24"/>
                <w:szCs w:val="24"/>
              </w:rPr>
            </w:pPr>
          </w:p>
        </w:tc>
      </w:tr>
      <w:tr w:rsidR="002657D1" w:rsidRPr="002657D1" w14:paraId="231C1582" w14:textId="77777777" w:rsidTr="009C3A29">
        <w:trPr>
          <w:jc w:val="center"/>
        </w:trPr>
        <w:tc>
          <w:tcPr>
            <w:tcW w:w="2943" w:type="dxa"/>
            <w:tcBorders>
              <w:top w:val="nil"/>
              <w:left w:val="nil"/>
              <w:bottom w:val="nil"/>
              <w:right w:val="nil"/>
            </w:tcBorders>
            <w:vAlign w:val="center"/>
          </w:tcPr>
          <w:p w14:paraId="3406CFAC" w14:textId="42E3ECB5" w:rsidR="00F7477F" w:rsidRPr="002657D1" w:rsidRDefault="00F7477F" w:rsidP="00EC69CA">
            <w:pPr>
              <w:widowControl/>
              <w:spacing w:line="360" w:lineRule="auto"/>
              <w:jc w:val="center"/>
              <w:rPr>
                <w:rFonts w:ascii="Times New Roman" w:hAnsi="Times New Roman" w:cs="Times New Roman"/>
                <w:color w:val="000000" w:themeColor="text1"/>
                <w:kern w:val="24"/>
                <w:sz w:val="24"/>
                <w:szCs w:val="24"/>
              </w:rPr>
            </w:pPr>
            <w:proofErr w:type="spellStart"/>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x</w:t>
            </w:r>
            <w:r w:rsidRPr="002657D1">
              <w:rPr>
                <w:rFonts w:ascii="Times New Roman" w:hAnsi="Times New Roman" w:cs="Times New Roman"/>
                <w:color w:val="000000" w:themeColor="text1"/>
                <w:kern w:val="24"/>
                <w:sz w:val="24"/>
                <w:szCs w:val="24"/>
              </w:rPr>
              <w:t>In</w:t>
            </w:r>
            <w:r w:rsidRPr="002657D1">
              <w:rPr>
                <w:rFonts w:ascii="Times New Roman" w:hAnsi="Times New Roman" w:cs="Times New Roman"/>
                <w:color w:val="000000" w:themeColor="text1"/>
                <w:kern w:val="24"/>
                <w:sz w:val="24"/>
                <w:szCs w:val="24"/>
                <w:vertAlign w:val="subscript"/>
              </w:rPr>
              <w:t>y</w:t>
            </w:r>
            <w:r w:rsidRPr="002657D1">
              <w:rPr>
                <w:rFonts w:ascii="Times New Roman" w:hAnsi="Times New Roman" w:cs="Times New Roman"/>
                <w:color w:val="000000" w:themeColor="text1"/>
                <w:kern w:val="24"/>
                <w:sz w:val="24"/>
                <w:szCs w:val="24"/>
              </w:rPr>
              <w:t>-LiCl@Li</w:t>
            </w:r>
            <w:proofErr w:type="spellEnd"/>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position w:val="-4"/>
                <w:sz w:val="24"/>
                <w:szCs w:val="24"/>
                <w:vertAlign w:val="subscript"/>
              </w:rPr>
              <w:t>3</w:t>
            </w:r>
            <w:proofErr w:type="spellStart"/>
            <w:r w:rsidRPr="002657D1">
              <w:rPr>
                <w:rFonts w:ascii="Times New Roman" w:hAnsi="Times New Roman" w:cs="Times New Roman"/>
                <w:color w:val="000000" w:themeColor="text1"/>
                <w:kern w:val="24"/>
                <w:sz w:val="24"/>
                <w:szCs w:val="24"/>
              </w:rPr>
              <w:t>InCl</w:t>
            </w:r>
            <w:proofErr w:type="spellEnd"/>
            <w:r w:rsidRPr="002657D1">
              <w:rPr>
                <w:rFonts w:ascii="Times New Roman" w:hAnsi="Times New Roman" w:cs="Times New Roman"/>
                <w:color w:val="000000" w:themeColor="text1"/>
                <w:kern w:val="24"/>
                <w:position w:val="-4"/>
                <w:sz w:val="24"/>
                <w:szCs w:val="24"/>
                <w:vertAlign w:val="subscript"/>
              </w:rPr>
              <w:t>6</w:t>
            </w:r>
            <w:r w:rsidRPr="002657D1">
              <w:rPr>
                <w:rFonts w:ascii="Times New Roman" w:hAnsi="Times New Roman" w:cs="Times New Roman"/>
                <w:color w:val="000000" w:themeColor="text1"/>
                <w:kern w:val="24"/>
                <w:sz w:val="24"/>
                <w:szCs w:val="24"/>
              </w:rPr>
              <w:t>/</w:t>
            </w:r>
            <w:proofErr w:type="spellStart"/>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x</w:t>
            </w:r>
            <w:r w:rsidRPr="002657D1">
              <w:rPr>
                <w:rFonts w:ascii="Times New Roman" w:hAnsi="Times New Roman" w:cs="Times New Roman"/>
                <w:color w:val="000000" w:themeColor="text1"/>
                <w:kern w:val="24"/>
                <w:sz w:val="24"/>
                <w:szCs w:val="24"/>
              </w:rPr>
              <w:t>In</w:t>
            </w:r>
            <w:r w:rsidRPr="002657D1">
              <w:rPr>
                <w:rFonts w:ascii="Times New Roman" w:hAnsi="Times New Roman" w:cs="Times New Roman"/>
                <w:color w:val="000000" w:themeColor="text1"/>
                <w:kern w:val="24"/>
                <w:sz w:val="24"/>
                <w:szCs w:val="24"/>
                <w:vertAlign w:val="subscript"/>
              </w:rPr>
              <w:t>y</w:t>
            </w:r>
            <w:r w:rsidRPr="002657D1">
              <w:rPr>
                <w:rFonts w:ascii="Times New Roman" w:hAnsi="Times New Roman" w:cs="Times New Roman"/>
                <w:color w:val="000000" w:themeColor="text1"/>
                <w:kern w:val="24"/>
                <w:sz w:val="24"/>
                <w:szCs w:val="24"/>
              </w:rPr>
              <w:t>-LiCl@Li</w:t>
            </w:r>
            <w:proofErr w:type="spellEnd"/>
          </w:p>
        </w:tc>
        <w:tc>
          <w:tcPr>
            <w:tcW w:w="1310" w:type="dxa"/>
            <w:tcBorders>
              <w:top w:val="nil"/>
              <w:left w:val="nil"/>
              <w:bottom w:val="nil"/>
              <w:right w:val="nil"/>
            </w:tcBorders>
            <w:vAlign w:val="center"/>
          </w:tcPr>
          <w:p w14:paraId="0459D533" w14:textId="354783DF" w:rsidR="00F7477F" w:rsidRPr="002657D1" w:rsidRDefault="00F7477F"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1.0</w:t>
            </w:r>
          </w:p>
        </w:tc>
        <w:tc>
          <w:tcPr>
            <w:tcW w:w="1701" w:type="dxa"/>
            <w:tcBorders>
              <w:top w:val="nil"/>
              <w:left w:val="nil"/>
              <w:bottom w:val="nil"/>
              <w:right w:val="nil"/>
            </w:tcBorders>
            <w:vAlign w:val="center"/>
          </w:tcPr>
          <w:p w14:paraId="0554C598" w14:textId="3885D77B" w:rsidR="00F7477F" w:rsidRPr="002657D1" w:rsidRDefault="00F7477F"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0.5</w:t>
            </w:r>
          </w:p>
        </w:tc>
        <w:tc>
          <w:tcPr>
            <w:tcW w:w="1276" w:type="dxa"/>
            <w:tcBorders>
              <w:top w:val="nil"/>
              <w:left w:val="nil"/>
              <w:bottom w:val="nil"/>
              <w:right w:val="nil"/>
            </w:tcBorders>
            <w:vAlign w:val="center"/>
          </w:tcPr>
          <w:p w14:paraId="202D1750" w14:textId="642F3E55" w:rsidR="00F7477F" w:rsidRPr="002657D1" w:rsidRDefault="00F7477F"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400</w:t>
            </w:r>
          </w:p>
        </w:tc>
        <w:tc>
          <w:tcPr>
            <w:tcW w:w="1842" w:type="dxa"/>
            <w:tcBorders>
              <w:top w:val="nil"/>
              <w:left w:val="nil"/>
              <w:bottom w:val="nil"/>
              <w:right w:val="nil"/>
            </w:tcBorders>
            <w:vAlign w:val="center"/>
          </w:tcPr>
          <w:p w14:paraId="0F4E8FED" w14:textId="72F063D5" w:rsidR="00F7477F" w:rsidRPr="002657D1" w:rsidRDefault="00403882"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200</w:t>
            </w:r>
          </w:p>
        </w:tc>
        <w:tc>
          <w:tcPr>
            <w:tcW w:w="1701" w:type="dxa"/>
            <w:tcBorders>
              <w:top w:val="nil"/>
              <w:left w:val="nil"/>
              <w:bottom w:val="nil"/>
              <w:right w:val="nil"/>
            </w:tcBorders>
            <w:vAlign w:val="center"/>
          </w:tcPr>
          <w:p w14:paraId="7CE40949" w14:textId="0146AC59" w:rsidR="00F7477F" w:rsidRPr="002657D1" w:rsidRDefault="00F7477F" w:rsidP="004E587E">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25</w:t>
            </w:r>
          </w:p>
        </w:tc>
        <w:tc>
          <w:tcPr>
            <w:tcW w:w="1276" w:type="dxa"/>
            <w:tcBorders>
              <w:top w:val="nil"/>
              <w:left w:val="nil"/>
              <w:bottom w:val="nil"/>
              <w:right w:val="nil"/>
            </w:tcBorders>
            <w:vAlign w:val="center"/>
          </w:tcPr>
          <w:p w14:paraId="534542AF" w14:textId="67D31F7A" w:rsidR="00F7477F" w:rsidRPr="002657D1" w:rsidRDefault="00F7477F" w:rsidP="00025586">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fldChar w:fldCharType="begin"/>
            </w:r>
            <w:r w:rsidR="00E725CF" w:rsidRPr="002657D1">
              <w:rPr>
                <w:rFonts w:ascii="Times New Roman" w:hAnsi="Times New Roman" w:cs="Times New Roman"/>
                <w:b/>
                <w:bCs/>
                <w:color w:val="000000" w:themeColor="text1"/>
                <w:sz w:val="24"/>
                <w:szCs w:val="24"/>
              </w:rPr>
              <w:instrText xml:space="preserve"> ADDIN ZOTERO_ITEM CSL_CITATION {"citationID":"2Olzbxhj","properties":{"formattedCitation":"\\super 62\\nosupersub{}","plainCitation":"62","noteIndex":0},"citationItems":[{"id":"IXaoCdHi/qJ0gOx7S","uris":["http://zotero.org/users/local/As3BANDe/items/2P6KMQCC"],"itemData":{"id":4703,"type":"article-journal","container-title":"ACS Applied Materials &amp; Interfaces","DOI":"10.1021/acsami.1c00745","ISSN":"1944-8244, 1944-8252","issue":"10","journalAbbreviation":"ACS Appl. Mater. Interfaces","language":"en","license":"https://doi.org/10.15223/policy-029","page":"12099-12105","source":"DOI.org (Crossref)","title":"Composite Lithium Protective Layer Formed In Situ for Stable Lithium Metal Batteries","volume":"13","author":[{"family":"Zhang","given":"Yingzhen"},{"family":"Sun","given":"Chunwen"}],"issued":{"date-parts":[["2021",3,17]]}}}],"schema":"https://github.com/citation-style-language/schema/raw/master/csl-citation.json"} </w:instrText>
            </w:r>
            <w:r w:rsidRPr="002657D1">
              <w:rPr>
                <w:rFonts w:ascii="Times New Roman" w:hAnsi="Times New Roman" w:cs="Times New Roman"/>
                <w:b/>
                <w:bCs/>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62</w:t>
            </w:r>
            <w:r w:rsidRPr="002657D1">
              <w:rPr>
                <w:rFonts w:ascii="Times New Roman" w:hAnsi="Times New Roman" w:cs="Times New Roman"/>
                <w:b/>
                <w:bCs/>
                <w:color w:val="000000" w:themeColor="text1"/>
                <w:sz w:val="24"/>
                <w:szCs w:val="24"/>
              </w:rPr>
              <w:fldChar w:fldCharType="end"/>
            </w:r>
          </w:p>
        </w:tc>
      </w:tr>
      <w:tr w:rsidR="002657D1" w:rsidRPr="002657D1" w14:paraId="3CFDF0CC" w14:textId="77777777" w:rsidTr="009C3A29">
        <w:trPr>
          <w:jc w:val="center"/>
        </w:trPr>
        <w:tc>
          <w:tcPr>
            <w:tcW w:w="2943" w:type="dxa"/>
            <w:tcBorders>
              <w:top w:val="nil"/>
              <w:left w:val="nil"/>
              <w:bottom w:val="nil"/>
              <w:right w:val="nil"/>
            </w:tcBorders>
            <w:vAlign w:val="center"/>
          </w:tcPr>
          <w:p w14:paraId="0771DF37" w14:textId="467166E2" w:rsidR="00F7477F" w:rsidRPr="002657D1" w:rsidRDefault="00F7477F" w:rsidP="00C20FBC">
            <w:pPr>
              <w:pStyle w:val="ac"/>
              <w:spacing w:before="0" w:beforeAutospacing="0" w:after="0" w:afterAutospacing="0" w:line="360" w:lineRule="auto"/>
              <w:jc w:val="center"/>
              <w:rPr>
                <w:rFonts w:ascii="Times New Roman" w:hAnsi="Times New Roman" w:cs="Times New Roman"/>
                <w:color w:val="000000" w:themeColor="text1"/>
              </w:rPr>
            </w:pPr>
            <w:r w:rsidRPr="002657D1">
              <w:rPr>
                <w:rFonts w:ascii="Times New Roman" w:eastAsiaTheme="minorEastAsia" w:hAnsi="Times New Roman" w:cs="Times New Roman"/>
                <w:color w:val="000000" w:themeColor="text1"/>
                <w:kern w:val="24"/>
                <w:lang w:val="el-GR"/>
              </w:rPr>
              <w:t>β</w:t>
            </w:r>
            <w:r w:rsidRPr="002657D1">
              <w:rPr>
                <w:rFonts w:ascii="Times New Roman" w:eastAsiaTheme="minorEastAsia" w:hAnsi="Times New Roman" w:cs="Times New Roman"/>
                <w:color w:val="000000" w:themeColor="text1"/>
                <w:kern w:val="24"/>
              </w:rPr>
              <w:t>Li</w:t>
            </w:r>
            <w:r w:rsidRPr="002657D1">
              <w:rPr>
                <w:rFonts w:ascii="Times New Roman" w:eastAsiaTheme="minorEastAsia" w:hAnsi="Times New Roman" w:cs="Times New Roman"/>
                <w:color w:val="000000" w:themeColor="text1"/>
                <w:kern w:val="24"/>
                <w:position w:val="-4"/>
                <w:vertAlign w:val="subscript"/>
              </w:rPr>
              <w:t>3</w:t>
            </w:r>
            <w:r w:rsidRPr="002657D1">
              <w:rPr>
                <w:rFonts w:ascii="Times New Roman" w:eastAsiaTheme="minorEastAsia" w:hAnsi="Times New Roman" w:cs="Times New Roman"/>
                <w:color w:val="000000" w:themeColor="text1"/>
                <w:kern w:val="24"/>
              </w:rPr>
              <w:t>N-Li/LZC|</w:t>
            </w:r>
            <w:r w:rsidRPr="002657D1">
              <w:rPr>
                <w:rFonts w:ascii="Times New Roman" w:eastAsiaTheme="minorEastAsia" w:hAnsi="Times New Roman" w:cs="Times New Roman"/>
                <w:color w:val="000000" w:themeColor="text1"/>
                <w:kern w:val="24"/>
                <w:lang w:val="el-GR"/>
              </w:rPr>
              <w:t>β</w:t>
            </w:r>
            <w:r w:rsidRPr="002657D1">
              <w:rPr>
                <w:rFonts w:ascii="Times New Roman" w:eastAsiaTheme="minorEastAsia" w:hAnsi="Times New Roman" w:cs="Times New Roman"/>
                <w:color w:val="000000" w:themeColor="text1"/>
                <w:kern w:val="24"/>
              </w:rPr>
              <w:t>Li</w:t>
            </w:r>
            <w:r w:rsidRPr="002657D1">
              <w:rPr>
                <w:rFonts w:ascii="Times New Roman" w:eastAsiaTheme="minorEastAsia" w:hAnsi="Times New Roman" w:cs="Times New Roman"/>
                <w:color w:val="000000" w:themeColor="text1"/>
                <w:kern w:val="24"/>
                <w:position w:val="-4"/>
                <w:vertAlign w:val="subscript"/>
              </w:rPr>
              <w:t>3</w:t>
            </w:r>
            <w:r w:rsidRPr="002657D1">
              <w:rPr>
                <w:rFonts w:ascii="Times New Roman" w:eastAsiaTheme="minorEastAsia" w:hAnsi="Times New Roman" w:cs="Times New Roman"/>
                <w:color w:val="000000" w:themeColor="text1"/>
                <w:kern w:val="24"/>
              </w:rPr>
              <w:t>N-Li</w:t>
            </w:r>
          </w:p>
        </w:tc>
        <w:tc>
          <w:tcPr>
            <w:tcW w:w="1310" w:type="dxa"/>
            <w:tcBorders>
              <w:top w:val="nil"/>
              <w:left w:val="nil"/>
              <w:bottom w:val="nil"/>
              <w:right w:val="nil"/>
            </w:tcBorders>
            <w:vAlign w:val="center"/>
          </w:tcPr>
          <w:p w14:paraId="368D034B" w14:textId="15125C5B" w:rsidR="00F7477F" w:rsidRPr="002657D1" w:rsidRDefault="00F7477F"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0.2</w:t>
            </w:r>
          </w:p>
        </w:tc>
        <w:tc>
          <w:tcPr>
            <w:tcW w:w="1701" w:type="dxa"/>
            <w:tcBorders>
              <w:top w:val="nil"/>
              <w:left w:val="nil"/>
              <w:bottom w:val="nil"/>
              <w:right w:val="nil"/>
            </w:tcBorders>
            <w:vAlign w:val="center"/>
          </w:tcPr>
          <w:p w14:paraId="5AC42491" w14:textId="64851F5C" w:rsidR="00F7477F" w:rsidRPr="002657D1" w:rsidRDefault="00F7477F"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0.1</w:t>
            </w:r>
          </w:p>
        </w:tc>
        <w:tc>
          <w:tcPr>
            <w:tcW w:w="1276" w:type="dxa"/>
            <w:tcBorders>
              <w:top w:val="nil"/>
              <w:left w:val="nil"/>
              <w:bottom w:val="nil"/>
              <w:right w:val="nil"/>
            </w:tcBorders>
            <w:vAlign w:val="center"/>
          </w:tcPr>
          <w:p w14:paraId="31BBC417" w14:textId="62110761" w:rsidR="00F7477F" w:rsidRPr="002657D1" w:rsidRDefault="00F7477F"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300</w:t>
            </w:r>
          </w:p>
        </w:tc>
        <w:tc>
          <w:tcPr>
            <w:tcW w:w="1842" w:type="dxa"/>
            <w:tcBorders>
              <w:top w:val="nil"/>
              <w:left w:val="nil"/>
              <w:bottom w:val="nil"/>
              <w:right w:val="nil"/>
            </w:tcBorders>
          </w:tcPr>
          <w:p w14:paraId="5AD85224" w14:textId="50B91D82" w:rsidR="00F7477F" w:rsidRPr="002657D1" w:rsidRDefault="00403882"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30</w:t>
            </w:r>
          </w:p>
        </w:tc>
        <w:tc>
          <w:tcPr>
            <w:tcW w:w="1701" w:type="dxa"/>
            <w:tcBorders>
              <w:top w:val="nil"/>
              <w:left w:val="nil"/>
              <w:bottom w:val="nil"/>
              <w:right w:val="nil"/>
            </w:tcBorders>
            <w:vAlign w:val="center"/>
          </w:tcPr>
          <w:p w14:paraId="0B5E7209" w14:textId="53F4366A" w:rsidR="00F7477F" w:rsidRPr="002657D1" w:rsidRDefault="00F7477F"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25</w:t>
            </w:r>
          </w:p>
        </w:tc>
        <w:tc>
          <w:tcPr>
            <w:tcW w:w="1276" w:type="dxa"/>
            <w:tcBorders>
              <w:top w:val="nil"/>
              <w:left w:val="nil"/>
              <w:bottom w:val="nil"/>
              <w:right w:val="nil"/>
            </w:tcBorders>
            <w:vAlign w:val="center"/>
          </w:tcPr>
          <w:p w14:paraId="41498847" w14:textId="5EF7E482" w:rsidR="00F7477F" w:rsidRPr="002657D1" w:rsidRDefault="00F7477F" w:rsidP="00025586">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fldChar w:fldCharType="begin"/>
            </w:r>
            <w:r w:rsidR="00E725CF" w:rsidRPr="002657D1">
              <w:rPr>
                <w:rFonts w:ascii="Times New Roman" w:hAnsi="Times New Roman" w:cs="Times New Roman"/>
                <w:b/>
                <w:bCs/>
                <w:color w:val="000000" w:themeColor="text1"/>
                <w:sz w:val="24"/>
                <w:szCs w:val="24"/>
              </w:rPr>
              <w:instrText xml:space="preserve"> ADDIN ZOTERO_ITEM CSL_CITATION {"citationID":"UY8Iupoa","properties":{"formattedCitation":"\\super 63\\nosupersub{}","plainCitation":"63","noteIndex":0},"citationItems":[{"id":"IXaoCdHi/E7EeSSFB","uris":["http://zotero.org/users/local/As3BANDe/items/J2NXYCWH"],"itemData":{"id":1628,"type":"article-journal","abstract":"As a new class of solid electrolytes, halide solid electrolytes have the advantages of high ionic conductivity at room temperature, stability to high-voltage cathodes, and good deformability, but they generally show a problem of being unstable to a lithium anode. Here, we report the use of Li3N as an interface modification layer to improve the interfacial stability of Li2ZrCl6 to the Li anode. We found that commercial Li3N can be easily transformed into an α-phase and a β-phase by ball-milling and annealing, respectively, in which βphase Li3N simultaneously has high room-temperature ionic conductivity and good stability to both Li and Li2ZrCl6, making it a good choice for an artificial interface layer material. After the modification of the β-Li3N interfacial layer, the interfacial impedance between Li2ZrCl6 and the Li anode decreased from 1929 to </w:instrText>
            </w:r>
            <w:r w:rsidR="00E725CF" w:rsidRPr="002657D1">
              <w:rPr>
                <w:rFonts w:ascii="Cambria Math" w:hAnsi="Cambria Math" w:cs="Cambria Math"/>
                <w:b/>
                <w:bCs/>
                <w:color w:val="000000" w:themeColor="text1"/>
                <w:sz w:val="24"/>
                <w:szCs w:val="24"/>
              </w:rPr>
              <w:instrText>∼</w:instrText>
            </w:r>
            <w:r w:rsidR="00E725CF" w:rsidRPr="002657D1">
              <w:rPr>
                <w:rFonts w:ascii="Times New Roman" w:hAnsi="Times New Roman" w:cs="Times New Roman"/>
                <w:b/>
                <w:bCs/>
                <w:color w:val="000000" w:themeColor="text1"/>
                <w:sz w:val="24"/>
                <w:szCs w:val="24"/>
              </w:rPr>
              <w:instrText xml:space="preserve">400 Ω. At a current density of 0.1 mA cm−2, the overpotential of the Li symmetric cell decreased from 250 to </w:instrText>
            </w:r>
            <w:r w:rsidR="00E725CF" w:rsidRPr="002657D1">
              <w:rPr>
                <w:rFonts w:ascii="Cambria Math" w:hAnsi="Cambria Math" w:cs="Cambria Math"/>
                <w:b/>
                <w:bCs/>
                <w:color w:val="000000" w:themeColor="text1"/>
                <w:sz w:val="24"/>
                <w:szCs w:val="24"/>
              </w:rPr>
              <w:instrText>∼</w:instrText>
            </w:r>
            <w:r w:rsidR="00E725CF" w:rsidRPr="002657D1">
              <w:rPr>
                <w:rFonts w:ascii="Times New Roman" w:hAnsi="Times New Roman" w:cs="Times New Roman"/>
                <w:b/>
                <w:bCs/>
                <w:color w:val="000000" w:themeColor="text1"/>
                <w:sz w:val="24"/>
                <w:szCs w:val="24"/>
              </w:rPr>
              <w:instrText xml:space="preserve">50 mV, which did not show an obvious increase for at least 300 h, indicating that the β-Li3N interface layer effectively improves the interfacial stability between Li2ZrCl6 and Li.","container-title":"ACS Applied Materials &amp; Interfaces","DOI":"10.1021/acsami.2c09131","ISSN":"1944-8244, 1944-8252","issue":"35","journalAbbreviation":"ACS Appl. Mater. Interfaces","language":"en","license":"https://doi.org/10.15223/policy-029","page":"39951-39958","source":"DOI.org (Crossref)","title":"Stabilizing the Halide Solid Electrolyte to Lithium by a β-Li &lt;sub&gt;3&lt;/sub&gt; N Interfacial Layer","volume":"14","author":[{"family":"Xu","given":"Xiaowei"},{"family":"Du","given":"Gaofeng"},{"family":"Cui","given":"Can"},{"family":"Liang","given":"Jianing"},{"family":"Zeng","given":"Cheng"},{"family":"Wang","given":"Shuhao"},{"family":"Ma","given":"Ying"},{"family":"Li","given":"Huiqiao"}],"issued":{"date-parts":[["2022",9,7]]}}}],"schema":"https://github.com/citation-style-language/schema/raw/master/csl-citation.json"} </w:instrText>
            </w:r>
            <w:r w:rsidRPr="002657D1">
              <w:rPr>
                <w:rFonts w:ascii="Times New Roman" w:hAnsi="Times New Roman" w:cs="Times New Roman"/>
                <w:b/>
                <w:bCs/>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63</w:t>
            </w:r>
            <w:r w:rsidRPr="002657D1">
              <w:rPr>
                <w:rFonts w:ascii="Times New Roman" w:hAnsi="Times New Roman" w:cs="Times New Roman"/>
                <w:b/>
                <w:bCs/>
                <w:color w:val="000000" w:themeColor="text1"/>
                <w:sz w:val="24"/>
                <w:szCs w:val="24"/>
              </w:rPr>
              <w:fldChar w:fldCharType="end"/>
            </w:r>
          </w:p>
        </w:tc>
      </w:tr>
      <w:tr w:rsidR="002657D1" w:rsidRPr="002657D1" w14:paraId="1AB2DF65" w14:textId="77777777" w:rsidTr="009C3A29">
        <w:trPr>
          <w:jc w:val="center"/>
        </w:trPr>
        <w:tc>
          <w:tcPr>
            <w:tcW w:w="2943" w:type="dxa"/>
            <w:tcBorders>
              <w:top w:val="nil"/>
              <w:left w:val="nil"/>
              <w:bottom w:val="nil"/>
              <w:right w:val="nil"/>
            </w:tcBorders>
            <w:vAlign w:val="center"/>
          </w:tcPr>
          <w:p w14:paraId="2453A69A" w14:textId="76DE940F" w:rsidR="00F7477F" w:rsidRPr="002657D1" w:rsidRDefault="00F7477F" w:rsidP="00C20FBC">
            <w:pPr>
              <w:pStyle w:val="ac"/>
              <w:spacing w:before="0" w:beforeAutospacing="0" w:after="0" w:afterAutospacing="0" w:line="360" w:lineRule="auto"/>
              <w:jc w:val="center"/>
              <w:rPr>
                <w:rFonts w:ascii="Times New Roman" w:hAnsi="Times New Roman" w:cs="Times New Roman"/>
                <w:color w:val="000000" w:themeColor="text1"/>
              </w:rPr>
            </w:pPr>
            <w:r w:rsidRPr="002657D1">
              <w:rPr>
                <w:rFonts w:ascii="Times New Roman" w:eastAsiaTheme="minorEastAsia" w:hAnsi="Times New Roman" w:cs="Times New Roman"/>
                <w:color w:val="000000" w:themeColor="text1"/>
                <w:kern w:val="24"/>
                <w:lang w:val="it-IT"/>
              </w:rPr>
              <w:t>Li/Li</w:t>
            </w:r>
            <w:r w:rsidRPr="002657D1">
              <w:rPr>
                <w:rFonts w:ascii="Times New Roman" w:eastAsiaTheme="minorEastAsia" w:hAnsi="Times New Roman" w:cs="Times New Roman"/>
                <w:color w:val="000000" w:themeColor="text1"/>
                <w:kern w:val="24"/>
                <w:vertAlign w:val="subscript"/>
                <w:lang w:val="it-IT"/>
              </w:rPr>
              <w:t>7</w:t>
            </w:r>
            <w:r w:rsidRPr="002657D1">
              <w:rPr>
                <w:rFonts w:ascii="Times New Roman" w:eastAsiaTheme="minorEastAsia" w:hAnsi="Times New Roman" w:cs="Times New Roman"/>
                <w:color w:val="000000" w:themeColor="text1"/>
                <w:kern w:val="24"/>
                <w:lang w:val="it-IT"/>
              </w:rPr>
              <w:t>P</w:t>
            </w:r>
            <w:r w:rsidRPr="002657D1">
              <w:rPr>
                <w:rFonts w:ascii="Times New Roman" w:eastAsiaTheme="minorEastAsia" w:hAnsi="Times New Roman" w:cs="Times New Roman"/>
                <w:color w:val="000000" w:themeColor="text1"/>
                <w:kern w:val="24"/>
                <w:vertAlign w:val="subscript"/>
                <w:lang w:val="it-IT"/>
              </w:rPr>
              <w:t>3</w:t>
            </w:r>
            <w:r w:rsidRPr="002657D1">
              <w:rPr>
                <w:rFonts w:ascii="Times New Roman" w:eastAsiaTheme="minorEastAsia" w:hAnsi="Times New Roman" w:cs="Times New Roman"/>
                <w:color w:val="000000" w:themeColor="text1"/>
                <w:kern w:val="24"/>
                <w:lang w:val="it-IT"/>
              </w:rPr>
              <w:t>S</w:t>
            </w:r>
            <w:r w:rsidRPr="002657D1">
              <w:rPr>
                <w:rFonts w:ascii="Times New Roman" w:eastAsiaTheme="minorEastAsia" w:hAnsi="Times New Roman" w:cs="Times New Roman"/>
                <w:color w:val="000000" w:themeColor="text1"/>
                <w:kern w:val="24"/>
                <w:vertAlign w:val="subscript"/>
                <w:lang w:val="it-IT"/>
              </w:rPr>
              <w:t>11</w:t>
            </w:r>
            <w:r w:rsidRPr="002657D1">
              <w:rPr>
                <w:rFonts w:ascii="Times New Roman" w:eastAsiaTheme="minorEastAsia" w:hAnsi="Times New Roman" w:cs="Times New Roman"/>
                <w:color w:val="000000" w:themeColor="text1"/>
                <w:kern w:val="24"/>
                <w:lang w:val="it-IT"/>
              </w:rPr>
              <w:t>/</w:t>
            </w:r>
            <w:r w:rsidRPr="002657D1">
              <w:rPr>
                <w:rFonts w:ascii="Times New Roman" w:hAnsi="Times New Roman" w:cs="Times New Roman"/>
                <w:color w:val="000000" w:themeColor="text1"/>
                <w:kern w:val="24"/>
              </w:rPr>
              <w:t>Li</w:t>
            </w:r>
            <w:r w:rsidRPr="002657D1">
              <w:rPr>
                <w:rFonts w:ascii="Times New Roman" w:hAnsi="Times New Roman" w:cs="Times New Roman"/>
                <w:color w:val="000000" w:themeColor="text1"/>
                <w:kern w:val="24"/>
                <w:position w:val="-4"/>
                <w:vertAlign w:val="subscript"/>
              </w:rPr>
              <w:t>3</w:t>
            </w:r>
            <w:proofErr w:type="spellStart"/>
            <w:r w:rsidRPr="002657D1">
              <w:rPr>
                <w:rFonts w:ascii="Times New Roman" w:hAnsi="Times New Roman" w:cs="Times New Roman"/>
                <w:color w:val="000000" w:themeColor="text1"/>
                <w:kern w:val="24"/>
              </w:rPr>
              <w:t>InCl</w:t>
            </w:r>
            <w:proofErr w:type="spellEnd"/>
            <w:r w:rsidRPr="002657D1">
              <w:rPr>
                <w:rFonts w:ascii="Times New Roman" w:hAnsi="Times New Roman" w:cs="Times New Roman"/>
                <w:color w:val="000000" w:themeColor="text1"/>
                <w:kern w:val="24"/>
                <w:position w:val="-4"/>
                <w:vertAlign w:val="subscript"/>
              </w:rPr>
              <w:t>6</w:t>
            </w:r>
            <w:r w:rsidRPr="002657D1">
              <w:rPr>
                <w:rFonts w:ascii="Times New Roman" w:eastAsiaTheme="minorEastAsia" w:hAnsi="Times New Roman" w:cs="Times New Roman"/>
                <w:color w:val="000000" w:themeColor="text1"/>
                <w:kern w:val="24"/>
                <w:lang w:val="it-IT"/>
              </w:rPr>
              <w:t>/Li</w:t>
            </w:r>
            <w:r w:rsidRPr="002657D1">
              <w:rPr>
                <w:rFonts w:ascii="Times New Roman" w:eastAsiaTheme="minorEastAsia" w:hAnsi="Times New Roman" w:cs="Times New Roman"/>
                <w:color w:val="000000" w:themeColor="text1"/>
                <w:kern w:val="24"/>
                <w:vertAlign w:val="subscript"/>
                <w:lang w:val="it-IT"/>
              </w:rPr>
              <w:t>7</w:t>
            </w:r>
            <w:r w:rsidRPr="002657D1">
              <w:rPr>
                <w:rFonts w:ascii="Times New Roman" w:eastAsiaTheme="minorEastAsia" w:hAnsi="Times New Roman" w:cs="Times New Roman"/>
                <w:color w:val="000000" w:themeColor="text1"/>
                <w:kern w:val="24"/>
                <w:lang w:val="it-IT"/>
              </w:rPr>
              <w:t>P</w:t>
            </w:r>
            <w:r w:rsidRPr="002657D1">
              <w:rPr>
                <w:rFonts w:ascii="Times New Roman" w:eastAsiaTheme="minorEastAsia" w:hAnsi="Times New Roman" w:cs="Times New Roman"/>
                <w:color w:val="000000" w:themeColor="text1"/>
                <w:kern w:val="24"/>
                <w:vertAlign w:val="subscript"/>
                <w:lang w:val="it-IT"/>
              </w:rPr>
              <w:t>3</w:t>
            </w:r>
            <w:r w:rsidRPr="002657D1">
              <w:rPr>
                <w:rFonts w:ascii="Times New Roman" w:eastAsiaTheme="minorEastAsia" w:hAnsi="Times New Roman" w:cs="Times New Roman"/>
                <w:color w:val="000000" w:themeColor="text1"/>
                <w:kern w:val="24"/>
                <w:lang w:val="it-IT"/>
              </w:rPr>
              <w:t>S</w:t>
            </w:r>
            <w:r w:rsidRPr="002657D1">
              <w:rPr>
                <w:rFonts w:ascii="Times New Roman" w:eastAsiaTheme="minorEastAsia" w:hAnsi="Times New Roman" w:cs="Times New Roman"/>
                <w:color w:val="000000" w:themeColor="text1"/>
                <w:kern w:val="24"/>
                <w:vertAlign w:val="subscript"/>
                <w:lang w:val="it-IT"/>
              </w:rPr>
              <w:t>11</w:t>
            </w:r>
            <w:r w:rsidRPr="002657D1">
              <w:rPr>
                <w:rFonts w:ascii="Times New Roman" w:eastAsiaTheme="minorEastAsia" w:hAnsi="Times New Roman" w:cs="Times New Roman"/>
                <w:color w:val="000000" w:themeColor="text1"/>
                <w:kern w:val="24"/>
                <w:lang w:val="it-IT"/>
              </w:rPr>
              <w:t>/Li</w:t>
            </w:r>
          </w:p>
        </w:tc>
        <w:tc>
          <w:tcPr>
            <w:tcW w:w="1310" w:type="dxa"/>
            <w:tcBorders>
              <w:top w:val="nil"/>
              <w:left w:val="nil"/>
              <w:bottom w:val="nil"/>
              <w:right w:val="nil"/>
            </w:tcBorders>
            <w:vAlign w:val="center"/>
          </w:tcPr>
          <w:p w14:paraId="382B211C" w14:textId="7BB1CA85" w:rsidR="00F7477F" w:rsidRPr="002657D1" w:rsidRDefault="00F7477F"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0.1</w:t>
            </w:r>
          </w:p>
        </w:tc>
        <w:tc>
          <w:tcPr>
            <w:tcW w:w="1701" w:type="dxa"/>
            <w:tcBorders>
              <w:top w:val="nil"/>
              <w:left w:val="nil"/>
              <w:bottom w:val="nil"/>
              <w:right w:val="nil"/>
            </w:tcBorders>
            <w:vAlign w:val="center"/>
          </w:tcPr>
          <w:p w14:paraId="69A20DBB" w14:textId="6EB342F4" w:rsidR="00F7477F" w:rsidRPr="002657D1" w:rsidRDefault="00F7477F"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0.1</w:t>
            </w:r>
          </w:p>
        </w:tc>
        <w:tc>
          <w:tcPr>
            <w:tcW w:w="1276" w:type="dxa"/>
            <w:tcBorders>
              <w:top w:val="nil"/>
              <w:left w:val="nil"/>
              <w:bottom w:val="nil"/>
              <w:right w:val="nil"/>
            </w:tcBorders>
            <w:vAlign w:val="center"/>
          </w:tcPr>
          <w:p w14:paraId="08F5A19E" w14:textId="6E1C878B" w:rsidR="00F7477F" w:rsidRPr="002657D1" w:rsidRDefault="00F7477F"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350</w:t>
            </w:r>
          </w:p>
        </w:tc>
        <w:tc>
          <w:tcPr>
            <w:tcW w:w="1842" w:type="dxa"/>
            <w:tcBorders>
              <w:top w:val="nil"/>
              <w:left w:val="nil"/>
              <w:bottom w:val="nil"/>
              <w:right w:val="nil"/>
            </w:tcBorders>
          </w:tcPr>
          <w:p w14:paraId="5EAE76CA" w14:textId="4A5FBC46" w:rsidR="00F7477F" w:rsidRPr="002657D1" w:rsidRDefault="00403882"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35</w:t>
            </w:r>
          </w:p>
        </w:tc>
        <w:tc>
          <w:tcPr>
            <w:tcW w:w="1701" w:type="dxa"/>
            <w:tcBorders>
              <w:top w:val="nil"/>
              <w:left w:val="nil"/>
              <w:bottom w:val="nil"/>
              <w:right w:val="nil"/>
            </w:tcBorders>
            <w:vAlign w:val="center"/>
          </w:tcPr>
          <w:p w14:paraId="5245E657" w14:textId="37D41821" w:rsidR="00F7477F" w:rsidRPr="002657D1" w:rsidRDefault="00F7477F"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25</w:t>
            </w:r>
          </w:p>
        </w:tc>
        <w:tc>
          <w:tcPr>
            <w:tcW w:w="1276" w:type="dxa"/>
            <w:tcBorders>
              <w:top w:val="nil"/>
              <w:left w:val="nil"/>
              <w:bottom w:val="nil"/>
              <w:right w:val="nil"/>
            </w:tcBorders>
            <w:vAlign w:val="center"/>
          </w:tcPr>
          <w:p w14:paraId="5EA27D6E" w14:textId="389AA7DC" w:rsidR="00F7477F" w:rsidRPr="002657D1" w:rsidRDefault="00F7477F" w:rsidP="00025586">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fldChar w:fldCharType="begin"/>
            </w:r>
            <w:r w:rsidR="00E725CF" w:rsidRPr="002657D1">
              <w:rPr>
                <w:rFonts w:ascii="Times New Roman" w:hAnsi="Times New Roman" w:cs="Times New Roman"/>
                <w:b/>
                <w:bCs/>
                <w:color w:val="000000" w:themeColor="text1"/>
                <w:sz w:val="24"/>
                <w:szCs w:val="24"/>
              </w:rPr>
              <w:instrText xml:space="preserve"> ADDIN ZOTERO_ITEM CSL_CITATION {"citationID":"FKk6LlFV","properties":{"formattedCitation":"\\super 64\\nosupersub{}","plainCitation":"64","noteIndex":0},"citationItems":[{"id":"IXaoCdHi/gWx7BI4w","uris":["http://zotero.org/users/local/As3BANDe/items/X27WTPCU"],"itemData":{"id":4705,"type":"article-journal","abstract":"Halide solid electrolytes (HSEs) could be coated on high-voltage oxide cathodes at molecular-level via a solution process, which is highly favorable for reducing the interface impedance. However, during the preparation of composite cathodes, hydrate intermediates of HSEs are easily hydrolyzed to produce inactive impurities. In this work, the vacuum drying assisted method facilitates the generation of pure Li3InCl6 (LIC) on the surface of LiCoO2 (LCO) to improve the electrolyte/electrode solid–solid interface as well as the electrochemical stability of solid electrolyte under high voltage. By introducing Li7P3S11 as an anode buffer layer, 30 wt. %-LIC-coated LCO demonstrates high speciﬁc capacity of 121.7 mAh gÀ1 and good cycling stability. Our study highlights a promising method to build advanced composite cathodes for all-solid-state batteries.","container-title":"Applied Physics Letters","DOI":"10.1063/5.0097432","ISSN":"0003-6951, 1077-3118","issue":"3","language":"en","page":"033902","source":"DOI.org (Crossref)","title":"Li3InCl6-coated LiCoO2 for high-performance all solid-state batteries","volume":"121","author":[{"family":"Zheng","given":"Xiu"},{"family":"Fu","given":"En-De"},{"family":"Chen","given":"Peng"},{"family":"Liu","given":"Sheng"},{"family":"Li","given":"Guo-Ran"},{"family":"Gao","given":"Xue-Ping"}],"issued":{"date-parts":[["2022",7,18]]}}}],"schema":"https://github.com/citation-style-language/schema/raw/master/csl-citation.json"} </w:instrText>
            </w:r>
            <w:r w:rsidRPr="002657D1">
              <w:rPr>
                <w:rFonts w:ascii="Times New Roman" w:hAnsi="Times New Roman" w:cs="Times New Roman"/>
                <w:b/>
                <w:bCs/>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64</w:t>
            </w:r>
            <w:r w:rsidRPr="002657D1">
              <w:rPr>
                <w:rFonts w:ascii="Times New Roman" w:hAnsi="Times New Roman" w:cs="Times New Roman"/>
                <w:b/>
                <w:bCs/>
                <w:color w:val="000000" w:themeColor="text1"/>
                <w:sz w:val="24"/>
                <w:szCs w:val="24"/>
              </w:rPr>
              <w:fldChar w:fldCharType="end"/>
            </w:r>
          </w:p>
        </w:tc>
      </w:tr>
      <w:tr w:rsidR="002657D1" w:rsidRPr="002657D1" w14:paraId="50F99FEF" w14:textId="77777777" w:rsidTr="009C3A29">
        <w:trPr>
          <w:jc w:val="center"/>
        </w:trPr>
        <w:tc>
          <w:tcPr>
            <w:tcW w:w="2943" w:type="dxa"/>
            <w:vMerge w:val="restart"/>
            <w:tcBorders>
              <w:top w:val="nil"/>
              <w:left w:val="nil"/>
              <w:right w:val="nil"/>
            </w:tcBorders>
            <w:vAlign w:val="center"/>
          </w:tcPr>
          <w:p w14:paraId="5B30F7E3" w14:textId="0CC50294" w:rsidR="00F7477F" w:rsidRPr="002657D1" w:rsidRDefault="00F7477F" w:rsidP="00C20FBC">
            <w:pPr>
              <w:pStyle w:val="ac"/>
              <w:spacing w:before="0" w:beforeAutospacing="0" w:after="0" w:afterAutospacing="0" w:line="360" w:lineRule="auto"/>
              <w:jc w:val="center"/>
              <w:rPr>
                <w:rFonts w:ascii="Times New Roman" w:hAnsi="Times New Roman" w:cs="Times New Roman"/>
                <w:color w:val="000000" w:themeColor="text1"/>
              </w:rPr>
            </w:pPr>
            <w:r w:rsidRPr="002657D1">
              <w:rPr>
                <w:rFonts w:ascii="Times New Roman" w:eastAsiaTheme="minorEastAsia" w:hAnsi="Times New Roman" w:cs="Times New Roman"/>
                <w:color w:val="000000" w:themeColor="text1"/>
                <w:kern w:val="24"/>
              </w:rPr>
              <w:t>Li/Li</w:t>
            </w:r>
            <w:r w:rsidRPr="002657D1">
              <w:rPr>
                <w:rFonts w:ascii="Times New Roman" w:eastAsiaTheme="minorEastAsia" w:hAnsi="Times New Roman" w:cs="Times New Roman"/>
                <w:color w:val="000000" w:themeColor="text1"/>
                <w:kern w:val="24"/>
                <w:vertAlign w:val="subscript"/>
              </w:rPr>
              <w:t>6</w:t>
            </w:r>
            <w:r w:rsidRPr="002657D1">
              <w:rPr>
                <w:rFonts w:ascii="Times New Roman" w:eastAsiaTheme="minorEastAsia" w:hAnsi="Times New Roman" w:cs="Times New Roman"/>
                <w:color w:val="000000" w:themeColor="text1"/>
                <w:kern w:val="24"/>
              </w:rPr>
              <w:t>PS</w:t>
            </w:r>
            <w:r w:rsidRPr="002657D1">
              <w:rPr>
                <w:rFonts w:ascii="Times New Roman" w:eastAsiaTheme="minorEastAsia" w:hAnsi="Times New Roman" w:cs="Times New Roman"/>
                <w:color w:val="000000" w:themeColor="text1"/>
                <w:kern w:val="24"/>
                <w:vertAlign w:val="subscript"/>
              </w:rPr>
              <w:t>5</w:t>
            </w:r>
            <w:r w:rsidRPr="002657D1">
              <w:rPr>
                <w:rFonts w:ascii="Times New Roman" w:eastAsiaTheme="minorEastAsia" w:hAnsi="Times New Roman" w:cs="Times New Roman"/>
                <w:color w:val="000000" w:themeColor="text1"/>
                <w:kern w:val="24"/>
              </w:rPr>
              <w:t>Cl/Li</w:t>
            </w:r>
            <w:r w:rsidRPr="002657D1">
              <w:rPr>
                <w:rFonts w:ascii="Times New Roman" w:eastAsiaTheme="minorEastAsia" w:hAnsi="Times New Roman" w:cs="Times New Roman"/>
                <w:color w:val="000000" w:themeColor="text1"/>
                <w:kern w:val="24"/>
                <w:position w:val="-4"/>
                <w:vertAlign w:val="subscript"/>
              </w:rPr>
              <w:t>0.388</w:t>
            </w:r>
            <w:r w:rsidRPr="002657D1">
              <w:rPr>
                <w:rFonts w:ascii="Times New Roman" w:eastAsiaTheme="minorEastAsia" w:hAnsi="Times New Roman" w:cs="Times New Roman"/>
                <w:color w:val="000000" w:themeColor="text1"/>
                <w:kern w:val="24"/>
              </w:rPr>
              <w:t>Ta</w:t>
            </w:r>
            <w:r w:rsidRPr="002657D1">
              <w:rPr>
                <w:rFonts w:ascii="Times New Roman" w:eastAsiaTheme="minorEastAsia" w:hAnsi="Times New Roman" w:cs="Times New Roman"/>
                <w:color w:val="000000" w:themeColor="text1"/>
                <w:kern w:val="24"/>
                <w:position w:val="-4"/>
                <w:vertAlign w:val="subscript"/>
              </w:rPr>
              <w:t>0.238</w:t>
            </w:r>
            <w:r w:rsidRPr="002657D1">
              <w:rPr>
                <w:rFonts w:ascii="Times New Roman" w:eastAsiaTheme="minorEastAsia" w:hAnsi="Times New Roman" w:cs="Times New Roman"/>
                <w:color w:val="000000" w:themeColor="text1"/>
                <w:kern w:val="24"/>
              </w:rPr>
              <w:t>La</w:t>
            </w:r>
            <w:r w:rsidRPr="002657D1">
              <w:rPr>
                <w:rFonts w:ascii="Times New Roman" w:eastAsiaTheme="minorEastAsia" w:hAnsi="Times New Roman" w:cs="Times New Roman"/>
                <w:color w:val="000000" w:themeColor="text1"/>
                <w:kern w:val="24"/>
                <w:position w:val="-4"/>
                <w:vertAlign w:val="subscript"/>
              </w:rPr>
              <w:t>0.475</w:t>
            </w:r>
            <w:r w:rsidRPr="002657D1">
              <w:rPr>
                <w:rFonts w:ascii="Times New Roman" w:eastAsiaTheme="minorEastAsia" w:hAnsi="Times New Roman" w:cs="Times New Roman"/>
                <w:color w:val="000000" w:themeColor="text1"/>
                <w:kern w:val="24"/>
              </w:rPr>
              <w:t>Cl</w:t>
            </w:r>
            <w:r w:rsidRPr="002657D1">
              <w:rPr>
                <w:rFonts w:ascii="Times New Roman" w:eastAsiaTheme="minorEastAsia" w:hAnsi="Times New Roman" w:cs="Times New Roman"/>
                <w:color w:val="000000" w:themeColor="text1"/>
                <w:kern w:val="24"/>
                <w:position w:val="-4"/>
                <w:vertAlign w:val="subscript"/>
              </w:rPr>
              <w:t>3</w:t>
            </w:r>
            <w:r w:rsidRPr="002657D1">
              <w:rPr>
                <w:rFonts w:ascii="Times New Roman" w:eastAsiaTheme="minorEastAsia" w:hAnsi="Times New Roman" w:cs="Times New Roman"/>
                <w:color w:val="000000" w:themeColor="text1"/>
                <w:kern w:val="24"/>
              </w:rPr>
              <w:t>/Li</w:t>
            </w:r>
            <w:r w:rsidRPr="002657D1">
              <w:rPr>
                <w:rFonts w:ascii="Times New Roman" w:eastAsiaTheme="minorEastAsia" w:hAnsi="Times New Roman" w:cs="Times New Roman"/>
                <w:color w:val="000000" w:themeColor="text1"/>
                <w:kern w:val="24"/>
                <w:vertAlign w:val="subscript"/>
              </w:rPr>
              <w:t>6</w:t>
            </w:r>
            <w:r w:rsidRPr="002657D1">
              <w:rPr>
                <w:rFonts w:ascii="Times New Roman" w:eastAsiaTheme="minorEastAsia" w:hAnsi="Times New Roman" w:cs="Times New Roman"/>
                <w:color w:val="000000" w:themeColor="text1"/>
                <w:kern w:val="24"/>
              </w:rPr>
              <w:t>PS</w:t>
            </w:r>
            <w:r w:rsidRPr="002657D1">
              <w:rPr>
                <w:rFonts w:ascii="Times New Roman" w:eastAsiaTheme="minorEastAsia" w:hAnsi="Times New Roman" w:cs="Times New Roman"/>
                <w:color w:val="000000" w:themeColor="text1"/>
                <w:kern w:val="24"/>
                <w:vertAlign w:val="subscript"/>
              </w:rPr>
              <w:t>5</w:t>
            </w:r>
            <w:r w:rsidRPr="002657D1">
              <w:rPr>
                <w:rFonts w:ascii="Times New Roman" w:eastAsiaTheme="minorEastAsia" w:hAnsi="Times New Roman" w:cs="Times New Roman"/>
                <w:color w:val="000000" w:themeColor="text1"/>
                <w:kern w:val="24"/>
              </w:rPr>
              <w:t>Cl/Li</w:t>
            </w:r>
          </w:p>
        </w:tc>
        <w:tc>
          <w:tcPr>
            <w:tcW w:w="1310" w:type="dxa"/>
            <w:tcBorders>
              <w:top w:val="nil"/>
              <w:left w:val="nil"/>
              <w:bottom w:val="nil"/>
              <w:right w:val="nil"/>
            </w:tcBorders>
            <w:vAlign w:val="center"/>
          </w:tcPr>
          <w:p w14:paraId="00A2A346" w14:textId="53BDF073" w:rsidR="00F7477F" w:rsidRPr="002657D1" w:rsidRDefault="00F7477F"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0.2</w:t>
            </w:r>
          </w:p>
        </w:tc>
        <w:tc>
          <w:tcPr>
            <w:tcW w:w="1701" w:type="dxa"/>
            <w:tcBorders>
              <w:top w:val="nil"/>
              <w:left w:val="nil"/>
              <w:bottom w:val="nil"/>
              <w:right w:val="nil"/>
            </w:tcBorders>
            <w:vAlign w:val="center"/>
          </w:tcPr>
          <w:p w14:paraId="7A5E65CE" w14:textId="789B17E2" w:rsidR="00F7477F" w:rsidRPr="002657D1" w:rsidRDefault="00F7477F"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0.2</w:t>
            </w:r>
          </w:p>
        </w:tc>
        <w:tc>
          <w:tcPr>
            <w:tcW w:w="1276" w:type="dxa"/>
            <w:tcBorders>
              <w:top w:val="nil"/>
              <w:left w:val="nil"/>
              <w:bottom w:val="nil"/>
              <w:right w:val="nil"/>
            </w:tcBorders>
            <w:vAlign w:val="center"/>
          </w:tcPr>
          <w:p w14:paraId="12748494" w14:textId="17FC152B" w:rsidR="00F7477F" w:rsidRPr="002657D1" w:rsidRDefault="00F7477F"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1500</w:t>
            </w:r>
          </w:p>
        </w:tc>
        <w:tc>
          <w:tcPr>
            <w:tcW w:w="1842" w:type="dxa"/>
            <w:tcBorders>
              <w:top w:val="nil"/>
              <w:left w:val="nil"/>
              <w:bottom w:val="nil"/>
              <w:right w:val="nil"/>
            </w:tcBorders>
          </w:tcPr>
          <w:p w14:paraId="0F7D995B" w14:textId="5D9EC118" w:rsidR="00F7477F" w:rsidRPr="002657D1" w:rsidRDefault="00403882"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300</w:t>
            </w:r>
          </w:p>
        </w:tc>
        <w:tc>
          <w:tcPr>
            <w:tcW w:w="1701" w:type="dxa"/>
            <w:tcBorders>
              <w:top w:val="nil"/>
              <w:left w:val="nil"/>
              <w:bottom w:val="nil"/>
              <w:right w:val="nil"/>
            </w:tcBorders>
            <w:vAlign w:val="center"/>
          </w:tcPr>
          <w:p w14:paraId="1B0EE0A2" w14:textId="66100430" w:rsidR="00F7477F" w:rsidRPr="002657D1" w:rsidRDefault="00F7477F"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30</w:t>
            </w:r>
          </w:p>
        </w:tc>
        <w:tc>
          <w:tcPr>
            <w:tcW w:w="1276" w:type="dxa"/>
            <w:vMerge w:val="restart"/>
            <w:tcBorders>
              <w:top w:val="nil"/>
              <w:left w:val="nil"/>
              <w:right w:val="nil"/>
            </w:tcBorders>
            <w:vAlign w:val="center"/>
          </w:tcPr>
          <w:p w14:paraId="24CC698A" w14:textId="6A6784B3" w:rsidR="00F7477F" w:rsidRPr="002657D1" w:rsidRDefault="00F7477F" w:rsidP="00025586">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{"citationID":"3fLEWrcJ","properties":{"formattedCitation":"\\super 65\\nosupersub{}","plainCitation":"65","noteIndex":0},"citationItems":[{"id":"IXaoCdHi/1HlMlNir","uris":["http://zotero.org/users/local/As3BANDe/items/J47Y</w:instrText>
            </w:r>
            <w:r w:rsidR="00E725CF" w:rsidRPr="002657D1">
              <w:rPr>
                <w:rFonts w:ascii="Times New Roman" w:hAnsi="Times New Roman" w:cs="Times New Roman" w:hint="eastAsia"/>
                <w:color w:val="000000" w:themeColor="text1"/>
                <w:sz w:val="24"/>
                <w:szCs w:val="24"/>
              </w:rPr>
              <w:instrText>6UJB"],"itemData":{"id":4707,"type":"article-journal","abstract":"Abstract\n            \n              Li\n              6\n              PS\n              5\n              Cl (LPSC) is a very attractive sulfide solid electrolyte for developing high</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performance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lithium batteries. However, it cannot suppress the growth of lithium dendrites and then can only tolerate a small critical current density (CCD) before getting short</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circuited to death. Learning from that a newly</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 xml:space="preserve">developed LaCl\n              3\n              </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based electrolyte (LTLC) can afford a very large CCD, a three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layer sandwich</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structured electrolyte is designed by inserting LTLC inside LPSC. Remarkably, compared with bland LPSC, this hybrid electrolyte LPSC/LTLC/LPSC prese</w:instrText>
            </w:r>
            <w:r w:rsidR="00E725CF" w:rsidRPr="002657D1">
              <w:rPr>
                <w:rFonts w:ascii="Times New Roman" w:hAnsi="Times New Roman" w:cs="Times New Roman"/>
                <w:color w:val="000000" w:themeColor="text1"/>
                <w:sz w:val="24"/>
                <w:szCs w:val="24"/>
              </w:rPr>
              <w:instrText>nts extraordinary performance improvements: the CCD gets increased from 0.51 to 1.52 mA cm\n              −2\n              , the lifetime gets prolonged from 7 h to &gt;500 h at the cycling current of 0.5 mA cm\n              −2\n              in symmetric cells, and the cyclability gets extended from 10 cycles to &gt;200 cycles at the cycling rate of 0.5 C and 30 °C in Li|electrolyte|NCM721 full cells. The enhancing reasons are assigned to the capability of LTLC to scavenge lithium dendrites, forming a passive layer of Ta, La, and LiCl.","container-title":"Advanced Materials","DOI":"10.1002/adma.202310356","ISSN":"0935-9648, 1521-4095","issue":"15","journalAbbreviation":"Advanced Materials","language":"en","page":"2310356","source":"DOI.org (Crossref)","title</w:instrText>
            </w:r>
            <w:r w:rsidR="00E725CF" w:rsidRPr="002657D1">
              <w:rPr>
                <w:rFonts w:ascii="Times New Roman" w:hAnsi="Times New Roman" w:cs="Times New Roman" w:hint="eastAsia"/>
                <w:color w:val="000000" w:themeColor="text1"/>
                <w:sz w:val="24"/>
                <w:szCs w:val="24"/>
              </w:rPr>
              <w:instrText>":"Performance Enhancement of the Li&lt;sub&gt;6&lt;/sub&gt; PS&lt;sub&gt;5&lt;/sub&gt; Cl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Based 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 xml:space="preserve">State Batteries by Scavenging Lithium Dendrites with LaCl&lt;sub&gt;3&lt;/sub&gt; </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Based Electrolyte","volume":"36","author":[{"family":"Xu","given":"Shijie"},{"family":"Cheng","given":"Xi</w:instrText>
            </w:r>
            <w:r w:rsidR="00E725CF" w:rsidRPr="002657D1">
              <w:rPr>
                <w:rFonts w:ascii="Times New Roman" w:hAnsi="Times New Roman" w:cs="Times New Roman"/>
                <w:color w:val="000000" w:themeColor="text1"/>
                <w:sz w:val="24"/>
                <w:szCs w:val="24"/>
              </w:rPr>
              <w:instrText xml:space="preserve">aobin"},{"family":"Yang","given":"Shunjin"},{"family":"Yin","given":"Yichen"},{"family":"Wang","given":"Xinyu"},{"family":"Zhang","given":"Yuzhe"},{"family":"Ren","given":"Dehang"},{"family":"Sun","given":"Yujiang"},{"family":"Sun","given":"Xiao"},{"family":"Yao","given":"Hongbin"},{"family":"Yang","given":"Yongan"}],"issued":{"date-parts":[["2024",4]]}}}],"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65</w:t>
            </w:r>
            <w:r w:rsidRPr="002657D1">
              <w:rPr>
                <w:rFonts w:ascii="Times New Roman" w:hAnsi="Times New Roman" w:cs="Times New Roman"/>
                <w:color w:val="000000" w:themeColor="text1"/>
                <w:sz w:val="24"/>
                <w:szCs w:val="24"/>
              </w:rPr>
              <w:fldChar w:fldCharType="end"/>
            </w:r>
          </w:p>
        </w:tc>
      </w:tr>
      <w:tr w:rsidR="002657D1" w:rsidRPr="002657D1" w14:paraId="1C8D4884" w14:textId="77777777" w:rsidTr="009C3A29">
        <w:trPr>
          <w:jc w:val="center"/>
        </w:trPr>
        <w:tc>
          <w:tcPr>
            <w:tcW w:w="2943" w:type="dxa"/>
            <w:vMerge/>
            <w:tcBorders>
              <w:left w:val="nil"/>
              <w:bottom w:val="nil"/>
              <w:right w:val="nil"/>
            </w:tcBorders>
            <w:vAlign w:val="center"/>
          </w:tcPr>
          <w:p w14:paraId="2643BD58" w14:textId="77777777" w:rsidR="00F7477F" w:rsidRPr="002657D1" w:rsidRDefault="00F7477F" w:rsidP="00C20FBC">
            <w:pPr>
              <w:pStyle w:val="ac"/>
              <w:spacing w:before="0" w:beforeAutospacing="0" w:after="0" w:afterAutospacing="0" w:line="360" w:lineRule="auto"/>
              <w:jc w:val="center"/>
              <w:rPr>
                <w:rFonts w:ascii="Times New Roman" w:eastAsiaTheme="minorEastAsia" w:hAnsi="Times New Roman" w:cs="Times New Roman"/>
                <w:color w:val="000000" w:themeColor="text1"/>
                <w:kern w:val="24"/>
              </w:rPr>
            </w:pPr>
          </w:p>
        </w:tc>
        <w:tc>
          <w:tcPr>
            <w:tcW w:w="1310" w:type="dxa"/>
            <w:tcBorders>
              <w:top w:val="nil"/>
              <w:left w:val="nil"/>
              <w:bottom w:val="nil"/>
              <w:right w:val="nil"/>
            </w:tcBorders>
            <w:vAlign w:val="center"/>
          </w:tcPr>
          <w:p w14:paraId="0FC3B150" w14:textId="4520E714" w:rsidR="00F7477F" w:rsidRPr="002657D1" w:rsidRDefault="00F7477F"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0.5</w:t>
            </w:r>
          </w:p>
        </w:tc>
        <w:tc>
          <w:tcPr>
            <w:tcW w:w="1701" w:type="dxa"/>
            <w:tcBorders>
              <w:top w:val="nil"/>
              <w:left w:val="nil"/>
              <w:bottom w:val="nil"/>
              <w:right w:val="nil"/>
            </w:tcBorders>
            <w:vAlign w:val="center"/>
          </w:tcPr>
          <w:p w14:paraId="61760375" w14:textId="1A4DCCA6" w:rsidR="00F7477F" w:rsidRPr="002657D1" w:rsidRDefault="00F7477F"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0.5</w:t>
            </w:r>
          </w:p>
        </w:tc>
        <w:tc>
          <w:tcPr>
            <w:tcW w:w="1276" w:type="dxa"/>
            <w:tcBorders>
              <w:top w:val="nil"/>
              <w:left w:val="nil"/>
              <w:bottom w:val="nil"/>
              <w:right w:val="nil"/>
            </w:tcBorders>
            <w:vAlign w:val="center"/>
          </w:tcPr>
          <w:p w14:paraId="076F7E97" w14:textId="35B0C2BD" w:rsidR="00F7477F" w:rsidRPr="002657D1" w:rsidRDefault="00F7477F"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250</w:t>
            </w:r>
          </w:p>
        </w:tc>
        <w:tc>
          <w:tcPr>
            <w:tcW w:w="1842" w:type="dxa"/>
            <w:tcBorders>
              <w:top w:val="nil"/>
              <w:left w:val="nil"/>
              <w:bottom w:val="nil"/>
              <w:right w:val="nil"/>
            </w:tcBorders>
          </w:tcPr>
          <w:p w14:paraId="6705D892" w14:textId="2229936C" w:rsidR="00F7477F" w:rsidRPr="002657D1" w:rsidRDefault="00403882"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125</w:t>
            </w:r>
          </w:p>
        </w:tc>
        <w:tc>
          <w:tcPr>
            <w:tcW w:w="1701" w:type="dxa"/>
            <w:tcBorders>
              <w:top w:val="nil"/>
              <w:left w:val="nil"/>
              <w:bottom w:val="nil"/>
              <w:right w:val="nil"/>
            </w:tcBorders>
            <w:vAlign w:val="center"/>
          </w:tcPr>
          <w:p w14:paraId="5B582D96" w14:textId="6070EB75" w:rsidR="00F7477F" w:rsidRPr="002657D1" w:rsidRDefault="00F7477F"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color w:val="000000" w:themeColor="text1"/>
                <w:kern w:val="24"/>
                <w:sz w:val="24"/>
                <w:szCs w:val="24"/>
              </w:rPr>
              <w:t>30</w:t>
            </w:r>
          </w:p>
        </w:tc>
        <w:tc>
          <w:tcPr>
            <w:tcW w:w="1276" w:type="dxa"/>
            <w:vMerge/>
            <w:tcBorders>
              <w:left w:val="nil"/>
              <w:bottom w:val="nil"/>
              <w:right w:val="nil"/>
            </w:tcBorders>
            <w:vAlign w:val="center"/>
          </w:tcPr>
          <w:p w14:paraId="60D9BF50" w14:textId="77777777" w:rsidR="00F7477F" w:rsidRPr="002657D1" w:rsidRDefault="00F7477F" w:rsidP="00BD7793">
            <w:pPr>
              <w:widowControl/>
              <w:spacing w:line="360" w:lineRule="auto"/>
              <w:rPr>
                <w:rFonts w:ascii="Times New Roman" w:hAnsi="Times New Roman" w:cs="Times New Roman"/>
                <w:color w:val="000000" w:themeColor="text1"/>
                <w:sz w:val="24"/>
                <w:szCs w:val="24"/>
              </w:rPr>
            </w:pPr>
          </w:p>
        </w:tc>
      </w:tr>
      <w:tr w:rsidR="002657D1" w:rsidRPr="002657D1" w14:paraId="27E0574F" w14:textId="77777777" w:rsidTr="009C3A29">
        <w:trPr>
          <w:jc w:val="center"/>
        </w:trPr>
        <w:tc>
          <w:tcPr>
            <w:tcW w:w="2943" w:type="dxa"/>
            <w:tcBorders>
              <w:top w:val="nil"/>
              <w:left w:val="nil"/>
              <w:bottom w:val="nil"/>
              <w:right w:val="nil"/>
            </w:tcBorders>
            <w:vAlign w:val="center"/>
          </w:tcPr>
          <w:p w14:paraId="165A8DB7" w14:textId="786B17AE" w:rsidR="00403882" w:rsidRPr="002657D1" w:rsidRDefault="00973EB4" w:rsidP="00C20FBC">
            <w:pPr>
              <w:pStyle w:val="ac"/>
              <w:spacing w:before="0" w:beforeAutospacing="0" w:after="0" w:afterAutospacing="0" w:line="360" w:lineRule="auto"/>
              <w:jc w:val="center"/>
              <w:rPr>
                <w:rFonts w:ascii="Times New Roman" w:eastAsiaTheme="minorEastAsia" w:hAnsi="Times New Roman" w:cs="Times New Roman"/>
                <w:color w:val="000000" w:themeColor="text1"/>
                <w:kern w:val="24"/>
              </w:rPr>
            </w:pPr>
            <w:proofErr w:type="spellStart"/>
            <w:r w:rsidRPr="002657D1">
              <w:rPr>
                <w:rFonts w:ascii="Times New Roman" w:eastAsiaTheme="minorEastAsia" w:hAnsi="Times New Roman" w:cs="Times New Roman" w:hint="eastAsia"/>
                <w:color w:val="000000" w:themeColor="text1"/>
                <w:kern w:val="24"/>
              </w:rPr>
              <w:lastRenderedPageBreak/>
              <w:t>LPON@Li</w:t>
            </w:r>
            <w:proofErr w:type="spellEnd"/>
            <w:r w:rsidRPr="002657D1">
              <w:rPr>
                <w:rFonts w:ascii="Times New Roman" w:eastAsiaTheme="minorEastAsia" w:hAnsi="Times New Roman" w:cs="Times New Roman" w:hint="eastAsia"/>
                <w:color w:val="000000" w:themeColor="text1"/>
                <w:kern w:val="24"/>
              </w:rPr>
              <w:t>/Li</w:t>
            </w:r>
            <w:r w:rsidRPr="002657D1">
              <w:rPr>
                <w:rFonts w:ascii="Times New Roman" w:eastAsiaTheme="minorEastAsia" w:hAnsi="Times New Roman" w:cs="Times New Roman"/>
                <w:color w:val="000000" w:themeColor="text1"/>
                <w:kern w:val="24"/>
                <w:vertAlign w:val="subscript"/>
              </w:rPr>
              <w:t>2</w:t>
            </w:r>
            <w:r w:rsidRPr="002657D1">
              <w:rPr>
                <w:rFonts w:ascii="Times New Roman" w:eastAsiaTheme="minorEastAsia" w:hAnsi="Times New Roman" w:cs="Times New Roman" w:hint="eastAsia"/>
                <w:color w:val="000000" w:themeColor="text1"/>
                <w:kern w:val="24"/>
              </w:rPr>
              <w:t>ZrCl</w:t>
            </w:r>
            <w:r w:rsidRPr="002657D1">
              <w:rPr>
                <w:rFonts w:ascii="Times New Roman" w:eastAsiaTheme="minorEastAsia" w:hAnsi="Times New Roman" w:cs="Times New Roman"/>
                <w:color w:val="000000" w:themeColor="text1"/>
                <w:kern w:val="24"/>
                <w:vertAlign w:val="subscript"/>
              </w:rPr>
              <w:t>6</w:t>
            </w:r>
            <w:r w:rsidRPr="002657D1">
              <w:rPr>
                <w:rFonts w:ascii="Times New Roman" w:eastAsiaTheme="minorEastAsia" w:hAnsi="Times New Roman" w:cs="Times New Roman" w:hint="eastAsia"/>
                <w:color w:val="000000" w:themeColor="text1"/>
                <w:kern w:val="24"/>
              </w:rPr>
              <w:t>/</w:t>
            </w:r>
            <w:proofErr w:type="spellStart"/>
            <w:r w:rsidRPr="002657D1">
              <w:rPr>
                <w:rFonts w:ascii="Times New Roman" w:eastAsiaTheme="minorEastAsia" w:hAnsi="Times New Roman" w:cs="Times New Roman" w:hint="eastAsia"/>
                <w:color w:val="000000" w:themeColor="text1"/>
                <w:kern w:val="24"/>
              </w:rPr>
              <w:t>LPON@Li</w:t>
            </w:r>
            <w:proofErr w:type="spellEnd"/>
          </w:p>
        </w:tc>
        <w:tc>
          <w:tcPr>
            <w:tcW w:w="1310" w:type="dxa"/>
            <w:tcBorders>
              <w:top w:val="nil"/>
              <w:left w:val="nil"/>
              <w:bottom w:val="nil"/>
              <w:right w:val="nil"/>
            </w:tcBorders>
            <w:vAlign w:val="center"/>
          </w:tcPr>
          <w:p w14:paraId="2AFB604D" w14:textId="2FD1DB0E" w:rsidR="00403882" w:rsidRPr="002657D1" w:rsidRDefault="00973EB4"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0.1</w:t>
            </w:r>
          </w:p>
        </w:tc>
        <w:tc>
          <w:tcPr>
            <w:tcW w:w="1701" w:type="dxa"/>
            <w:tcBorders>
              <w:top w:val="nil"/>
              <w:left w:val="nil"/>
              <w:bottom w:val="nil"/>
              <w:right w:val="nil"/>
            </w:tcBorders>
            <w:vAlign w:val="center"/>
          </w:tcPr>
          <w:p w14:paraId="08AA3401" w14:textId="606B4C6B" w:rsidR="00403882" w:rsidRPr="002657D1" w:rsidRDefault="00973EB4"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0.05</w:t>
            </w:r>
          </w:p>
        </w:tc>
        <w:tc>
          <w:tcPr>
            <w:tcW w:w="1276" w:type="dxa"/>
            <w:tcBorders>
              <w:top w:val="nil"/>
              <w:left w:val="nil"/>
              <w:bottom w:val="nil"/>
              <w:right w:val="nil"/>
            </w:tcBorders>
            <w:vAlign w:val="center"/>
          </w:tcPr>
          <w:p w14:paraId="0499CF87" w14:textId="4DD169BA" w:rsidR="00403882" w:rsidRPr="002657D1" w:rsidRDefault="00973EB4"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2000</w:t>
            </w:r>
          </w:p>
        </w:tc>
        <w:tc>
          <w:tcPr>
            <w:tcW w:w="1842" w:type="dxa"/>
            <w:tcBorders>
              <w:top w:val="nil"/>
              <w:left w:val="nil"/>
              <w:bottom w:val="nil"/>
              <w:right w:val="nil"/>
            </w:tcBorders>
          </w:tcPr>
          <w:p w14:paraId="1BBB1442" w14:textId="3EC87341" w:rsidR="00403882" w:rsidRPr="002657D1" w:rsidRDefault="00973EB4"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100</w:t>
            </w:r>
          </w:p>
        </w:tc>
        <w:tc>
          <w:tcPr>
            <w:tcW w:w="1701" w:type="dxa"/>
            <w:tcBorders>
              <w:top w:val="nil"/>
              <w:left w:val="nil"/>
              <w:bottom w:val="nil"/>
              <w:right w:val="nil"/>
            </w:tcBorders>
            <w:vAlign w:val="center"/>
          </w:tcPr>
          <w:p w14:paraId="7304F3E0" w14:textId="221227DC" w:rsidR="00403882" w:rsidRPr="002657D1" w:rsidRDefault="00973EB4"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25</w:t>
            </w:r>
          </w:p>
        </w:tc>
        <w:tc>
          <w:tcPr>
            <w:tcW w:w="1276" w:type="dxa"/>
            <w:tcBorders>
              <w:top w:val="nil"/>
              <w:left w:val="nil"/>
              <w:bottom w:val="nil"/>
              <w:right w:val="nil"/>
            </w:tcBorders>
            <w:vAlign w:val="center"/>
          </w:tcPr>
          <w:p w14:paraId="200CD8A8" w14:textId="2AFFCDE1" w:rsidR="00403882" w:rsidRPr="002657D1" w:rsidRDefault="00973EB4" w:rsidP="004A570C">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Pr="002657D1">
              <w:rPr>
                <w:rFonts w:ascii="Times New Roman" w:hAnsi="Times New Roman" w:cs="Times New Roman"/>
                <w:color w:val="000000" w:themeColor="text1"/>
                <w:sz w:val="24"/>
                <w:szCs w:val="24"/>
              </w:rPr>
              <w:instrText xml:space="preserve"> ADDIN ZOTERO_ITEM CSL_CITATION {"citationID":"a25jdhpu7hl","properties":{"formattedCitation":"\\super 66\\nosupersub{}","plainCitation":"66","noteIndex":0},"citationItems":[{"id":3054,"uris":["http://zotero.org/users/local/J1vikkcu/items/4H4E4R6D"],"itemData":{"id":3054,"type":"article-journal","abstract":"Despite their enhanced safety and energy density, the practical deployment of halide-based all-solid-state lithium batteries (ASSLBs) is limited due to their interfacial instability and parasitic side reactions between lithium metal anodes and solid electrolytes. In this study, we systematically explore the use of lithium phosphorus oxynitride (LiPON) as an interfacial functional layer to mitigate these degradation phenomena in halide-based ASSLBs. LiPON thin films were deposited on lithium metal substrates via magnetron sputtering, resulting in a uniform and amorphous protective layer that effectively stabilizes the interface. Cells modified with LiPON exhibit stable cycling performance for over 2000 h, in stark contrast to unmodified cells, which undergo rapid degradation due to the formation of resistive by-products such as LiCl. Surface analyses by X-ray photoelectron spectroscopy, time-of-flight secondary ion mass spectrometry, and scanning electron microscopy indicate that the LiPON functional layer facilitates the formation of a robust and high-performing solid electrolyte interphase layer enriched in Li3N and Li3P species, while simultaneously suppressing deleterious reactions at the lithium/halide interface. These results highlight the importance of interfacial engineering in halide-based ASSLBs and offer new insights and strategies for the development of future high-performance energy storage systems.","container-title":"Applied Surface Science","DOI":"10.1016/j.apsusc.2025.165292","ISSN":"01694332","journalAbbreviation":"Applied Surface Science","language":"en","page":"165292","source":"DOI.org (Crossref)","title":"LiPON-enabled interfacial engineering: stabilizing lithium metal anodes in ha</w:instrText>
            </w:r>
            <w:r w:rsidRPr="002657D1">
              <w:rPr>
                <w:rFonts w:ascii="Times New Roman" w:hAnsi="Times New Roman" w:cs="Times New Roman" w:hint="eastAsia"/>
                <w:color w:val="000000" w:themeColor="text1"/>
                <w:sz w:val="24"/>
                <w:szCs w:val="24"/>
              </w:rPr>
              <w:instrText>lide all</w:instrText>
            </w:r>
            <w:r w:rsidRPr="002657D1">
              <w:rPr>
                <w:rFonts w:ascii="Times New Roman" w:hAnsi="Times New Roman" w:cs="Times New Roman" w:hint="eastAsia"/>
                <w:color w:val="000000" w:themeColor="text1"/>
                <w:sz w:val="24"/>
                <w:szCs w:val="24"/>
              </w:rPr>
              <w:instrText>‐</w:instrText>
            </w:r>
            <w:r w:rsidRPr="002657D1">
              <w:rPr>
                <w:rFonts w:ascii="Times New Roman" w:hAnsi="Times New Roman" w:cs="Times New Roman" w:hint="eastAsia"/>
                <w:color w:val="000000" w:themeColor="text1"/>
                <w:sz w:val="24"/>
                <w:szCs w:val="24"/>
              </w:rPr>
              <w:instrText>solid</w:instrText>
            </w:r>
            <w:r w:rsidRPr="002657D1">
              <w:rPr>
                <w:rFonts w:ascii="Times New Roman" w:hAnsi="Times New Roman" w:cs="Times New Roman" w:hint="eastAsia"/>
                <w:color w:val="000000" w:themeColor="text1"/>
                <w:sz w:val="24"/>
                <w:szCs w:val="24"/>
              </w:rPr>
              <w:instrText>‐</w:instrText>
            </w:r>
            <w:r w:rsidRPr="002657D1">
              <w:rPr>
                <w:rFonts w:ascii="Times New Roman" w:hAnsi="Times New Roman" w:cs="Times New Roman" w:hint="eastAsia"/>
                <w:color w:val="000000" w:themeColor="text1"/>
                <w:sz w:val="24"/>
                <w:szCs w:val="24"/>
              </w:rPr>
              <w:instrText>state lithium batteries","title-short":"LiPON-enabled interfacial engineering","volume":"720","author":[{"family":"Zhou","given":"Yaqing"},{"family":"Lin","given":"Guanhua"},{"family":"Wang","given":"Sheng"},{"family":"Zanna","given":"Sandr</w:instrText>
            </w:r>
            <w:r w:rsidRPr="002657D1">
              <w:rPr>
                <w:rFonts w:ascii="Times New Roman" w:hAnsi="Times New Roman" w:cs="Times New Roman"/>
                <w:color w:val="000000" w:themeColor="text1"/>
                <w:sz w:val="24"/>
                <w:szCs w:val="24"/>
              </w:rPr>
              <w:instrText xml:space="preserve">ine"},{"family":"Seyeux","given":"Antoine"},{"family":"Światowska","given":"Jolanta"},{"family":"Tian","given":"Bingbing"}],"issued":{"date-parts":[["2026",2]]}}}],"schema":"https://github.com/citation-style-language/schema/raw/master/csl-citation.json"}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66</w:t>
            </w:r>
            <w:r w:rsidRPr="002657D1">
              <w:rPr>
                <w:rFonts w:ascii="Times New Roman" w:hAnsi="Times New Roman" w:cs="Times New Roman"/>
                <w:color w:val="000000" w:themeColor="text1"/>
                <w:sz w:val="24"/>
                <w:szCs w:val="24"/>
              </w:rPr>
              <w:fldChar w:fldCharType="end"/>
            </w:r>
          </w:p>
        </w:tc>
      </w:tr>
      <w:tr w:rsidR="002657D1" w:rsidRPr="002657D1" w14:paraId="688D78A7" w14:textId="77777777" w:rsidTr="009C3A29">
        <w:trPr>
          <w:jc w:val="center"/>
        </w:trPr>
        <w:tc>
          <w:tcPr>
            <w:tcW w:w="2943" w:type="dxa"/>
            <w:tcBorders>
              <w:top w:val="nil"/>
              <w:left w:val="nil"/>
              <w:bottom w:val="nil"/>
              <w:right w:val="nil"/>
            </w:tcBorders>
            <w:vAlign w:val="center"/>
          </w:tcPr>
          <w:p w14:paraId="42F2F337" w14:textId="75D9FC44" w:rsidR="00403882" w:rsidRPr="002657D1" w:rsidRDefault="00973EB4" w:rsidP="00C20FBC">
            <w:pPr>
              <w:pStyle w:val="ac"/>
              <w:spacing w:before="0" w:beforeAutospacing="0" w:after="0" w:afterAutospacing="0" w:line="360" w:lineRule="auto"/>
              <w:jc w:val="center"/>
              <w:rPr>
                <w:rFonts w:ascii="Times New Roman" w:eastAsiaTheme="minorEastAsia" w:hAnsi="Times New Roman" w:cs="Times New Roman"/>
                <w:color w:val="000000" w:themeColor="text1"/>
                <w:kern w:val="24"/>
                <w:lang w:val="de-DE"/>
              </w:rPr>
            </w:pPr>
            <w:r w:rsidRPr="002657D1">
              <w:rPr>
                <w:rFonts w:ascii="Times New Roman" w:eastAsiaTheme="minorEastAsia" w:hAnsi="Times New Roman" w:cs="Times New Roman"/>
                <w:color w:val="000000" w:themeColor="text1"/>
                <w:kern w:val="24"/>
                <w:lang w:val="de-DE"/>
              </w:rPr>
              <w:t>Li/Li</w:t>
            </w:r>
            <w:r w:rsidRPr="002657D1">
              <w:rPr>
                <w:rFonts w:ascii="Times New Roman" w:eastAsiaTheme="minorEastAsia" w:hAnsi="Times New Roman" w:cs="Times New Roman"/>
                <w:color w:val="000000" w:themeColor="text1"/>
                <w:kern w:val="24"/>
                <w:vertAlign w:val="subscript"/>
                <w:lang w:val="de-DE"/>
              </w:rPr>
              <w:t>1.75</w:t>
            </w:r>
            <w:r w:rsidRPr="002657D1">
              <w:rPr>
                <w:rFonts w:ascii="Times New Roman" w:eastAsiaTheme="minorEastAsia" w:hAnsi="Times New Roman" w:cs="Times New Roman"/>
                <w:color w:val="000000" w:themeColor="text1"/>
                <w:kern w:val="24"/>
                <w:lang w:val="de-DE"/>
              </w:rPr>
              <w:t>Zr</w:t>
            </w:r>
            <w:r w:rsidRPr="002657D1">
              <w:rPr>
                <w:rFonts w:ascii="Times New Roman" w:eastAsiaTheme="minorEastAsia" w:hAnsi="Times New Roman" w:cs="Times New Roman"/>
                <w:color w:val="000000" w:themeColor="text1"/>
                <w:kern w:val="24"/>
                <w:vertAlign w:val="subscript"/>
                <w:lang w:val="de-DE"/>
              </w:rPr>
              <w:t>0.75</w:t>
            </w:r>
            <w:r w:rsidRPr="002657D1">
              <w:rPr>
                <w:rFonts w:ascii="Times New Roman" w:eastAsiaTheme="minorEastAsia" w:hAnsi="Times New Roman" w:cs="Times New Roman"/>
                <w:color w:val="000000" w:themeColor="text1"/>
                <w:kern w:val="24"/>
                <w:lang w:val="de-DE"/>
              </w:rPr>
              <w:t>Nb</w:t>
            </w:r>
            <w:r w:rsidRPr="002657D1">
              <w:rPr>
                <w:rFonts w:ascii="Times New Roman" w:eastAsiaTheme="minorEastAsia" w:hAnsi="Times New Roman" w:cs="Times New Roman"/>
                <w:color w:val="000000" w:themeColor="text1"/>
                <w:kern w:val="24"/>
                <w:vertAlign w:val="subscript"/>
                <w:lang w:val="de-DE"/>
              </w:rPr>
              <w:t>0.25</w:t>
            </w:r>
            <w:r w:rsidRPr="002657D1">
              <w:rPr>
                <w:rFonts w:ascii="Times New Roman" w:eastAsiaTheme="minorEastAsia" w:hAnsi="Times New Roman" w:cs="Times New Roman"/>
                <w:color w:val="000000" w:themeColor="text1"/>
                <w:kern w:val="24"/>
                <w:lang w:val="de-DE"/>
              </w:rPr>
              <w:t>Cl</w:t>
            </w:r>
            <w:r w:rsidRPr="002657D1">
              <w:rPr>
                <w:rFonts w:ascii="Times New Roman" w:eastAsiaTheme="minorEastAsia" w:hAnsi="Times New Roman" w:cs="Times New Roman"/>
                <w:color w:val="000000" w:themeColor="text1"/>
                <w:kern w:val="24"/>
                <w:vertAlign w:val="subscript"/>
                <w:lang w:val="de-DE"/>
              </w:rPr>
              <w:t>6</w:t>
            </w:r>
            <w:r w:rsidRPr="002657D1">
              <w:rPr>
                <w:rFonts w:ascii="Times New Roman" w:eastAsiaTheme="minorEastAsia" w:hAnsi="Times New Roman" w:cs="Times New Roman"/>
                <w:color w:val="000000" w:themeColor="text1"/>
                <w:kern w:val="24"/>
                <w:lang w:val="de-DE"/>
              </w:rPr>
              <w:t>/Li</w:t>
            </w:r>
          </w:p>
        </w:tc>
        <w:tc>
          <w:tcPr>
            <w:tcW w:w="1310" w:type="dxa"/>
            <w:tcBorders>
              <w:top w:val="nil"/>
              <w:left w:val="nil"/>
              <w:bottom w:val="nil"/>
              <w:right w:val="nil"/>
            </w:tcBorders>
            <w:vAlign w:val="center"/>
          </w:tcPr>
          <w:p w14:paraId="7D69658F" w14:textId="0D958947" w:rsidR="00403882" w:rsidRPr="002657D1" w:rsidRDefault="00973EB4" w:rsidP="00C20FBC">
            <w:pPr>
              <w:widowControl/>
              <w:spacing w:line="360" w:lineRule="auto"/>
              <w:jc w:val="center"/>
              <w:rPr>
                <w:rFonts w:ascii="Times New Roman" w:hAnsi="Times New Roman" w:cs="Times New Roman"/>
                <w:color w:val="000000" w:themeColor="text1"/>
                <w:kern w:val="24"/>
                <w:sz w:val="24"/>
                <w:szCs w:val="24"/>
                <w:lang w:val="de-DE"/>
              </w:rPr>
            </w:pPr>
            <w:r w:rsidRPr="002657D1">
              <w:rPr>
                <w:rFonts w:ascii="Times New Roman" w:hAnsi="Times New Roman" w:cs="Times New Roman" w:hint="eastAsia"/>
                <w:color w:val="000000" w:themeColor="text1"/>
                <w:kern w:val="24"/>
                <w:sz w:val="24"/>
                <w:szCs w:val="24"/>
                <w:lang w:val="de-DE"/>
              </w:rPr>
              <w:t>0.5</w:t>
            </w:r>
          </w:p>
        </w:tc>
        <w:tc>
          <w:tcPr>
            <w:tcW w:w="1701" w:type="dxa"/>
            <w:tcBorders>
              <w:top w:val="nil"/>
              <w:left w:val="nil"/>
              <w:bottom w:val="nil"/>
              <w:right w:val="nil"/>
            </w:tcBorders>
            <w:vAlign w:val="center"/>
          </w:tcPr>
          <w:p w14:paraId="4F6A2452" w14:textId="29E14D42" w:rsidR="00403882" w:rsidRPr="002657D1" w:rsidRDefault="00973EB4" w:rsidP="00C20FBC">
            <w:pPr>
              <w:widowControl/>
              <w:spacing w:line="360" w:lineRule="auto"/>
              <w:jc w:val="center"/>
              <w:rPr>
                <w:rFonts w:ascii="Times New Roman" w:hAnsi="Times New Roman" w:cs="Times New Roman"/>
                <w:color w:val="000000" w:themeColor="text1"/>
                <w:kern w:val="24"/>
                <w:sz w:val="24"/>
                <w:szCs w:val="24"/>
                <w:lang w:val="de-DE"/>
              </w:rPr>
            </w:pPr>
            <w:r w:rsidRPr="002657D1">
              <w:rPr>
                <w:rFonts w:ascii="Times New Roman" w:hAnsi="Times New Roman" w:cs="Times New Roman" w:hint="eastAsia"/>
                <w:color w:val="000000" w:themeColor="text1"/>
                <w:kern w:val="24"/>
                <w:sz w:val="24"/>
                <w:szCs w:val="24"/>
                <w:lang w:val="de-DE"/>
              </w:rPr>
              <w:t>0.5</w:t>
            </w:r>
          </w:p>
        </w:tc>
        <w:tc>
          <w:tcPr>
            <w:tcW w:w="1276" w:type="dxa"/>
            <w:tcBorders>
              <w:top w:val="nil"/>
              <w:left w:val="nil"/>
              <w:bottom w:val="nil"/>
              <w:right w:val="nil"/>
            </w:tcBorders>
            <w:vAlign w:val="center"/>
          </w:tcPr>
          <w:p w14:paraId="360043EB" w14:textId="304B8F31" w:rsidR="00403882" w:rsidRPr="002657D1" w:rsidRDefault="00973EB4" w:rsidP="00C20FBC">
            <w:pPr>
              <w:widowControl/>
              <w:spacing w:line="360" w:lineRule="auto"/>
              <w:jc w:val="center"/>
              <w:rPr>
                <w:rFonts w:ascii="Times New Roman" w:hAnsi="Times New Roman" w:cs="Times New Roman"/>
                <w:color w:val="000000" w:themeColor="text1"/>
                <w:kern w:val="24"/>
                <w:sz w:val="24"/>
                <w:szCs w:val="24"/>
                <w:lang w:val="de-DE"/>
              </w:rPr>
            </w:pPr>
            <w:r w:rsidRPr="002657D1">
              <w:rPr>
                <w:rFonts w:ascii="Times New Roman" w:hAnsi="Times New Roman" w:cs="Times New Roman" w:hint="eastAsia"/>
                <w:color w:val="000000" w:themeColor="text1"/>
                <w:kern w:val="24"/>
                <w:sz w:val="24"/>
                <w:szCs w:val="24"/>
                <w:lang w:val="de-DE"/>
              </w:rPr>
              <w:t>300</w:t>
            </w:r>
          </w:p>
        </w:tc>
        <w:tc>
          <w:tcPr>
            <w:tcW w:w="1842" w:type="dxa"/>
            <w:tcBorders>
              <w:top w:val="nil"/>
              <w:left w:val="nil"/>
              <w:bottom w:val="nil"/>
              <w:right w:val="nil"/>
            </w:tcBorders>
          </w:tcPr>
          <w:p w14:paraId="433A57F3" w14:textId="630A1FF0" w:rsidR="00403882" w:rsidRPr="002657D1" w:rsidRDefault="00973EB4" w:rsidP="00C20FBC">
            <w:pPr>
              <w:widowControl/>
              <w:spacing w:line="360" w:lineRule="auto"/>
              <w:jc w:val="center"/>
              <w:rPr>
                <w:rFonts w:ascii="Times New Roman" w:hAnsi="Times New Roman" w:cs="Times New Roman"/>
                <w:color w:val="000000" w:themeColor="text1"/>
                <w:kern w:val="24"/>
                <w:sz w:val="24"/>
                <w:szCs w:val="24"/>
                <w:lang w:val="de-DE"/>
              </w:rPr>
            </w:pPr>
            <w:r w:rsidRPr="002657D1">
              <w:rPr>
                <w:rFonts w:ascii="Times New Roman" w:hAnsi="Times New Roman" w:cs="Times New Roman" w:hint="eastAsia"/>
                <w:color w:val="000000" w:themeColor="text1"/>
                <w:kern w:val="24"/>
                <w:sz w:val="24"/>
                <w:szCs w:val="24"/>
                <w:lang w:val="de-DE"/>
              </w:rPr>
              <w:t>150</w:t>
            </w:r>
          </w:p>
        </w:tc>
        <w:tc>
          <w:tcPr>
            <w:tcW w:w="1701" w:type="dxa"/>
            <w:tcBorders>
              <w:top w:val="nil"/>
              <w:left w:val="nil"/>
              <w:bottom w:val="nil"/>
              <w:right w:val="nil"/>
            </w:tcBorders>
            <w:vAlign w:val="center"/>
          </w:tcPr>
          <w:p w14:paraId="304CED5B" w14:textId="66652678" w:rsidR="00403882" w:rsidRPr="002657D1" w:rsidRDefault="00973EB4" w:rsidP="00C20FBC">
            <w:pPr>
              <w:widowControl/>
              <w:spacing w:line="360" w:lineRule="auto"/>
              <w:jc w:val="center"/>
              <w:rPr>
                <w:rFonts w:ascii="Times New Roman" w:hAnsi="Times New Roman" w:cs="Times New Roman"/>
                <w:color w:val="000000" w:themeColor="text1"/>
                <w:kern w:val="24"/>
                <w:sz w:val="24"/>
                <w:szCs w:val="24"/>
                <w:lang w:val="de-DE"/>
              </w:rPr>
            </w:pPr>
            <w:r w:rsidRPr="002657D1">
              <w:rPr>
                <w:rFonts w:ascii="Times New Roman" w:hAnsi="Times New Roman" w:cs="Times New Roman" w:hint="eastAsia"/>
                <w:color w:val="000000" w:themeColor="text1"/>
                <w:kern w:val="24"/>
                <w:sz w:val="24"/>
                <w:szCs w:val="24"/>
                <w:lang w:val="de-DE"/>
              </w:rPr>
              <w:t>25</w:t>
            </w:r>
          </w:p>
        </w:tc>
        <w:tc>
          <w:tcPr>
            <w:tcW w:w="1276" w:type="dxa"/>
            <w:tcBorders>
              <w:top w:val="nil"/>
              <w:left w:val="nil"/>
              <w:bottom w:val="nil"/>
              <w:right w:val="nil"/>
            </w:tcBorders>
            <w:vAlign w:val="center"/>
          </w:tcPr>
          <w:p w14:paraId="123A7B00" w14:textId="11D7F99F" w:rsidR="00403882" w:rsidRPr="002657D1" w:rsidRDefault="009204D8" w:rsidP="004A570C">
            <w:pPr>
              <w:widowControl/>
              <w:spacing w:line="360" w:lineRule="auto"/>
              <w:jc w:val="center"/>
              <w:rPr>
                <w:rFonts w:ascii="Times New Roman" w:hAnsi="Times New Roman" w:cs="Times New Roman"/>
                <w:color w:val="000000" w:themeColor="text1"/>
                <w:sz w:val="24"/>
                <w:szCs w:val="24"/>
                <w:lang w:val="de-DE"/>
              </w:rPr>
            </w:pPr>
            <w:r w:rsidRPr="002657D1">
              <w:rPr>
                <w:rFonts w:ascii="Times New Roman" w:hAnsi="Times New Roman" w:cs="Times New Roman"/>
                <w:color w:val="000000" w:themeColor="text1"/>
                <w:sz w:val="24"/>
                <w:szCs w:val="24"/>
                <w:lang w:val="de-DE"/>
              </w:rPr>
              <w:fldChar w:fldCharType="begin"/>
            </w:r>
            <w:r w:rsidRPr="002657D1">
              <w:rPr>
                <w:rFonts w:ascii="Times New Roman" w:hAnsi="Times New Roman" w:cs="Times New Roman"/>
                <w:color w:val="000000" w:themeColor="text1"/>
                <w:sz w:val="24"/>
                <w:szCs w:val="24"/>
                <w:lang w:val="de-DE"/>
              </w:rPr>
              <w:instrText xml:space="preserve"> ADDIN ZOTERO_ITEM CSL_CITATION {"citationID":"a1afc8bj8c6","properties":{"formattedCitation":"\\super 67\\nosupersub{}","plainCitation":"67","noteIndex":0},"citationItems":[{"id":3056,"uris":["http://zotero.org/users/local/J1vikkcu/items/2MBEK4DD"],"item</w:instrText>
            </w:r>
            <w:r w:rsidRPr="002657D1">
              <w:rPr>
                <w:rFonts w:ascii="Times New Roman" w:hAnsi="Times New Roman" w:cs="Times New Roman" w:hint="eastAsia"/>
                <w:color w:val="000000" w:themeColor="text1"/>
                <w:sz w:val="24"/>
                <w:szCs w:val="24"/>
                <w:lang w:val="de-DE"/>
              </w:rPr>
              <w:instrText>Data":{"id":3056,"type":"article-journal","abstract":"Zirconium</w:instrText>
            </w:r>
            <w:r w:rsidRPr="002657D1">
              <w:rPr>
                <w:rFonts w:ascii="Times New Roman" w:hAnsi="Times New Roman" w:cs="Times New Roman" w:hint="eastAsia"/>
                <w:color w:val="000000" w:themeColor="text1"/>
                <w:sz w:val="24"/>
                <w:szCs w:val="24"/>
                <w:lang w:val="de-DE"/>
              </w:rPr>
              <w:instrText>‐</w:instrText>
            </w:r>
            <w:r w:rsidRPr="002657D1">
              <w:rPr>
                <w:rFonts w:ascii="Times New Roman" w:hAnsi="Times New Roman" w:cs="Times New Roman" w:hint="eastAsia"/>
                <w:color w:val="000000" w:themeColor="text1"/>
                <w:sz w:val="24"/>
                <w:szCs w:val="24"/>
                <w:lang w:val="de-DE"/>
              </w:rPr>
              <w:instrText>based halide electrolytes were created as prospective candidates for all</w:instrText>
            </w:r>
            <w:r w:rsidRPr="002657D1">
              <w:rPr>
                <w:rFonts w:ascii="Times New Roman" w:hAnsi="Times New Roman" w:cs="Times New Roman" w:hint="eastAsia"/>
                <w:color w:val="000000" w:themeColor="text1"/>
                <w:sz w:val="24"/>
                <w:szCs w:val="24"/>
                <w:lang w:val="de-DE"/>
              </w:rPr>
              <w:instrText>‐</w:instrText>
            </w:r>
            <w:r w:rsidRPr="002657D1">
              <w:rPr>
                <w:rFonts w:ascii="Times New Roman" w:hAnsi="Times New Roman" w:cs="Times New Roman" w:hint="eastAsia"/>
                <w:color w:val="000000" w:themeColor="text1"/>
                <w:sz w:val="24"/>
                <w:szCs w:val="24"/>
                <w:lang w:val="de-DE"/>
              </w:rPr>
              <w:instrText>solid</w:instrText>
            </w:r>
            <w:r w:rsidRPr="002657D1">
              <w:rPr>
                <w:rFonts w:ascii="Times New Roman" w:hAnsi="Times New Roman" w:cs="Times New Roman" w:hint="eastAsia"/>
                <w:color w:val="000000" w:themeColor="text1"/>
                <w:sz w:val="24"/>
                <w:szCs w:val="24"/>
                <w:lang w:val="de-DE"/>
              </w:rPr>
              <w:instrText>‐</w:instrText>
            </w:r>
            <w:r w:rsidRPr="002657D1">
              <w:rPr>
                <w:rFonts w:ascii="Times New Roman" w:hAnsi="Times New Roman" w:cs="Times New Roman" w:hint="eastAsia"/>
                <w:color w:val="000000" w:themeColor="text1"/>
                <w:sz w:val="24"/>
                <w:szCs w:val="24"/>
                <w:lang w:val="de-DE"/>
              </w:rPr>
              <w:instrText>state lithium batteries (ASSLBs) because of their low cost, wide electrochemical window, and superior compatibil</w:instrText>
            </w:r>
            <w:r w:rsidRPr="002657D1">
              <w:rPr>
                <w:rFonts w:ascii="Times New Roman" w:hAnsi="Times New Roman" w:cs="Times New Roman"/>
                <w:color w:val="000000" w:themeColor="text1"/>
                <w:sz w:val="24"/>
                <w:szCs w:val="24"/>
                <w:lang w:val="de-DE"/>
              </w:rPr>
              <w:instrText>ity with oxide cathodes. However, practical implementation is hindered by limitations such as suboptimal room</w:instrText>
            </w:r>
            <w:r w:rsidRPr="002657D1">
              <w:rPr>
                <w:rFonts w:ascii="Times New Roman" w:hAnsi="Times New Roman" w:cs="Times New Roman" w:hint="eastAsia"/>
                <w:color w:val="000000" w:themeColor="text1"/>
                <w:sz w:val="24"/>
                <w:szCs w:val="24"/>
                <w:lang w:val="de-DE"/>
              </w:rPr>
              <w:instrText>‐</w:instrText>
            </w:r>
            <w:r w:rsidRPr="002657D1">
              <w:rPr>
                <w:rFonts w:ascii="Times New Roman" w:hAnsi="Times New Roman" w:cs="Times New Roman"/>
                <w:color w:val="000000" w:themeColor="text1"/>
                <w:sz w:val="24"/>
                <w:szCs w:val="24"/>
                <w:lang w:val="de-DE"/>
              </w:rPr>
              <w:instrText>temperature (RT) ionic conductivity (&lt; 1 mS cm−1) and poor interfacial compatibility with lithium metal. Herein, we report a new class of zirconium</w:instrText>
            </w:r>
            <w:r w:rsidRPr="002657D1">
              <w:rPr>
                <w:rFonts w:ascii="Times New Roman" w:hAnsi="Times New Roman" w:cs="Times New Roman" w:hint="eastAsia"/>
                <w:color w:val="000000" w:themeColor="text1"/>
                <w:sz w:val="24"/>
                <w:szCs w:val="24"/>
                <w:lang w:val="de-DE"/>
              </w:rPr>
              <w:instrText>‐</w:instrText>
            </w:r>
            <w:r w:rsidRPr="002657D1">
              <w:rPr>
                <w:rFonts w:ascii="Times New Roman" w:hAnsi="Times New Roman" w:cs="Times New Roman"/>
                <w:color w:val="000000" w:themeColor="text1"/>
                <w:sz w:val="24"/>
                <w:szCs w:val="24"/>
                <w:lang w:val="de-DE"/>
              </w:rPr>
              <w:instrText>based chlorides, Li2−xZr1−xNbxCl6, synthesized by a high</w:instrText>
            </w:r>
            <w:r w:rsidRPr="002657D1">
              <w:rPr>
                <w:rFonts w:ascii="Times New Roman" w:hAnsi="Times New Roman" w:cs="Times New Roman" w:hint="eastAsia"/>
                <w:color w:val="000000" w:themeColor="text1"/>
                <w:sz w:val="24"/>
                <w:szCs w:val="24"/>
                <w:lang w:val="de-DE"/>
              </w:rPr>
              <w:instrText>‐</w:instrText>
            </w:r>
            <w:r w:rsidRPr="002657D1">
              <w:rPr>
                <w:rFonts w:ascii="Times New Roman" w:hAnsi="Times New Roman" w:cs="Times New Roman"/>
                <w:color w:val="000000" w:themeColor="text1"/>
                <w:sz w:val="24"/>
                <w:szCs w:val="24"/>
                <w:lang w:val="de-DE"/>
              </w:rPr>
              <w:instrText>valent Nb5+ doping method. The introduction of Nb5+ induces local lattice decrease, which simultaneously weakens the binding intensity of Li</w:instrText>
            </w:r>
            <w:r w:rsidRPr="002657D1">
              <w:rPr>
                <w:rFonts w:ascii="Times New Roman" w:hAnsi="Times New Roman" w:cs="Times New Roman" w:hint="eastAsia"/>
                <w:color w:val="000000" w:themeColor="text1"/>
                <w:sz w:val="24"/>
                <w:szCs w:val="24"/>
                <w:lang w:val="de-DE"/>
              </w:rPr>
              <w:instrText>─</w:instrText>
            </w:r>
            <w:r w:rsidRPr="002657D1">
              <w:rPr>
                <w:rFonts w:ascii="Times New Roman" w:hAnsi="Times New Roman" w:cs="Times New Roman"/>
                <w:color w:val="000000" w:themeColor="text1"/>
                <w:sz w:val="24"/>
                <w:szCs w:val="24"/>
                <w:lang w:val="de-DE"/>
              </w:rPr>
              <w:instrText>Zr and optimizes ion migration pathways and defect concentrations. Therefore, the optimal composition, Li1.75Zr0.75Nb0.25Cl6 (denoted as LZC</w:instrText>
            </w:r>
            <w:r w:rsidRPr="002657D1">
              <w:rPr>
                <w:rFonts w:ascii="Times New Roman" w:hAnsi="Times New Roman" w:cs="Times New Roman" w:hint="eastAsia"/>
                <w:color w:val="000000" w:themeColor="text1"/>
                <w:sz w:val="24"/>
                <w:szCs w:val="24"/>
                <w:lang w:val="de-DE"/>
              </w:rPr>
              <w:instrText>‐</w:instrText>
            </w:r>
            <w:r w:rsidRPr="002657D1">
              <w:rPr>
                <w:rFonts w:ascii="Times New Roman" w:hAnsi="Times New Roman" w:cs="Times New Roman"/>
                <w:color w:val="000000" w:themeColor="text1"/>
                <w:sz w:val="24"/>
                <w:szCs w:val="24"/>
                <w:lang w:val="de-DE"/>
              </w:rPr>
              <w:instrText>Nb), achieves a high RT ionic conductivity of 1.82 mS cm−1 and exceptional moisture resistance. Furthermore, the dynamic interfacial modulation of LZC</w:instrText>
            </w:r>
            <w:r w:rsidRPr="002657D1">
              <w:rPr>
                <w:rFonts w:ascii="Times New Roman" w:hAnsi="Times New Roman" w:cs="Times New Roman" w:hint="eastAsia"/>
                <w:color w:val="000000" w:themeColor="text1"/>
                <w:sz w:val="24"/>
                <w:szCs w:val="24"/>
                <w:lang w:val="de-DE"/>
              </w:rPr>
              <w:instrText>‐</w:instrText>
            </w:r>
            <w:r w:rsidRPr="002657D1">
              <w:rPr>
                <w:rFonts w:ascii="Times New Roman" w:hAnsi="Times New Roman" w:cs="Times New Roman"/>
                <w:color w:val="000000" w:themeColor="text1"/>
                <w:sz w:val="24"/>
                <w:szCs w:val="24"/>
                <w:lang w:val="de-DE"/>
              </w:rPr>
              <w:instrText>Nb forms a low</w:instrText>
            </w:r>
            <w:r w:rsidRPr="002657D1">
              <w:rPr>
                <w:rFonts w:ascii="Times New Roman" w:hAnsi="Times New Roman" w:cs="Times New Roman" w:hint="eastAsia"/>
                <w:color w:val="000000" w:themeColor="text1"/>
                <w:sz w:val="24"/>
                <w:szCs w:val="24"/>
                <w:lang w:val="de-DE"/>
              </w:rPr>
              <w:instrText>‐</w:instrText>
            </w:r>
            <w:r w:rsidRPr="002657D1">
              <w:rPr>
                <w:rFonts w:ascii="Times New Roman" w:hAnsi="Times New Roman" w:cs="Times New Roman"/>
                <w:color w:val="000000" w:themeColor="text1"/>
                <w:sz w:val="24"/>
                <w:szCs w:val="24"/>
                <w:lang w:val="de-DE"/>
              </w:rPr>
              <w:instrText>impedance passivation layer, enhancing Li+ transport kinetics. This improvement in interfacial stability enables symmetric batteries to exceed a critical current density of 1.3 mA cm−2. Combined with a LiNi0.8Mn0.1Co0.1O2 cathode, the resultant ASSLB retains 81.8% of its initial capacity (157.5 mAh g−1) after 600 cycles at 0.3 C. This study provides a proven strategy for developing inorganic ionic conductors with superior ionic transport and interfacial compatibility, offering a viable pathway toward high</w:instrText>
            </w:r>
            <w:r w:rsidRPr="002657D1">
              <w:rPr>
                <w:rFonts w:ascii="Times New Roman" w:hAnsi="Times New Roman" w:cs="Times New Roman" w:hint="eastAsia"/>
                <w:color w:val="000000" w:themeColor="text1"/>
                <w:sz w:val="24"/>
                <w:szCs w:val="24"/>
                <w:lang w:val="de-DE"/>
              </w:rPr>
              <w:instrText>‐</w:instrText>
            </w:r>
            <w:r w:rsidRPr="002657D1">
              <w:rPr>
                <w:rFonts w:ascii="Times New Roman" w:hAnsi="Times New Roman" w:cs="Times New Roman"/>
                <w:color w:val="000000" w:themeColor="text1"/>
                <w:sz w:val="24"/>
                <w:szCs w:val="24"/>
                <w:lang w:val="de-DE"/>
              </w:rPr>
              <w:instrText>performance ASSLBs.","container-title":"Interdisciplinary Materials","DOI":"10.1002/idm2.70022","ISSN":"2767-4401, 2767-441X","journalAbbreviation":"Interdisciplinary Materials","language":"en","page":"idm2.70022","source":"DOI.org (Crossref)","title":"Pro</w:instrText>
            </w:r>
            <w:r w:rsidRPr="002657D1">
              <w:rPr>
                <w:rFonts w:ascii="Times New Roman" w:hAnsi="Times New Roman" w:cs="Times New Roman" w:hint="eastAsia"/>
                <w:color w:val="000000" w:themeColor="text1"/>
                <w:sz w:val="24"/>
                <w:szCs w:val="24"/>
                <w:lang w:val="de-DE"/>
              </w:rPr>
              <w:instrText xml:space="preserve">moting Ion Conduction and Li Metal Compatibility Through Nb&lt;sup&gt;5+&lt;/sup&gt; </w:instrText>
            </w:r>
            <w:r w:rsidRPr="002657D1">
              <w:rPr>
                <w:rFonts w:ascii="Times New Roman" w:hAnsi="Times New Roman" w:cs="Times New Roman" w:hint="eastAsia"/>
                <w:color w:val="000000" w:themeColor="text1"/>
                <w:sz w:val="24"/>
                <w:szCs w:val="24"/>
                <w:lang w:val="de-DE"/>
              </w:rPr>
              <w:instrText>‐</w:instrText>
            </w:r>
            <w:r w:rsidRPr="002657D1">
              <w:rPr>
                <w:rFonts w:ascii="Times New Roman" w:hAnsi="Times New Roman" w:cs="Times New Roman" w:hint="eastAsia"/>
                <w:color w:val="000000" w:themeColor="text1"/>
                <w:sz w:val="24"/>
                <w:szCs w:val="24"/>
                <w:lang w:val="de-DE"/>
              </w:rPr>
              <w:instrText>Substituted Zirconium</w:instrText>
            </w:r>
            <w:r w:rsidRPr="002657D1">
              <w:rPr>
                <w:rFonts w:ascii="Times New Roman" w:hAnsi="Times New Roman" w:cs="Times New Roman" w:hint="eastAsia"/>
                <w:color w:val="000000" w:themeColor="text1"/>
                <w:sz w:val="24"/>
                <w:szCs w:val="24"/>
                <w:lang w:val="de-DE"/>
              </w:rPr>
              <w:instrText>‐</w:instrText>
            </w:r>
            <w:r w:rsidRPr="002657D1">
              <w:rPr>
                <w:rFonts w:ascii="Times New Roman" w:hAnsi="Times New Roman" w:cs="Times New Roman" w:hint="eastAsia"/>
                <w:color w:val="000000" w:themeColor="text1"/>
                <w:sz w:val="24"/>
                <w:szCs w:val="24"/>
                <w:lang w:val="de-DE"/>
              </w:rPr>
              <w:instrText>Based Chlorides for All</w:instrText>
            </w:r>
            <w:r w:rsidRPr="002657D1">
              <w:rPr>
                <w:rFonts w:ascii="Times New Roman" w:hAnsi="Times New Roman" w:cs="Times New Roman" w:hint="eastAsia"/>
                <w:color w:val="000000" w:themeColor="text1"/>
                <w:sz w:val="24"/>
                <w:szCs w:val="24"/>
                <w:lang w:val="de-DE"/>
              </w:rPr>
              <w:instrText>‐</w:instrText>
            </w:r>
            <w:r w:rsidRPr="002657D1">
              <w:rPr>
                <w:rFonts w:ascii="Times New Roman" w:hAnsi="Times New Roman" w:cs="Times New Roman" w:hint="eastAsia"/>
                <w:color w:val="000000" w:themeColor="text1"/>
                <w:sz w:val="24"/>
                <w:szCs w:val="24"/>
                <w:lang w:val="de-DE"/>
              </w:rPr>
              <w:instrText>Solid</w:instrText>
            </w:r>
            <w:r w:rsidRPr="002657D1">
              <w:rPr>
                <w:rFonts w:ascii="Times New Roman" w:hAnsi="Times New Roman" w:cs="Times New Roman" w:hint="eastAsia"/>
                <w:color w:val="000000" w:themeColor="text1"/>
                <w:sz w:val="24"/>
                <w:szCs w:val="24"/>
                <w:lang w:val="de-DE"/>
              </w:rPr>
              <w:instrText>‐</w:instrText>
            </w:r>
            <w:r w:rsidRPr="002657D1">
              <w:rPr>
                <w:rFonts w:ascii="Times New Roman" w:hAnsi="Times New Roman" w:cs="Times New Roman" w:hint="eastAsia"/>
                <w:color w:val="000000" w:themeColor="text1"/>
                <w:sz w:val="24"/>
                <w:szCs w:val="24"/>
                <w:lang w:val="de-DE"/>
              </w:rPr>
              <w:instrText>State Batteries","author":[{"family":"Ren","given":"Wanqing"},{"family":"Li","given":"Yang"},{"family":"Peng","given":"Xingyi"},{"family":"Wu","given":"Meng"},{"family":"Qi","given":"Xiang"},{"family":"Lei","given":"Peng"},{"family":"Fan","given":"Changyi"},{"family":"Nan","given":"Ce</w:instrText>
            </w:r>
            <w:r w:rsidRPr="002657D1">
              <w:rPr>
                <w:rFonts w:ascii="Times New Roman" w:hAnsi="Times New Roman" w:cs="Times New Roman" w:hint="eastAsia"/>
                <w:color w:val="000000" w:themeColor="text1"/>
                <w:sz w:val="24"/>
                <w:szCs w:val="24"/>
                <w:lang w:val="de-DE"/>
              </w:rPr>
              <w:instrText>‐</w:instrText>
            </w:r>
            <w:r w:rsidRPr="002657D1">
              <w:rPr>
                <w:rFonts w:ascii="Times New Roman" w:hAnsi="Times New Roman" w:cs="Times New Roman" w:hint="eastAsia"/>
                <w:color w:val="000000" w:themeColor="text1"/>
                <w:sz w:val="24"/>
                <w:szCs w:val="24"/>
                <w:lang w:val="de-DE"/>
              </w:rPr>
              <w:instrText>Wen"},{"family":"Fan","given":"Li</w:instrText>
            </w:r>
            <w:r w:rsidRPr="002657D1">
              <w:rPr>
                <w:rFonts w:ascii="Times New Roman" w:hAnsi="Times New Roman" w:cs="Times New Roman" w:hint="eastAsia"/>
                <w:color w:val="000000" w:themeColor="text1"/>
                <w:sz w:val="24"/>
                <w:szCs w:val="24"/>
                <w:lang w:val="de-DE"/>
              </w:rPr>
              <w:instrText>‐</w:instrText>
            </w:r>
            <w:r w:rsidRPr="002657D1">
              <w:rPr>
                <w:rFonts w:ascii="Times New Roman" w:hAnsi="Times New Roman" w:cs="Times New Roman" w:hint="eastAsia"/>
                <w:color w:val="000000" w:themeColor="text1"/>
                <w:sz w:val="24"/>
                <w:szCs w:val="24"/>
                <w:lang w:val="de-DE"/>
              </w:rPr>
              <w:instrText>Zhen"}],"issued":{"date-parts":[["2025",11,17]]}}}],"schema":"ht</w:instrText>
            </w:r>
            <w:r w:rsidRPr="002657D1">
              <w:rPr>
                <w:rFonts w:ascii="Times New Roman" w:hAnsi="Times New Roman" w:cs="Times New Roman"/>
                <w:color w:val="000000" w:themeColor="text1"/>
                <w:sz w:val="24"/>
                <w:szCs w:val="24"/>
                <w:lang w:val="de-DE"/>
              </w:rPr>
              <w:instrText xml:space="preserve">tps://github.com/citation-style-language/schema/raw/master/csl-citation.json"} </w:instrText>
            </w:r>
            <w:r w:rsidRPr="002657D1">
              <w:rPr>
                <w:rFonts w:ascii="Times New Roman" w:hAnsi="Times New Roman" w:cs="Times New Roman"/>
                <w:color w:val="000000" w:themeColor="text1"/>
                <w:sz w:val="24"/>
                <w:szCs w:val="24"/>
                <w:lang w:val="de-DE"/>
              </w:rPr>
              <w:fldChar w:fldCharType="separate"/>
            </w:r>
            <w:r w:rsidRPr="002657D1">
              <w:rPr>
                <w:rFonts w:ascii="Times New Roman" w:hAnsi="Times New Roman" w:cs="Times New Roman"/>
                <w:color w:val="000000" w:themeColor="text1"/>
                <w:kern w:val="0"/>
                <w:sz w:val="24"/>
                <w:szCs w:val="24"/>
                <w:vertAlign w:val="superscript"/>
              </w:rPr>
              <w:t>67</w:t>
            </w:r>
            <w:r w:rsidRPr="002657D1">
              <w:rPr>
                <w:rFonts w:ascii="Times New Roman" w:hAnsi="Times New Roman" w:cs="Times New Roman"/>
                <w:color w:val="000000" w:themeColor="text1"/>
                <w:sz w:val="24"/>
                <w:szCs w:val="24"/>
                <w:lang w:val="de-DE"/>
              </w:rPr>
              <w:fldChar w:fldCharType="end"/>
            </w:r>
          </w:p>
        </w:tc>
      </w:tr>
      <w:tr w:rsidR="002657D1" w:rsidRPr="002657D1" w14:paraId="02804BE8" w14:textId="77777777" w:rsidTr="009C3A29">
        <w:trPr>
          <w:jc w:val="center"/>
        </w:trPr>
        <w:tc>
          <w:tcPr>
            <w:tcW w:w="2943" w:type="dxa"/>
            <w:tcBorders>
              <w:top w:val="nil"/>
              <w:left w:val="nil"/>
              <w:bottom w:val="nil"/>
              <w:right w:val="nil"/>
            </w:tcBorders>
            <w:vAlign w:val="center"/>
          </w:tcPr>
          <w:p w14:paraId="34D7281A" w14:textId="758EB070" w:rsidR="00403882" w:rsidRPr="002657D1" w:rsidRDefault="009204D8" w:rsidP="00C20FBC">
            <w:pPr>
              <w:pStyle w:val="ac"/>
              <w:spacing w:before="0" w:beforeAutospacing="0" w:after="0" w:afterAutospacing="0" w:line="360" w:lineRule="auto"/>
              <w:jc w:val="center"/>
              <w:rPr>
                <w:rFonts w:ascii="Times New Roman" w:eastAsiaTheme="minorEastAsia" w:hAnsi="Times New Roman" w:cs="Times New Roman"/>
                <w:color w:val="000000" w:themeColor="text1"/>
                <w:kern w:val="24"/>
                <w:lang w:val="de-DE"/>
              </w:rPr>
            </w:pPr>
            <w:r w:rsidRPr="002657D1">
              <w:rPr>
                <w:rFonts w:ascii="Times New Roman" w:eastAsiaTheme="minorEastAsia" w:hAnsi="Times New Roman" w:cs="Times New Roman" w:hint="eastAsia"/>
                <w:color w:val="000000" w:themeColor="text1"/>
                <w:kern w:val="24"/>
                <w:lang w:val="de-DE"/>
              </w:rPr>
              <w:t>Li/Li</w:t>
            </w:r>
            <w:r w:rsidRPr="002657D1">
              <w:rPr>
                <w:rFonts w:ascii="Times New Roman" w:eastAsiaTheme="minorEastAsia" w:hAnsi="Times New Roman" w:cs="Times New Roman"/>
                <w:color w:val="000000" w:themeColor="text1"/>
                <w:kern w:val="24"/>
                <w:vertAlign w:val="subscript"/>
                <w:lang w:val="de-DE"/>
              </w:rPr>
              <w:t>3</w:t>
            </w:r>
            <w:r w:rsidRPr="002657D1">
              <w:rPr>
                <w:rFonts w:ascii="Times New Roman" w:eastAsiaTheme="minorEastAsia" w:hAnsi="Times New Roman" w:cs="Times New Roman" w:hint="eastAsia"/>
                <w:color w:val="000000" w:themeColor="text1"/>
                <w:kern w:val="24"/>
                <w:lang w:val="de-DE"/>
              </w:rPr>
              <w:t>YbCl</w:t>
            </w:r>
            <w:r w:rsidRPr="002657D1">
              <w:rPr>
                <w:rFonts w:ascii="Times New Roman" w:eastAsiaTheme="minorEastAsia" w:hAnsi="Times New Roman" w:cs="Times New Roman"/>
                <w:color w:val="000000" w:themeColor="text1"/>
                <w:kern w:val="24"/>
                <w:vertAlign w:val="subscript"/>
                <w:lang w:val="de-DE"/>
              </w:rPr>
              <w:t>6</w:t>
            </w:r>
            <w:r w:rsidRPr="002657D1">
              <w:rPr>
                <w:rFonts w:ascii="Times New Roman" w:eastAsiaTheme="minorEastAsia" w:hAnsi="Times New Roman" w:cs="Times New Roman" w:hint="eastAsia"/>
                <w:color w:val="000000" w:themeColor="text1"/>
                <w:kern w:val="24"/>
                <w:lang w:val="de-DE"/>
              </w:rPr>
              <w:t>/Li</w:t>
            </w:r>
          </w:p>
        </w:tc>
        <w:tc>
          <w:tcPr>
            <w:tcW w:w="1310" w:type="dxa"/>
            <w:tcBorders>
              <w:top w:val="nil"/>
              <w:left w:val="nil"/>
              <w:bottom w:val="nil"/>
              <w:right w:val="nil"/>
            </w:tcBorders>
            <w:vAlign w:val="center"/>
          </w:tcPr>
          <w:p w14:paraId="3D2A4616" w14:textId="4EC93D39" w:rsidR="00403882" w:rsidRPr="002657D1" w:rsidRDefault="009204D8" w:rsidP="00C20FBC">
            <w:pPr>
              <w:widowControl/>
              <w:spacing w:line="360" w:lineRule="auto"/>
              <w:jc w:val="center"/>
              <w:rPr>
                <w:rFonts w:ascii="Times New Roman" w:hAnsi="Times New Roman" w:cs="Times New Roman"/>
                <w:color w:val="000000" w:themeColor="text1"/>
                <w:kern w:val="24"/>
                <w:sz w:val="24"/>
                <w:szCs w:val="24"/>
                <w:lang w:val="de-DE"/>
              </w:rPr>
            </w:pPr>
            <w:r w:rsidRPr="002657D1">
              <w:rPr>
                <w:rFonts w:ascii="Times New Roman" w:hAnsi="Times New Roman" w:cs="Times New Roman" w:hint="eastAsia"/>
                <w:color w:val="000000" w:themeColor="text1"/>
                <w:kern w:val="24"/>
                <w:sz w:val="24"/>
                <w:szCs w:val="24"/>
                <w:lang w:val="de-DE"/>
              </w:rPr>
              <w:t>0.05</w:t>
            </w:r>
          </w:p>
        </w:tc>
        <w:tc>
          <w:tcPr>
            <w:tcW w:w="1701" w:type="dxa"/>
            <w:tcBorders>
              <w:top w:val="nil"/>
              <w:left w:val="nil"/>
              <w:bottom w:val="nil"/>
              <w:right w:val="nil"/>
            </w:tcBorders>
            <w:vAlign w:val="center"/>
          </w:tcPr>
          <w:p w14:paraId="19CF8F43" w14:textId="2224F8CB" w:rsidR="00403882" w:rsidRPr="002657D1" w:rsidRDefault="009204D8" w:rsidP="00C20FBC">
            <w:pPr>
              <w:widowControl/>
              <w:spacing w:line="360" w:lineRule="auto"/>
              <w:jc w:val="center"/>
              <w:rPr>
                <w:rFonts w:ascii="Times New Roman" w:hAnsi="Times New Roman" w:cs="Times New Roman"/>
                <w:color w:val="000000" w:themeColor="text1"/>
                <w:kern w:val="24"/>
                <w:sz w:val="24"/>
                <w:szCs w:val="24"/>
                <w:lang w:val="de-DE"/>
              </w:rPr>
            </w:pPr>
            <w:r w:rsidRPr="002657D1">
              <w:rPr>
                <w:rFonts w:ascii="Times New Roman" w:hAnsi="Times New Roman" w:cs="Times New Roman" w:hint="eastAsia"/>
                <w:color w:val="000000" w:themeColor="text1"/>
                <w:kern w:val="24"/>
                <w:sz w:val="24"/>
                <w:szCs w:val="24"/>
                <w:lang w:val="de-DE"/>
              </w:rPr>
              <w:t>0.025</w:t>
            </w:r>
          </w:p>
        </w:tc>
        <w:tc>
          <w:tcPr>
            <w:tcW w:w="1276" w:type="dxa"/>
            <w:tcBorders>
              <w:top w:val="nil"/>
              <w:left w:val="nil"/>
              <w:bottom w:val="nil"/>
              <w:right w:val="nil"/>
            </w:tcBorders>
            <w:vAlign w:val="center"/>
          </w:tcPr>
          <w:p w14:paraId="4AB7CBF0" w14:textId="135FE211" w:rsidR="00403882" w:rsidRPr="002657D1" w:rsidRDefault="009204D8" w:rsidP="00C20FBC">
            <w:pPr>
              <w:widowControl/>
              <w:spacing w:line="360" w:lineRule="auto"/>
              <w:jc w:val="center"/>
              <w:rPr>
                <w:rFonts w:ascii="Times New Roman" w:hAnsi="Times New Roman" w:cs="Times New Roman"/>
                <w:color w:val="000000" w:themeColor="text1"/>
                <w:kern w:val="24"/>
                <w:sz w:val="24"/>
                <w:szCs w:val="24"/>
                <w:lang w:val="de-DE"/>
              </w:rPr>
            </w:pPr>
            <w:r w:rsidRPr="002657D1">
              <w:rPr>
                <w:rFonts w:ascii="Times New Roman" w:hAnsi="Times New Roman" w:cs="Times New Roman" w:hint="eastAsia"/>
                <w:color w:val="000000" w:themeColor="text1"/>
                <w:kern w:val="24"/>
                <w:sz w:val="24"/>
                <w:szCs w:val="24"/>
                <w:lang w:val="de-DE"/>
              </w:rPr>
              <w:t>16</w:t>
            </w:r>
          </w:p>
        </w:tc>
        <w:tc>
          <w:tcPr>
            <w:tcW w:w="1842" w:type="dxa"/>
            <w:tcBorders>
              <w:top w:val="nil"/>
              <w:left w:val="nil"/>
              <w:bottom w:val="nil"/>
              <w:right w:val="nil"/>
            </w:tcBorders>
          </w:tcPr>
          <w:p w14:paraId="0817A4C9" w14:textId="21E17C3A" w:rsidR="00403882" w:rsidRPr="002657D1" w:rsidRDefault="009204D8" w:rsidP="00C20FBC">
            <w:pPr>
              <w:widowControl/>
              <w:spacing w:line="360" w:lineRule="auto"/>
              <w:jc w:val="center"/>
              <w:rPr>
                <w:rFonts w:ascii="Times New Roman" w:hAnsi="Times New Roman" w:cs="Times New Roman"/>
                <w:color w:val="000000" w:themeColor="text1"/>
                <w:kern w:val="24"/>
                <w:sz w:val="24"/>
                <w:szCs w:val="24"/>
                <w:lang w:val="de-DE"/>
              </w:rPr>
            </w:pPr>
            <w:r w:rsidRPr="002657D1">
              <w:rPr>
                <w:rFonts w:ascii="Times New Roman" w:hAnsi="Times New Roman" w:cs="Times New Roman" w:hint="eastAsia"/>
                <w:color w:val="000000" w:themeColor="text1"/>
                <w:kern w:val="24"/>
                <w:sz w:val="24"/>
                <w:szCs w:val="24"/>
                <w:lang w:val="de-DE"/>
              </w:rPr>
              <w:t>0.4</w:t>
            </w:r>
          </w:p>
        </w:tc>
        <w:tc>
          <w:tcPr>
            <w:tcW w:w="1701" w:type="dxa"/>
            <w:tcBorders>
              <w:top w:val="nil"/>
              <w:left w:val="nil"/>
              <w:bottom w:val="nil"/>
              <w:right w:val="nil"/>
            </w:tcBorders>
            <w:vAlign w:val="center"/>
          </w:tcPr>
          <w:p w14:paraId="0E196A65" w14:textId="614A8B13" w:rsidR="00403882" w:rsidRPr="002657D1" w:rsidRDefault="009204D8" w:rsidP="00C20FBC">
            <w:pPr>
              <w:widowControl/>
              <w:spacing w:line="360" w:lineRule="auto"/>
              <w:jc w:val="center"/>
              <w:rPr>
                <w:rFonts w:ascii="Times New Roman" w:hAnsi="Times New Roman" w:cs="Times New Roman"/>
                <w:color w:val="000000" w:themeColor="text1"/>
                <w:kern w:val="24"/>
                <w:sz w:val="24"/>
                <w:szCs w:val="24"/>
                <w:lang w:val="de-DE"/>
              </w:rPr>
            </w:pPr>
            <w:r w:rsidRPr="002657D1">
              <w:rPr>
                <w:rFonts w:ascii="Times New Roman" w:hAnsi="Times New Roman" w:cs="Times New Roman" w:hint="eastAsia"/>
                <w:color w:val="000000" w:themeColor="text1"/>
                <w:kern w:val="24"/>
                <w:sz w:val="24"/>
                <w:szCs w:val="24"/>
                <w:lang w:val="de-DE"/>
              </w:rPr>
              <w:t>25</w:t>
            </w:r>
          </w:p>
        </w:tc>
        <w:bookmarkStart w:id="109" w:name="OLE_LINK10"/>
        <w:tc>
          <w:tcPr>
            <w:tcW w:w="1276" w:type="dxa"/>
            <w:tcBorders>
              <w:top w:val="nil"/>
              <w:left w:val="nil"/>
              <w:bottom w:val="nil"/>
              <w:right w:val="nil"/>
            </w:tcBorders>
            <w:vAlign w:val="center"/>
          </w:tcPr>
          <w:p w14:paraId="00136116" w14:textId="5D66FBAF" w:rsidR="00403882" w:rsidRPr="002657D1" w:rsidRDefault="00DB008B" w:rsidP="004A570C">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lang w:val="de-DE"/>
              </w:rPr>
              <w:fldChar w:fldCharType="begin"/>
            </w:r>
            <w:r w:rsidRPr="002657D1">
              <w:rPr>
                <w:rFonts w:ascii="Times New Roman" w:hAnsi="Times New Roman" w:cs="Times New Roman"/>
                <w:color w:val="000000" w:themeColor="text1"/>
                <w:sz w:val="24"/>
                <w:szCs w:val="24"/>
                <w:lang w:val="de-DE"/>
              </w:rPr>
              <w:instrText xml:space="preserve"> ADDIN ZOTERO_ITEM CSL_CITATION {"citationID":"a1cuiml13pr","properties":{"formattedCitation":"\\super 68\\nosupersub{}","plainCitation":"68","noteIndex":0},"citationItems":[{"id":1537,"uris":["http://zotero.org/users/local/J1vikkcu/items/6S3LAJ4D"],"item</w:instrText>
            </w:r>
            <w:r w:rsidRPr="002657D1">
              <w:rPr>
                <w:rFonts w:ascii="Times New Roman" w:hAnsi="Times New Roman" w:cs="Times New Roman" w:hint="eastAsia"/>
                <w:color w:val="000000" w:themeColor="text1"/>
                <w:sz w:val="24"/>
                <w:szCs w:val="24"/>
                <w:lang w:val="de-DE"/>
              </w:rPr>
              <w:instrText>Data":{"id":1537,"type":"article-journal","abstract":"Abstract\n            \n              All</w:instrText>
            </w:r>
            <w:r w:rsidRPr="002657D1">
              <w:rPr>
                <w:rFonts w:ascii="Times New Roman" w:hAnsi="Times New Roman" w:cs="Times New Roman" w:hint="eastAsia"/>
                <w:color w:val="000000" w:themeColor="text1"/>
                <w:sz w:val="24"/>
                <w:szCs w:val="24"/>
                <w:lang w:val="de-DE"/>
              </w:rPr>
              <w:instrText>‐</w:instrText>
            </w:r>
            <w:r w:rsidRPr="002657D1">
              <w:rPr>
                <w:rFonts w:ascii="Times New Roman" w:hAnsi="Times New Roman" w:cs="Times New Roman" w:hint="eastAsia"/>
                <w:color w:val="000000" w:themeColor="text1"/>
                <w:sz w:val="24"/>
                <w:szCs w:val="24"/>
                <w:lang w:val="de-DE"/>
              </w:rPr>
              <w:instrText>solid</w:instrText>
            </w:r>
            <w:r w:rsidRPr="002657D1">
              <w:rPr>
                <w:rFonts w:ascii="Times New Roman" w:hAnsi="Times New Roman" w:cs="Times New Roman" w:hint="eastAsia"/>
                <w:color w:val="000000" w:themeColor="text1"/>
                <w:sz w:val="24"/>
                <w:szCs w:val="24"/>
                <w:lang w:val="de-DE"/>
              </w:rPr>
              <w:instrText>‐</w:instrText>
            </w:r>
            <w:r w:rsidRPr="002657D1">
              <w:rPr>
                <w:rFonts w:ascii="Times New Roman" w:hAnsi="Times New Roman" w:cs="Times New Roman" w:hint="eastAsia"/>
                <w:color w:val="000000" w:themeColor="text1"/>
                <w:sz w:val="24"/>
                <w:szCs w:val="24"/>
                <w:lang w:val="de-DE"/>
              </w:rPr>
              <w:instrText>state lithium</w:instrText>
            </w:r>
            <w:r w:rsidRPr="002657D1">
              <w:rPr>
                <w:rFonts w:ascii="Times New Roman" w:hAnsi="Times New Roman" w:cs="Times New Roman" w:hint="eastAsia"/>
                <w:color w:val="000000" w:themeColor="text1"/>
                <w:sz w:val="24"/>
                <w:szCs w:val="24"/>
                <w:lang w:val="de-DE"/>
              </w:rPr>
              <w:instrText>‐</w:instrText>
            </w:r>
            <w:r w:rsidRPr="002657D1">
              <w:rPr>
                <w:rFonts w:ascii="Times New Roman" w:hAnsi="Times New Roman" w:cs="Times New Roman" w:hint="eastAsia"/>
                <w:color w:val="000000" w:themeColor="text1"/>
                <w:sz w:val="24"/>
                <w:szCs w:val="24"/>
                <w:lang w:val="de-DE"/>
              </w:rPr>
              <w:instrText>metal batteries (ASSLMBs) are promising for transportation electrification due to their superior safety and high energy density. Lithium halide electrolytes provide excellent processing flexibility, high ionic conductivity, and anodic stability (&gt;4.1 V), making them highly compatible with high</w:instrText>
            </w:r>
            <w:r w:rsidRPr="002657D1">
              <w:rPr>
                <w:rFonts w:ascii="Times New Roman" w:hAnsi="Times New Roman" w:cs="Times New Roman" w:hint="eastAsia"/>
                <w:color w:val="000000" w:themeColor="text1"/>
                <w:sz w:val="24"/>
                <w:szCs w:val="24"/>
                <w:lang w:val="de-DE"/>
              </w:rPr>
              <w:instrText>‐</w:instrText>
            </w:r>
            <w:r w:rsidRPr="002657D1">
              <w:rPr>
                <w:rFonts w:ascii="Times New Roman" w:hAnsi="Times New Roman" w:cs="Times New Roman" w:hint="eastAsia"/>
                <w:color w:val="000000" w:themeColor="text1"/>
                <w:sz w:val="24"/>
                <w:szCs w:val="24"/>
                <w:lang w:val="de-DE"/>
              </w:rPr>
              <w:instrText>voltage cathodes, surpassing sulfide electrolytes (&lt;2.1 V). Nevertheless, halide electrolytes suffe</w:instrText>
            </w:r>
            <w:r w:rsidRPr="002657D1">
              <w:rPr>
                <w:rFonts w:ascii="Times New Roman" w:hAnsi="Times New Roman" w:cs="Times New Roman"/>
                <w:color w:val="000000" w:themeColor="text1"/>
                <w:sz w:val="24"/>
                <w:szCs w:val="24"/>
                <w:lang w:val="de-DE"/>
              </w:rPr>
              <w:instrText xml:space="preserve">r from low cathodic stability and form an electronically conductive interphase with lithium, resulting in a critical current density (CCD) of nearly zero. Herein, Li\n              3\n              YbCl\n              6\n              electrolytes are synthesized that are kinetically stable with lithium by forming an electronic insulating solid electrolyte interphase. Guided by critical overpotential criteria, a PI\n              3\n              interlayer is designed that transforms into Li\n              6\n              PI\n              3\n              upon contact with lithium, substantially reducing the interfacial resistance of Li\n              3\n              YbCl\n              6\n              against lithium to 34 Ω and achieving a high critical overpotential of 114 mV. </w:instrText>
            </w:r>
            <w:r w:rsidRPr="002657D1">
              <w:rPr>
                <w:rFonts w:ascii="Times New Roman" w:hAnsi="Times New Roman" w:cs="Times New Roman"/>
                <w:color w:val="000000" w:themeColor="text1"/>
                <w:sz w:val="24"/>
                <w:szCs w:val="24"/>
              </w:rPr>
              <w:instrText>By substituting Yb with Lu, Li\n              3\n              LuCl\n              6\n              electrolytes with Li\n              6\n              PI\n              3\n              interlayers reach a CCD of 1.0 mA cm\n              −2\n              at a capacity of 1.0 mAh cm\n              −2\n              , comparable to sulfide electrolytes but with higher oxidation stability. Additionally, Li\n              6\n              PI\n              3\n              enables stable cycling of Li//Li cells with Li\n              3\n              LuCl\n              6\n              electrolytes at 0.5 mA cm\n              −2\n              for 400 cycles and maintains 86.5% capacity in Li//LiCoO\n              2\n              cells after 220 cycles at 30 </w:instrText>
            </w:r>
            <w:r w:rsidRPr="002657D1">
              <w:rPr>
                <w:rFonts w:ascii="Times New Roman" w:hAnsi="Times New Roman" w:cs="Times New Roman" w:hint="eastAsia"/>
                <w:color w:val="000000" w:themeColor="text1"/>
                <w:sz w:val="24"/>
                <w:szCs w:val="24"/>
              </w:rPr>
              <w:instrText>°</w:instrText>
            </w:r>
            <w:r w:rsidRPr="002657D1">
              <w:rPr>
                <w:rFonts w:ascii="Times New Roman" w:hAnsi="Times New Roman" w:cs="Times New Roman"/>
                <w:color w:val="000000" w:themeColor="text1"/>
                <w:sz w:val="24"/>
                <w:szCs w:val="24"/>
              </w:rPr>
              <w:instrText>C, paving the way for high</w:instrText>
            </w:r>
            <w:r w:rsidRPr="002657D1">
              <w:rPr>
                <w:rFonts w:ascii="Times New Roman" w:hAnsi="Times New Roman" w:cs="Times New Roman" w:hint="eastAsia"/>
                <w:color w:val="000000" w:themeColor="text1"/>
                <w:sz w:val="24"/>
                <w:szCs w:val="24"/>
              </w:rPr>
              <w:instrText>‐</w:instrText>
            </w:r>
            <w:r w:rsidRPr="002657D1">
              <w:rPr>
                <w:rFonts w:ascii="Times New Roman" w:hAnsi="Times New Roman" w:cs="Times New Roman"/>
                <w:color w:val="000000" w:themeColor="text1"/>
                <w:sz w:val="24"/>
                <w:szCs w:val="24"/>
              </w:rPr>
              <w:instrText>performance ASSLMBs.","container-title":"Advanced Materials","DOI":"10.1002/adma.202501838","ISSN":"0935-9648, 1521-4095","issue":"30","journalAbbreviation":"Advanced Materials","language":"en","page":"2501838","source":"DOI.org (Crossref)","title":"Interlayer Design for Halide Electrolytes in All</w:instrText>
            </w:r>
            <w:r w:rsidRPr="002657D1">
              <w:rPr>
                <w:rFonts w:ascii="Times New Roman" w:hAnsi="Times New Roman" w:cs="Times New Roman" w:hint="eastAsia"/>
                <w:color w:val="000000" w:themeColor="text1"/>
                <w:sz w:val="24"/>
                <w:szCs w:val="24"/>
              </w:rPr>
              <w:instrText>‐</w:instrText>
            </w:r>
            <w:r w:rsidRPr="002657D1">
              <w:rPr>
                <w:rFonts w:ascii="Times New Roman" w:hAnsi="Times New Roman" w:cs="Times New Roman"/>
                <w:color w:val="000000" w:themeColor="text1"/>
                <w:sz w:val="24"/>
                <w:szCs w:val="24"/>
              </w:rPr>
              <w:instrText>Solid</w:instrText>
            </w:r>
            <w:r w:rsidRPr="002657D1">
              <w:rPr>
                <w:rFonts w:ascii="Times New Roman" w:hAnsi="Times New Roman" w:cs="Times New Roman" w:hint="eastAsia"/>
                <w:color w:val="000000" w:themeColor="text1"/>
                <w:sz w:val="24"/>
                <w:szCs w:val="24"/>
              </w:rPr>
              <w:instrText>‐</w:instrText>
            </w:r>
            <w:r w:rsidRPr="002657D1">
              <w:rPr>
                <w:rFonts w:ascii="Times New Roman" w:hAnsi="Times New Roman" w:cs="Times New Roman"/>
                <w:color w:val="000000" w:themeColor="text1"/>
                <w:sz w:val="24"/>
                <w:szCs w:val="24"/>
              </w:rPr>
              <w:instrText xml:space="preserve">State Lithium Metal Batteries","volume":"37","author":[{"family":"Wang","given":"Zeyi"},{"family":"Wang","given":"Tengrui"},{"family":"Zhang","given":"Nan"},{"family":"Zhang","given":"Weiran"},{"family":"Liu","given":"Yijie"},{"family":"Wang","given":"Chunsheng"}],"issued":{"date-parts":[["2025",7]]}}}],"schema":"https://github.com/citation-style-language/schema/raw/master/csl-citation.json"} </w:instrText>
            </w:r>
            <w:r w:rsidRPr="002657D1">
              <w:rPr>
                <w:rFonts w:ascii="Times New Roman" w:hAnsi="Times New Roman" w:cs="Times New Roman"/>
                <w:color w:val="000000" w:themeColor="text1"/>
                <w:sz w:val="24"/>
                <w:szCs w:val="24"/>
                <w:lang w:val="de-DE"/>
              </w:rPr>
              <w:fldChar w:fldCharType="separate"/>
            </w:r>
            <w:r w:rsidRPr="002657D1">
              <w:rPr>
                <w:rFonts w:ascii="Times New Roman" w:hAnsi="Times New Roman" w:cs="Times New Roman"/>
                <w:color w:val="000000" w:themeColor="text1"/>
                <w:kern w:val="0"/>
                <w:sz w:val="24"/>
                <w:szCs w:val="24"/>
                <w:vertAlign w:val="superscript"/>
              </w:rPr>
              <w:t>68</w:t>
            </w:r>
            <w:r w:rsidRPr="002657D1">
              <w:rPr>
                <w:rFonts w:ascii="Times New Roman" w:hAnsi="Times New Roman" w:cs="Times New Roman"/>
                <w:color w:val="000000" w:themeColor="text1"/>
                <w:sz w:val="24"/>
                <w:szCs w:val="24"/>
                <w:lang w:val="de-DE"/>
              </w:rPr>
              <w:fldChar w:fldCharType="end"/>
            </w:r>
            <w:bookmarkEnd w:id="109"/>
          </w:p>
        </w:tc>
      </w:tr>
      <w:tr w:rsidR="002657D1" w:rsidRPr="002657D1" w14:paraId="79225300" w14:textId="77777777" w:rsidTr="009C3A29">
        <w:trPr>
          <w:jc w:val="center"/>
        </w:trPr>
        <w:tc>
          <w:tcPr>
            <w:tcW w:w="2943" w:type="dxa"/>
            <w:tcBorders>
              <w:top w:val="nil"/>
              <w:left w:val="nil"/>
              <w:bottom w:val="nil"/>
              <w:right w:val="nil"/>
            </w:tcBorders>
            <w:vAlign w:val="center"/>
          </w:tcPr>
          <w:p w14:paraId="53213035" w14:textId="305EEB5B" w:rsidR="00403882" w:rsidRPr="002657D1" w:rsidRDefault="00DB008B" w:rsidP="00C20FBC">
            <w:pPr>
              <w:pStyle w:val="ac"/>
              <w:spacing w:before="0" w:beforeAutospacing="0" w:after="0" w:afterAutospacing="0" w:line="360" w:lineRule="auto"/>
              <w:jc w:val="center"/>
              <w:rPr>
                <w:rFonts w:ascii="Times New Roman" w:eastAsiaTheme="minorEastAsia" w:hAnsi="Times New Roman" w:cs="Times New Roman"/>
                <w:color w:val="000000" w:themeColor="text1"/>
                <w:kern w:val="24"/>
              </w:rPr>
            </w:pPr>
            <w:r w:rsidRPr="002657D1">
              <w:rPr>
                <w:rFonts w:ascii="Times New Roman" w:eastAsiaTheme="minorEastAsia" w:hAnsi="Times New Roman" w:cs="Times New Roman" w:hint="eastAsia"/>
                <w:color w:val="000000" w:themeColor="text1"/>
                <w:kern w:val="24"/>
              </w:rPr>
              <w:t>Li/Li</w:t>
            </w:r>
            <w:r w:rsidRPr="002657D1">
              <w:rPr>
                <w:rFonts w:ascii="Times New Roman" w:eastAsiaTheme="minorEastAsia" w:hAnsi="Times New Roman" w:cs="Times New Roman"/>
                <w:color w:val="000000" w:themeColor="text1"/>
                <w:kern w:val="24"/>
                <w:vertAlign w:val="subscript"/>
              </w:rPr>
              <w:t>3</w:t>
            </w:r>
            <w:r w:rsidRPr="002657D1">
              <w:rPr>
                <w:rFonts w:ascii="Times New Roman" w:eastAsiaTheme="minorEastAsia" w:hAnsi="Times New Roman" w:cs="Times New Roman" w:hint="eastAsia"/>
                <w:color w:val="000000" w:themeColor="text1"/>
                <w:kern w:val="24"/>
              </w:rPr>
              <w:t>YbCl</w:t>
            </w:r>
            <w:r w:rsidRPr="002657D1">
              <w:rPr>
                <w:rFonts w:ascii="Times New Roman" w:eastAsiaTheme="minorEastAsia" w:hAnsi="Times New Roman" w:cs="Times New Roman"/>
                <w:color w:val="000000" w:themeColor="text1"/>
                <w:kern w:val="24"/>
                <w:vertAlign w:val="subscript"/>
              </w:rPr>
              <w:t>6</w:t>
            </w:r>
            <w:r w:rsidRPr="002657D1">
              <w:rPr>
                <w:rFonts w:ascii="Times New Roman" w:eastAsiaTheme="minorEastAsia" w:hAnsi="Times New Roman" w:cs="Times New Roman" w:hint="eastAsia"/>
                <w:color w:val="000000" w:themeColor="text1"/>
                <w:kern w:val="24"/>
              </w:rPr>
              <w:t>@PI</w:t>
            </w:r>
            <w:r w:rsidRPr="002657D1">
              <w:rPr>
                <w:rFonts w:ascii="Times New Roman" w:eastAsiaTheme="minorEastAsia" w:hAnsi="Times New Roman" w:cs="Times New Roman"/>
                <w:color w:val="000000" w:themeColor="text1"/>
                <w:kern w:val="24"/>
                <w:vertAlign w:val="subscript"/>
              </w:rPr>
              <w:t>3</w:t>
            </w:r>
            <w:r w:rsidRPr="002657D1">
              <w:rPr>
                <w:rFonts w:ascii="Times New Roman" w:eastAsiaTheme="minorEastAsia" w:hAnsi="Times New Roman" w:cs="Times New Roman" w:hint="eastAsia"/>
                <w:color w:val="000000" w:themeColor="text1"/>
                <w:kern w:val="24"/>
              </w:rPr>
              <w:t>/Li</w:t>
            </w:r>
          </w:p>
        </w:tc>
        <w:tc>
          <w:tcPr>
            <w:tcW w:w="1310" w:type="dxa"/>
            <w:tcBorders>
              <w:top w:val="nil"/>
              <w:left w:val="nil"/>
              <w:bottom w:val="nil"/>
              <w:right w:val="nil"/>
            </w:tcBorders>
            <w:vAlign w:val="center"/>
          </w:tcPr>
          <w:p w14:paraId="3B435625" w14:textId="0D859472" w:rsidR="00403882" w:rsidRPr="002657D1" w:rsidRDefault="00DB008B"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0.2</w:t>
            </w:r>
          </w:p>
        </w:tc>
        <w:tc>
          <w:tcPr>
            <w:tcW w:w="1701" w:type="dxa"/>
            <w:tcBorders>
              <w:top w:val="nil"/>
              <w:left w:val="nil"/>
              <w:bottom w:val="nil"/>
              <w:right w:val="nil"/>
            </w:tcBorders>
            <w:vAlign w:val="center"/>
          </w:tcPr>
          <w:p w14:paraId="214C8AB5" w14:textId="3E8D1C50" w:rsidR="00403882" w:rsidRPr="002657D1" w:rsidRDefault="00DB008B"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0.2</w:t>
            </w:r>
          </w:p>
        </w:tc>
        <w:tc>
          <w:tcPr>
            <w:tcW w:w="1276" w:type="dxa"/>
            <w:tcBorders>
              <w:top w:val="nil"/>
              <w:left w:val="nil"/>
              <w:bottom w:val="nil"/>
              <w:right w:val="nil"/>
            </w:tcBorders>
            <w:vAlign w:val="center"/>
          </w:tcPr>
          <w:p w14:paraId="1071FD40" w14:textId="7EAC9278" w:rsidR="00403882" w:rsidRPr="002657D1" w:rsidRDefault="00DB008B"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100</w:t>
            </w:r>
          </w:p>
        </w:tc>
        <w:tc>
          <w:tcPr>
            <w:tcW w:w="1842" w:type="dxa"/>
            <w:tcBorders>
              <w:top w:val="nil"/>
              <w:left w:val="nil"/>
              <w:bottom w:val="nil"/>
              <w:right w:val="nil"/>
            </w:tcBorders>
          </w:tcPr>
          <w:p w14:paraId="000D3C46" w14:textId="33050910" w:rsidR="00403882" w:rsidRPr="002657D1" w:rsidRDefault="00DB008B"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20</w:t>
            </w:r>
          </w:p>
        </w:tc>
        <w:tc>
          <w:tcPr>
            <w:tcW w:w="1701" w:type="dxa"/>
            <w:tcBorders>
              <w:top w:val="nil"/>
              <w:left w:val="nil"/>
              <w:bottom w:val="nil"/>
              <w:right w:val="nil"/>
            </w:tcBorders>
            <w:vAlign w:val="center"/>
          </w:tcPr>
          <w:p w14:paraId="16CDE980" w14:textId="27A5B38E" w:rsidR="00403882" w:rsidRPr="002657D1" w:rsidRDefault="00DB008B"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25</w:t>
            </w:r>
          </w:p>
        </w:tc>
        <w:bookmarkStart w:id="110" w:name="OLE_LINK11"/>
        <w:tc>
          <w:tcPr>
            <w:tcW w:w="1276" w:type="dxa"/>
            <w:tcBorders>
              <w:top w:val="nil"/>
              <w:left w:val="nil"/>
              <w:bottom w:val="nil"/>
              <w:right w:val="nil"/>
            </w:tcBorders>
            <w:vAlign w:val="center"/>
          </w:tcPr>
          <w:p w14:paraId="7483A372" w14:textId="4553EE24" w:rsidR="00403882" w:rsidRPr="002657D1" w:rsidRDefault="00DB008B" w:rsidP="004A570C">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lang w:val="de-DE"/>
              </w:rPr>
              <w:fldChar w:fldCharType="begin"/>
            </w:r>
            <w:r w:rsidR="00F364F4" w:rsidRPr="002657D1">
              <w:rPr>
                <w:rFonts w:ascii="Times New Roman" w:hAnsi="Times New Roman" w:cs="Times New Roman"/>
                <w:color w:val="000000" w:themeColor="text1"/>
                <w:sz w:val="24"/>
                <w:szCs w:val="24"/>
                <w:lang w:val="de-DE"/>
              </w:rPr>
              <w:instrText xml:space="preserve"> ADDIN ZOTERO_ITEM CSL_CITATION {"citationID":"C7Ge2IoD","properties":{"formattedCitation":"\\super 68\\nosupersub{}","plainCitation":"68","noteIndex":0},"citationItems":[{"id":1537,"uris":["http://zotero.org/users/local/J1vikkcu/items/6S3LAJ4D"],"itemDat</w:instrText>
            </w:r>
            <w:r w:rsidR="00F364F4" w:rsidRPr="002657D1">
              <w:rPr>
                <w:rFonts w:ascii="Times New Roman" w:hAnsi="Times New Roman" w:cs="Times New Roman" w:hint="eastAsia"/>
                <w:color w:val="000000" w:themeColor="text1"/>
                <w:sz w:val="24"/>
                <w:szCs w:val="24"/>
                <w:lang w:val="de-DE"/>
              </w:rPr>
              <w:instrText>a":{"id":1537,"type":"article-journal","abstract":"Abstract\n            \n              All</w:instrText>
            </w:r>
            <w:r w:rsidR="00F364F4" w:rsidRPr="002657D1">
              <w:rPr>
                <w:rFonts w:ascii="Times New Roman" w:hAnsi="Times New Roman" w:cs="Times New Roman" w:hint="eastAsia"/>
                <w:color w:val="000000" w:themeColor="text1"/>
                <w:sz w:val="24"/>
                <w:szCs w:val="24"/>
                <w:lang w:val="de-DE"/>
              </w:rPr>
              <w:instrText>‐</w:instrText>
            </w:r>
            <w:r w:rsidR="00F364F4" w:rsidRPr="002657D1">
              <w:rPr>
                <w:rFonts w:ascii="Times New Roman" w:hAnsi="Times New Roman" w:cs="Times New Roman" w:hint="eastAsia"/>
                <w:color w:val="000000" w:themeColor="text1"/>
                <w:sz w:val="24"/>
                <w:szCs w:val="24"/>
                <w:lang w:val="de-DE"/>
              </w:rPr>
              <w:instrText>solid</w:instrText>
            </w:r>
            <w:r w:rsidR="00F364F4" w:rsidRPr="002657D1">
              <w:rPr>
                <w:rFonts w:ascii="Times New Roman" w:hAnsi="Times New Roman" w:cs="Times New Roman" w:hint="eastAsia"/>
                <w:color w:val="000000" w:themeColor="text1"/>
                <w:sz w:val="24"/>
                <w:szCs w:val="24"/>
                <w:lang w:val="de-DE"/>
              </w:rPr>
              <w:instrText>‐</w:instrText>
            </w:r>
            <w:r w:rsidR="00F364F4" w:rsidRPr="002657D1">
              <w:rPr>
                <w:rFonts w:ascii="Times New Roman" w:hAnsi="Times New Roman" w:cs="Times New Roman" w:hint="eastAsia"/>
                <w:color w:val="000000" w:themeColor="text1"/>
                <w:sz w:val="24"/>
                <w:szCs w:val="24"/>
                <w:lang w:val="de-DE"/>
              </w:rPr>
              <w:instrText>state lithium</w:instrText>
            </w:r>
            <w:r w:rsidR="00F364F4" w:rsidRPr="002657D1">
              <w:rPr>
                <w:rFonts w:ascii="Times New Roman" w:hAnsi="Times New Roman" w:cs="Times New Roman" w:hint="eastAsia"/>
                <w:color w:val="000000" w:themeColor="text1"/>
                <w:sz w:val="24"/>
                <w:szCs w:val="24"/>
                <w:lang w:val="de-DE"/>
              </w:rPr>
              <w:instrText>‐</w:instrText>
            </w:r>
            <w:r w:rsidR="00F364F4" w:rsidRPr="002657D1">
              <w:rPr>
                <w:rFonts w:ascii="Times New Roman" w:hAnsi="Times New Roman" w:cs="Times New Roman" w:hint="eastAsia"/>
                <w:color w:val="000000" w:themeColor="text1"/>
                <w:sz w:val="24"/>
                <w:szCs w:val="24"/>
                <w:lang w:val="de-DE"/>
              </w:rPr>
              <w:instrText>metal batteries (ASSLMBs) are promising for transportation electrification due to their superior safety and high energy density. Lithium halide electrolytes provide excellent processing flexibility, high ionic conductivity, and anodic stability (&gt;4.1 V), making them highly compatible with high</w:instrText>
            </w:r>
            <w:r w:rsidR="00F364F4" w:rsidRPr="002657D1">
              <w:rPr>
                <w:rFonts w:ascii="Times New Roman" w:hAnsi="Times New Roman" w:cs="Times New Roman" w:hint="eastAsia"/>
                <w:color w:val="000000" w:themeColor="text1"/>
                <w:sz w:val="24"/>
                <w:szCs w:val="24"/>
                <w:lang w:val="de-DE"/>
              </w:rPr>
              <w:instrText>‐</w:instrText>
            </w:r>
            <w:r w:rsidR="00F364F4" w:rsidRPr="002657D1">
              <w:rPr>
                <w:rFonts w:ascii="Times New Roman" w:hAnsi="Times New Roman" w:cs="Times New Roman" w:hint="eastAsia"/>
                <w:color w:val="000000" w:themeColor="text1"/>
                <w:sz w:val="24"/>
                <w:szCs w:val="24"/>
                <w:lang w:val="de-DE"/>
              </w:rPr>
              <w:instrText>voltage cathodes, surpassing sulfide electrolytes (&lt;2.1 V). Nevertheless, halide electrolytes suffer f</w:instrText>
            </w:r>
            <w:r w:rsidR="00F364F4" w:rsidRPr="002657D1">
              <w:rPr>
                <w:rFonts w:ascii="Times New Roman" w:hAnsi="Times New Roman" w:cs="Times New Roman"/>
                <w:color w:val="000000" w:themeColor="text1"/>
                <w:sz w:val="24"/>
                <w:szCs w:val="24"/>
                <w:lang w:val="de-DE"/>
              </w:rPr>
              <w:instrText xml:space="preserve">rom low cathodic stability and form an electronically conductive interphase with lithium, resulting in a critical current density (CCD) of nearly zero. Herein, Li\n              3\n              YbCl\n              6\n              electrolytes are synthesized that are kinetically stable with lithium by forming an electronic insulating solid electrolyte interphase. Guided by critical overpotential criteria, a PI\n              3\n              interlayer is designed that transforms into Li\n              6\n              PI\n              3\n              upon contact with lithium, substantially reducing the interfacial resistance of Li\n              3\n              YbCl\n              6\n              against lithium to 34 Ω and achieving a high critical overpotential of 114 mV. By substituting Yb with Lu, Li\n              3\n              LuCl\n              6\n              electrolytes with Li\n              6\n              PI\n              3\n              interlayers reach a CCD of 1.0 mA cm\n              −2\n              at a capacity of 1.0 mAh cm\n              −2\n              , comparable to sulfide electrolytes but with higher oxidation stability. Additionally, Li\n              6\n              PI\n              3\n              enables stable cycling of Li//Li cells with Li\n              3\n              LuCl\n              6\n              electrolytes at 0.5 mA cm\n              −2\n              for 400 cycles and maintains 86.5% capacity in Li//LiCoO\n              2\n          </w:instrText>
            </w:r>
            <w:r w:rsidR="00F364F4" w:rsidRPr="002657D1">
              <w:rPr>
                <w:rFonts w:ascii="Times New Roman" w:hAnsi="Times New Roman" w:cs="Times New Roman" w:hint="eastAsia"/>
                <w:color w:val="000000" w:themeColor="text1"/>
                <w:sz w:val="24"/>
                <w:szCs w:val="24"/>
                <w:lang w:val="de-DE"/>
              </w:rPr>
              <w:instrText xml:space="preserve">    cells after 220 cycles at 30 </w:instrText>
            </w:r>
            <w:r w:rsidR="00F364F4" w:rsidRPr="002657D1">
              <w:rPr>
                <w:rFonts w:ascii="Times New Roman" w:hAnsi="Times New Roman" w:cs="Times New Roman" w:hint="eastAsia"/>
                <w:color w:val="000000" w:themeColor="text1"/>
                <w:sz w:val="24"/>
                <w:szCs w:val="24"/>
                <w:lang w:val="de-DE"/>
              </w:rPr>
              <w:instrText>°</w:instrText>
            </w:r>
            <w:r w:rsidR="00F364F4" w:rsidRPr="002657D1">
              <w:rPr>
                <w:rFonts w:ascii="Times New Roman" w:hAnsi="Times New Roman" w:cs="Times New Roman" w:hint="eastAsia"/>
                <w:color w:val="000000" w:themeColor="text1"/>
                <w:sz w:val="24"/>
                <w:szCs w:val="24"/>
                <w:lang w:val="de-DE"/>
              </w:rPr>
              <w:instrText>C, paving the way for high</w:instrText>
            </w:r>
            <w:r w:rsidR="00F364F4" w:rsidRPr="002657D1">
              <w:rPr>
                <w:rFonts w:ascii="Times New Roman" w:hAnsi="Times New Roman" w:cs="Times New Roman" w:hint="eastAsia"/>
                <w:color w:val="000000" w:themeColor="text1"/>
                <w:sz w:val="24"/>
                <w:szCs w:val="24"/>
                <w:lang w:val="de-DE"/>
              </w:rPr>
              <w:instrText>‐</w:instrText>
            </w:r>
            <w:r w:rsidR="00F364F4" w:rsidRPr="002657D1">
              <w:rPr>
                <w:rFonts w:ascii="Times New Roman" w:hAnsi="Times New Roman" w:cs="Times New Roman" w:hint="eastAsia"/>
                <w:color w:val="000000" w:themeColor="text1"/>
                <w:sz w:val="24"/>
                <w:szCs w:val="24"/>
                <w:lang w:val="de-DE"/>
              </w:rPr>
              <w:instrText>performance ASSLMBs.","container-title":"Advanced Materials","DOI":"10.1002/adma.202501838","ISSN":"0935-9648, 1521-4095","issue":"30","journalAbbreviation":"Advanced Materials","language":"en","page":"2501838","source":"DOI.org (Crossref)","title":"Interlayer Design for Halide Electrolytes in All</w:instrText>
            </w:r>
            <w:r w:rsidR="00F364F4" w:rsidRPr="002657D1">
              <w:rPr>
                <w:rFonts w:ascii="Times New Roman" w:hAnsi="Times New Roman" w:cs="Times New Roman" w:hint="eastAsia"/>
                <w:color w:val="000000" w:themeColor="text1"/>
                <w:sz w:val="24"/>
                <w:szCs w:val="24"/>
                <w:lang w:val="de-DE"/>
              </w:rPr>
              <w:instrText>‐</w:instrText>
            </w:r>
            <w:r w:rsidR="00F364F4" w:rsidRPr="002657D1">
              <w:rPr>
                <w:rFonts w:ascii="Times New Roman" w:hAnsi="Times New Roman" w:cs="Times New Roman" w:hint="eastAsia"/>
                <w:color w:val="000000" w:themeColor="text1"/>
                <w:sz w:val="24"/>
                <w:szCs w:val="24"/>
                <w:lang w:val="de-DE"/>
              </w:rPr>
              <w:instrText>Solid</w:instrText>
            </w:r>
            <w:r w:rsidR="00F364F4" w:rsidRPr="002657D1">
              <w:rPr>
                <w:rFonts w:ascii="Times New Roman" w:hAnsi="Times New Roman" w:cs="Times New Roman" w:hint="eastAsia"/>
                <w:color w:val="000000" w:themeColor="text1"/>
                <w:sz w:val="24"/>
                <w:szCs w:val="24"/>
                <w:lang w:val="de-DE"/>
              </w:rPr>
              <w:instrText>‐</w:instrText>
            </w:r>
            <w:r w:rsidR="00F364F4" w:rsidRPr="002657D1">
              <w:rPr>
                <w:rFonts w:ascii="Times New Roman" w:hAnsi="Times New Roman" w:cs="Times New Roman" w:hint="eastAsia"/>
                <w:color w:val="000000" w:themeColor="text1"/>
                <w:sz w:val="24"/>
                <w:szCs w:val="24"/>
                <w:lang w:val="de-DE"/>
              </w:rPr>
              <w:instrText>State Lithium Metal Batteries","volume":"37","author":[{"family":"Wang","given":"Zeyi"},{"family":"Wang","given":"Tengrui"},{"family":"Zhang","g</w:instrText>
            </w:r>
            <w:r w:rsidR="00F364F4" w:rsidRPr="002657D1">
              <w:rPr>
                <w:rFonts w:ascii="Times New Roman" w:hAnsi="Times New Roman" w:cs="Times New Roman"/>
                <w:color w:val="000000" w:themeColor="text1"/>
                <w:sz w:val="24"/>
                <w:szCs w:val="24"/>
                <w:lang w:val="de-DE"/>
              </w:rPr>
              <w:instrText xml:space="preserve">iven":"Nan"},{"family":"Zhang","given":"Weiran"},{"family":"Liu","given":"Yijie"},{"family":"Wang","given":"Chunsheng"}],"issued":{"date-parts":[["2025",7]]}}}],"schema":"https://github.com/citation-style-language/schema/raw/master/csl-citation.json"} </w:instrText>
            </w:r>
            <w:r w:rsidRPr="002657D1">
              <w:rPr>
                <w:rFonts w:ascii="Times New Roman" w:hAnsi="Times New Roman" w:cs="Times New Roman"/>
                <w:color w:val="000000" w:themeColor="text1"/>
                <w:sz w:val="24"/>
                <w:szCs w:val="24"/>
                <w:lang w:val="de-DE"/>
              </w:rPr>
              <w:fldChar w:fldCharType="separate"/>
            </w:r>
            <w:r w:rsidRPr="002657D1">
              <w:rPr>
                <w:rFonts w:ascii="Times New Roman" w:hAnsi="Times New Roman" w:cs="Times New Roman"/>
                <w:color w:val="000000" w:themeColor="text1"/>
                <w:kern w:val="0"/>
                <w:sz w:val="24"/>
                <w:szCs w:val="24"/>
                <w:vertAlign w:val="superscript"/>
              </w:rPr>
              <w:t>68</w:t>
            </w:r>
            <w:r w:rsidRPr="002657D1">
              <w:rPr>
                <w:rFonts w:ascii="Times New Roman" w:hAnsi="Times New Roman" w:cs="Times New Roman"/>
                <w:color w:val="000000" w:themeColor="text1"/>
                <w:sz w:val="24"/>
                <w:szCs w:val="24"/>
                <w:lang w:val="de-DE"/>
              </w:rPr>
              <w:fldChar w:fldCharType="end"/>
            </w:r>
            <w:bookmarkEnd w:id="110"/>
          </w:p>
        </w:tc>
      </w:tr>
      <w:tr w:rsidR="002657D1" w:rsidRPr="002657D1" w14:paraId="73D9802F" w14:textId="77777777" w:rsidTr="009C3A29">
        <w:trPr>
          <w:jc w:val="center"/>
        </w:trPr>
        <w:tc>
          <w:tcPr>
            <w:tcW w:w="2943" w:type="dxa"/>
            <w:tcBorders>
              <w:top w:val="nil"/>
              <w:left w:val="nil"/>
              <w:bottom w:val="nil"/>
              <w:right w:val="nil"/>
            </w:tcBorders>
            <w:vAlign w:val="center"/>
          </w:tcPr>
          <w:p w14:paraId="24D835D5" w14:textId="234EB958" w:rsidR="00403882" w:rsidRPr="002657D1" w:rsidRDefault="00DB008B" w:rsidP="00C20FBC">
            <w:pPr>
              <w:pStyle w:val="ac"/>
              <w:spacing w:before="0" w:beforeAutospacing="0" w:after="0" w:afterAutospacing="0" w:line="360" w:lineRule="auto"/>
              <w:jc w:val="center"/>
              <w:rPr>
                <w:rFonts w:ascii="Times New Roman" w:eastAsiaTheme="minorEastAsia" w:hAnsi="Times New Roman" w:cs="Times New Roman"/>
                <w:color w:val="000000" w:themeColor="text1"/>
                <w:kern w:val="24"/>
              </w:rPr>
            </w:pPr>
            <w:r w:rsidRPr="002657D1">
              <w:rPr>
                <w:rFonts w:ascii="Times New Roman" w:eastAsiaTheme="minorEastAsia" w:hAnsi="Times New Roman" w:cs="Times New Roman" w:hint="eastAsia"/>
                <w:color w:val="000000" w:themeColor="text1"/>
                <w:kern w:val="24"/>
              </w:rPr>
              <w:t>Li/Li</w:t>
            </w:r>
            <w:r w:rsidRPr="002657D1">
              <w:rPr>
                <w:rFonts w:ascii="Times New Roman" w:eastAsiaTheme="minorEastAsia" w:hAnsi="Times New Roman" w:cs="Times New Roman"/>
                <w:color w:val="000000" w:themeColor="text1"/>
                <w:kern w:val="24"/>
                <w:vertAlign w:val="subscript"/>
              </w:rPr>
              <w:t>3</w:t>
            </w:r>
            <w:r w:rsidRPr="002657D1">
              <w:rPr>
                <w:rFonts w:ascii="Times New Roman" w:eastAsiaTheme="minorEastAsia" w:hAnsi="Times New Roman" w:cs="Times New Roman" w:hint="eastAsia"/>
                <w:color w:val="000000" w:themeColor="text1"/>
                <w:kern w:val="24"/>
              </w:rPr>
              <w:t>LuCl</w:t>
            </w:r>
            <w:r w:rsidRPr="002657D1">
              <w:rPr>
                <w:rFonts w:ascii="Times New Roman" w:eastAsiaTheme="minorEastAsia" w:hAnsi="Times New Roman" w:cs="Times New Roman"/>
                <w:color w:val="000000" w:themeColor="text1"/>
                <w:kern w:val="24"/>
                <w:vertAlign w:val="subscript"/>
              </w:rPr>
              <w:t>6</w:t>
            </w:r>
            <w:r w:rsidRPr="002657D1">
              <w:rPr>
                <w:rFonts w:ascii="Times New Roman" w:eastAsiaTheme="minorEastAsia" w:hAnsi="Times New Roman" w:cs="Times New Roman" w:hint="eastAsia"/>
                <w:color w:val="000000" w:themeColor="text1"/>
                <w:kern w:val="24"/>
              </w:rPr>
              <w:t>@PI</w:t>
            </w:r>
            <w:r w:rsidRPr="002657D1">
              <w:rPr>
                <w:rFonts w:ascii="Times New Roman" w:eastAsiaTheme="minorEastAsia" w:hAnsi="Times New Roman" w:cs="Times New Roman"/>
                <w:color w:val="000000" w:themeColor="text1"/>
                <w:kern w:val="24"/>
                <w:vertAlign w:val="subscript"/>
              </w:rPr>
              <w:t>3</w:t>
            </w:r>
            <w:r w:rsidRPr="002657D1">
              <w:rPr>
                <w:rFonts w:ascii="Times New Roman" w:eastAsiaTheme="minorEastAsia" w:hAnsi="Times New Roman" w:cs="Times New Roman" w:hint="eastAsia"/>
                <w:color w:val="000000" w:themeColor="text1"/>
                <w:kern w:val="24"/>
              </w:rPr>
              <w:t>/Li</w:t>
            </w:r>
          </w:p>
        </w:tc>
        <w:tc>
          <w:tcPr>
            <w:tcW w:w="1310" w:type="dxa"/>
            <w:tcBorders>
              <w:top w:val="nil"/>
              <w:left w:val="nil"/>
              <w:bottom w:val="nil"/>
              <w:right w:val="nil"/>
            </w:tcBorders>
            <w:vAlign w:val="center"/>
          </w:tcPr>
          <w:p w14:paraId="15960493" w14:textId="1327ECBA" w:rsidR="00403882" w:rsidRPr="002657D1" w:rsidRDefault="00DB008B"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0.5</w:t>
            </w:r>
          </w:p>
        </w:tc>
        <w:tc>
          <w:tcPr>
            <w:tcW w:w="1701" w:type="dxa"/>
            <w:tcBorders>
              <w:top w:val="nil"/>
              <w:left w:val="nil"/>
              <w:bottom w:val="nil"/>
              <w:right w:val="nil"/>
            </w:tcBorders>
            <w:vAlign w:val="center"/>
          </w:tcPr>
          <w:p w14:paraId="373A26DD" w14:textId="57B54E6B" w:rsidR="00403882" w:rsidRPr="002657D1" w:rsidRDefault="00DB008B"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0.25</w:t>
            </w:r>
          </w:p>
        </w:tc>
        <w:tc>
          <w:tcPr>
            <w:tcW w:w="1276" w:type="dxa"/>
            <w:tcBorders>
              <w:top w:val="nil"/>
              <w:left w:val="nil"/>
              <w:bottom w:val="nil"/>
              <w:right w:val="nil"/>
            </w:tcBorders>
            <w:vAlign w:val="center"/>
          </w:tcPr>
          <w:p w14:paraId="4CF1AD3F" w14:textId="1F8CCDE9" w:rsidR="00403882" w:rsidRPr="002657D1" w:rsidRDefault="00DB008B"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400</w:t>
            </w:r>
          </w:p>
        </w:tc>
        <w:tc>
          <w:tcPr>
            <w:tcW w:w="1842" w:type="dxa"/>
            <w:tcBorders>
              <w:top w:val="nil"/>
              <w:left w:val="nil"/>
              <w:bottom w:val="nil"/>
              <w:right w:val="nil"/>
            </w:tcBorders>
          </w:tcPr>
          <w:p w14:paraId="6E90363B" w14:textId="244CB73F" w:rsidR="00403882" w:rsidRPr="002657D1" w:rsidRDefault="00DB008B"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100</w:t>
            </w:r>
          </w:p>
        </w:tc>
        <w:tc>
          <w:tcPr>
            <w:tcW w:w="1701" w:type="dxa"/>
            <w:tcBorders>
              <w:top w:val="nil"/>
              <w:left w:val="nil"/>
              <w:bottom w:val="nil"/>
              <w:right w:val="nil"/>
            </w:tcBorders>
            <w:vAlign w:val="center"/>
          </w:tcPr>
          <w:p w14:paraId="2D7D684D" w14:textId="2DAB02CB" w:rsidR="00403882" w:rsidRPr="002657D1" w:rsidRDefault="00DB008B"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25</w:t>
            </w:r>
          </w:p>
        </w:tc>
        <w:tc>
          <w:tcPr>
            <w:tcW w:w="1276" w:type="dxa"/>
            <w:tcBorders>
              <w:top w:val="nil"/>
              <w:left w:val="nil"/>
              <w:bottom w:val="nil"/>
              <w:right w:val="nil"/>
            </w:tcBorders>
            <w:vAlign w:val="center"/>
          </w:tcPr>
          <w:p w14:paraId="3F1716FB" w14:textId="17345E4B" w:rsidR="00403882" w:rsidRPr="002657D1" w:rsidRDefault="00F364F4" w:rsidP="004A570C">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lang w:val="de-DE"/>
              </w:rPr>
              <w:fldChar w:fldCharType="begin"/>
            </w:r>
            <w:r w:rsidRPr="002657D1">
              <w:rPr>
                <w:rFonts w:ascii="Times New Roman" w:hAnsi="Times New Roman" w:cs="Times New Roman"/>
                <w:color w:val="000000" w:themeColor="text1"/>
                <w:sz w:val="24"/>
                <w:szCs w:val="24"/>
                <w:lang w:val="de-DE"/>
              </w:rPr>
              <w:instrText xml:space="preserve"> ADDIN ZOTERO_ITEM CSL_CITATION {"citationID":"DU0IQZt6","properties":{"formattedCitation":"\\super 68\\nosupersub{}","plainCitation":"68","noteIndex":0},"citationItems":[{"id":1537,"uris":["http://zotero.org/users/local/J1vikkcu/items/6S3LAJ4D"],"itemDat</w:instrText>
            </w:r>
            <w:r w:rsidRPr="002657D1">
              <w:rPr>
                <w:rFonts w:ascii="Times New Roman" w:hAnsi="Times New Roman" w:cs="Times New Roman" w:hint="eastAsia"/>
                <w:color w:val="000000" w:themeColor="text1"/>
                <w:sz w:val="24"/>
                <w:szCs w:val="24"/>
                <w:lang w:val="de-DE"/>
              </w:rPr>
              <w:instrText>a":{"id":1537,"type":"article-journal","abstract":"Abstract\n            \n              All</w:instrText>
            </w:r>
            <w:r w:rsidRPr="002657D1">
              <w:rPr>
                <w:rFonts w:ascii="Times New Roman" w:hAnsi="Times New Roman" w:cs="Times New Roman" w:hint="eastAsia"/>
                <w:color w:val="000000" w:themeColor="text1"/>
                <w:sz w:val="24"/>
                <w:szCs w:val="24"/>
                <w:lang w:val="de-DE"/>
              </w:rPr>
              <w:instrText>‐</w:instrText>
            </w:r>
            <w:r w:rsidRPr="002657D1">
              <w:rPr>
                <w:rFonts w:ascii="Times New Roman" w:hAnsi="Times New Roman" w:cs="Times New Roman" w:hint="eastAsia"/>
                <w:color w:val="000000" w:themeColor="text1"/>
                <w:sz w:val="24"/>
                <w:szCs w:val="24"/>
                <w:lang w:val="de-DE"/>
              </w:rPr>
              <w:instrText>solid</w:instrText>
            </w:r>
            <w:r w:rsidRPr="002657D1">
              <w:rPr>
                <w:rFonts w:ascii="Times New Roman" w:hAnsi="Times New Roman" w:cs="Times New Roman" w:hint="eastAsia"/>
                <w:color w:val="000000" w:themeColor="text1"/>
                <w:sz w:val="24"/>
                <w:szCs w:val="24"/>
                <w:lang w:val="de-DE"/>
              </w:rPr>
              <w:instrText>‐</w:instrText>
            </w:r>
            <w:r w:rsidRPr="002657D1">
              <w:rPr>
                <w:rFonts w:ascii="Times New Roman" w:hAnsi="Times New Roman" w:cs="Times New Roman" w:hint="eastAsia"/>
                <w:color w:val="000000" w:themeColor="text1"/>
                <w:sz w:val="24"/>
                <w:szCs w:val="24"/>
                <w:lang w:val="de-DE"/>
              </w:rPr>
              <w:instrText>state lithium</w:instrText>
            </w:r>
            <w:r w:rsidRPr="002657D1">
              <w:rPr>
                <w:rFonts w:ascii="Times New Roman" w:hAnsi="Times New Roman" w:cs="Times New Roman" w:hint="eastAsia"/>
                <w:color w:val="000000" w:themeColor="text1"/>
                <w:sz w:val="24"/>
                <w:szCs w:val="24"/>
                <w:lang w:val="de-DE"/>
              </w:rPr>
              <w:instrText>‐</w:instrText>
            </w:r>
            <w:r w:rsidRPr="002657D1">
              <w:rPr>
                <w:rFonts w:ascii="Times New Roman" w:hAnsi="Times New Roman" w:cs="Times New Roman" w:hint="eastAsia"/>
                <w:color w:val="000000" w:themeColor="text1"/>
                <w:sz w:val="24"/>
                <w:szCs w:val="24"/>
                <w:lang w:val="de-DE"/>
              </w:rPr>
              <w:instrText>metal batteries (ASSLMBs) are promising for transportation electrification due to their superior safety and high energy density. Lithium halide electrolytes provide excellent processing flexibility, high ionic conductivity, and anodic stability (&gt;4.1 V), making them highly compatible with high</w:instrText>
            </w:r>
            <w:r w:rsidRPr="002657D1">
              <w:rPr>
                <w:rFonts w:ascii="Times New Roman" w:hAnsi="Times New Roman" w:cs="Times New Roman" w:hint="eastAsia"/>
                <w:color w:val="000000" w:themeColor="text1"/>
                <w:sz w:val="24"/>
                <w:szCs w:val="24"/>
                <w:lang w:val="de-DE"/>
              </w:rPr>
              <w:instrText>‐</w:instrText>
            </w:r>
            <w:r w:rsidRPr="002657D1">
              <w:rPr>
                <w:rFonts w:ascii="Times New Roman" w:hAnsi="Times New Roman" w:cs="Times New Roman" w:hint="eastAsia"/>
                <w:color w:val="000000" w:themeColor="text1"/>
                <w:sz w:val="24"/>
                <w:szCs w:val="24"/>
                <w:lang w:val="de-DE"/>
              </w:rPr>
              <w:instrText>voltage cathodes, surpassing sulfide electrolytes (&lt;2.1 V). Nevertheless, halide electrolytes suffer f</w:instrText>
            </w:r>
            <w:r w:rsidRPr="002657D1">
              <w:rPr>
                <w:rFonts w:ascii="Times New Roman" w:hAnsi="Times New Roman" w:cs="Times New Roman"/>
                <w:color w:val="000000" w:themeColor="text1"/>
                <w:sz w:val="24"/>
                <w:szCs w:val="24"/>
                <w:lang w:val="de-DE"/>
              </w:rPr>
              <w:instrText xml:space="preserve">rom low cathodic stability and form an electronically conductive interphase with lithium, resulting in a critical current density (CCD) of nearly zero. Herein, Li\n              3\n              YbCl\n              6\n              electrolytes are synthesized that are kinetically stable with lithium by forming an electronic insulating solid electrolyte interphase. Guided by critical overpotential criteria, a PI\n              3\n              interlayer is designed that transforms into Li\n              6\n              PI\n              3\n              upon contact with lithium, substantially reducing the interfacial resistance of Li\n              3\n              YbCl\n              6\n              against lithium to 34 Ω and achieving a high critical overpotential of 114 mV. By substituting Yb with Lu, Li\n              3\n              LuCl\n              6\n              electrolytes with Li\n              6\n              PI\n              3\n              interlayers reach a CCD of 1.0 mA cm\n              −2\n              at a capacity of 1.0 mAh cm\n              −2\n              , comparable to sulfide electrolytes but with higher oxidation stability. Additionally, Li\n              6\n              PI\n              3\n              enables stable cycling of Li//Li cells with Li\n              3\n              LuCl\n              6\n              electrolytes at 0.5 mA cm\n              −2\n              for 400 cycles and maintains 86.5% capacity in Li//LiCoO\n              2\n          </w:instrText>
            </w:r>
            <w:r w:rsidRPr="002657D1">
              <w:rPr>
                <w:rFonts w:ascii="Times New Roman" w:hAnsi="Times New Roman" w:cs="Times New Roman" w:hint="eastAsia"/>
                <w:color w:val="000000" w:themeColor="text1"/>
                <w:sz w:val="24"/>
                <w:szCs w:val="24"/>
                <w:lang w:val="de-DE"/>
              </w:rPr>
              <w:instrText xml:space="preserve">    cells after 220 cycles at 30 </w:instrText>
            </w:r>
            <w:r w:rsidRPr="002657D1">
              <w:rPr>
                <w:rFonts w:ascii="Times New Roman" w:hAnsi="Times New Roman" w:cs="Times New Roman" w:hint="eastAsia"/>
                <w:color w:val="000000" w:themeColor="text1"/>
                <w:sz w:val="24"/>
                <w:szCs w:val="24"/>
                <w:lang w:val="de-DE"/>
              </w:rPr>
              <w:instrText>°</w:instrText>
            </w:r>
            <w:r w:rsidRPr="002657D1">
              <w:rPr>
                <w:rFonts w:ascii="Times New Roman" w:hAnsi="Times New Roman" w:cs="Times New Roman" w:hint="eastAsia"/>
                <w:color w:val="000000" w:themeColor="text1"/>
                <w:sz w:val="24"/>
                <w:szCs w:val="24"/>
                <w:lang w:val="de-DE"/>
              </w:rPr>
              <w:instrText>C, paving the way for high</w:instrText>
            </w:r>
            <w:r w:rsidRPr="002657D1">
              <w:rPr>
                <w:rFonts w:ascii="Times New Roman" w:hAnsi="Times New Roman" w:cs="Times New Roman" w:hint="eastAsia"/>
                <w:color w:val="000000" w:themeColor="text1"/>
                <w:sz w:val="24"/>
                <w:szCs w:val="24"/>
                <w:lang w:val="de-DE"/>
              </w:rPr>
              <w:instrText>‐</w:instrText>
            </w:r>
            <w:r w:rsidRPr="002657D1">
              <w:rPr>
                <w:rFonts w:ascii="Times New Roman" w:hAnsi="Times New Roman" w:cs="Times New Roman" w:hint="eastAsia"/>
                <w:color w:val="000000" w:themeColor="text1"/>
                <w:sz w:val="24"/>
                <w:szCs w:val="24"/>
                <w:lang w:val="de-DE"/>
              </w:rPr>
              <w:instrText>performance ASSLMBs.","container-title":"Advanced Materials","DOI":"10.1002/adma.202501838","ISSN":"0935-9648, 1521-4095","issue":"30","journalAbbreviation":"Advanced Materials","language":"en","page":"2501838","source":"DOI.org (Crossref)","title":"Interlayer Design for Halide Electrolytes in All</w:instrText>
            </w:r>
            <w:r w:rsidRPr="002657D1">
              <w:rPr>
                <w:rFonts w:ascii="Times New Roman" w:hAnsi="Times New Roman" w:cs="Times New Roman" w:hint="eastAsia"/>
                <w:color w:val="000000" w:themeColor="text1"/>
                <w:sz w:val="24"/>
                <w:szCs w:val="24"/>
                <w:lang w:val="de-DE"/>
              </w:rPr>
              <w:instrText>‐</w:instrText>
            </w:r>
            <w:r w:rsidRPr="002657D1">
              <w:rPr>
                <w:rFonts w:ascii="Times New Roman" w:hAnsi="Times New Roman" w:cs="Times New Roman" w:hint="eastAsia"/>
                <w:color w:val="000000" w:themeColor="text1"/>
                <w:sz w:val="24"/>
                <w:szCs w:val="24"/>
                <w:lang w:val="de-DE"/>
              </w:rPr>
              <w:instrText>Solid</w:instrText>
            </w:r>
            <w:r w:rsidRPr="002657D1">
              <w:rPr>
                <w:rFonts w:ascii="Times New Roman" w:hAnsi="Times New Roman" w:cs="Times New Roman" w:hint="eastAsia"/>
                <w:color w:val="000000" w:themeColor="text1"/>
                <w:sz w:val="24"/>
                <w:szCs w:val="24"/>
                <w:lang w:val="de-DE"/>
              </w:rPr>
              <w:instrText>‐</w:instrText>
            </w:r>
            <w:r w:rsidRPr="002657D1">
              <w:rPr>
                <w:rFonts w:ascii="Times New Roman" w:hAnsi="Times New Roman" w:cs="Times New Roman" w:hint="eastAsia"/>
                <w:color w:val="000000" w:themeColor="text1"/>
                <w:sz w:val="24"/>
                <w:szCs w:val="24"/>
                <w:lang w:val="de-DE"/>
              </w:rPr>
              <w:instrText>State Lithium Metal Batteries","volume":"37","author":[{"family":"Wang","given":"Zeyi"},{"family":"Wang","given":"Tengrui"},{"family":"Zhang","g</w:instrText>
            </w:r>
            <w:r w:rsidRPr="002657D1">
              <w:rPr>
                <w:rFonts w:ascii="Times New Roman" w:hAnsi="Times New Roman" w:cs="Times New Roman"/>
                <w:color w:val="000000" w:themeColor="text1"/>
                <w:sz w:val="24"/>
                <w:szCs w:val="24"/>
                <w:lang w:val="de-DE"/>
              </w:rPr>
              <w:instrText xml:space="preserve">iven":"Nan"},{"family":"Zhang","given":"Weiran"},{"family":"Liu","given":"Yijie"},{"family":"Wang","given":"Chunsheng"}],"issued":{"date-parts":[["2025",7]]}}}],"schema":"https://github.com/citation-style-language/schema/raw/master/csl-citation.json"} </w:instrText>
            </w:r>
            <w:r w:rsidRPr="002657D1">
              <w:rPr>
                <w:rFonts w:ascii="Times New Roman" w:hAnsi="Times New Roman" w:cs="Times New Roman"/>
                <w:color w:val="000000" w:themeColor="text1"/>
                <w:sz w:val="24"/>
                <w:szCs w:val="24"/>
                <w:lang w:val="de-DE"/>
              </w:rPr>
              <w:fldChar w:fldCharType="separate"/>
            </w:r>
            <w:r w:rsidRPr="002657D1">
              <w:rPr>
                <w:rFonts w:ascii="Times New Roman" w:hAnsi="Times New Roman" w:cs="Times New Roman"/>
                <w:color w:val="000000" w:themeColor="text1"/>
                <w:kern w:val="0"/>
                <w:sz w:val="24"/>
                <w:szCs w:val="24"/>
                <w:vertAlign w:val="superscript"/>
              </w:rPr>
              <w:t>68</w:t>
            </w:r>
            <w:r w:rsidRPr="002657D1">
              <w:rPr>
                <w:rFonts w:ascii="Times New Roman" w:hAnsi="Times New Roman" w:cs="Times New Roman"/>
                <w:color w:val="000000" w:themeColor="text1"/>
                <w:sz w:val="24"/>
                <w:szCs w:val="24"/>
                <w:lang w:val="de-DE"/>
              </w:rPr>
              <w:fldChar w:fldCharType="end"/>
            </w:r>
          </w:p>
        </w:tc>
      </w:tr>
      <w:tr w:rsidR="002657D1" w:rsidRPr="002657D1" w14:paraId="25D0E760" w14:textId="77777777" w:rsidTr="009C3A29">
        <w:trPr>
          <w:jc w:val="center"/>
        </w:trPr>
        <w:tc>
          <w:tcPr>
            <w:tcW w:w="2943" w:type="dxa"/>
            <w:tcBorders>
              <w:top w:val="nil"/>
              <w:left w:val="nil"/>
              <w:bottom w:val="nil"/>
              <w:right w:val="nil"/>
            </w:tcBorders>
            <w:vAlign w:val="center"/>
          </w:tcPr>
          <w:p w14:paraId="7A178594" w14:textId="13E748B2" w:rsidR="00403882" w:rsidRPr="002657D1" w:rsidRDefault="00F364F4" w:rsidP="00C20FBC">
            <w:pPr>
              <w:pStyle w:val="ac"/>
              <w:spacing w:before="0" w:beforeAutospacing="0" w:after="0" w:afterAutospacing="0" w:line="360" w:lineRule="auto"/>
              <w:jc w:val="center"/>
              <w:rPr>
                <w:rFonts w:ascii="Times New Roman" w:eastAsiaTheme="minorEastAsia" w:hAnsi="Times New Roman" w:cs="Times New Roman"/>
                <w:color w:val="000000" w:themeColor="text1"/>
                <w:kern w:val="24"/>
              </w:rPr>
            </w:pPr>
            <w:r w:rsidRPr="002657D1">
              <w:rPr>
                <w:rFonts w:ascii="Times New Roman" w:eastAsiaTheme="minorEastAsia" w:hAnsi="Times New Roman" w:cs="Times New Roman" w:hint="eastAsia"/>
                <w:color w:val="000000" w:themeColor="text1"/>
                <w:kern w:val="24"/>
              </w:rPr>
              <w:t>Li/Li</w:t>
            </w:r>
            <w:r w:rsidRPr="002657D1">
              <w:rPr>
                <w:rFonts w:ascii="Times New Roman" w:eastAsiaTheme="minorEastAsia" w:hAnsi="Times New Roman" w:cs="Times New Roman"/>
                <w:color w:val="000000" w:themeColor="text1"/>
                <w:kern w:val="24"/>
                <w:vertAlign w:val="subscript"/>
              </w:rPr>
              <w:t>2</w:t>
            </w:r>
            <w:r w:rsidRPr="002657D1">
              <w:rPr>
                <w:rFonts w:ascii="Times New Roman" w:eastAsiaTheme="minorEastAsia" w:hAnsi="Times New Roman" w:cs="Times New Roman" w:hint="eastAsia"/>
                <w:color w:val="000000" w:themeColor="text1"/>
                <w:kern w:val="24"/>
              </w:rPr>
              <w:t>ZrCl</w:t>
            </w:r>
            <w:r w:rsidRPr="002657D1">
              <w:rPr>
                <w:rFonts w:ascii="Times New Roman" w:eastAsiaTheme="minorEastAsia" w:hAnsi="Times New Roman" w:cs="Times New Roman"/>
                <w:color w:val="000000" w:themeColor="text1"/>
                <w:kern w:val="24"/>
                <w:vertAlign w:val="subscript"/>
              </w:rPr>
              <w:t>4</w:t>
            </w:r>
            <w:r w:rsidRPr="002657D1">
              <w:rPr>
                <w:rFonts w:ascii="Times New Roman" w:eastAsiaTheme="minorEastAsia" w:hAnsi="Times New Roman" w:cs="Times New Roman" w:hint="eastAsia"/>
                <w:color w:val="000000" w:themeColor="text1"/>
                <w:kern w:val="24"/>
              </w:rPr>
              <w:t>I</w:t>
            </w:r>
            <w:r w:rsidRPr="002657D1">
              <w:rPr>
                <w:rFonts w:ascii="Times New Roman" w:eastAsiaTheme="minorEastAsia" w:hAnsi="Times New Roman" w:cs="Times New Roman"/>
                <w:color w:val="000000" w:themeColor="text1"/>
                <w:kern w:val="24"/>
                <w:vertAlign w:val="subscript"/>
              </w:rPr>
              <w:t>2</w:t>
            </w:r>
            <w:r w:rsidRPr="002657D1">
              <w:rPr>
                <w:rFonts w:ascii="Times New Roman" w:eastAsiaTheme="minorEastAsia" w:hAnsi="Times New Roman" w:cs="Times New Roman" w:hint="eastAsia"/>
                <w:color w:val="000000" w:themeColor="text1"/>
                <w:kern w:val="24"/>
              </w:rPr>
              <w:t>/Li</w:t>
            </w:r>
          </w:p>
        </w:tc>
        <w:tc>
          <w:tcPr>
            <w:tcW w:w="1310" w:type="dxa"/>
            <w:tcBorders>
              <w:top w:val="nil"/>
              <w:left w:val="nil"/>
              <w:bottom w:val="nil"/>
              <w:right w:val="nil"/>
            </w:tcBorders>
            <w:vAlign w:val="center"/>
          </w:tcPr>
          <w:p w14:paraId="736C7E5E" w14:textId="5A93120D" w:rsidR="00403882" w:rsidRPr="002657D1" w:rsidRDefault="00F364F4"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0.2</w:t>
            </w:r>
          </w:p>
        </w:tc>
        <w:tc>
          <w:tcPr>
            <w:tcW w:w="1701" w:type="dxa"/>
            <w:tcBorders>
              <w:top w:val="nil"/>
              <w:left w:val="nil"/>
              <w:bottom w:val="nil"/>
              <w:right w:val="nil"/>
            </w:tcBorders>
            <w:vAlign w:val="center"/>
          </w:tcPr>
          <w:p w14:paraId="2438C2E1" w14:textId="7467023D" w:rsidR="00403882" w:rsidRPr="002657D1" w:rsidRDefault="00F364F4"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0.1</w:t>
            </w:r>
          </w:p>
        </w:tc>
        <w:tc>
          <w:tcPr>
            <w:tcW w:w="1276" w:type="dxa"/>
            <w:tcBorders>
              <w:top w:val="nil"/>
              <w:left w:val="nil"/>
              <w:bottom w:val="nil"/>
              <w:right w:val="nil"/>
            </w:tcBorders>
            <w:vAlign w:val="center"/>
          </w:tcPr>
          <w:p w14:paraId="3098E66A" w14:textId="68C5C0B2" w:rsidR="00403882" w:rsidRPr="002657D1" w:rsidRDefault="00F364F4"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6000</w:t>
            </w:r>
          </w:p>
        </w:tc>
        <w:tc>
          <w:tcPr>
            <w:tcW w:w="1842" w:type="dxa"/>
            <w:tcBorders>
              <w:top w:val="nil"/>
              <w:left w:val="nil"/>
              <w:bottom w:val="nil"/>
              <w:right w:val="nil"/>
            </w:tcBorders>
          </w:tcPr>
          <w:p w14:paraId="74CC3E95" w14:textId="789953A7" w:rsidR="00403882" w:rsidRPr="002657D1" w:rsidRDefault="00F364F4"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600</w:t>
            </w:r>
          </w:p>
        </w:tc>
        <w:tc>
          <w:tcPr>
            <w:tcW w:w="1701" w:type="dxa"/>
            <w:tcBorders>
              <w:top w:val="nil"/>
              <w:left w:val="nil"/>
              <w:bottom w:val="nil"/>
              <w:right w:val="nil"/>
            </w:tcBorders>
            <w:vAlign w:val="center"/>
          </w:tcPr>
          <w:p w14:paraId="5A89BE4F" w14:textId="34C38251" w:rsidR="00403882" w:rsidRPr="002657D1" w:rsidRDefault="00F364F4"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25</w:t>
            </w:r>
          </w:p>
        </w:tc>
        <w:tc>
          <w:tcPr>
            <w:tcW w:w="1276" w:type="dxa"/>
            <w:tcBorders>
              <w:top w:val="nil"/>
              <w:left w:val="nil"/>
              <w:bottom w:val="nil"/>
              <w:right w:val="nil"/>
            </w:tcBorders>
            <w:vAlign w:val="center"/>
          </w:tcPr>
          <w:p w14:paraId="7156B0FE" w14:textId="4106ACDB" w:rsidR="00403882" w:rsidRPr="002657D1" w:rsidRDefault="00F364F4" w:rsidP="004A570C">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924424" w:rsidRPr="002657D1">
              <w:rPr>
                <w:rFonts w:ascii="Times New Roman" w:hAnsi="Times New Roman" w:cs="Times New Roman"/>
                <w:color w:val="000000" w:themeColor="text1"/>
                <w:sz w:val="24"/>
                <w:szCs w:val="24"/>
              </w:rPr>
              <w:instrText xml:space="preserve"> ADDIN ZOTERO_ITEM CSL_CITATION {"citationID":"ahhb0olqm6","properties":{"formattedCitation":"\\super 69\\nosupersub{}","plainCitation":"69","noteIndex":0},"citationItems":[{"id":3058,"uris":["http://zotero.org/users/local/J1vikkcu/items/833VM2SX"],"itemData":{"id":3058,"type":"article-journal","abstract":"Halide superionic conductors have garnered considerable attention due to their high ionic conductivity, mechanical deformability, and excellent oxidative stability. However, their incompatibility with lithium metal results in a thermodynamically unstable interface that increases interfacial impedance, thereby limiting the performance of halide-based all-solid-state lithium− metal batteries (ASSLBs). In this study, we report the synthesis of a series of iodide-chloride solid electrolytes, Li2ZrCl6‑xIx (x = 0−3), designed to enhance the reduction stability of the electrolyte through the high polarizability of I−. The substitution of I− promotes covalent bonding with the central cation, thereby reducing its reduction tendency. The Li/Li2ZrCl4I2/Li symmetric cell exhibits stable cycling for over 6000 h at 0.2 mA cm−2 and withstands high critical current densities up to 6 mA cm−2. Full cells incorporating Li2ZrCl4I2 as the solid electrolyte exhibit enhanced cycling stability and capacity retention. Furthermore, the characterization by XPS and ToF-SIMS revealed the formation of an interfacial passivation layer composed of LiI and LiCl, which effectively stabilized the lithium−metal electrode and inhibited further electrolyte decomposition. These findings highlight the potential of iodide-substituted halide electrolytes in addressing interfacial challenges associated with lithium metal anodes, providing a promising pathway for the practical implementation of high-energy-density ASSLBs.","container-title":"ACS Applied Materials &amp; Interfaces","DOI":"10.1021/acsami.5c07580","ISSN":"1944-8244, 1944-8252","journalAbbreviation":"ACS Appl. Mater. Interfaces","language":"en","license":"https://doi.org/10.15223/policy-029","page":"acsami.5c07580","source":"DOI.org (Crossref)","title":"An Iodide-Chloride Solid Electrolyte Compatible with Lithium Metal for All-Solid-State Lithium Batteries","author":[{"family":"Wang","given":"Sheng"},{"family":"Zhou","given":"Yaqing"},{"family":"Huang","given":"Xiao"},{"family":"Xu","given":"Deli"},{"family":"Li","given":"Minghua"},{"family":"Wu","given":"Guoxian"},{"family":"Cheng","given":"Hao"},{"family":"Cheng","given":"Yan"},{"family":"Yu","given":"Zhaozhe"},{"family":"Tian","given":"Bingbing"}],"issued":{"date-parts":[["2025",7,23]]}}}],"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924424" w:rsidRPr="002657D1">
              <w:rPr>
                <w:rFonts w:ascii="Times New Roman" w:hAnsi="Times New Roman" w:cs="Times New Roman"/>
                <w:color w:val="000000" w:themeColor="text1"/>
                <w:kern w:val="0"/>
                <w:sz w:val="24"/>
                <w:szCs w:val="24"/>
                <w:vertAlign w:val="superscript"/>
              </w:rPr>
              <w:t>69</w:t>
            </w:r>
            <w:r w:rsidRPr="002657D1">
              <w:rPr>
                <w:rFonts w:ascii="Times New Roman" w:hAnsi="Times New Roman" w:cs="Times New Roman"/>
                <w:color w:val="000000" w:themeColor="text1"/>
                <w:sz w:val="24"/>
                <w:szCs w:val="24"/>
              </w:rPr>
              <w:fldChar w:fldCharType="end"/>
            </w:r>
          </w:p>
        </w:tc>
      </w:tr>
      <w:tr w:rsidR="002657D1" w:rsidRPr="002657D1" w14:paraId="1DC20A9F" w14:textId="77777777" w:rsidTr="009C3A29">
        <w:trPr>
          <w:jc w:val="center"/>
        </w:trPr>
        <w:tc>
          <w:tcPr>
            <w:tcW w:w="2943" w:type="dxa"/>
            <w:tcBorders>
              <w:top w:val="nil"/>
              <w:left w:val="nil"/>
              <w:bottom w:val="nil"/>
              <w:right w:val="nil"/>
            </w:tcBorders>
            <w:vAlign w:val="center"/>
          </w:tcPr>
          <w:p w14:paraId="5A492551" w14:textId="460701ED" w:rsidR="00403882" w:rsidRPr="002657D1" w:rsidRDefault="00F2182E" w:rsidP="00C20FBC">
            <w:pPr>
              <w:pStyle w:val="ac"/>
              <w:spacing w:before="0" w:beforeAutospacing="0" w:after="0" w:afterAutospacing="0" w:line="360" w:lineRule="auto"/>
              <w:jc w:val="center"/>
              <w:rPr>
                <w:rFonts w:ascii="Times New Roman" w:eastAsiaTheme="minorEastAsia" w:hAnsi="Times New Roman" w:cs="Times New Roman"/>
                <w:color w:val="000000" w:themeColor="text1"/>
                <w:kern w:val="24"/>
              </w:rPr>
            </w:pPr>
            <w:r w:rsidRPr="002657D1">
              <w:rPr>
                <w:rFonts w:ascii="Times New Roman" w:eastAsiaTheme="minorEastAsia" w:hAnsi="Times New Roman" w:cs="Times New Roman" w:hint="eastAsia"/>
                <w:color w:val="000000" w:themeColor="text1"/>
                <w:kern w:val="24"/>
              </w:rPr>
              <w:t>Li/Li</w:t>
            </w:r>
            <w:r w:rsidRPr="002657D1">
              <w:rPr>
                <w:rFonts w:ascii="Times New Roman" w:eastAsiaTheme="minorEastAsia" w:hAnsi="Times New Roman" w:cs="Times New Roman"/>
                <w:color w:val="000000" w:themeColor="text1"/>
                <w:kern w:val="24"/>
                <w:vertAlign w:val="subscript"/>
              </w:rPr>
              <w:t>3</w:t>
            </w:r>
            <w:r w:rsidRPr="002657D1">
              <w:rPr>
                <w:rFonts w:ascii="Times New Roman" w:eastAsiaTheme="minorEastAsia" w:hAnsi="Times New Roman" w:cs="Times New Roman" w:hint="eastAsia"/>
                <w:color w:val="000000" w:themeColor="text1"/>
                <w:kern w:val="24"/>
              </w:rPr>
              <w:t>InCl</w:t>
            </w:r>
            <w:r w:rsidRPr="002657D1">
              <w:rPr>
                <w:rFonts w:ascii="Times New Roman" w:eastAsiaTheme="minorEastAsia" w:hAnsi="Times New Roman" w:cs="Times New Roman"/>
                <w:color w:val="000000" w:themeColor="text1"/>
                <w:kern w:val="24"/>
                <w:vertAlign w:val="subscript"/>
              </w:rPr>
              <w:t>6</w:t>
            </w:r>
            <w:r w:rsidRPr="002657D1">
              <w:rPr>
                <w:rFonts w:ascii="Times New Roman" w:eastAsiaTheme="minorEastAsia" w:hAnsi="Times New Roman" w:cs="Times New Roman" w:hint="eastAsia"/>
                <w:color w:val="000000" w:themeColor="text1"/>
                <w:kern w:val="24"/>
              </w:rPr>
              <w:t>/Li</w:t>
            </w:r>
          </w:p>
        </w:tc>
        <w:tc>
          <w:tcPr>
            <w:tcW w:w="1310" w:type="dxa"/>
            <w:tcBorders>
              <w:top w:val="nil"/>
              <w:left w:val="nil"/>
              <w:bottom w:val="nil"/>
              <w:right w:val="nil"/>
            </w:tcBorders>
            <w:vAlign w:val="center"/>
          </w:tcPr>
          <w:p w14:paraId="43296D4A" w14:textId="3DAFDBB4" w:rsidR="00403882" w:rsidRPr="002657D1" w:rsidRDefault="00F2182E"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0.05</w:t>
            </w:r>
          </w:p>
        </w:tc>
        <w:tc>
          <w:tcPr>
            <w:tcW w:w="1701" w:type="dxa"/>
            <w:tcBorders>
              <w:top w:val="nil"/>
              <w:left w:val="nil"/>
              <w:bottom w:val="nil"/>
              <w:right w:val="nil"/>
            </w:tcBorders>
            <w:vAlign w:val="center"/>
          </w:tcPr>
          <w:p w14:paraId="27529A0F" w14:textId="7C8D6A1B" w:rsidR="00403882" w:rsidRPr="002657D1" w:rsidRDefault="00F2182E"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0.05</w:t>
            </w:r>
          </w:p>
        </w:tc>
        <w:tc>
          <w:tcPr>
            <w:tcW w:w="1276" w:type="dxa"/>
            <w:tcBorders>
              <w:top w:val="nil"/>
              <w:left w:val="nil"/>
              <w:bottom w:val="nil"/>
              <w:right w:val="nil"/>
            </w:tcBorders>
            <w:vAlign w:val="center"/>
          </w:tcPr>
          <w:p w14:paraId="26ECF3B0" w14:textId="249889E9" w:rsidR="00403882" w:rsidRPr="002657D1" w:rsidRDefault="00F2182E"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24</w:t>
            </w:r>
          </w:p>
        </w:tc>
        <w:tc>
          <w:tcPr>
            <w:tcW w:w="1842" w:type="dxa"/>
            <w:tcBorders>
              <w:top w:val="nil"/>
              <w:left w:val="nil"/>
              <w:bottom w:val="nil"/>
              <w:right w:val="nil"/>
            </w:tcBorders>
          </w:tcPr>
          <w:p w14:paraId="6B4D704A" w14:textId="6CA7619E" w:rsidR="00403882" w:rsidRPr="002657D1" w:rsidRDefault="00F2182E"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1.2</w:t>
            </w:r>
          </w:p>
        </w:tc>
        <w:tc>
          <w:tcPr>
            <w:tcW w:w="1701" w:type="dxa"/>
            <w:tcBorders>
              <w:top w:val="nil"/>
              <w:left w:val="nil"/>
              <w:bottom w:val="nil"/>
              <w:right w:val="nil"/>
            </w:tcBorders>
            <w:vAlign w:val="center"/>
          </w:tcPr>
          <w:p w14:paraId="14D9C06B" w14:textId="1B6FA0C6" w:rsidR="00403882" w:rsidRPr="002657D1" w:rsidRDefault="00F2182E" w:rsidP="00C20FBC">
            <w:pPr>
              <w:widowControl/>
              <w:spacing w:line="360" w:lineRule="auto"/>
              <w:jc w:val="center"/>
              <w:rPr>
                <w:rFonts w:ascii="Times New Roman" w:hAnsi="Times New Roman" w:cs="Times New Roman"/>
                <w:color w:val="000000" w:themeColor="text1"/>
                <w:kern w:val="24"/>
                <w:sz w:val="24"/>
                <w:szCs w:val="24"/>
              </w:rPr>
            </w:pPr>
            <w:bookmarkStart w:id="111" w:name="OLE_LINK15"/>
            <w:r w:rsidRPr="002657D1">
              <w:rPr>
                <w:rFonts w:ascii="Times New Roman" w:hAnsi="Times New Roman" w:cs="Times New Roman" w:hint="eastAsia"/>
                <w:color w:val="000000" w:themeColor="text1"/>
                <w:kern w:val="24"/>
                <w:sz w:val="24"/>
                <w:szCs w:val="24"/>
              </w:rPr>
              <w:t>25</w:t>
            </w:r>
            <w:bookmarkEnd w:id="111"/>
          </w:p>
        </w:tc>
        <w:bookmarkStart w:id="112" w:name="OLE_LINK16"/>
        <w:tc>
          <w:tcPr>
            <w:tcW w:w="1276" w:type="dxa"/>
            <w:tcBorders>
              <w:top w:val="nil"/>
              <w:left w:val="nil"/>
              <w:bottom w:val="nil"/>
              <w:right w:val="nil"/>
            </w:tcBorders>
            <w:vAlign w:val="center"/>
          </w:tcPr>
          <w:p w14:paraId="00B79454" w14:textId="63D482BB" w:rsidR="00403882" w:rsidRPr="002657D1" w:rsidRDefault="00924424" w:rsidP="004A570C">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Pr="002657D1">
              <w:rPr>
                <w:rFonts w:ascii="Times New Roman" w:hAnsi="Times New Roman" w:cs="Times New Roman"/>
                <w:color w:val="000000" w:themeColor="text1"/>
                <w:sz w:val="24"/>
                <w:szCs w:val="24"/>
              </w:rPr>
              <w:instrText xml:space="preserve"> ADDIN ZOTERO_ITEM CSL_CITATION {"citationID":"a12u2u9ugpl","properties":{"formattedCitation":"\\super 70\\nosupersub{}","plainCitation":"70","noteIndex":0},"citationItems":[{"id":3060,"uris":["http://zotero.org/users/local/J1vikkcu/items/2ZRLWLFA"],"itemData":{"id":3060,"type":"article-journal","abstract":"Halide solid state electrolyte with Li3InCl6 structure has attracted growing attention due to its good deformability, high ionic conductivity, and good compatibility with high-voltage cathode. However, Li3InCl6 undergoes intense interface side reaction with Li metal anode. To this end, a silver interface layer is introduced between Li and Li3InCl6 through a simple cold pressing method to form a Li Ag anode. The Ag buffer layer prevents the direct contact between Li and Li3InCl6, thus suppresses the interfacial side reaction and the formation of voids and Li dendrites. The Li diffusion kinetics has also been improved due to the formation of Li-Ag alloy phase. Li Ag/Li3InCl6/Li Ag symmetric cell exhibits a high critical current density of 1.3 mA cm 2 and a long life-span of 500 h at 0.1 mA cm 2. This work provides a simple and economical solution for stabilizing the interface between Li3InCl6 halide solid electrolyte and Li metal anode.","container-title":"Journal of Power Sources","DOI":"10.1016/j.jpowsour.2025.237357","ISSN":"03787753","journalAbbreviation":"Journal of Power Sources","language":"en","page":"237357","source":"DOI.org (Crossref)","title":"Li−Ag alloy anode with interfacial silver layer for all−solid−state lithium metal batteries utilizing Li3InCl6 halide solid electrolyte","volume":"647","author":[{"family":"Liu","given":"Fengyi"},{"family":"Cai","given":"Tingting"},{"family":"Zhu","given":"Yulong"},{"family":"Bai","given":"Tiansheng"},{"family":"Nie","given":"Mingxing"},{"family":"Gan","given":"Wei"},{"family":"Li","given":"Deping"},{"family":"Ci","given":"Lijie"},{"family":"Yuan","given":"Qunhui"}],"issued":{"date-parts":[["2025",8]]}}}],"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70</w:t>
            </w:r>
            <w:r w:rsidRPr="002657D1">
              <w:rPr>
                <w:rFonts w:ascii="Times New Roman" w:hAnsi="Times New Roman" w:cs="Times New Roman"/>
                <w:color w:val="000000" w:themeColor="text1"/>
                <w:sz w:val="24"/>
                <w:szCs w:val="24"/>
              </w:rPr>
              <w:fldChar w:fldCharType="end"/>
            </w:r>
            <w:bookmarkEnd w:id="112"/>
          </w:p>
        </w:tc>
      </w:tr>
      <w:tr w:rsidR="002657D1" w:rsidRPr="002657D1" w14:paraId="725E405D" w14:textId="77777777" w:rsidTr="009C3A29">
        <w:trPr>
          <w:jc w:val="center"/>
        </w:trPr>
        <w:tc>
          <w:tcPr>
            <w:tcW w:w="2943" w:type="dxa"/>
            <w:tcBorders>
              <w:top w:val="nil"/>
              <w:left w:val="nil"/>
              <w:bottom w:val="nil"/>
              <w:right w:val="nil"/>
            </w:tcBorders>
            <w:vAlign w:val="center"/>
          </w:tcPr>
          <w:p w14:paraId="55C39E45" w14:textId="563A6C68" w:rsidR="00403882" w:rsidRPr="002657D1" w:rsidRDefault="00924424" w:rsidP="00C20FBC">
            <w:pPr>
              <w:pStyle w:val="ac"/>
              <w:spacing w:before="0" w:beforeAutospacing="0" w:after="0" w:afterAutospacing="0" w:line="360" w:lineRule="auto"/>
              <w:jc w:val="center"/>
              <w:rPr>
                <w:rFonts w:ascii="Times New Roman" w:eastAsiaTheme="minorEastAsia" w:hAnsi="Times New Roman" w:cs="Times New Roman"/>
                <w:color w:val="000000" w:themeColor="text1"/>
                <w:kern w:val="24"/>
                <w:lang w:val="de-DE"/>
              </w:rPr>
            </w:pPr>
            <w:r w:rsidRPr="002657D1">
              <w:rPr>
                <w:rFonts w:ascii="Times New Roman" w:eastAsiaTheme="minorEastAsia" w:hAnsi="Times New Roman" w:cs="Times New Roman"/>
                <w:color w:val="000000" w:themeColor="text1"/>
                <w:kern w:val="24"/>
                <w:lang w:val="de-DE"/>
              </w:rPr>
              <w:t>Li-Ag/Li</w:t>
            </w:r>
            <w:r w:rsidRPr="002657D1">
              <w:rPr>
                <w:rFonts w:ascii="Times New Roman" w:eastAsiaTheme="minorEastAsia" w:hAnsi="Times New Roman" w:cs="Times New Roman"/>
                <w:color w:val="000000" w:themeColor="text1"/>
                <w:kern w:val="24"/>
                <w:vertAlign w:val="subscript"/>
                <w:lang w:val="de-DE"/>
              </w:rPr>
              <w:t>3</w:t>
            </w:r>
            <w:r w:rsidRPr="002657D1">
              <w:rPr>
                <w:rFonts w:ascii="Times New Roman" w:eastAsiaTheme="minorEastAsia" w:hAnsi="Times New Roman" w:cs="Times New Roman"/>
                <w:color w:val="000000" w:themeColor="text1"/>
                <w:kern w:val="24"/>
                <w:lang w:val="de-DE"/>
              </w:rPr>
              <w:t>InCl</w:t>
            </w:r>
            <w:r w:rsidRPr="002657D1">
              <w:rPr>
                <w:rFonts w:ascii="Times New Roman" w:eastAsiaTheme="minorEastAsia" w:hAnsi="Times New Roman" w:cs="Times New Roman"/>
                <w:color w:val="000000" w:themeColor="text1"/>
                <w:kern w:val="24"/>
                <w:vertAlign w:val="subscript"/>
                <w:lang w:val="de-DE"/>
              </w:rPr>
              <w:t>6</w:t>
            </w:r>
            <w:r w:rsidRPr="002657D1">
              <w:rPr>
                <w:rFonts w:ascii="Times New Roman" w:eastAsiaTheme="minorEastAsia" w:hAnsi="Times New Roman" w:cs="Times New Roman"/>
                <w:color w:val="000000" w:themeColor="text1"/>
                <w:kern w:val="24"/>
                <w:lang w:val="de-DE"/>
              </w:rPr>
              <w:t>/Li-Ag</w:t>
            </w:r>
          </w:p>
        </w:tc>
        <w:tc>
          <w:tcPr>
            <w:tcW w:w="1310" w:type="dxa"/>
            <w:tcBorders>
              <w:top w:val="nil"/>
              <w:left w:val="nil"/>
              <w:bottom w:val="nil"/>
              <w:right w:val="nil"/>
            </w:tcBorders>
            <w:vAlign w:val="center"/>
          </w:tcPr>
          <w:p w14:paraId="4C9BB3C1" w14:textId="75F095A4" w:rsidR="00403882" w:rsidRPr="002657D1" w:rsidRDefault="00924424" w:rsidP="00C20FBC">
            <w:pPr>
              <w:widowControl/>
              <w:spacing w:line="360" w:lineRule="auto"/>
              <w:jc w:val="center"/>
              <w:rPr>
                <w:rFonts w:ascii="Times New Roman" w:hAnsi="Times New Roman" w:cs="Times New Roman"/>
                <w:color w:val="000000" w:themeColor="text1"/>
                <w:kern w:val="24"/>
                <w:sz w:val="24"/>
                <w:szCs w:val="24"/>
                <w:lang w:val="de-DE"/>
              </w:rPr>
            </w:pPr>
            <w:r w:rsidRPr="002657D1">
              <w:rPr>
                <w:rFonts w:ascii="Times New Roman" w:hAnsi="Times New Roman" w:cs="Times New Roman" w:hint="eastAsia"/>
                <w:color w:val="000000" w:themeColor="text1"/>
                <w:kern w:val="24"/>
                <w:sz w:val="24"/>
                <w:szCs w:val="24"/>
                <w:lang w:val="de-DE"/>
              </w:rPr>
              <w:t>0.1</w:t>
            </w:r>
          </w:p>
        </w:tc>
        <w:tc>
          <w:tcPr>
            <w:tcW w:w="1701" w:type="dxa"/>
            <w:tcBorders>
              <w:top w:val="nil"/>
              <w:left w:val="nil"/>
              <w:bottom w:val="nil"/>
              <w:right w:val="nil"/>
            </w:tcBorders>
            <w:vAlign w:val="center"/>
          </w:tcPr>
          <w:p w14:paraId="0C4BC22B" w14:textId="3FEB8274" w:rsidR="00403882" w:rsidRPr="002657D1" w:rsidRDefault="00924424" w:rsidP="00C20FBC">
            <w:pPr>
              <w:widowControl/>
              <w:spacing w:line="360" w:lineRule="auto"/>
              <w:jc w:val="center"/>
              <w:rPr>
                <w:rFonts w:ascii="Times New Roman" w:hAnsi="Times New Roman" w:cs="Times New Roman"/>
                <w:color w:val="000000" w:themeColor="text1"/>
                <w:kern w:val="24"/>
                <w:sz w:val="24"/>
                <w:szCs w:val="24"/>
                <w:lang w:val="de-DE"/>
              </w:rPr>
            </w:pPr>
            <w:r w:rsidRPr="002657D1">
              <w:rPr>
                <w:rFonts w:ascii="Times New Roman" w:hAnsi="Times New Roman" w:cs="Times New Roman" w:hint="eastAsia"/>
                <w:color w:val="000000" w:themeColor="text1"/>
                <w:kern w:val="24"/>
                <w:sz w:val="24"/>
                <w:szCs w:val="24"/>
                <w:lang w:val="de-DE"/>
              </w:rPr>
              <w:t>0.1</w:t>
            </w:r>
          </w:p>
        </w:tc>
        <w:tc>
          <w:tcPr>
            <w:tcW w:w="1276" w:type="dxa"/>
            <w:tcBorders>
              <w:top w:val="nil"/>
              <w:left w:val="nil"/>
              <w:bottom w:val="nil"/>
              <w:right w:val="nil"/>
            </w:tcBorders>
            <w:vAlign w:val="center"/>
          </w:tcPr>
          <w:p w14:paraId="516490EF" w14:textId="07AC81F2" w:rsidR="00403882" w:rsidRPr="002657D1" w:rsidRDefault="00924424" w:rsidP="00C20FBC">
            <w:pPr>
              <w:widowControl/>
              <w:spacing w:line="360" w:lineRule="auto"/>
              <w:jc w:val="center"/>
              <w:rPr>
                <w:rFonts w:ascii="Times New Roman" w:hAnsi="Times New Roman" w:cs="Times New Roman"/>
                <w:color w:val="000000" w:themeColor="text1"/>
                <w:kern w:val="24"/>
                <w:sz w:val="24"/>
                <w:szCs w:val="24"/>
                <w:lang w:val="de-DE"/>
              </w:rPr>
            </w:pPr>
            <w:r w:rsidRPr="002657D1">
              <w:rPr>
                <w:rFonts w:ascii="Times New Roman" w:hAnsi="Times New Roman" w:cs="Times New Roman" w:hint="eastAsia"/>
                <w:color w:val="000000" w:themeColor="text1"/>
                <w:kern w:val="24"/>
                <w:sz w:val="24"/>
                <w:szCs w:val="24"/>
                <w:lang w:val="de-DE"/>
              </w:rPr>
              <w:t>250</w:t>
            </w:r>
          </w:p>
        </w:tc>
        <w:tc>
          <w:tcPr>
            <w:tcW w:w="1842" w:type="dxa"/>
            <w:tcBorders>
              <w:top w:val="nil"/>
              <w:left w:val="nil"/>
              <w:bottom w:val="nil"/>
              <w:right w:val="nil"/>
            </w:tcBorders>
            <w:vAlign w:val="center"/>
          </w:tcPr>
          <w:p w14:paraId="1A190C33" w14:textId="5F7810B1" w:rsidR="00403882" w:rsidRPr="002657D1" w:rsidRDefault="00924424" w:rsidP="00C20FBC">
            <w:pPr>
              <w:widowControl/>
              <w:spacing w:line="360" w:lineRule="auto"/>
              <w:jc w:val="center"/>
              <w:rPr>
                <w:rFonts w:ascii="Times New Roman" w:hAnsi="Times New Roman" w:cs="Times New Roman"/>
                <w:color w:val="000000" w:themeColor="text1"/>
                <w:kern w:val="24"/>
                <w:sz w:val="24"/>
                <w:szCs w:val="24"/>
                <w:lang w:val="de-DE"/>
              </w:rPr>
            </w:pPr>
            <w:r w:rsidRPr="002657D1">
              <w:rPr>
                <w:rFonts w:ascii="Times New Roman" w:hAnsi="Times New Roman" w:cs="Times New Roman" w:hint="eastAsia"/>
                <w:color w:val="000000" w:themeColor="text1"/>
                <w:kern w:val="24"/>
                <w:sz w:val="24"/>
                <w:szCs w:val="24"/>
                <w:lang w:val="de-DE"/>
              </w:rPr>
              <w:t>25</w:t>
            </w:r>
          </w:p>
        </w:tc>
        <w:tc>
          <w:tcPr>
            <w:tcW w:w="1701" w:type="dxa"/>
            <w:tcBorders>
              <w:top w:val="nil"/>
              <w:left w:val="nil"/>
              <w:bottom w:val="nil"/>
              <w:right w:val="nil"/>
            </w:tcBorders>
            <w:vAlign w:val="center"/>
          </w:tcPr>
          <w:p w14:paraId="4DF5BF2B" w14:textId="0FCA6565" w:rsidR="00403882" w:rsidRPr="002657D1" w:rsidRDefault="00924424" w:rsidP="00C20FBC">
            <w:pPr>
              <w:widowControl/>
              <w:spacing w:line="360" w:lineRule="auto"/>
              <w:jc w:val="center"/>
              <w:rPr>
                <w:rFonts w:ascii="Times New Roman" w:hAnsi="Times New Roman" w:cs="Times New Roman"/>
                <w:color w:val="000000" w:themeColor="text1"/>
                <w:kern w:val="24"/>
                <w:sz w:val="24"/>
                <w:szCs w:val="24"/>
                <w:lang w:val="de-DE"/>
              </w:rPr>
            </w:pPr>
            <w:r w:rsidRPr="002657D1">
              <w:rPr>
                <w:rFonts w:ascii="Times New Roman" w:hAnsi="Times New Roman" w:cs="Times New Roman" w:hint="eastAsia"/>
                <w:color w:val="000000" w:themeColor="text1"/>
                <w:kern w:val="24"/>
                <w:sz w:val="24"/>
                <w:szCs w:val="24"/>
                <w:lang w:val="de-DE"/>
              </w:rPr>
              <w:t>25</w:t>
            </w:r>
          </w:p>
        </w:tc>
        <w:tc>
          <w:tcPr>
            <w:tcW w:w="1276" w:type="dxa"/>
            <w:tcBorders>
              <w:top w:val="nil"/>
              <w:left w:val="nil"/>
              <w:bottom w:val="nil"/>
              <w:right w:val="nil"/>
            </w:tcBorders>
            <w:vAlign w:val="center"/>
          </w:tcPr>
          <w:p w14:paraId="67B3A8C3" w14:textId="113D648D" w:rsidR="00403882" w:rsidRPr="002657D1" w:rsidRDefault="00924424" w:rsidP="004A570C">
            <w:pPr>
              <w:widowControl/>
              <w:spacing w:line="360" w:lineRule="auto"/>
              <w:jc w:val="center"/>
              <w:rPr>
                <w:rFonts w:ascii="Times New Roman" w:hAnsi="Times New Roman" w:cs="Times New Roman"/>
                <w:color w:val="000000" w:themeColor="text1"/>
                <w:sz w:val="24"/>
                <w:szCs w:val="24"/>
                <w:lang w:val="de-DE"/>
              </w:rPr>
            </w:pPr>
            <w:r w:rsidRPr="002657D1">
              <w:rPr>
                <w:rFonts w:ascii="Times New Roman" w:hAnsi="Times New Roman" w:cs="Times New Roman"/>
                <w:color w:val="000000" w:themeColor="text1"/>
                <w:sz w:val="24"/>
                <w:szCs w:val="24"/>
              </w:rPr>
              <w:fldChar w:fldCharType="begin"/>
            </w:r>
            <w:r w:rsidR="00A170DE" w:rsidRPr="002657D1">
              <w:rPr>
                <w:rFonts w:ascii="Times New Roman" w:hAnsi="Times New Roman" w:cs="Times New Roman"/>
                <w:color w:val="000000" w:themeColor="text1"/>
                <w:sz w:val="24"/>
                <w:szCs w:val="24"/>
              </w:rPr>
              <w:instrText xml:space="preserve"> ADDIN ZOTERO_ITEM CSL_CITATION {"citationID":"irCRcbxR","properties":{"formattedCitation":"\\super 70\\nosupersub{}","plainCitation":"70","noteIndex":0},"citationItems":[{"id":3060,"uris":["http://zotero.org/users/local/J1vikkcu/items/2ZRLWLFA"],"itemData":{"id":3060,"type":"article-journal","abstract":"Halide solid state electrolyte with Li3InCl6 structure has attracted growing attention due to its good deformability, high ionic conductivity, and good compatibility with high-voltage cathode. However, Li3InCl6 undergoes intense interface side reaction with Li metal anode. To this end, a silver interface layer is introduced between Li and Li3InCl6 through a simple cold pressing method to form a Li Ag anode. The Ag buffer layer prevents the direct contact between Li and Li3InCl6, thus suppresses the interfacial side reaction and the formation of voids and Li dendrites. The Li diffusion kinetics has also been improved due to the formation of Li-Ag alloy phase. Li Ag/Li3InCl6/Li Ag symmetric cell exhibits a high critical current density of 1.3 mA cm 2 and a long life-span of 500 h at 0.1 mA cm 2. This work provides a simple and economical solution for stabilizing the interface between Li3InCl6 halide solid electrolyte and Li metal anode.","container-title":"Journal of Power Sources","DOI":"10.1016/j.jpowsour.2025.237357","ISSN":"03787753","journalAbbreviation":"Journal of Power Sources","language":"en","page":"237357","source":"DOI.org (Crossref)","title":"Li−Ag alloy anode with interfacial silver layer for all−solid−state lithium metal batteries utilizing Li3InCl6 halide solid electrolyte","volume":"647","author":[{"family":"Liu","given":"Fengyi"},{"family":"Cai","given":"Tingting"},{"family":"Zhu","given":"Yulong"},{"family":"Bai","given":"Tiansheng"},{"family":"Nie","given":"Mingxing"},{"family":"Gan","given":"Wei"},{"family":"Li","given":"Deping"},{"family":"Ci","given":"Lijie"},{"family":"Yuan","given":"Qunhui"}],"issued":{"date-parts":[["2025",8]]}}}],"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70</w:t>
            </w:r>
            <w:r w:rsidRPr="002657D1">
              <w:rPr>
                <w:rFonts w:ascii="Times New Roman" w:hAnsi="Times New Roman" w:cs="Times New Roman"/>
                <w:color w:val="000000" w:themeColor="text1"/>
                <w:sz w:val="24"/>
                <w:szCs w:val="24"/>
              </w:rPr>
              <w:fldChar w:fldCharType="end"/>
            </w:r>
          </w:p>
        </w:tc>
      </w:tr>
      <w:tr w:rsidR="002657D1" w:rsidRPr="002657D1" w14:paraId="5970C077" w14:textId="77777777" w:rsidTr="009C3A29">
        <w:trPr>
          <w:jc w:val="center"/>
        </w:trPr>
        <w:tc>
          <w:tcPr>
            <w:tcW w:w="2943" w:type="dxa"/>
            <w:tcBorders>
              <w:top w:val="nil"/>
              <w:left w:val="nil"/>
              <w:bottom w:val="nil"/>
              <w:right w:val="nil"/>
            </w:tcBorders>
            <w:vAlign w:val="center"/>
          </w:tcPr>
          <w:p w14:paraId="28FCD6AE" w14:textId="4BD4B128" w:rsidR="00F364F4" w:rsidRPr="002657D1" w:rsidRDefault="00924424" w:rsidP="00C20FBC">
            <w:pPr>
              <w:pStyle w:val="ac"/>
              <w:spacing w:before="0" w:beforeAutospacing="0" w:after="0" w:afterAutospacing="0" w:line="360" w:lineRule="auto"/>
              <w:jc w:val="center"/>
              <w:rPr>
                <w:rFonts w:ascii="Times New Roman" w:eastAsiaTheme="minorEastAsia" w:hAnsi="Times New Roman" w:cs="Times New Roman"/>
                <w:color w:val="000000" w:themeColor="text1"/>
                <w:kern w:val="24"/>
              </w:rPr>
            </w:pPr>
            <w:r w:rsidRPr="002657D1">
              <w:rPr>
                <w:rFonts w:ascii="Times New Roman" w:eastAsiaTheme="minorEastAsia" w:hAnsi="Times New Roman" w:cs="Times New Roman" w:hint="eastAsia"/>
                <w:color w:val="000000" w:themeColor="text1"/>
                <w:kern w:val="24"/>
              </w:rPr>
              <w:t>Li/Li</w:t>
            </w:r>
            <w:r w:rsidRPr="002657D1">
              <w:rPr>
                <w:rFonts w:ascii="Times New Roman" w:eastAsiaTheme="minorEastAsia" w:hAnsi="Times New Roman" w:cs="Times New Roman"/>
                <w:color w:val="000000" w:themeColor="text1"/>
                <w:kern w:val="24"/>
                <w:vertAlign w:val="subscript"/>
              </w:rPr>
              <w:t>2</w:t>
            </w:r>
            <w:r w:rsidRPr="002657D1">
              <w:rPr>
                <w:rFonts w:ascii="Times New Roman" w:eastAsiaTheme="minorEastAsia" w:hAnsi="Times New Roman" w:cs="Times New Roman" w:hint="eastAsia"/>
                <w:color w:val="000000" w:themeColor="text1"/>
                <w:kern w:val="24"/>
              </w:rPr>
              <w:t>ZrIn</w:t>
            </w:r>
            <w:r w:rsidRPr="002657D1">
              <w:rPr>
                <w:rFonts w:ascii="Times New Roman" w:eastAsiaTheme="minorEastAsia" w:hAnsi="Times New Roman" w:cs="Times New Roman"/>
                <w:color w:val="000000" w:themeColor="text1"/>
                <w:kern w:val="24"/>
                <w:vertAlign w:val="subscript"/>
              </w:rPr>
              <w:t>1.85</w:t>
            </w:r>
            <w:r w:rsidRPr="002657D1">
              <w:rPr>
                <w:rFonts w:ascii="Times New Roman" w:eastAsiaTheme="minorEastAsia" w:hAnsi="Times New Roman" w:cs="Times New Roman" w:hint="eastAsia"/>
                <w:color w:val="000000" w:themeColor="text1"/>
                <w:kern w:val="24"/>
              </w:rPr>
              <w:t>Cl</w:t>
            </w:r>
            <w:r w:rsidRPr="002657D1">
              <w:rPr>
                <w:rFonts w:ascii="Times New Roman" w:eastAsiaTheme="minorEastAsia" w:hAnsi="Times New Roman" w:cs="Times New Roman"/>
                <w:color w:val="000000" w:themeColor="text1"/>
                <w:kern w:val="24"/>
                <w:vertAlign w:val="subscript"/>
              </w:rPr>
              <w:t>6</w:t>
            </w:r>
            <w:r w:rsidRPr="002657D1">
              <w:rPr>
                <w:rFonts w:ascii="Times New Roman" w:eastAsiaTheme="minorEastAsia" w:hAnsi="Times New Roman" w:cs="Times New Roman" w:hint="eastAsia"/>
                <w:color w:val="000000" w:themeColor="text1"/>
                <w:kern w:val="24"/>
              </w:rPr>
              <w:t>F</w:t>
            </w:r>
            <w:r w:rsidRPr="002657D1">
              <w:rPr>
                <w:rFonts w:ascii="Times New Roman" w:eastAsiaTheme="minorEastAsia" w:hAnsi="Times New Roman" w:cs="Times New Roman"/>
                <w:color w:val="000000" w:themeColor="text1"/>
                <w:kern w:val="24"/>
                <w:vertAlign w:val="subscript"/>
              </w:rPr>
              <w:t>5.55</w:t>
            </w:r>
            <w:r w:rsidRPr="002657D1">
              <w:rPr>
                <w:rFonts w:ascii="Times New Roman" w:eastAsiaTheme="minorEastAsia" w:hAnsi="Times New Roman" w:cs="Times New Roman" w:hint="eastAsia"/>
                <w:color w:val="000000" w:themeColor="text1"/>
                <w:kern w:val="24"/>
              </w:rPr>
              <w:t>/Li</w:t>
            </w:r>
            <w:r w:rsidRPr="002657D1">
              <w:rPr>
                <w:rFonts w:ascii="Times New Roman" w:eastAsiaTheme="minorEastAsia" w:hAnsi="Times New Roman" w:cs="Times New Roman"/>
                <w:color w:val="000000" w:themeColor="text1"/>
                <w:kern w:val="24"/>
                <w:vertAlign w:val="subscript"/>
              </w:rPr>
              <w:t>2</w:t>
            </w:r>
            <w:r w:rsidRPr="002657D1">
              <w:rPr>
                <w:rFonts w:ascii="Times New Roman" w:eastAsiaTheme="minorEastAsia" w:hAnsi="Times New Roman" w:cs="Times New Roman" w:hint="eastAsia"/>
                <w:color w:val="000000" w:themeColor="text1"/>
                <w:kern w:val="24"/>
              </w:rPr>
              <w:t>ZrCl</w:t>
            </w:r>
            <w:r w:rsidRPr="002657D1">
              <w:rPr>
                <w:rFonts w:ascii="Times New Roman" w:eastAsiaTheme="minorEastAsia" w:hAnsi="Times New Roman" w:cs="Times New Roman"/>
                <w:color w:val="000000" w:themeColor="text1"/>
                <w:kern w:val="24"/>
                <w:vertAlign w:val="subscript"/>
              </w:rPr>
              <w:t>6</w:t>
            </w:r>
            <w:r w:rsidRPr="002657D1">
              <w:rPr>
                <w:rFonts w:ascii="Times New Roman" w:eastAsiaTheme="minorEastAsia" w:hAnsi="Times New Roman" w:cs="Times New Roman" w:hint="eastAsia"/>
                <w:color w:val="000000" w:themeColor="text1"/>
                <w:kern w:val="24"/>
              </w:rPr>
              <w:t>/Li</w:t>
            </w:r>
            <w:r w:rsidRPr="002657D1">
              <w:rPr>
                <w:rFonts w:ascii="Times New Roman" w:eastAsiaTheme="minorEastAsia" w:hAnsi="Times New Roman" w:cs="Times New Roman"/>
                <w:color w:val="000000" w:themeColor="text1"/>
                <w:kern w:val="24"/>
                <w:vertAlign w:val="subscript"/>
              </w:rPr>
              <w:t>2</w:t>
            </w:r>
            <w:r w:rsidRPr="002657D1">
              <w:rPr>
                <w:rFonts w:ascii="Times New Roman" w:eastAsiaTheme="minorEastAsia" w:hAnsi="Times New Roman" w:cs="Times New Roman" w:hint="eastAsia"/>
                <w:color w:val="000000" w:themeColor="text1"/>
                <w:kern w:val="24"/>
              </w:rPr>
              <w:t>ZrIn</w:t>
            </w:r>
            <w:r w:rsidRPr="002657D1">
              <w:rPr>
                <w:rFonts w:ascii="Times New Roman" w:eastAsiaTheme="minorEastAsia" w:hAnsi="Times New Roman" w:cs="Times New Roman"/>
                <w:color w:val="000000" w:themeColor="text1"/>
                <w:kern w:val="24"/>
                <w:vertAlign w:val="subscript"/>
              </w:rPr>
              <w:t>1.85</w:t>
            </w:r>
            <w:r w:rsidRPr="002657D1">
              <w:rPr>
                <w:rFonts w:ascii="Times New Roman" w:eastAsiaTheme="minorEastAsia" w:hAnsi="Times New Roman" w:cs="Times New Roman" w:hint="eastAsia"/>
                <w:color w:val="000000" w:themeColor="text1"/>
                <w:kern w:val="24"/>
              </w:rPr>
              <w:t>Cl</w:t>
            </w:r>
            <w:r w:rsidRPr="002657D1">
              <w:rPr>
                <w:rFonts w:ascii="Times New Roman" w:eastAsiaTheme="minorEastAsia" w:hAnsi="Times New Roman" w:cs="Times New Roman"/>
                <w:color w:val="000000" w:themeColor="text1"/>
                <w:kern w:val="24"/>
                <w:vertAlign w:val="subscript"/>
              </w:rPr>
              <w:t>6</w:t>
            </w:r>
            <w:r w:rsidRPr="002657D1">
              <w:rPr>
                <w:rFonts w:ascii="Times New Roman" w:eastAsiaTheme="minorEastAsia" w:hAnsi="Times New Roman" w:cs="Times New Roman" w:hint="eastAsia"/>
                <w:color w:val="000000" w:themeColor="text1"/>
                <w:kern w:val="24"/>
              </w:rPr>
              <w:t>F</w:t>
            </w:r>
            <w:r w:rsidRPr="002657D1">
              <w:rPr>
                <w:rFonts w:ascii="Times New Roman" w:eastAsiaTheme="minorEastAsia" w:hAnsi="Times New Roman" w:cs="Times New Roman"/>
                <w:color w:val="000000" w:themeColor="text1"/>
                <w:kern w:val="24"/>
                <w:vertAlign w:val="subscript"/>
              </w:rPr>
              <w:t>5.55</w:t>
            </w:r>
            <w:r w:rsidRPr="002657D1">
              <w:rPr>
                <w:rFonts w:ascii="Times New Roman" w:eastAsiaTheme="minorEastAsia" w:hAnsi="Times New Roman" w:cs="Times New Roman" w:hint="eastAsia"/>
                <w:color w:val="000000" w:themeColor="text1"/>
                <w:kern w:val="24"/>
              </w:rPr>
              <w:t>/Li</w:t>
            </w:r>
          </w:p>
        </w:tc>
        <w:tc>
          <w:tcPr>
            <w:tcW w:w="1310" w:type="dxa"/>
            <w:tcBorders>
              <w:top w:val="nil"/>
              <w:left w:val="nil"/>
              <w:bottom w:val="nil"/>
              <w:right w:val="nil"/>
            </w:tcBorders>
            <w:vAlign w:val="center"/>
          </w:tcPr>
          <w:p w14:paraId="06C4A536" w14:textId="1061D10C" w:rsidR="00F364F4" w:rsidRPr="002657D1" w:rsidRDefault="00A170DE"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0.1</w:t>
            </w:r>
          </w:p>
        </w:tc>
        <w:tc>
          <w:tcPr>
            <w:tcW w:w="1701" w:type="dxa"/>
            <w:tcBorders>
              <w:top w:val="nil"/>
              <w:left w:val="nil"/>
              <w:bottom w:val="nil"/>
              <w:right w:val="nil"/>
            </w:tcBorders>
            <w:vAlign w:val="center"/>
          </w:tcPr>
          <w:p w14:paraId="4102AD7B" w14:textId="204BA87F" w:rsidR="00F364F4" w:rsidRPr="002657D1" w:rsidRDefault="00A170DE"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0.1</w:t>
            </w:r>
          </w:p>
        </w:tc>
        <w:tc>
          <w:tcPr>
            <w:tcW w:w="1276" w:type="dxa"/>
            <w:tcBorders>
              <w:top w:val="nil"/>
              <w:left w:val="nil"/>
              <w:bottom w:val="nil"/>
              <w:right w:val="nil"/>
            </w:tcBorders>
            <w:vAlign w:val="center"/>
          </w:tcPr>
          <w:p w14:paraId="1EC62F9D" w14:textId="1F48B6DF" w:rsidR="00F364F4" w:rsidRPr="002657D1" w:rsidRDefault="00A170DE"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1500</w:t>
            </w:r>
          </w:p>
        </w:tc>
        <w:tc>
          <w:tcPr>
            <w:tcW w:w="1842" w:type="dxa"/>
            <w:tcBorders>
              <w:top w:val="nil"/>
              <w:left w:val="nil"/>
              <w:bottom w:val="nil"/>
              <w:right w:val="nil"/>
            </w:tcBorders>
            <w:vAlign w:val="center"/>
          </w:tcPr>
          <w:p w14:paraId="341D4B0A" w14:textId="6BDF6F11" w:rsidR="00F364F4" w:rsidRPr="002657D1" w:rsidRDefault="00A170DE"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150</w:t>
            </w:r>
          </w:p>
        </w:tc>
        <w:tc>
          <w:tcPr>
            <w:tcW w:w="1701" w:type="dxa"/>
            <w:tcBorders>
              <w:top w:val="nil"/>
              <w:left w:val="nil"/>
              <w:bottom w:val="nil"/>
              <w:right w:val="nil"/>
            </w:tcBorders>
            <w:vAlign w:val="center"/>
          </w:tcPr>
          <w:p w14:paraId="62D49087" w14:textId="1922E180" w:rsidR="00F364F4" w:rsidRPr="002657D1" w:rsidRDefault="00A170DE"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30</w:t>
            </w:r>
          </w:p>
        </w:tc>
        <w:tc>
          <w:tcPr>
            <w:tcW w:w="1276" w:type="dxa"/>
            <w:tcBorders>
              <w:top w:val="nil"/>
              <w:left w:val="nil"/>
              <w:bottom w:val="nil"/>
              <w:right w:val="nil"/>
            </w:tcBorders>
            <w:vAlign w:val="center"/>
          </w:tcPr>
          <w:p w14:paraId="0FB97957" w14:textId="0710AEE5" w:rsidR="00F364F4" w:rsidRPr="002657D1" w:rsidRDefault="00A170DE" w:rsidP="004A570C">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Pr="002657D1">
              <w:rPr>
                <w:rFonts w:ascii="Times New Roman" w:hAnsi="Times New Roman" w:cs="Times New Roman"/>
                <w:color w:val="000000" w:themeColor="text1"/>
                <w:sz w:val="24"/>
                <w:szCs w:val="24"/>
              </w:rPr>
              <w:instrText xml:space="preserve"> ADDIN ZOTERO_ITEM CSL_CITATION {"citationID":"atq7d74qbe","properties":{"formattedCitation":"\\super 71\\nosupersub{}","plainCitation":"71","noteIndex":0},"citationItems":[{"id":2381,"uris":["http://zotero.org/users/local/J1vikkcu/items/NNEXTPTI"],"itemData":{"id":2381,"type":"article-journal","abstract":"Halide solid-state electrolytes (SSEs) with high ionic conductivity and high-voltage stability have attracted significant interest for application in allsolid-state batteries. However, they are not chemically stable against the lithium (Li) metal anode due to continuous side reduction reactions, hindering the application of halide SSEs in high-energy-density all-solid-state Li metal batteries (ASSLMBs). Here, we report a self-limiting layer (SLL) composed of InF3 and Li2ZrCl6 (LZC) to stabilize the halide SSEs and Li metal anode interface, where the in situ generated LiF-rich layer serves as a passivation layer to suppress ensuing reactions and kinetically stabilize the interface between LZC and Li metal anode. As a result, Li metal symmetric cells with LZC protected by the SLL exhibit excellent cycling performance for over 3000 h. The ASSLMBs with SLL achieve 99.2% capacity retention over 100 cycles at 0.5 C and 83.5% capacity retention after 250 cycles at 2 C. Density functional theory-computed thermodynamic data and postcycling experimental characterizations confirm the forming of a LiF-rich passivation layer between the SLL and the Li anode, which effectively prevents continuous side reactions. This self-limiting interface protection offers a feasible kinetical passivation strategy for halide SSEs and the Li metal anode toward high-performance ASSLMBs.","container-title":"ACS Nano","DOI":"10.1021/acsnano.4c18584","ISSN":"1936-0851, 1936-086X","issue":"15","journalAbbreviation":"ACS Nano","language":"en","license":"https://doi.org/10.15223/policy-029","page":"14839-14847","source":"DOI.org (Crossref)","title":"Stabilizing Halide Electrolytes against Lithium Metal with a Self-Limiting Layer for All-Solid-State Lithium Metal Batteries","volume":"19","author":[{"family":"Zhang","given":"Guangwen"},{"family":"Li","given":"Deyuan"},{"family":"Yu","given":"Dongfang"},{"family":"Du","given":"Ao"},{"family":"Chen","given":"Zihui"},{"family":"Ge","given":"Huilin"},{"family":"Hou","given":"Weiqi"},{"family":"Zhu","given":"Yizhou"},{"family":"Yang","given":"Chunpeng"}],"issued":{"date-parts":[["2025",4,22]]}}}],"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71</w:t>
            </w:r>
            <w:r w:rsidRPr="002657D1">
              <w:rPr>
                <w:rFonts w:ascii="Times New Roman" w:hAnsi="Times New Roman" w:cs="Times New Roman"/>
                <w:color w:val="000000" w:themeColor="text1"/>
                <w:sz w:val="24"/>
                <w:szCs w:val="24"/>
              </w:rPr>
              <w:fldChar w:fldCharType="end"/>
            </w:r>
          </w:p>
        </w:tc>
      </w:tr>
      <w:tr w:rsidR="002657D1" w:rsidRPr="002657D1" w14:paraId="7E25D4D0" w14:textId="77777777" w:rsidTr="009C3A29">
        <w:trPr>
          <w:jc w:val="center"/>
        </w:trPr>
        <w:tc>
          <w:tcPr>
            <w:tcW w:w="2943" w:type="dxa"/>
            <w:tcBorders>
              <w:top w:val="nil"/>
              <w:left w:val="nil"/>
              <w:bottom w:val="nil"/>
              <w:right w:val="nil"/>
            </w:tcBorders>
            <w:vAlign w:val="center"/>
          </w:tcPr>
          <w:p w14:paraId="55948878" w14:textId="69D57997" w:rsidR="00F364F4" w:rsidRPr="002657D1" w:rsidRDefault="00A170DE" w:rsidP="00C20FBC">
            <w:pPr>
              <w:pStyle w:val="ac"/>
              <w:spacing w:before="0" w:beforeAutospacing="0" w:after="0" w:afterAutospacing="0" w:line="360" w:lineRule="auto"/>
              <w:jc w:val="center"/>
              <w:rPr>
                <w:rFonts w:ascii="Times New Roman" w:eastAsiaTheme="minorEastAsia" w:hAnsi="Times New Roman" w:cs="Times New Roman"/>
                <w:color w:val="000000" w:themeColor="text1"/>
                <w:kern w:val="24"/>
              </w:rPr>
            </w:pPr>
            <w:r w:rsidRPr="002657D1">
              <w:rPr>
                <w:rFonts w:ascii="Times New Roman" w:eastAsiaTheme="minorEastAsia" w:hAnsi="Times New Roman" w:cs="Times New Roman" w:hint="eastAsia"/>
                <w:color w:val="000000" w:themeColor="text1"/>
                <w:kern w:val="24"/>
              </w:rPr>
              <w:t>Li/PEO/Li</w:t>
            </w:r>
            <w:r w:rsidRPr="002657D1">
              <w:rPr>
                <w:rFonts w:ascii="Times New Roman" w:eastAsiaTheme="minorEastAsia" w:hAnsi="Times New Roman" w:cs="Times New Roman" w:hint="eastAsia"/>
                <w:color w:val="000000" w:themeColor="text1"/>
                <w:kern w:val="24"/>
                <w:vertAlign w:val="subscript"/>
              </w:rPr>
              <w:t>2</w:t>
            </w:r>
            <w:r w:rsidRPr="002657D1">
              <w:rPr>
                <w:rFonts w:ascii="Times New Roman" w:eastAsiaTheme="minorEastAsia" w:hAnsi="Times New Roman" w:cs="Times New Roman" w:hint="eastAsia"/>
                <w:color w:val="000000" w:themeColor="text1"/>
                <w:kern w:val="24"/>
              </w:rPr>
              <w:t>TiF</w:t>
            </w:r>
            <w:r w:rsidRPr="002657D1">
              <w:rPr>
                <w:rFonts w:ascii="Times New Roman" w:eastAsiaTheme="minorEastAsia" w:hAnsi="Times New Roman" w:cs="Times New Roman" w:hint="eastAsia"/>
                <w:color w:val="000000" w:themeColor="text1"/>
                <w:kern w:val="24"/>
                <w:vertAlign w:val="subscript"/>
              </w:rPr>
              <w:t>6</w:t>
            </w:r>
            <w:r w:rsidRPr="002657D1">
              <w:rPr>
                <w:rFonts w:ascii="Times New Roman" w:eastAsiaTheme="minorEastAsia" w:hAnsi="Times New Roman" w:cs="Times New Roman" w:hint="eastAsia"/>
                <w:color w:val="000000" w:themeColor="text1"/>
                <w:kern w:val="24"/>
              </w:rPr>
              <w:t>/PEO/Li</w:t>
            </w:r>
          </w:p>
        </w:tc>
        <w:tc>
          <w:tcPr>
            <w:tcW w:w="1310" w:type="dxa"/>
            <w:tcBorders>
              <w:top w:val="nil"/>
              <w:left w:val="nil"/>
              <w:bottom w:val="nil"/>
              <w:right w:val="nil"/>
            </w:tcBorders>
            <w:vAlign w:val="center"/>
          </w:tcPr>
          <w:p w14:paraId="3E444B5F" w14:textId="5F25A2B2" w:rsidR="00F364F4" w:rsidRPr="002657D1" w:rsidRDefault="00A170DE"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0.1</w:t>
            </w:r>
          </w:p>
        </w:tc>
        <w:tc>
          <w:tcPr>
            <w:tcW w:w="1701" w:type="dxa"/>
            <w:tcBorders>
              <w:top w:val="nil"/>
              <w:left w:val="nil"/>
              <w:bottom w:val="nil"/>
              <w:right w:val="nil"/>
            </w:tcBorders>
            <w:vAlign w:val="center"/>
          </w:tcPr>
          <w:p w14:paraId="5D0C44F1" w14:textId="226EF927" w:rsidR="00F364F4" w:rsidRPr="002657D1" w:rsidRDefault="00A170DE"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0.1</w:t>
            </w:r>
          </w:p>
        </w:tc>
        <w:tc>
          <w:tcPr>
            <w:tcW w:w="1276" w:type="dxa"/>
            <w:tcBorders>
              <w:top w:val="nil"/>
              <w:left w:val="nil"/>
              <w:bottom w:val="nil"/>
              <w:right w:val="nil"/>
            </w:tcBorders>
            <w:vAlign w:val="center"/>
          </w:tcPr>
          <w:p w14:paraId="3ABDABB1" w14:textId="1B60C518" w:rsidR="00F364F4" w:rsidRPr="002657D1" w:rsidRDefault="00A170DE"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500</w:t>
            </w:r>
          </w:p>
        </w:tc>
        <w:tc>
          <w:tcPr>
            <w:tcW w:w="1842" w:type="dxa"/>
            <w:tcBorders>
              <w:top w:val="nil"/>
              <w:left w:val="nil"/>
              <w:bottom w:val="nil"/>
              <w:right w:val="nil"/>
            </w:tcBorders>
          </w:tcPr>
          <w:p w14:paraId="19706C7C" w14:textId="698D4AA1" w:rsidR="00F364F4" w:rsidRPr="002657D1" w:rsidRDefault="00A170DE"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50</w:t>
            </w:r>
          </w:p>
        </w:tc>
        <w:tc>
          <w:tcPr>
            <w:tcW w:w="1701" w:type="dxa"/>
            <w:tcBorders>
              <w:top w:val="nil"/>
              <w:left w:val="nil"/>
              <w:bottom w:val="nil"/>
              <w:right w:val="nil"/>
            </w:tcBorders>
            <w:vAlign w:val="center"/>
          </w:tcPr>
          <w:p w14:paraId="08FE99F5" w14:textId="6C2368DA" w:rsidR="00F364F4" w:rsidRPr="002657D1" w:rsidRDefault="00A170DE"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60</w:t>
            </w:r>
          </w:p>
        </w:tc>
        <w:bookmarkStart w:id="113" w:name="OLE_LINK17"/>
        <w:tc>
          <w:tcPr>
            <w:tcW w:w="1276" w:type="dxa"/>
            <w:tcBorders>
              <w:top w:val="nil"/>
              <w:left w:val="nil"/>
              <w:bottom w:val="nil"/>
              <w:right w:val="nil"/>
            </w:tcBorders>
            <w:vAlign w:val="center"/>
          </w:tcPr>
          <w:p w14:paraId="2A64F55E" w14:textId="30FC8F9E" w:rsidR="00F364F4" w:rsidRPr="002657D1" w:rsidRDefault="00A170DE" w:rsidP="004A570C">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Pr="002657D1">
              <w:rPr>
                <w:rFonts w:ascii="Times New Roman" w:hAnsi="Times New Roman" w:cs="Times New Roman"/>
                <w:color w:val="000000" w:themeColor="text1"/>
                <w:sz w:val="24"/>
                <w:szCs w:val="24"/>
              </w:rPr>
              <w:instrText xml:space="preserve"> ADDIN ZOTERO_ITEM CSL_CITATION {"citationID":"a2fsrlge7dp","properties":{"formattedCitation":"\\super 72\\nosupersub{}","plainCitation":"72","noteIndex":0},"citationItems":[{"id":3062,"uris":["http://zotero.org/users/local/J1vikkcu/items/DARPCXPH"],"itemData":{"id":3062,"type":"article-journal","abstract":"Among halide solid-state electrolytes (SSEs), fluorides show distinct advantages in chemical and electrochemical stability but are plagued by inadequate room-temperature (RT) ionic conductivity. Herein, we propose a cost-effective and humid air-stable fluoride SSE Li2TiF6 synthesized by a simple hydrothermal method, exhibiting a high ionic conductivity of 9.69 × 10−5 S/cm at RT and outstanding humidity tolerance. The enhanced ionic conductivity is demonstrated to originate from microstrain-induced crystal lattice expansion. Furthermore, a stable Li+conductive and intimate interface between halide electrolyte and lithium metal is constructed by introducing a poly(ethylene oxide) protective layer, resulting in the symmetric cell exhibiting a long lifespan with stable cycling over 1000 h at 0.1 mA/ cm2 as well as the solid-state lithium metal batteries based on the LiFePO4 cathode reversibly operated for at least 250 cycles at 0.5 C. This work provides fresh perspectives on resolving the cost and various stability issues encountered with halide SSEs.","container-title":"ACS Materials Letters","DOI":"10.1021/acsmaterialslett.5c00029","ISSN":"2639-4979, 2639-4979","issue":"5","journalAbbreviation":"ACS Materials Lett.","language":"en","license":"https://doi.org/10.15223/policy-029","page":"1768-1776","source":"DOI.org (Crossref)","title":"Cost-Effective and Humid Air-Stable Fluoride Solid Electrolyte with High Ionic Conductivity Induced by Microstructural Modulation","volume":"7","author":[{"family":"Nie","given":"Xianhui"},{"family":"Lei","given":"Meng"},{"family":"Hu","given":"Jiulin"},{"family":"Li","given":"Chilin"}],"issued":{"date-parts":[["2025",5,5]]}}}],"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72</w:t>
            </w:r>
            <w:r w:rsidRPr="002657D1">
              <w:rPr>
                <w:rFonts w:ascii="Times New Roman" w:hAnsi="Times New Roman" w:cs="Times New Roman"/>
                <w:color w:val="000000" w:themeColor="text1"/>
                <w:sz w:val="24"/>
                <w:szCs w:val="24"/>
              </w:rPr>
              <w:fldChar w:fldCharType="end"/>
            </w:r>
            <w:bookmarkEnd w:id="113"/>
          </w:p>
        </w:tc>
      </w:tr>
      <w:tr w:rsidR="002657D1" w:rsidRPr="002657D1" w14:paraId="33FDC1B4" w14:textId="77777777" w:rsidTr="009C3A29">
        <w:trPr>
          <w:jc w:val="center"/>
        </w:trPr>
        <w:tc>
          <w:tcPr>
            <w:tcW w:w="2943" w:type="dxa"/>
            <w:tcBorders>
              <w:top w:val="nil"/>
              <w:left w:val="nil"/>
              <w:bottom w:val="nil"/>
              <w:right w:val="nil"/>
            </w:tcBorders>
            <w:vAlign w:val="center"/>
          </w:tcPr>
          <w:p w14:paraId="6897BD06" w14:textId="0A0DC56F" w:rsidR="00F364F4" w:rsidRPr="002657D1" w:rsidRDefault="00A170DE" w:rsidP="00C20FBC">
            <w:pPr>
              <w:pStyle w:val="ac"/>
              <w:spacing w:before="0" w:beforeAutospacing="0" w:after="0" w:afterAutospacing="0" w:line="360" w:lineRule="auto"/>
              <w:jc w:val="center"/>
              <w:rPr>
                <w:rFonts w:ascii="Times New Roman" w:eastAsiaTheme="minorEastAsia" w:hAnsi="Times New Roman" w:cs="Times New Roman"/>
                <w:color w:val="000000" w:themeColor="text1"/>
                <w:kern w:val="24"/>
              </w:rPr>
            </w:pPr>
            <w:r w:rsidRPr="002657D1">
              <w:rPr>
                <w:rFonts w:ascii="Times New Roman" w:eastAsiaTheme="minorEastAsia" w:hAnsi="Times New Roman" w:cs="Times New Roman" w:hint="eastAsia"/>
                <w:color w:val="000000" w:themeColor="text1"/>
                <w:kern w:val="24"/>
              </w:rPr>
              <w:t>Li/LiF-ZrF</w:t>
            </w:r>
            <w:r w:rsidRPr="002657D1">
              <w:rPr>
                <w:rFonts w:ascii="Times New Roman" w:eastAsiaTheme="minorEastAsia" w:hAnsi="Times New Roman" w:cs="Times New Roman" w:hint="eastAsia"/>
                <w:color w:val="000000" w:themeColor="text1"/>
                <w:kern w:val="24"/>
                <w:vertAlign w:val="subscript"/>
              </w:rPr>
              <w:t>4</w:t>
            </w:r>
            <w:r w:rsidRPr="002657D1">
              <w:rPr>
                <w:rFonts w:ascii="Times New Roman" w:eastAsiaTheme="minorEastAsia" w:hAnsi="Times New Roman" w:cs="Times New Roman" w:hint="eastAsia"/>
                <w:color w:val="000000" w:themeColor="text1"/>
                <w:kern w:val="24"/>
              </w:rPr>
              <w:t>@Li</w:t>
            </w:r>
            <w:r w:rsidRPr="002657D1">
              <w:rPr>
                <w:rFonts w:ascii="Times New Roman" w:eastAsiaTheme="minorEastAsia" w:hAnsi="Times New Roman" w:cs="Times New Roman" w:hint="eastAsia"/>
                <w:color w:val="000000" w:themeColor="text1"/>
                <w:kern w:val="24"/>
                <w:vertAlign w:val="subscript"/>
              </w:rPr>
              <w:t>2</w:t>
            </w:r>
            <w:r w:rsidRPr="002657D1">
              <w:rPr>
                <w:rFonts w:ascii="Times New Roman" w:eastAsiaTheme="minorEastAsia" w:hAnsi="Times New Roman" w:cs="Times New Roman" w:hint="eastAsia"/>
                <w:color w:val="000000" w:themeColor="text1"/>
                <w:kern w:val="24"/>
              </w:rPr>
              <w:t>ZrCl</w:t>
            </w:r>
            <w:r w:rsidRPr="002657D1">
              <w:rPr>
                <w:rFonts w:ascii="Times New Roman" w:eastAsiaTheme="minorEastAsia" w:hAnsi="Times New Roman" w:cs="Times New Roman" w:hint="eastAsia"/>
                <w:color w:val="000000" w:themeColor="text1"/>
                <w:kern w:val="24"/>
                <w:vertAlign w:val="subscript"/>
              </w:rPr>
              <w:t>6</w:t>
            </w:r>
            <w:r w:rsidRPr="002657D1">
              <w:rPr>
                <w:rFonts w:ascii="Times New Roman" w:eastAsiaTheme="minorEastAsia" w:hAnsi="Times New Roman" w:cs="Times New Roman" w:hint="eastAsia"/>
                <w:color w:val="000000" w:themeColor="text1"/>
                <w:kern w:val="24"/>
              </w:rPr>
              <w:t>/Li</w:t>
            </w:r>
          </w:p>
        </w:tc>
        <w:tc>
          <w:tcPr>
            <w:tcW w:w="1310" w:type="dxa"/>
            <w:tcBorders>
              <w:top w:val="nil"/>
              <w:left w:val="nil"/>
              <w:bottom w:val="nil"/>
              <w:right w:val="nil"/>
            </w:tcBorders>
            <w:vAlign w:val="center"/>
          </w:tcPr>
          <w:p w14:paraId="203B88F1" w14:textId="47E95037" w:rsidR="00F364F4" w:rsidRPr="002657D1" w:rsidRDefault="00A170DE"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0.1</w:t>
            </w:r>
          </w:p>
        </w:tc>
        <w:tc>
          <w:tcPr>
            <w:tcW w:w="1701" w:type="dxa"/>
            <w:tcBorders>
              <w:top w:val="nil"/>
              <w:left w:val="nil"/>
              <w:bottom w:val="nil"/>
              <w:right w:val="nil"/>
            </w:tcBorders>
            <w:vAlign w:val="center"/>
          </w:tcPr>
          <w:p w14:paraId="27015666" w14:textId="6C30E953" w:rsidR="00F364F4" w:rsidRPr="002657D1" w:rsidRDefault="00A170DE"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0.1</w:t>
            </w:r>
          </w:p>
        </w:tc>
        <w:tc>
          <w:tcPr>
            <w:tcW w:w="1276" w:type="dxa"/>
            <w:tcBorders>
              <w:top w:val="nil"/>
              <w:left w:val="nil"/>
              <w:bottom w:val="nil"/>
              <w:right w:val="nil"/>
            </w:tcBorders>
            <w:vAlign w:val="center"/>
          </w:tcPr>
          <w:p w14:paraId="795C6084" w14:textId="4C551A81" w:rsidR="00F364F4" w:rsidRPr="002657D1" w:rsidRDefault="00A170DE"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400</w:t>
            </w:r>
          </w:p>
        </w:tc>
        <w:tc>
          <w:tcPr>
            <w:tcW w:w="1842" w:type="dxa"/>
            <w:tcBorders>
              <w:top w:val="nil"/>
              <w:left w:val="nil"/>
              <w:bottom w:val="nil"/>
              <w:right w:val="nil"/>
            </w:tcBorders>
          </w:tcPr>
          <w:p w14:paraId="67EFA382" w14:textId="6BE0FBB2" w:rsidR="00F364F4" w:rsidRPr="002657D1" w:rsidRDefault="00A170DE"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40</w:t>
            </w:r>
          </w:p>
        </w:tc>
        <w:tc>
          <w:tcPr>
            <w:tcW w:w="1701" w:type="dxa"/>
            <w:tcBorders>
              <w:top w:val="nil"/>
              <w:left w:val="nil"/>
              <w:bottom w:val="nil"/>
              <w:right w:val="nil"/>
            </w:tcBorders>
            <w:vAlign w:val="center"/>
          </w:tcPr>
          <w:p w14:paraId="6F60A04B" w14:textId="7FE89BEE" w:rsidR="00F364F4" w:rsidRPr="002657D1" w:rsidRDefault="00A170DE"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25</w:t>
            </w:r>
          </w:p>
        </w:tc>
        <w:tc>
          <w:tcPr>
            <w:tcW w:w="1276" w:type="dxa"/>
            <w:tcBorders>
              <w:top w:val="nil"/>
              <w:left w:val="nil"/>
              <w:bottom w:val="nil"/>
              <w:right w:val="nil"/>
            </w:tcBorders>
            <w:vAlign w:val="center"/>
          </w:tcPr>
          <w:p w14:paraId="68F256ED" w14:textId="29240776" w:rsidR="00F364F4" w:rsidRPr="002657D1" w:rsidRDefault="00A170DE" w:rsidP="004A570C">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A720EA" w:rsidRPr="002657D1">
              <w:rPr>
                <w:rFonts w:ascii="Times New Roman" w:hAnsi="Times New Roman" w:cs="Times New Roman"/>
                <w:color w:val="000000" w:themeColor="text1"/>
                <w:sz w:val="24"/>
                <w:szCs w:val="24"/>
              </w:rPr>
              <w:instrText xml:space="preserve"> ADDIN ZOTERO_ITEM CSL_CITATION {"citationID":"abh2gira0l","properties":{"formattedCitation":"\\super 73\\nosupersub{}","plainCitation":"73","noteIndex":0},"citationItems":[{"id":1323,"uris":["http://zotero.org/users/local/J1vikkcu/items/UVGQYDZ2"],"itemData":{"id":1323,"type":"article-journal","abstract":"Halide solid electrolytes (HSEs) are commanding attention for their satisfactory ionic conductivity, good deformability, and high stability toward high-voltage electrode materials. However, the stability of HSEs against moisture and lithium metal is poor, limiting their applications in all-solid-state lithium metal batteries (ASSLMBs). Herein, we constructed fluoride-coated Li2ZrCl6, i.e., LiF-ZrF4@Li2ZrCl6 (LFZ@LZC) via a gas-solid reaction. Such core-shell structured electrolyte exhibits exceptional structural integrity after exposure to humid air, demonstrating admirable air stability. The hydrolysis mechanism of LZC and the enhancement effects of the fluoride coating layer were elucidated through comprehensive density functional theory calculations. Benefiting from the protection of the fluoride layer and one-order of magnitude lower electronic conductivity, LFZ@LZC endows excellent long-term cycling stability in lithium symmetric batteries (stable cycle at 0.1 mA cm− 2 over 800 h) and increases the critical current density threefold to 1.8 mA cm− 2. Most auspiciously, either pristine or airexposed LFZ@LZC as an interlayer enables ASSLMBs with superior cycling stability and rate capability. This work highlights the potential of fluoride-coating strategies for the development of highly reliable HSEs, which could significantly advance the field of energy storage technology.","container-title":"Energy Storage Materials","DOI":"10.1016/j.ensm.2025.104107","ISSN":"24058297","journalAbbreviation":"Energy Storage Materials","language":"en","page":"104107","source":"DOI.org (Crossref)","title":"Fluorinated coating stabilizing halide solid electrolytes for all-solid-state lithium metal batteries","volume":"75","author":[{"family":"Liu","given":"Hong"},{"family":"Li","given":"Yang"},{"family":"Dong","given":"Chenxin"},{"family":"Yuan","given":"Haocheng"},{"family":"Yu","given":"Dengfeng"},{"family":"Ding","given":"Peipei"},{"family":"Li","given":"Yue"},{"family":"Cao","given":"Rongchuan"},{"family":"Wu","given":"Qian"},{"family":"Liang","given":"Ying"},{"family":"Luo","given":"Hanlin"},{"family":"Qin","given":"Zuoyu"},{"family":"Gao","given":"Lei"},{"family":"Ren","given":"Yaoyu"},{"family":"Fan","given":"Li-Zhen"},{"family":"Nan","given":"Ce-Wen"}],"issued":{"date-parts":[["2025",2]]}}}],"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A720EA" w:rsidRPr="002657D1">
              <w:rPr>
                <w:rFonts w:ascii="Times New Roman" w:hAnsi="Times New Roman" w:cs="Times New Roman"/>
                <w:color w:val="000000" w:themeColor="text1"/>
                <w:kern w:val="0"/>
                <w:sz w:val="24"/>
                <w:szCs w:val="24"/>
                <w:vertAlign w:val="superscript"/>
              </w:rPr>
              <w:t>73</w:t>
            </w:r>
            <w:r w:rsidRPr="002657D1">
              <w:rPr>
                <w:rFonts w:ascii="Times New Roman" w:hAnsi="Times New Roman" w:cs="Times New Roman"/>
                <w:color w:val="000000" w:themeColor="text1"/>
                <w:sz w:val="24"/>
                <w:szCs w:val="24"/>
              </w:rPr>
              <w:fldChar w:fldCharType="end"/>
            </w:r>
          </w:p>
        </w:tc>
      </w:tr>
      <w:tr w:rsidR="002657D1" w:rsidRPr="002657D1" w14:paraId="6D3B4BB9" w14:textId="77777777" w:rsidTr="009C3A29">
        <w:trPr>
          <w:jc w:val="center"/>
        </w:trPr>
        <w:tc>
          <w:tcPr>
            <w:tcW w:w="2943" w:type="dxa"/>
            <w:tcBorders>
              <w:top w:val="nil"/>
              <w:left w:val="nil"/>
              <w:bottom w:val="nil"/>
              <w:right w:val="nil"/>
            </w:tcBorders>
            <w:vAlign w:val="center"/>
          </w:tcPr>
          <w:p w14:paraId="4EF27588" w14:textId="3429EC04" w:rsidR="00924424" w:rsidRPr="002657D1" w:rsidRDefault="00A170DE" w:rsidP="00C20FBC">
            <w:pPr>
              <w:pStyle w:val="ac"/>
              <w:spacing w:before="0" w:beforeAutospacing="0" w:after="0" w:afterAutospacing="0" w:line="360" w:lineRule="auto"/>
              <w:jc w:val="center"/>
              <w:rPr>
                <w:rFonts w:ascii="Times New Roman" w:eastAsiaTheme="minorEastAsia" w:hAnsi="Times New Roman" w:cs="Times New Roman"/>
                <w:color w:val="000000" w:themeColor="text1"/>
                <w:kern w:val="24"/>
              </w:rPr>
            </w:pPr>
            <w:r w:rsidRPr="002657D1">
              <w:rPr>
                <w:rFonts w:ascii="Times New Roman" w:eastAsiaTheme="minorEastAsia" w:hAnsi="Times New Roman" w:cs="Times New Roman" w:hint="eastAsia"/>
                <w:color w:val="000000" w:themeColor="text1"/>
                <w:kern w:val="24"/>
              </w:rPr>
              <w:t>Li/Li</w:t>
            </w:r>
            <w:r w:rsidRPr="002657D1">
              <w:rPr>
                <w:rFonts w:ascii="Times New Roman" w:eastAsiaTheme="minorEastAsia" w:hAnsi="Times New Roman" w:cs="Times New Roman" w:hint="eastAsia"/>
                <w:color w:val="000000" w:themeColor="text1"/>
                <w:kern w:val="24"/>
                <w:vertAlign w:val="subscript"/>
              </w:rPr>
              <w:t>3</w:t>
            </w:r>
            <w:r w:rsidRPr="002657D1">
              <w:rPr>
                <w:rFonts w:ascii="Times New Roman" w:eastAsiaTheme="minorEastAsia" w:hAnsi="Times New Roman" w:cs="Times New Roman" w:hint="eastAsia"/>
                <w:color w:val="000000" w:themeColor="text1"/>
                <w:kern w:val="24"/>
              </w:rPr>
              <w:t>Y(</w:t>
            </w:r>
            <w:proofErr w:type="spellStart"/>
            <w:r w:rsidRPr="002657D1">
              <w:rPr>
                <w:rFonts w:ascii="Times New Roman" w:eastAsiaTheme="minorEastAsia" w:hAnsi="Times New Roman" w:cs="Times New Roman" w:hint="eastAsia"/>
                <w:color w:val="000000" w:themeColor="text1"/>
                <w:kern w:val="24"/>
              </w:rPr>
              <w:t>BrCl</w:t>
            </w:r>
            <w:proofErr w:type="spellEnd"/>
            <w:r w:rsidRPr="002657D1">
              <w:rPr>
                <w:rFonts w:ascii="Times New Roman" w:eastAsiaTheme="minorEastAsia" w:hAnsi="Times New Roman" w:cs="Times New Roman" w:hint="eastAsia"/>
                <w:color w:val="000000" w:themeColor="text1"/>
                <w:kern w:val="24"/>
              </w:rPr>
              <w:t>)</w:t>
            </w:r>
            <w:r w:rsidRPr="002657D1">
              <w:rPr>
                <w:rFonts w:ascii="Times New Roman" w:eastAsiaTheme="minorEastAsia" w:hAnsi="Times New Roman" w:cs="Times New Roman" w:hint="eastAsia"/>
                <w:color w:val="000000" w:themeColor="text1"/>
                <w:kern w:val="24"/>
                <w:vertAlign w:val="subscript"/>
              </w:rPr>
              <w:t>3</w:t>
            </w:r>
            <w:r w:rsidRPr="002657D1">
              <w:rPr>
                <w:rFonts w:ascii="Times New Roman" w:eastAsiaTheme="minorEastAsia" w:hAnsi="Times New Roman" w:cs="Times New Roman" w:hint="eastAsia"/>
                <w:color w:val="000000" w:themeColor="text1"/>
                <w:kern w:val="24"/>
              </w:rPr>
              <w:t>/Li</w:t>
            </w:r>
          </w:p>
        </w:tc>
        <w:tc>
          <w:tcPr>
            <w:tcW w:w="1310" w:type="dxa"/>
            <w:tcBorders>
              <w:top w:val="nil"/>
              <w:left w:val="nil"/>
              <w:bottom w:val="nil"/>
              <w:right w:val="nil"/>
            </w:tcBorders>
            <w:vAlign w:val="center"/>
          </w:tcPr>
          <w:p w14:paraId="4693B521" w14:textId="24BD908C" w:rsidR="00924424" w:rsidRPr="002657D1" w:rsidRDefault="00A720EA"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0.225</w:t>
            </w:r>
          </w:p>
        </w:tc>
        <w:tc>
          <w:tcPr>
            <w:tcW w:w="1701" w:type="dxa"/>
            <w:tcBorders>
              <w:top w:val="nil"/>
              <w:left w:val="nil"/>
              <w:bottom w:val="nil"/>
              <w:right w:val="nil"/>
            </w:tcBorders>
            <w:vAlign w:val="center"/>
          </w:tcPr>
          <w:p w14:paraId="2B987AD9" w14:textId="0DC6E53C" w:rsidR="00924424" w:rsidRPr="002657D1" w:rsidRDefault="00A720EA"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0.225</w:t>
            </w:r>
          </w:p>
        </w:tc>
        <w:tc>
          <w:tcPr>
            <w:tcW w:w="1276" w:type="dxa"/>
            <w:tcBorders>
              <w:top w:val="nil"/>
              <w:left w:val="nil"/>
              <w:bottom w:val="nil"/>
              <w:right w:val="nil"/>
            </w:tcBorders>
            <w:vAlign w:val="center"/>
          </w:tcPr>
          <w:p w14:paraId="13AD91BB" w14:textId="6CC1C0F9" w:rsidR="00924424" w:rsidRPr="002657D1" w:rsidRDefault="00A720EA"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500</w:t>
            </w:r>
          </w:p>
        </w:tc>
        <w:tc>
          <w:tcPr>
            <w:tcW w:w="1842" w:type="dxa"/>
            <w:tcBorders>
              <w:top w:val="nil"/>
              <w:left w:val="nil"/>
              <w:bottom w:val="nil"/>
              <w:right w:val="nil"/>
            </w:tcBorders>
          </w:tcPr>
          <w:p w14:paraId="04BC5D92" w14:textId="4BDDF51B" w:rsidR="00924424" w:rsidRPr="002657D1" w:rsidRDefault="00A720EA"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112.5</w:t>
            </w:r>
          </w:p>
        </w:tc>
        <w:tc>
          <w:tcPr>
            <w:tcW w:w="1701" w:type="dxa"/>
            <w:tcBorders>
              <w:top w:val="nil"/>
              <w:left w:val="nil"/>
              <w:bottom w:val="nil"/>
              <w:right w:val="nil"/>
            </w:tcBorders>
            <w:vAlign w:val="center"/>
          </w:tcPr>
          <w:p w14:paraId="495E6B14" w14:textId="32AC7489" w:rsidR="00924424" w:rsidRPr="002657D1" w:rsidRDefault="00A720EA"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25</w:t>
            </w:r>
          </w:p>
        </w:tc>
        <w:tc>
          <w:tcPr>
            <w:tcW w:w="1276" w:type="dxa"/>
            <w:tcBorders>
              <w:top w:val="nil"/>
              <w:left w:val="nil"/>
              <w:bottom w:val="nil"/>
              <w:right w:val="nil"/>
            </w:tcBorders>
            <w:vAlign w:val="center"/>
          </w:tcPr>
          <w:p w14:paraId="463EAB38" w14:textId="764B2CFA" w:rsidR="00924424" w:rsidRPr="002657D1" w:rsidRDefault="00A720EA" w:rsidP="00F364F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Pr="002657D1">
              <w:rPr>
                <w:rFonts w:ascii="Times New Roman" w:hAnsi="Times New Roman" w:cs="Times New Roman"/>
                <w:color w:val="000000" w:themeColor="text1"/>
                <w:sz w:val="24"/>
                <w:szCs w:val="24"/>
              </w:rPr>
              <w:instrText xml:space="preserve"> ADDIN ZOTERO_ITEM CSL_CITATION {"citationID":"a95oteiv0t","properties":{"formattedCitation":"\\super 74\\nosupersub{}","plainCitation":"74","noteIndex":0},"citationItems":[{"id":3064,"uris":["http://zotero.org/users/local/J1vikkcu/items/T9WFJLMD"],"itemData":{"id":3064,"type":"article-journal","container-title":"Journal of Colloid and Interface Science","DOI":"10.1016/j.jcis.2024.10.155","ISSN":"00219797","journalAbbreviation":"Journal of Colloid and Interface Science","language":"en","page":"798-808","source":"DOI.org (Crossref)","title":"Rational design for the potential substitute of sulfide in halide-based all solid-state lithium metal batteries","volume":"679","author":[{"family":"Sun","given":"Tianrui"},{"family":"Wang","given":"Qiuhan"},{"family":"Liao","given":"Jiaxuan"},{"family":"Wang","given":"Sizhe"}],"issued":{"date-parts":[["2025",2]]}}}],"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74</w:t>
            </w:r>
            <w:r w:rsidRPr="002657D1">
              <w:rPr>
                <w:rFonts w:ascii="Times New Roman" w:hAnsi="Times New Roman" w:cs="Times New Roman"/>
                <w:color w:val="000000" w:themeColor="text1"/>
                <w:sz w:val="24"/>
                <w:szCs w:val="24"/>
              </w:rPr>
              <w:fldChar w:fldCharType="end"/>
            </w:r>
          </w:p>
        </w:tc>
      </w:tr>
      <w:tr w:rsidR="002657D1" w:rsidRPr="002657D1" w14:paraId="574D3E84" w14:textId="77777777" w:rsidTr="009C3A29">
        <w:trPr>
          <w:jc w:val="center"/>
        </w:trPr>
        <w:tc>
          <w:tcPr>
            <w:tcW w:w="2943" w:type="dxa"/>
            <w:tcBorders>
              <w:top w:val="nil"/>
              <w:left w:val="nil"/>
              <w:bottom w:val="nil"/>
              <w:right w:val="nil"/>
            </w:tcBorders>
            <w:vAlign w:val="center"/>
          </w:tcPr>
          <w:p w14:paraId="753EC034" w14:textId="131CDD21" w:rsidR="00A720EA" w:rsidRPr="002657D1" w:rsidRDefault="00A720EA" w:rsidP="00C20FBC">
            <w:pPr>
              <w:pStyle w:val="ac"/>
              <w:spacing w:before="0" w:beforeAutospacing="0" w:after="0" w:afterAutospacing="0" w:line="360" w:lineRule="auto"/>
              <w:jc w:val="center"/>
              <w:rPr>
                <w:rFonts w:ascii="Times New Roman" w:eastAsiaTheme="minorEastAsia" w:hAnsi="Times New Roman" w:cs="Times New Roman"/>
                <w:color w:val="000000" w:themeColor="text1"/>
                <w:kern w:val="24"/>
              </w:rPr>
            </w:pPr>
            <w:r w:rsidRPr="002657D1">
              <w:rPr>
                <w:rFonts w:ascii="Times New Roman" w:eastAsiaTheme="minorEastAsia" w:hAnsi="Times New Roman" w:cs="Times New Roman" w:hint="eastAsia"/>
                <w:color w:val="000000" w:themeColor="text1"/>
                <w:kern w:val="24"/>
              </w:rPr>
              <w:t>Li/</w:t>
            </w:r>
            <w:bookmarkStart w:id="114" w:name="OLE_LINK63"/>
            <w:r w:rsidRPr="002657D1">
              <w:rPr>
                <w:rFonts w:ascii="Times New Roman" w:eastAsiaTheme="minorEastAsia" w:hAnsi="Times New Roman" w:cs="Times New Roman" w:hint="eastAsia"/>
                <w:color w:val="000000" w:themeColor="text1"/>
                <w:kern w:val="24"/>
              </w:rPr>
              <w:t>Li</w:t>
            </w:r>
            <w:r w:rsidRPr="002657D1">
              <w:rPr>
                <w:rFonts w:ascii="Times New Roman" w:eastAsiaTheme="minorEastAsia" w:hAnsi="Times New Roman" w:cs="Times New Roman" w:hint="eastAsia"/>
                <w:color w:val="000000" w:themeColor="text1"/>
                <w:kern w:val="24"/>
                <w:vertAlign w:val="subscript"/>
              </w:rPr>
              <w:t>2.25</w:t>
            </w:r>
            <w:r w:rsidRPr="002657D1">
              <w:rPr>
                <w:rFonts w:ascii="Times New Roman" w:eastAsiaTheme="minorEastAsia" w:hAnsi="Times New Roman" w:cs="Times New Roman" w:hint="eastAsia"/>
                <w:color w:val="000000" w:themeColor="text1"/>
                <w:kern w:val="24"/>
              </w:rPr>
              <w:t>ZrCl</w:t>
            </w:r>
            <w:r w:rsidRPr="002657D1">
              <w:rPr>
                <w:rFonts w:ascii="Times New Roman" w:eastAsiaTheme="minorEastAsia" w:hAnsi="Times New Roman" w:cs="Times New Roman" w:hint="eastAsia"/>
                <w:color w:val="000000" w:themeColor="text1"/>
                <w:kern w:val="24"/>
                <w:vertAlign w:val="subscript"/>
              </w:rPr>
              <w:t>5.75</w:t>
            </w:r>
            <w:r w:rsidRPr="002657D1">
              <w:rPr>
                <w:rFonts w:ascii="Times New Roman" w:eastAsiaTheme="minorEastAsia" w:hAnsi="Times New Roman" w:cs="Times New Roman" w:hint="eastAsia"/>
                <w:color w:val="000000" w:themeColor="text1"/>
                <w:kern w:val="24"/>
              </w:rPr>
              <w:t>S</w:t>
            </w:r>
            <w:r w:rsidRPr="002657D1">
              <w:rPr>
                <w:rFonts w:ascii="Times New Roman" w:eastAsiaTheme="minorEastAsia" w:hAnsi="Times New Roman" w:cs="Times New Roman" w:hint="eastAsia"/>
                <w:color w:val="000000" w:themeColor="text1"/>
                <w:kern w:val="24"/>
                <w:vertAlign w:val="subscript"/>
              </w:rPr>
              <w:t>0.25</w:t>
            </w:r>
            <w:bookmarkEnd w:id="114"/>
            <w:r w:rsidRPr="002657D1">
              <w:rPr>
                <w:rFonts w:ascii="Times New Roman" w:eastAsiaTheme="minorEastAsia" w:hAnsi="Times New Roman" w:cs="Times New Roman" w:hint="eastAsia"/>
                <w:color w:val="000000" w:themeColor="text1"/>
                <w:kern w:val="24"/>
              </w:rPr>
              <w:t>/Li</w:t>
            </w:r>
          </w:p>
        </w:tc>
        <w:tc>
          <w:tcPr>
            <w:tcW w:w="1310" w:type="dxa"/>
            <w:tcBorders>
              <w:top w:val="nil"/>
              <w:left w:val="nil"/>
              <w:bottom w:val="nil"/>
              <w:right w:val="nil"/>
            </w:tcBorders>
            <w:vAlign w:val="center"/>
          </w:tcPr>
          <w:p w14:paraId="03607A9D" w14:textId="71BEE96D" w:rsidR="00A720EA" w:rsidRPr="002657D1" w:rsidRDefault="00A720EA"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0.2</w:t>
            </w:r>
          </w:p>
        </w:tc>
        <w:tc>
          <w:tcPr>
            <w:tcW w:w="1701" w:type="dxa"/>
            <w:tcBorders>
              <w:top w:val="nil"/>
              <w:left w:val="nil"/>
              <w:bottom w:val="nil"/>
              <w:right w:val="nil"/>
            </w:tcBorders>
            <w:vAlign w:val="center"/>
          </w:tcPr>
          <w:p w14:paraId="274C85EB" w14:textId="1781BF32" w:rsidR="00A720EA" w:rsidRPr="002657D1" w:rsidRDefault="00A720EA"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0.2</w:t>
            </w:r>
          </w:p>
        </w:tc>
        <w:tc>
          <w:tcPr>
            <w:tcW w:w="1276" w:type="dxa"/>
            <w:tcBorders>
              <w:top w:val="nil"/>
              <w:left w:val="nil"/>
              <w:bottom w:val="nil"/>
              <w:right w:val="nil"/>
            </w:tcBorders>
            <w:vAlign w:val="center"/>
          </w:tcPr>
          <w:p w14:paraId="3DBA5AA5" w14:textId="42A6F166" w:rsidR="00A720EA" w:rsidRPr="002657D1" w:rsidRDefault="00A720EA"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100</w:t>
            </w:r>
          </w:p>
        </w:tc>
        <w:tc>
          <w:tcPr>
            <w:tcW w:w="1842" w:type="dxa"/>
            <w:tcBorders>
              <w:top w:val="nil"/>
              <w:left w:val="nil"/>
              <w:bottom w:val="nil"/>
              <w:right w:val="nil"/>
            </w:tcBorders>
          </w:tcPr>
          <w:p w14:paraId="3134305A" w14:textId="5A0A2BAE" w:rsidR="00A720EA" w:rsidRPr="002657D1" w:rsidRDefault="00A720EA"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20</w:t>
            </w:r>
          </w:p>
        </w:tc>
        <w:tc>
          <w:tcPr>
            <w:tcW w:w="1701" w:type="dxa"/>
            <w:tcBorders>
              <w:top w:val="nil"/>
              <w:left w:val="nil"/>
              <w:bottom w:val="nil"/>
              <w:right w:val="nil"/>
            </w:tcBorders>
            <w:vAlign w:val="center"/>
          </w:tcPr>
          <w:p w14:paraId="3A2FC051" w14:textId="5A476372" w:rsidR="00A720EA" w:rsidRPr="002657D1" w:rsidRDefault="00A720EA"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25</w:t>
            </w:r>
          </w:p>
        </w:tc>
        <w:tc>
          <w:tcPr>
            <w:tcW w:w="1276" w:type="dxa"/>
            <w:tcBorders>
              <w:top w:val="nil"/>
              <w:left w:val="nil"/>
              <w:bottom w:val="nil"/>
              <w:right w:val="nil"/>
            </w:tcBorders>
            <w:vAlign w:val="center"/>
          </w:tcPr>
          <w:p w14:paraId="54F1B22D" w14:textId="1401A314" w:rsidR="00A720EA" w:rsidRPr="002657D1" w:rsidRDefault="00FA0401" w:rsidP="00F364F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Pr="002657D1">
              <w:rPr>
                <w:rFonts w:ascii="Times New Roman" w:hAnsi="Times New Roman" w:cs="Times New Roman"/>
                <w:color w:val="000000" w:themeColor="text1"/>
                <w:sz w:val="24"/>
                <w:szCs w:val="24"/>
              </w:rPr>
              <w:instrText xml:space="preserve"> ADDIN ZOTERO_ITEM CSL_CITATION {"citationID":"a43mqop5m2","properties":{"formattedCitation":"\\super 75\\nosupersub{}","plainCitation":"75","noteIndex":0},"citationItems":[{"id":3252,"uris":["http://zotero.org/users/local/J1vikkcu/items/PGYUJKAJ"],"itemData":{"id":3252,"type":"article-journal","abstract":"Halide solid-state electrolytes (SSEs) with high ionic conductivity and excellent compatibility with highvoltage oxide cathodes in all-solid-state lithium batteries (ASSLBs) offer improved safety and cycling performance. However, the ionic conductivity of halide SSEs at room temperature (RT) and their stability against lithium (Li) metal anodes still require further enhancement. In this study, Li2+xZrCl6−xSx (0 </w:instrText>
            </w:r>
            <w:r w:rsidRPr="002657D1">
              <w:rPr>
                <w:rFonts w:ascii="Times New Roman" w:hAnsi="Times New Roman" w:cs="Times New Roman" w:hint="eastAsia"/>
                <w:color w:val="000000" w:themeColor="text1"/>
                <w:sz w:val="24"/>
                <w:szCs w:val="24"/>
              </w:rPr>
              <w:instrText>≤</w:instrText>
            </w:r>
            <w:r w:rsidRPr="002657D1">
              <w:rPr>
                <w:rFonts w:ascii="Times New Roman" w:hAnsi="Times New Roman" w:cs="Times New Roman"/>
                <w:color w:val="000000" w:themeColor="text1"/>
                <w:sz w:val="24"/>
                <w:szCs w:val="24"/>
              </w:rPr>
              <w:instrText xml:space="preserve"> x </w:instrText>
            </w:r>
            <w:r w:rsidRPr="002657D1">
              <w:rPr>
                <w:rFonts w:ascii="Times New Roman" w:hAnsi="Times New Roman" w:cs="Times New Roman" w:hint="eastAsia"/>
                <w:color w:val="000000" w:themeColor="text1"/>
                <w:sz w:val="24"/>
                <w:szCs w:val="24"/>
              </w:rPr>
              <w:instrText>≤</w:instrText>
            </w:r>
            <w:r w:rsidRPr="002657D1">
              <w:rPr>
                <w:rFonts w:ascii="Times New Roman" w:hAnsi="Times New Roman" w:cs="Times New Roman"/>
                <w:color w:val="000000" w:themeColor="text1"/>
                <w:sz w:val="24"/>
                <w:szCs w:val="24"/>
              </w:rPr>
              <w:instrText xml:space="preserve"> 1) SSEs, featuring two highly amorphous phases, are synthesized via an aliovalent sulfursubstitution strategy. Notably, a phase (C2/m), distinct from Li2ZrCl6 (LZC) (P3m1), is induced by modulating the sulfur substitution level for chlorine. Consequently, the crystallinity of the coexisting two-phase SSEs is signiﬁcantly lower than that of the single-phase material. Owing to their highly amorphous nature, the ionic conductivity of Li2.25ZrCl5.75S0.25 (LZCS0.25) increases from 0.33 mS cm−1 (LZC) to 0.97 mS cm−1 at RT. In addition, LZCS0.25 exhibits higher compressibility and lower reduction potential (1.78 V vs. 2.34 V for LZC), and the Li/LZCS0.25/Li symmetric cell exhibits improved cycling stability. ASSLBs employing LZCS0.25 and LiCoO2 or single-crystal LiNi0.8Mn0.1Co0.1O2 demonstrate high reversible speciﬁc capacity and excellent long-term cycling stability. This strategy for regulating the amorphous structure provides valuable guidance for the development of high-performance SSEs for ASSLBs.","container-title":"Journal of Energy Chemistry","DOI":"10.1016/j.jechem.2025.07.042","ISSN":"20954956","journalAbbreviation":"Journal of Energy Chemistry","language":"en","page":"67-78","source":"DOI.org (Crossref)","title":"Aliovalent sulfur-substitution regulated highly amorphous Li2ZrCl6 solid electrolytes for all-solid-state lithium metal batteries","volume":"111","author":[{"family":"Hu","given":"Jin"},{"family":"Chen","given":"Biao"},{"family":"Shi","given":"Chunsheng"},{"family":"Ma","given":"Liying"},{"family":"Sha","given":"Junwei"},{"family":"Gao","given":"Zhonghui"},{"family":"Zhao","given":"Naiqin"},{"family":"He","given":"Chunnian"}],"issued":{"date-parts":[["2025",12]]}}}],"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75</w:t>
            </w:r>
            <w:r w:rsidRPr="002657D1">
              <w:rPr>
                <w:rFonts w:ascii="Times New Roman" w:hAnsi="Times New Roman" w:cs="Times New Roman"/>
                <w:color w:val="000000" w:themeColor="text1"/>
                <w:sz w:val="24"/>
                <w:szCs w:val="24"/>
              </w:rPr>
              <w:fldChar w:fldCharType="end"/>
            </w:r>
          </w:p>
        </w:tc>
      </w:tr>
      <w:tr w:rsidR="002657D1" w:rsidRPr="002657D1" w14:paraId="2E61E885" w14:textId="77777777" w:rsidTr="009C3A29">
        <w:trPr>
          <w:jc w:val="center"/>
        </w:trPr>
        <w:tc>
          <w:tcPr>
            <w:tcW w:w="2943" w:type="dxa"/>
            <w:tcBorders>
              <w:top w:val="nil"/>
              <w:left w:val="nil"/>
              <w:bottom w:val="nil"/>
              <w:right w:val="nil"/>
            </w:tcBorders>
            <w:vAlign w:val="center"/>
          </w:tcPr>
          <w:p w14:paraId="49642372" w14:textId="2E42F019" w:rsidR="00A720EA" w:rsidRPr="002657D1" w:rsidRDefault="00A720EA" w:rsidP="00C20FBC">
            <w:pPr>
              <w:pStyle w:val="ac"/>
              <w:spacing w:before="0" w:beforeAutospacing="0" w:after="0" w:afterAutospacing="0" w:line="360" w:lineRule="auto"/>
              <w:jc w:val="center"/>
              <w:rPr>
                <w:rFonts w:ascii="Times New Roman" w:eastAsiaTheme="minorEastAsia" w:hAnsi="Times New Roman" w:cs="Times New Roman"/>
                <w:color w:val="000000" w:themeColor="text1"/>
                <w:kern w:val="24"/>
              </w:rPr>
            </w:pPr>
            <w:r w:rsidRPr="002657D1">
              <w:rPr>
                <w:rFonts w:ascii="Times New Roman" w:eastAsiaTheme="minorEastAsia" w:hAnsi="Times New Roman" w:cs="Times New Roman" w:hint="eastAsia"/>
                <w:color w:val="000000" w:themeColor="text1"/>
                <w:kern w:val="24"/>
              </w:rPr>
              <w:t>BP-Li/Li</w:t>
            </w:r>
            <w:r w:rsidRPr="002657D1">
              <w:rPr>
                <w:rFonts w:ascii="Times New Roman" w:eastAsiaTheme="minorEastAsia" w:hAnsi="Times New Roman" w:cs="Times New Roman" w:hint="eastAsia"/>
                <w:color w:val="000000" w:themeColor="text1"/>
                <w:kern w:val="24"/>
                <w:vertAlign w:val="subscript"/>
              </w:rPr>
              <w:t>3</w:t>
            </w:r>
            <w:r w:rsidRPr="002657D1">
              <w:rPr>
                <w:rFonts w:ascii="Times New Roman" w:eastAsiaTheme="minorEastAsia" w:hAnsi="Times New Roman" w:cs="Times New Roman" w:hint="eastAsia"/>
                <w:color w:val="000000" w:themeColor="text1"/>
                <w:kern w:val="24"/>
              </w:rPr>
              <w:t>GaF</w:t>
            </w:r>
            <w:r w:rsidRPr="002657D1">
              <w:rPr>
                <w:rFonts w:ascii="Times New Roman" w:eastAsiaTheme="minorEastAsia" w:hAnsi="Times New Roman" w:cs="Times New Roman" w:hint="eastAsia"/>
                <w:color w:val="000000" w:themeColor="text1"/>
                <w:kern w:val="24"/>
                <w:vertAlign w:val="subscript"/>
              </w:rPr>
              <w:t>5.3</w:t>
            </w:r>
            <w:r w:rsidRPr="002657D1">
              <w:rPr>
                <w:rFonts w:ascii="Times New Roman" w:eastAsiaTheme="minorEastAsia" w:hAnsi="Times New Roman" w:cs="Times New Roman" w:hint="eastAsia"/>
                <w:color w:val="000000" w:themeColor="text1"/>
                <w:kern w:val="24"/>
              </w:rPr>
              <w:t>Cl</w:t>
            </w:r>
            <w:r w:rsidRPr="002657D1">
              <w:rPr>
                <w:rFonts w:ascii="Times New Roman" w:eastAsiaTheme="minorEastAsia" w:hAnsi="Times New Roman" w:cs="Times New Roman" w:hint="eastAsia"/>
                <w:color w:val="000000" w:themeColor="text1"/>
                <w:kern w:val="24"/>
                <w:vertAlign w:val="subscript"/>
              </w:rPr>
              <w:t>0.7</w:t>
            </w:r>
            <w:r w:rsidRPr="002657D1">
              <w:rPr>
                <w:rFonts w:ascii="Times New Roman" w:eastAsiaTheme="minorEastAsia" w:hAnsi="Times New Roman" w:cs="Times New Roman" w:hint="eastAsia"/>
                <w:color w:val="000000" w:themeColor="text1"/>
                <w:kern w:val="24"/>
              </w:rPr>
              <w:t>/BP-Li</w:t>
            </w:r>
          </w:p>
        </w:tc>
        <w:tc>
          <w:tcPr>
            <w:tcW w:w="1310" w:type="dxa"/>
            <w:tcBorders>
              <w:top w:val="nil"/>
              <w:left w:val="nil"/>
              <w:bottom w:val="nil"/>
              <w:right w:val="nil"/>
            </w:tcBorders>
            <w:vAlign w:val="center"/>
          </w:tcPr>
          <w:p w14:paraId="21B0AFEC" w14:textId="41032213" w:rsidR="00A720EA" w:rsidRPr="002657D1" w:rsidRDefault="00A720EA"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0.1</w:t>
            </w:r>
          </w:p>
        </w:tc>
        <w:tc>
          <w:tcPr>
            <w:tcW w:w="1701" w:type="dxa"/>
            <w:tcBorders>
              <w:top w:val="nil"/>
              <w:left w:val="nil"/>
              <w:bottom w:val="nil"/>
              <w:right w:val="nil"/>
            </w:tcBorders>
            <w:vAlign w:val="center"/>
          </w:tcPr>
          <w:p w14:paraId="1259AC9B" w14:textId="206E4AA8" w:rsidR="00A720EA" w:rsidRPr="002657D1" w:rsidRDefault="00A720EA"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0.1</w:t>
            </w:r>
          </w:p>
        </w:tc>
        <w:tc>
          <w:tcPr>
            <w:tcW w:w="1276" w:type="dxa"/>
            <w:tcBorders>
              <w:top w:val="nil"/>
              <w:left w:val="nil"/>
              <w:bottom w:val="nil"/>
              <w:right w:val="nil"/>
            </w:tcBorders>
            <w:vAlign w:val="center"/>
          </w:tcPr>
          <w:p w14:paraId="153F6ECF" w14:textId="0C2342B9" w:rsidR="00A720EA" w:rsidRPr="002657D1" w:rsidRDefault="00A720EA"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900</w:t>
            </w:r>
          </w:p>
        </w:tc>
        <w:tc>
          <w:tcPr>
            <w:tcW w:w="1842" w:type="dxa"/>
            <w:tcBorders>
              <w:top w:val="nil"/>
              <w:left w:val="nil"/>
              <w:bottom w:val="nil"/>
              <w:right w:val="nil"/>
            </w:tcBorders>
          </w:tcPr>
          <w:p w14:paraId="3D8AAD07" w14:textId="067AC971" w:rsidR="00A720EA" w:rsidRPr="002657D1" w:rsidRDefault="00A720EA"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90</w:t>
            </w:r>
          </w:p>
        </w:tc>
        <w:tc>
          <w:tcPr>
            <w:tcW w:w="1701" w:type="dxa"/>
            <w:tcBorders>
              <w:top w:val="nil"/>
              <w:left w:val="nil"/>
              <w:bottom w:val="nil"/>
              <w:right w:val="nil"/>
            </w:tcBorders>
            <w:vAlign w:val="center"/>
          </w:tcPr>
          <w:p w14:paraId="0C1CB75E" w14:textId="3819347B" w:rsidR="00A720EA" w:rsidRPr="002657D1" w:rsidRDefault="00A720EA"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60</w:t>
            </w:r>
          </w:p>
        </w:tc>
        <w:tc>
          <w:tcPr>
            <w:tcW w:w="1276" w:type="dxa"/>
            <w:tcBorders>
              <w:top w:val="nil"/>
              <w:left w:val="nil"/>
              <w:bottom w:val="nil"/>
              <w:right w:val="nil"/>
            </w:tcBorders>
            <w:vAlign w:val="center"/>
          </w:tcPr>
          <w:p w14:paraId="44B3521C" w14:textId="06B383CB" w:rsidR="00A720EA" w:rsidRPr="002657D1" w:rsidRDefault="00A720EA" w:rsidP="00F364F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Pr="002657D1">
              <w:rPr>
                <w:rFonts w:ascii="Times New Roman" w:hAnsi="Times New Roman" w:cs="Times New Roman"/>
                <w:color w:val="000000" w:themeColor="text1"/>
                <w:sz w:val="24"/>
                <w:szCs w:val="24"/>
              </w:rPr>
              <w:instrText xml:space="preserve"> ADDIN ZOTERO_ITEM CSL_CITATION {"citationID":"a141efv3m5r","properties":{"formattedCitation":"\\super 76\\nosupersub{}","plainCitation":"76","noteIndex":0},"citationItems":[{"id":3068,"uris":["http://zotero.org/users/local/J1vikkcu/items/I5IH8YYF"],"item</w:instrText>
            </w:r>
            <w:r w:rsidRPr="002657D1">
              <w:rPr>
                <w:rFonts w:ascii="Times New Roman" w:hAnsi="Times New Roman" w:cs="Times New Roman" w:hint="eastAsia"/>
                <w:color w:val="000000" w:themeColor="text1"/>
                <w:sz w:val="24"/>
                <w:szCs w:val="24"/>
              </w:rPr>
              <w:instrText>Data":{"id":3068,"type":"article-journal","abstract":"Abstract\n            \n              Poor humid air stability and bad compatibility with lithium metal anode are two critical challenges currently encountered with halide solid</w:instrText>
            </w:r>
            <w:r w:rsidRPr="002657D1">
              <w:rPr>
                <w:rFonts w:ascii="Times New Roman" w:hAnsi="Times New Roman" w:cs="Times New Roman" w:hint="eastAsia"/>
                <w:color w:val="000000" w:themeColor="text1"/>
                <w:sz w:val="24"/>
                <w:szCs w:val="24"/>
              </w:rPr>
              <w:instrText>‐</w:instrText>
            </w:r>
            <w:r w:rsidRPr="002657D1">
              <w:rPr>
                <w:rFonts w:ascii="Times New Roman" w:hAnsi="Times New Roman" w:cs="Times New Roman" w:hint="eastAsia"/>
                <w:color w:val="000000" w:themeColor="text1"/>
                <w:sz w:val="24"/>
                <w:szCs w:val="24"/>
              </w:rPr>
              <w:instrText>state electrolytes (SSEs). Fluoride SSEs are expected to solve these problems owe to their superior chemical and electrochemical stability, but they are now plagued by inadequate room</w:instrText>
            </w:r>
            <w:r w:rsidRPr="002657D1">
              <w:rPr>
                <w:rFonts w:ascii="Times New Roman" w:hAnsi="Times New Roman" w:cs="Times New Roman" w:hint="eastAsia"/>
                <w:color w:val="000000" w:themeColor="text1"/>
                <w:sz w:val="24"/>
                <w:szCs w:val="24"/>
              </w:rPr>
              <w:instrText>‐</w:instrText>
            </w:r>
            <w:r w:rsidRPr="002657D1">
              <w:rPr>
                <w:rFonts w:ascii="Times New Roman" w:hAnsi="Times New Roman" w:cs="Times New Roman" w:hint="eastAsia"/>
                <w:color w:val="000000" w:themeColor="text1"/>
                <w:sz w:val="24"/>
                <w:szCs w:val="24"/>
              </w:rPr>
              <w:instrText xml:space="preserve">temperature ionic conductivity. Herein, a novel fluoride SSE is reported with Li\n            </w:instrText>
            </w:r>
            <w:r w:rsidRPr="002657D1">
              <w:rPr>
                <w:rFonts w:ascii="Times New Roman" w:hAnsi="Times New Roman" w:cs="Times New Roman"/>
                <w:color w:val="000000" w:themeColor="text1"/>
                <w:sz w:val="24"/>
                <w:szCs w:val="24"/>
              </w:rPr>
              <w:instrText xml:space="preserve">  3\n              GaF\n              5.3\n              Cl\n              0.7\n              as the main phase, which is synthesized via in situ oxidation of liquid metal gallium and in situ chlorination by LiCl. The in situ generated Ga\n              2</w:instrText>
            </w:r>
            <w:r w:rsidRPr="002657D1">
              <w:rPr>
                <w:rFonts w:ascii="Times New Roman" w:hAnsi="Times New Roman" w:cs="Times New Roman" w:hint="eastAsia"/>
                <w:color w:val="000000" w:themeColor="text1"/>
                <w:sz w:val="24"/>
                <w:szCs w:val="24"/>
              </w:rPr>
              <w:instrText>\n              O\n              3\n              not only function as a catalyst to solve the kinetic retardation of solid</w:instrText>
            </w:r>
            <w:r w:rsidRPr="002657D1">
              <w:rPr>
                <w:rFonts w:ascii="Times New Roman" w:hAnsi="Times New Roman" w:cs="Times New Roman" w:hint="eastAsia"/>
                <w:color w:val="000000" w:themeColor="text1"/>
                <w:sz w:val="24"/>
                <w:szCs w:val="24"/>
              </w:rPr>
              <w:instrText>‐</w:instrText>
            </w:r>
            <w:r w:rsidRPr="002657D1">
              <w:rPr>
                <w:rFonts w:ascii="Times New Roman" w:hAnsi="Times New Roman" w:cs="Times New Roman" w:hint="eastAsia"/>
                <w:color w:val="000000" w:themeColor="text1"/>
                <w:sz w:val="24"/>
                <w:szCs w:val="24"/>
              </w:rPr>
              <w:instrText xml:space="preserve">phase synthesis by promoting the dissociation of LiF, but also serves as a soft template to regulate the growth of Li\n            </w:instrText>
            </w:r>
            <w:r w:rsidRPr="002657D1">
              <w:rPr>
                <w:rFonts w:ascii="Times New Roman" w:hAnsi="Times New Roman" w:cs="Times New Roman"/>
                <w:color w:val="000000" w:themeColor="text1"/>
                <w:sz w:val="24"/>
                <w:szCs w:val="24"/>
              </w:rPr>
              <w:instrText xml:space="preserve">  3\n              GaF\n              5.3\n              Cl\n              0.7\n              nanoparticles. The optimized SSE exhibits an ionic conductivity close to 10\n              −4\n              S cm\n              −1\n              at room</w:instrText>
            </w:r>
            <w:r w:rsidRPr="002657D1">
              <w:rPr>
                <w:rFonts w:ascii="Times New Roman" w:hAnsi="Times New Roman" w:cs="Times New Roman" w:hint="eastAsia"/>
                <w:color w:val="000000" w:themeColor="text1"/>
                <w:sz w:val="24"/>
                <w:szCs w:val="24"/>
              </w:rPr>
              <w:instrText>‐</w:instrText>
            </w:r>
            <w:r w:rsidRPr="002657D1">
              <w:rPr>
                <w:rFonts w:ascii="Times New Roman" w:hAnsi="Times New Roman" w:cs="Times New Roman"/>
                <w:color w:val="000000" w:themeColor="text1"/>
                <w:sz w:val="24"/>
                <w:szCs w:val="24"/>
              </w:rPr>
              <w:instrText>temper</w:instrText>
            </w:r>
            <w:r w:rsidRPr="002657D1">
              <w:rPr>
                <w:rFonts w:ascii="Times New Roman" w:hAnsi="Times New Roman" w:cs="Times New Roman" w:hint="eastAsia"/>
                <w:color w:val="000000" w:themeColor="text1"/>
                <w:sz w:val="24"/>
                <w:szCs w:val="24"/>
              </w:rPr>
              <w:instrText>ature and outstanding humidity tolerance (without conductivity degradation after exposure to a relative humidity up to 35%). A biphenyl complexed Li anode (BP</w:instrText>
            </w:r>
            <w:r w:rsidRPr="002657D1">
              <w:rPr>
                <w:rFonts w:ascii="Times New Roman" w:hAnsi="Times New Roman" w:cs="Times New Roman" w:hint="eastAsia"/>
                <w:color w:val="000000" w:themeColor="text1"/>
                <w:sz w:val="24"/>
                <w:szCs w:val="24"/>
              </w:rPr>
              <w:instrText>‐</w:instrText>
            </w:r>
            <w:r w:rsidRPr="002657D1">
              <w:rPr>
                <w:rFonts w:ascii="Times New Roman" w:hAnsi="Times New Roman" w:cs="Times New Roman" w:hint="eastAsia"/>
                <w:color w:val="000000" w:themeColor="text1"/>
                <w:sz w:val="24"/>
                <w:szCs w:val="24"/>
              </w:rPr>
              <w:instrText>Li) is introduced to solve the problem of bad compatibility between anode and halide SSE. The BP</w:instrText>
            </w:r>
            <w:r w:rsidRPr="002657D1">
              <w:rPr>
                <w:rFonts w:ascii="Times New Roman" w:hAnsi="Times New Roman" w:cs="Times New Roman" w:hint="eastAsia"/>
                <w:color w:val="000000" w:themeColor="text1"/>
                <w:sz w:val="24"/>
                <w:szCs w:val="24"/>
              </w:rPr>
              <w:instrText>‐</w:instrText>
            </w:r>
            <w:r w:rsidRPr="002657D1">
              <w:rPr>
                <w:rFonts w:ascii="Times New Roman" w:hAnsi="Times New Roman" w:cs="Times New Roman"/>
                <w:color w:val="000000" w:themeColor="text1"/>
                <w:sz w:val="24"/>
                <w:szCs w:val="24"/>
              </w:rPr>
              <w:instrText>Li symmetric cell exhibits a long lifespan over 1800 h at 0.1 mA cm\n              −2\n              . The stabilization of cycling is derived from the intrinsically homogenous electric field induced by the unpaired electrons delocalized in aromatic rings of BP.","container-title":"Advanced Energy Materials","DOI":"10.1002/aenm.202402997","ISSN":"1614-6832, 1614-6840","issue":"25","journalAbbreviation":"Advanced Energy Materials","language":"en","page":"2402997","source":"DOI.org (Crossref)","title":"Hum</w:instrText>
            </w:r>
            <w:r w:rsidRPr="002657D1">
              <w:rPr>
                <w:rFonts w:ascii="Times New Roman" w:hAnsi="Times New Roman" w:cs="Times New Roman" w:hint="eastAsia"/>
                <w:color w:val="000000" w:themeColor="text1"/>
                <w:sz w:val="24"/>
                <w:szCs w:val="24"/>
              </w:rPr>
              <w:instrText>id</w:instrText>
            </w:r>
            <w:r w:rsidRPr="002657D1">
              <w:rPr>
                <w:rFonts w:ascii="Times New Roman" w:hAnsi="Times New Roman" w:cs="Times New Roman" w:hint="eastAsia"/>
                <w:color w:val="000000" w:themeColor="text1"/>
                <w:sz w:val="24"/>
                <w:szCs w:val="24"/>
              </w:rPr>
              <w:instrText>‐</w:instrText>
            </w:r>
            <w:r w:rsidRPr="002657D1">
              <w:rPr>
                <w:rFonts w:ascii="Times New Roman" w:hAnsi="Times New Roman" w:cs="Times New Roman" w:hint="eastAsia"/>
                <w:color w:val="000000" w:themeColor="text1"/>
                <w:sz w:val="24"/>
                <w:szCs w:val="24"/>
              </w:rPr>
              <w:instrText>Air Stable and High</w:instrText>
            </w:r>
            <w:r w:rsidRPr="002657D1">
              <w:rPr>
                <w:rFonts w:ascii="Times New Roman" w:hAnsi="Times New Roman" w:cs="Times New Roman" w:hint="eastAsia"/>
                <w:color w:val="000000" w:themeColor="text1"/>
                <w:sz w:val="24"/>
                <w:szCs w:val="24"/>
              </w:rPr>
              <w:instrText>‐</w:instrText>
            </w:r>
            <w:r w:rsidRPr="002657D1">
              <w:rPr>
                <w:rFonts w:ascii="Times New Roman" w:hAnsi="Times New Roman" w:cs="Times New Roman" w:hint="eastAsia"/>
                <w:color w:val="000000" w:themeColor="text1"/>
                <w:sz w:val="24"/>
                <w:szCs w:val="24"/>
              </w:rPr>
              <w:instrText>conductivity Fluoride Solid Electrolytes Induced by Liquid Metal Activation and Ga&lt;sub&gt;2&lt;/sub&gt; O&lt;sub&gt;3&lt;/sub&gt; in situ Catalysis","volume":"15","author":[{"family":"Nie","given":"Xianhui"},{"family":"Hu","given":"Jiulin"},{"family":"L</w:instrText>
            </w:r>
            <w:r w:rsidRPr="002657D1">
              <w:rPr>
                <w:rFonts w:ascii="Times New Roman" w:hAnsi="Times New Roman" w:cs="Times New Roman"/>
                <w:color w:val="000000" w:themeColor="text1"/>
                <w:sz w:val="24"/>
                <w:szCs w:val="24"/>
              </w:rPr>
              <w:instrText xml:space="preserve">ei","given":"Meng"},{"family":"Li","given":"Guyue"},{"family":"Zeng","given":"Yuhan"},{"family":"Li","given":"Chilin"}],"issued":{"date-parts":[["2025",7]]}}}],"schema":"https://github.com/citation-style-language/schema/raw/master/csl-citation.json"}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76</w:t>
            </w:r>
            <w:r w:rsidRPr="002657D1">
              <w:rPr>
                <w:rFonts w:ascii="Times New Roman" w:hAnsi="Times New Roman" w:cs="Times New Roman"/>
                <w:color w:val="000000" w:themeColor="text1"/>
                <w:sz w:val="24"/>
                <w:szCs w:val="24"/>
              </w:rPr>
              <w:fldChar w:fldCharType="end"/>
            </w:r>
          </w:p>
        </w:tc>
      </w:tr>
      <w:tr w:rsidR="002657D1" w:rsidRPr="002657D1" w14:paraId="6BD19C5F" w14:textId="77777777" w:rsidTr="009C3A29">
        <w:trPr>
          <w:jc w:val="center"/>
        </w:trPr>
        <w:tc>
          <w:tcPr>
            <w:tcW w:w="2943" w:type="dxa"/>
            <w:tcBorders>
              <w:top w:val="nil"/>
              <w:left w:val="nil"/>
              <w:bottom w:val="nil"/>
              <w:right w:val="nil"/>
            </w:tcBorders>
            <w:vAlign w:val="center"/>
          </w:tcPr>
          <w:p w14:paraId="7D2202D1" w14:textId="43CDDDD2" w:rsidR="00A720EA" w:rsidRPr="002657D1" w:rsidRDefault="00A137E1" w:rsidP="00C20FBC">
            <w:pPr>
              <w:pStyle w:val="ac"/>
              <w:spacing w:before="0" w:beforeAutospacing="0" w:after="0" w:afterAutospacing="0" w:line="360" w:lineRule="auto"/>
              <w:jc w:val="center"/>
              <w:rPr>
                <w:rFonts w:ascii="Times New Roman" w:eastAsiaTheme="minorEastAsia" w:hAnsi="Times New Roman" w:cs="Times New Roman"/>
                <w:color w:val="000000" w:themeColor="text1"/>
                <w:kern w:val="24"/>
              </w:rPr>
            </w:pPr>
            <w:r w:rsidRPr="002657D1">
              <w:rPr>
                <w:rFonts w:ascii="Times New Roman" w:eastAsiaTheme="minorEastAsia" w:hAnsi="Times New Roman" w:cs="Times New Roman" w:hint="eastAsia"/>
                <w:color w:val="000000" w:themeColor="text1"/>
                <w:kern w:val="24"/>
              </w:rPr>
              <w:t>Li/PEO/H-Li</w:t>
            </w:r>
            <w:r w:rsidRPr="002657D1">
              <w:rPr>
                <w:rFonts w:ascii="Times New Roman" w:eastAsiaTheme="minorEastAsia" w:hAnsi="Times New Roman" w:cs="Times New Roman" w:hint="eastAsia"/>
                <w:color w:val="000000" w:themeColor="text1"/>
                <w:kern w:val="24"/>
                <w:vertAlign w:val="subscript"/>
              </w:rPr>
              <w:t>2</w:t>
            </w:r>
            <w:r w:rsidRPr="002657D1">
              <w:rPr>
                <w:rFonts w:ascii="Times New Roman" w:eastAsiaTheme="minorEastAsia" w:hAnsi="Times New Roman" w:cs="Times New Roman" w:hint="eastAsia"/>
                <w:color w:val="000000" w:themeColor="text1"/>
                <w:kern w:val="24"/>
              </w:rPr>
              <w:t>TiF</w:t>
            </w:r>
            <w:r w:rsidRPr="002657D1">
              <w:rPr>
                <w:rFonts w:ascii="Times New Roman" w:eastAsiaTheme="minorEastAsia" w:hAnsi="Times New Roman" w:cs="Times New Roman" w:hint="eastAsia"/>
                <w:color w:val="000000" w:themeColor="text1"/>
                <w:kern w:val="24"/>
                <w:vertAlign w:val="subscript"/>
              </w:rPr>
              <w:t>6</w:t>
            </w:r>
            <w:r w:rsidRPr="002657D1">
              <w:rPr>
                <w:rFonts w:ascii="Times New Roman" w:eastAsiaTheme="minorEastAsia" w:hAnsi="Times New Roman" w:cs="Times New Roman" w:hint="eastAsia"/>
                <w:color w:val="000000" w:themeColor="text1"/>
                <w:kern w:val="24"/>
              </w:rPr>
              <w:t>/PEO/Li</w:t>
            </w:r>
          </w:p>
        </w:tc>
        <w:tc>
          <w:tcPr>
            <w:tcW w:w="1310" w:type="dxa"/>
            <w:tcBorders>
              <w:top w:val="nil"/>
              <w:left w:val="nil"/>
              <w:bottom w:val="nil"/>
              <w:right w:val="nil"/>
            </w:tcBorders>
            <w:vAlign w:val="center"/>
          </w:tcPr>
          <w:p w14:paraId="1CD2F73A" w14:textId="7A044504" w:rsidR="00A720EA" w:rsidRPr="002657D1" w:rsidRDefault="00A137E1"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0.1</w:t>
            </w:r>
          </w:p>
        </w:tc>
        <w:tc>
          <w:tcPr>
            <w:tcW w:w="1701" w:type="dxa"/>
            <w:tcBorders>
              <w:top w:val="nil"/>
              <w:left w:val="nil"/>
              <w:bottom w:val="nil"/>
              <w:right w:val="nil"/>
            </w:tcBorders>
            <w:vAlign w:val="center"/>
          </w:tcPr>
          <w:p w14:paraId="646323BD" w14:textId="056E7645" w:rsidR="00A720EA" w:rsidRPr="002657D1" w:rsidRDefault="00A137E1"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0.1</w:t>
            </w:r>
          </w:p>
        </w:tc>
        <w:tc>
          <w:tcPr>
            <w:tcW w:w="1276" w:type="dxa"/>
            <w:tcBorders>
              <w:top w:val="nil"/>
              <w:left w:val="nil"/>
              <w:bottom w:val="nil"/>
              <w:right w:val="nil"/>
            </w:tcBorders>
            <w:vAlign w:val="center"/>
          </w:tcPr>
          <w:p w14:paraId="4A5F084A" w14:textId="7B020BE4" w:rsidR="00A720EA" w:rsidRPr="002657D1" w:rsidRDefault="00A137E1"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500</w:t>
            </w:r>
          </w:p>
        </w:tc>
        <w:tc>
          <w:tcPr>
            <w:tcW w:w="1842" w:type="dxa"/>
            <w:tcBorders>
              <w:top w:val="nil"/>
              <w:left w:val="nil"/>
              <w:bottom w:val="nil"/>
              <w:right w:val="nil"/>
            </w:tcBorders>
          </w:tcPr>
          <w:p w14:paraId="3ACDD7AC" w14:textId="6C8F6739" w:rsidR="00A720EA" w:rsidRPr="002657D1" w:rsidRDefault="00A137E1"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50</w:t>
            </w:r>
          </w:p>
        </w:tc>
        <w:tc>
          <w:tcPr>
            <w:tcW w:w="1701" w:type="dxa"/>
            <w:tcBorders>
              <w:top w:val="nil"/>
              <w:left w:val="nil"/>
              <w:bottom w:val="nil"/>
              <w:right w:val="nil"/>
            </w:tcBorders>
            <w:vAlign w:val="center"/>
          </w:tcPr>
          <w:p w14:paraId="05D7C4B1" w14:textId="5A9E7FFD" w:rsidR="00A720EA" w:rsidRPr="002657D1" w:rsidRDefault="00A137E1"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60</w:t>
            </w:r>
          </w:p>
        </w:tc>
        <w:tc>
          <w:tcPr>
            <w:tcW w:w="1276" w:type="dxa"/>
            <w:tcBorders>
              <w:top w:val="nil"/>
              <w:left w:val="nil"/>
              <w:bottom w:val="nil"/>
              <w:right w:val="nil"/>
            </w:tcBorders>
            <w:vAlign w:val="center"/>
          </w:tcPr>
          <w:p w14:paraId="41A180A9" w14:textId="35C8D291" w:rsidR="00A720EA" w:rsidRPr="002657D1" w:rsidRDefault="000F65C5" w:rsidP="00F364F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Pr="002657D1">
              <w:rPr>
                <w:rFonts w:ascii="Times New Roman" w:hAnsi="Times New Roman" w:cs="Times New Roman"/>
                <w:color w:val="000000" w:themeColor="text1"/>
                <w:sz w:val="24"/>
                <w:szCs w:val="24"/>
              </w:rPr>
              <w:instrText xml:space="preserve"> ADDIN ZOTERO_ITEM CSL_CITATION {"citationID":"VBRFwuZa","properties":{"formattedCitation":"\\super 72\\nosupersub{}","plainCitation":"72","noteIndex":0},"citationItems":[{"id":3062,"uris":["http://zotero.org/users/local/J1vikkcu/items/DARPCXPH"],"itemData":{"id":3062,"type":"article-journal","abstract":"Among halide solid-state electrolytes (SSEs), fluorides show distinct advantages in chemical and electrochemical stability but are plagued by inadequate room-temperature (RT) ionic conductivity. Herein, we propose a cost-effective and humid air-stable fluoride SSE Li2TiF6 synthesized by a simple hydrothermal method, exhibiting a high ionic conductivity of 9.69 × 10−5 S/cm at RT and outstanding humidity tolerance. The enhanced ionic conductivity is demonstrated to originate from microstrain-induced crystal lattice expansion. Furthermore, a stable Li+conductive and intimate interface between halide electrolyte and lithium metal is constructed by introducing a poly(ethylene oxide) protective layer, resulting in the symmetric cell exhibiting a long lifespan with stable cycling over 1000 h at 0.1 mA/ cm2 as well as the solid-state lithium metal batteries based on the LiFePO4 cathode reversibly operated for at least 250 cycles at 0.5 C. This work provides fresh perspectives on resolving the cost and various stability issues encountered with halide SSEs.","container-title":"ACS Materials Letters","DOI":"10.1021/acsmaterialslett.5c00029","ISSN":"2639-4979, 2639-4979","issue":"5","journalAbbreviation":"ACS Materials Lett.","language":"en","license":"https://doi.org/10.15223/policy-029","page":"1768-1776","source":"DOI.org (Crossref)","title":"Cost-Effective and Humid Air-Stable Fluoride Solid Electrolyte with High Ionic Conductivity Induced by Microstructural Modulation","volume":"7","author":[{"family":"Nie","given":"Xianhui"},{"family":"Lei","given":"Meng"},{"family":"Hu","given":"Jiulin"},{"family":"Li","given":"Chilin"}],"issued":{"date-parts":[["2025",5,5]]}}}],"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72</w:t>
            </w:r>
            <w:r w:rsidRPr="002657D1">
              <w:rPr>
                <w:rFonts w:ascii="Times New Roman" w:hAnsi="Times New Roman" w:cs="Times New Roman"/>
                <w:color w:val="000000" w:themeColor="text1"/>
                <w:sz w:val="24"/>
                <w:szCs w:val="24"/>
              </w:rPr>
              <w:fldChar w:fldCharType="end"/>
            </w:r>
          </w:p>
        </w:tc>
      </w:tr>
      <w:tr w:rsidR="002657D1" w:rsidRPr="002657D1" w14:paraId="39AA6F01" w14:textId="77777777" w:rsidTr="009C3A29">
        <w:trPr>
          <w:jc w:val="center"/>
        </w:trPr>
        <w:tc>
          <w:tcPr>
            <w:tcW w:w="2943" w:type="dxa"/>
            <w:tcBorders>
              <w:top w:val="nil"/>
              <w:left w:val="nil"/>
              <w:bottom w:val="nil"/>
              <w:right w:val="nil"/>
            </w:tcBorders>
            <w:vAlign w:val="center"/>
          </w:tcPr>
          <w:p w14:paraId="6368E591" w14:textId="27F070A7" w:rsidR="00A720EA" w:rsidRPr="002657D1" w:rsidRDefault="000F65C5" w:rsidP="00C20FBC">
            <w:pPr>
              <w:pStyle w:val="ac"/>
              <w:spacing w:before="0" w:beforeAutospacing="0" w:after="0" w:afterAutospacing="0" w:line="360" w:lineRule="auto"/>
              <w:jc w:val="center"/>
              <w:rPr>
                <w:rFonts w:ascii="Times New Roman" w:eastAsiaTheme="minorEastAsia" w:hAnsi="Times New Roman" w:cs="Times New Roman"/>
                <w:color w:val="000000" w:themeColor="text1"/>
                <w:kern w:val="24"/>
              </w:rPr>
            </w:pPr>
            <w:r w:rsidRPr="002657D1">
              <w:rPr>
                <w:rFonts w:ascii="Times New Roman" w:eastAsiaTheme="minorEastAsia" w:hAnsi="Times New Roman" w:cs="Times New Roman" w:hint="eastAsia"/>
                <w:color w:val="000000" w:themeColor="text1"/>
                <w:kern w:val="24"/>
              </w:rPr>
              <w:t>Li/Li</w:t>
            </w:r>
            <w:r w:rsidRPr="002657D1">
              <w:rPr>
                <w:rFonts w:ascii="Times New Roman" w:eastAsiaTheme="minorEastAsia" w:hAnsi="Times New Roman" w:cs="Times New Roman" w:hint="eastAsia"/>
                <w:color w:val="000000" w:themeColor="text1"/>
                <w:kern w:val="24"/>
                <w:vertAlign w:val="subscript"/>
              </w:rPr>
              <w:t>3</w:t>
            </w:r>
            <w:r w:rsidRPr="002657D1">
              <w:rPr>
                <w:rFonts w:ascii="Times New Roman" w:eastAsiaTheme="minorEastAsia" w:hAnsi="Times New Roman" w:cs="Times New Roman" w:hint="eastAsia"/>
                <w:color w:val="000000" w:themeColor="text1"/>
                <w:kern w:val="24"/>
              </w:rPr>
              <w:t>YBr</w:t>
            </w:r>
            <w:r w:rsidRPr="002657D1">
              <w:rPr>
                <w:rFonts w:ascii="Times New Roman" w:eastAsiaTheme="minorEastAsia" w:hAnsi="Times New Roman" w:cs="Times New Roman" w:hint="eastAsia"/>
                <w:color w:val="000000" w:themeColor="text1"/>
                <w:kern w:val="24"/>
                <w:vertAlign w:val="subscript"/>
              </w:rPr>
              <w:t>2</w:t>
            </w:r>
            <w:r w:rsidRPr="002657D1">
              <w:rPr>
                <w:rFonts w:ascii="Times New Roman" w:eastAsiaTheme="minorEastAsia" w:hAnsi="Times New Roman" w:cs="Times New Roman" w:hint="eastAsia"/>
                <w:color w:val="000000" w:themeColor="text1"/>
                <w:kern w:val="24"/>
              </w:rPr>
              <w:t>Cl</w:t>
            </w:r>
            <w:r w:rsidRPr="002657D1">
              <w:rPr>
                <w:rFonts w:ascii="Times New Roman" w:eastAsiaTheme="minorEastAsia" w:hAnsi="Times New Roman" w:cs="Times New Roman" w:hint="eastAsia"/>
                <w:color w:val="000000" w:themeColor="text1"/>
                <w:kern w:val="24"/>
                <w:vertAlign w:val="subscript"/>
              </w:rPr>
              <w:t>3.7</w:t>
            </w:r>
            <w:r w:rsidRPr="002657D1">
              <w:rPr>
                <w:rFonts w:ascii="Times New Roman" w:eastAsiaTheme="minorEastAsia" w:hAnsi="Times New Roman" w:cs="Times New Roman" w:hint="eastAsia"/>
                <w:color w:val="000000" w:themeColor="text1"/>
                <w:kern w:val="24"/>
              </w:rPr>
              <w:t>F</w:t>
            </w:r>
            <w:r w:rsidRPr="002657D1">
              <w:rPr>
                <w:rFonts w:ascii="Times New Roman" w:eastAsiaTheme="minorEastAsia" w:hAnsi="Times New Roman" w:cs="Times New Roman" w:hint="eastAsia"/>
                <w:color w:val="000000" w:themeColor="text1"/>
                <w:kern w:val="24"/>
                <w:vertAlign w:val="subscript"/>
              </w:rPr>
              <w:t>0.3</w:t>
            </w:r>
            <w:r w:rsidRPr="002657D1">
              <w:rPr>
                <w:rFonts w:ascii="Times New Roman" w:eastAsiaTheme="minorEastAsia" w:hAnsi="Times New Roman" w:cs="Times New Roman" w:hint="eastAsia"/>
                <w:color w:val="000000" w:themeColor="text1"/>
                <w:kern w:val="24"/>
              </w:rPr>
              <w:t>/Li</w:t>
            </w:r>
          </w:p>
        </w:tc>
        <w:tc>
          <w:tcPr>
            <w:tcW w:w="1310" w:type="dxa"/>
            <w:tcBorders>
              <w:top w:val="nil"/>
              <w:left w:val="nil"/>
              <w:bottom w:val="nil"/>
              <w:right w:val="nil"/>
            </w:tcBorders>
            <w:vAlign w:val="center"/>
          </w:tcPr>
          <w:p w14:paraId="4A3BCBA9" w14:textId="3AB1CB9B" w:rsidR="00A720EA" w:rsidRPr="002657D1" w:rsidRDefault="000F65C5"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0.1</w:t>
            </w:r>
          </w:p>
        </w:tc>
        <w:tc>
          <w:tcPr>
            <w:tcW w:w="1701" w:type="dxa"/>
            <w:tcBorders>
              <w:top w:val="nil"/>
              <w:left w:val="nil"/>
              <w:bottom w:val="nil"/>
              <w:right w:val="nil"/>
            </w:tcBorders>
            <w:vAlign w:val="center"/>
          </w:tcPr>
          <w:p w14:paraId="7300E004" w14:textId="73FF9E44" w:rsidR="00A720EA" w:rsidRPr="002657D1" w:rsidRDefault="000F65C5"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0.1</w:t>
            </w:r>
          </w:p>
        </w:tc>
        <w:tc>
          <w:tcPr>
            <w:tcW w:w="1276" w:type="dxa"/>
            <w:tcBorders>
              <w:top w:val="nil"/>
              <w:left w:val="nil"/>
              <w:bottom w:val="nil"/>
              <w:right w:val="nil"/>
            </w:tcBorders>
            <w:vAlign w:val="center"/>
          </w:tcPr>
          <w:p w14:paraId="039F008E" w14:textId="455BDC1E" w:rsidR="00A720EA" w:rsidRPr="002657D1" w:rsidRDefault="000F65C5"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800</w:t>
            </w:r>
          </w:p>
        </w:tc>
        <w:tc>
          <w:tcPr>
            <w:tcW w:w="1842" w:type="dxa"/>
            <w:tcBorders>
              <w:top w:val="nil"/>
              <w:left w:val="nil"/>
              <w:bottom w:val="nil"/>
              <w:right w:val="nil"/>
            </w:tcBorders>
          </w:tcPr>
          <w:p w14:paraId="05E4E7E2" w14:textId="06D876B0" w:rsidR="00A720EA" w:rsidRPr="002657D1" w:rsidRDefault="000F65C5"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80</w:t>
            </w:r>
          </w:p>
        </w:tc>
        <w:tc>
          <w:tcPr>
            <w:tcW w:w="1701" w:type="dxa"/>
            <w:tcBorders>
              <w:top w:val="nil"/>
              <w:left w:val="nil"/>
              <w:bottom w:val="nil"/>
              <w:right w:val="nil"/>
            </w:tcBorders>
            <w:vAlign w:val="center"/>
          </w:tcPr>
          <w:p w14:paraId="39A08798" w14:textId="244B188E" w:rsidR="00A720EA" w:rsidRPr="002657D1" w:rsidRDefault="000F65C5"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25</w:t>
            </w:r>
          </w:p>
        </w:tc>
        <w:bookmarkStart w:id="115" w:name="OLE_LINK19"/>
        <w:tc>
          <w:tcPr>
            <w:tcW w:w="1276" w:type="dxa"/>
            <w:tcBorders>
              <w:top w:val="nil"/>
              <w:left w:val="nil"/>
              <w:bottom w:val="nil"/>
              <w:right w:val="nil"/>
            </w:tcBorders>
            <w:vAlign w:val="center"/>
          </w:tcPr>
          <w:p w14:paraId="5E7E986D" w14:textId="0CDF4C80" w:rsidR="00A720EA" w:rsidRPr="002657D1" w:rsidRDefault="000F65C5" w:rsidP="00F364F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Pr="002657D1">
              <w:rPr>
                <w:rFonts w:ascii="Times New Roman" w:hAnsi="Times New Roman" w:cs="Times New Roman"/>
                <w:color w:val="000000" w:themeColor="text1"/>
                <w:sz w:val="24"/>
                <w:szCs w:val="24"/>
              </w:rPr>
              <w:instrText xml:space="preserve"> ADDIN ZOTERO_ITEM CSL_CITATION {"citationID":"a78o7fi6bs","properties":{"formattedCitation":"\\super 77\\nosupersub{}","plainCitation":"77","noteIndex":0},"citationItems":[{"id":3070,"uris":["http://zotero.org/users/local/J1vikkcu/items/PWZA6PMI"],"itemData":{"id":3070,"type":"article-journal","abstract":"Halide Li3YCl6 (LYC) is receiving great attention due to its low raw material price and wide electrochemical window. However, its low ionic conductivity and poor lithium metal stability hinder its practical application in all-solid-state lithium batteries. Herein, a halide electrolyte Li3YBr2Cl3.7F0.3 (σ = 2.38 mS cm 1) containing three halogen elements is synthesized by wet chemistry synthesis. The interfacial protection mechanism is investigated by scanning electron microscopy and X-ray photoelectron spectroscopy, and the fluorine-rich interfacial layer is generated in situ, allowing for smaller polarization and reduction inhibition, thus making the cycling process more stable. The lithium plating/stripping test of the lithium-symmetric battery shows that the interface stability between dianion-doped halide and lithium metal is significantly improved, and the cycle test time can be stably maintained for more than 1600 h at 0.1 mA cm 2. Moreover, the LYBCF0.3 based all-solid-state battery maintains a stable discharge capacity of 70 mAh g 1 at 0.3 C for 100 cycles at room temperature, demonstrating excellent electrochemical performance. This study presents a simple and economical wet chemical synthesis route for the preparation of fluorine-doped multi-component high performance halide electrolytes and demonstrates their potential for large scale production.","container-title":"Journal of Power Sources","DOI":"10.1016/j.jpowsour.2025.236424","ISSN":"03787753","journalAbbreviation":"Journal of Power Sources","language":"en","page":"236424","source":"DOI.org (Crossref)","title":"Wet chemical synthesis of dianion-doped halide solid-state electrolytes for improved interface stability","volume":"633","author":[{"family":"Yan","given":"Jie"},{"family":"Bi","given":"Linnan"},{"family":"Sun","given":"Tianrui"},{"family":"Wang","given":"Yu"},{"family":"Liang","given":"Fei"},{"family":"Long","given":"Xin"},{"family":"Wei","given":"Xiongbang"},{"family":"Lin","given":"Ying"},{"family":"Liao","given":"Jiaxuan"},{"family":"Wang","given":"Sizhe"}],"issued":{"date-parts":[["2025",3]]}}}],"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77</w:t>
            </w:r>
            <w:r w:rsidRPr="002657D1">
              <w:rPr>
                <w:rFonts w:ascii="Times New Roman" w:hAnsi="Times New Roman" w:cs="Times New Roman"/>
                <w:color w:val="000000" w:themeColor="text1"/>
                <w:sz w:val="24"/>
                <w:szCs w:val="24"/>
              </w:rPr>
              <w:fldChar w:fldCharType="end"/>
            </w:r>
            <w:bookmarkEnd w:id="115"/>
          </w:p>
        </w:tc>
      </w:tr>
      <w:tr w:rsidR="002657D1" w:rsidRPr="002657D1" w14:paraId="151DA71F" w14:textId="77777777" w:rsidTr="009C3A29">
        <w:trPr>
          <w:jc w:val="center"/>
        </w:trPr>
        <w:tc>
          <w:tcPr>
            <w:tcW w:w="2943" w:type="dxa"/>
            <w:tcBorders>
              <w:top w:val="nil"/>
              <w:left w:val="nil"/>
              <w:bottom w:val="nil"/>
              <w:right w:val="nil"/>
            </w:tcBorders>
            <w:vAlign w:val="center"/>
          </w:tcPr>
          <w:p w14:paraId="16D4E3E2" w14:textId="153E5EC5" w:rsidR="00924424" w:rsidRPr="002657D1" w:rsidRDefault="000F65C5" w:rsidP="00C20FBC">
            <w:pPr>
              <w:pStyle w:val="ac"/>
              <w:spacing w:before="0" w:beforeAutospacing="0" w:after="0" w:afterAutospacing="0" w:line="360" w:lineRule="auto"/>
              <w:jc w:val="center"/>
              <w:rPr>
                <w:rFonts w:ascii="Times New Roman" w:eastAsiaTheme="minorEastAsia" w:hAnsi="Times New Roman" w:cs="Times New Roman"/>
                <w:color w:val="000000" w:themeColor="text1"/>
                <w:kern w:val="24"/>
              </w:rPr>
            </w:pPr>
            <w:r w:rsidRPr="002657D1">
              <w:rPr>
                <w:rFonts w:ascii="Times New Roman" w:eastAsiaTheme="minorEastAsia" w:hAnsi="Times New Roman" w:cs="Times New Roman" w:hint="eastAsia"/>
                <w:color w:val="000000" w:themeColor="text1"/>
                <w:kern w:val="24"/>
              </w:rPr>
              <w:t>Li/Li</w:t>
            </w:r>
            <w:r w:rsidRPr="002657D1">
              <w:rPr>
                <w:rFonts w:ascii="Times New Roman" w:eastAsiaTheme="minorEastAsia" w:hAnsi="Times New Roman" w:cs="Times New Roman" w:hint="eastAsia"/>
                <w:color w:val="000000" w:themeColor="text1"/>
                <w:kern w:val="24"/>
                <w:vertAlign w:val="subscript"/>
              </w:rPr>
              <w:t>3</w:t>
            </w:r>
            <w:r w:rsidRPr="002657D1">
              <w:rPr>
                <w:rFonts w:ascii="Times New Roman" w:eastAsiaTheme="minorEastAsia" w:hAnsi="Times New Roman" w:cs="Times New Roman" w:hint="eastAsia"/>
                <w:color w:val="000000" w:themeColor="text1"/>
                <w:kern w:val="24"/>
              </w:rPr>
              <w:t>YBr</w:t>
            </w:r>
            <w:r w:rsidRPr="002657D1">
              <w:rPr>
                <w:rFonts w:ascii="Times New Roman" w:eastAsiaTheme="minorEastAsia" w:hAnsi="Times New Roman" w:cs="Times New Roman" w:hint="eastAsia"/>
                <w:color w:val="000000" w:themeColor="text1"/>
                <w:kern w:val="24"/>
                <w:vertAlign w:val="subscript"/>
              </w:rPr>
              <w:t>2</w:t>
            </w:r>
            <w:r w:rsidRPr="002657D1">
              <w:rPr>
                <w:rFonts w:ascii="Times New Roman" w:eastAsiaTheme="minorEastAsia" w:hAnsi="Times New Roman" w:cs="Times New Roman" w:hint="eastAsia"/>
                <w:color w:val="000000" w:themeColor="text1"/>
                <w:kern w:val="24"/>
              </w:rPr>
              <w:t>Cl</w:t>
            </w:r>
            <w:r w:rsidRPr="002657D1">
              <w:rPr>
                <w:rFonts w:ascii="Times New Roman" w:eastAsiaTheme="minorEastAsia" w:hAnsi="Times New Roman" w:cs="Times New Roman" w:hint="eastAsia"/>
                <w:color w:val="000000" w:themeColor="text1"/>
                <w:kern w:val="24"/>
                <w:vertAlign w:val="subscript"/>
              </w:rPr>
              <w:t>4</w:t>
            </w:r>
            <w:r w:rsidRPr="002657D1">
              <w:rPr>
                <w:rFonts w:ascii="Times New Roman" w:eastAsiaTheme="minorEastAsia" w:hAnsi="Times New Roman" w:cs="Times New Roman" w:hint="eastAsia"/>
                <w:color w:val="000000" w:themeColor="text1"/>
                <w:kern w:val="24"/>
              </w:rPr>
              <w:t>/Li</w:t>
            </w:r>
          </w:p>
        </w:tc>
        <w:tc>
          <w:tcPr>
            <w:tcW w:w="1310" w:type="dxa"/>
            <w:tcBorders>
              <w:top w:val="nil"/>
              <w:left w:val="nil"/>
              <w:bottom w:val="nil"/>
              <w:right w:val="nil"/>
            </w:tcBorders>
            <w:vAlign w:val="center"/>
          </w:tcPr>
          <w:p w14:paraId="00370955" w14:textId="310DE8BC" w:rsidR="000F65C5" w:rsidRPr="002657D1" w:rsidRDefault="000F65C5"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0.1</w:t>
            </w:r>
          </w:p>
        </w:tc>
        <w:tc>
          <w:tcPr>
            <w:tcW w:w="1701" w:type="dxa"/>
            <w:tcBorders>
              <w:top w:val="nil"/>
              <w:left w:val="nil"/>
              <w:bottom w:val="nil"/>
              <w:right w:val="nil"/>
            </w:tcBorders>
            <w:vAlign w:val="center"/>
          </w:tcPr>
          <w:p w14:paraId="5A6DA625" w14:textId="17BE45EF" w:rsidR="00924424" w:rsidRPr="002657D1" w:rsidRDefault="000F65C5"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0.1</w:t>
            </w:r>
          </w:p>
        </w:tc>
        <w:tc>
          <w:tcPr>
            <w:tcW w:w="1276" w:type="dxa"/>
            <w:tcBorders>
              <w:top w:val="nil"/>
              <w:left w:val="nil"/>
              <w:bottom w:val="nil"/>
              <w:right w:val="nil"/>
            </w:tcBorders>
            <w:vAlign w:val="center"/>
          </w:tcPr>
          <w:p w14:paraId="3B8BAFFC" w14:textId="191EB1E0" w:rsidR="00924424" w:rsidRPr="002657D1" w:rsidRDefault="000F65C5"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300</w:t>
            </w:r>
          </w:p>
        </w:tc>
        <w:tc>
          <w:tcPr>
            <w:tcW w:w="1842" w:type="dxa"/>
            <w:tcBorders>
              <w:top w:val="nil"/>
              <w:left w:val="nil"/>
              <w:bottom w:val="nil"/>
              <w:right w:val="nil"/>
            </w:tcBorders>
          </w:tcPr>
          <w:p w14:paraId="78EB36E7" w14:textId="178E9DAE" w:rsidR="00924424" w:rsidRPr="002657D1" w:rsidRDefault="000F65C5"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30</w:t>
            </w:r>
          </w:p>
        </w:tc>
        <w:tc>
          <w:tcPr>
            <w:tcW w:w="1701" w:type="dxa"/>
            <w:tcBorders>
              <w:top w:val="nil"/>
              <w:left w:val="nil"/>
              <w:bottom w:val="nil"/>
              <w:right w:val="nil"/>
            </w:tcBorders>
            <w:vAlign w:val="center"/>
          </w:tcPr>
          <w:p w14:paraId="72A62C62" w14:textId="708C0B4B" w:rsidR="00924424" w:rsidRPr="002657D1" w:rsidRDefault="000F65C5"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25</w:t>
            </w:r>
          </w:p>
        </w:tc>
        <w:tc>
          <w:tcPr>
            <w:tcW w:w="1276" w:type="dxa"/>
            <w:tcBorders>
              <w:top w:val="nil"/>
              <w:left w:val="nil"/>
              <w:bottom w:val="nil"/>
              <w:right w:val="nil"/>
            </w:tcBorders>
            <w:vAlign w:val="center"/>
          </w:tcPr>
          <w:p w14:paraId="6C019E2A" w14:textId="409AB8F6" w:rsidR="00924424" w:rsidRPr="002657D1" w:rsidRDefault="000F65C5" w:rsidP="00F364F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4A570C" w:rsidRPr="002657D1">
              <w:rPr>
                <w:rFonts w:ascii="Times New Roman" w:hAnsi="Times New Roman" w:cs="Times New Roman"/>
                <w:color w:val="000000" w:themeColor="text1"/>
                <w:sz w:val="24"/>
                <w:szCs w:val="24"/>
              </w:rPr>
              <w:instrText xml:space="preserve"> ADDIN ZOTERO_ITEM CSL_CITATION {"citationID":"56WSfKcc","properties":{"formattedCitation":"\\super 77\\nosupersub{}","plainCitation":"77","noteIndex":0},"citationItems":[{"id":3070,"uris":["http://zotero.org/users/local/J1vikkcu/items/PWZA6PMI"],"itemData":{"id":3070,"type":"article-journal","abstract":"Halide Li3YCl6 (LYC) is receiving great attention due to its low raw material price and wide electrochemical window. However, its low ionic conductivity and poor lithium metal stability hinder its practical application in all-solid-state lithium batteries. Herein, a halide electrolyte Li3YBr2Cl3.7F0.3 (σ = 2.38 mS cm 1) containing three halogen elements is synthesized by wet chemistry synthesis. The interfacial protection mechanism is investigated by scanning electron microscopy and X-ray photoelectron spectroscopy, and the fluorine-rich interfacial layer is generated in situ, allowing for smaller polarization and reduction inhibition, thus making the cycling process more stable. The lithium plating/stripping test of the lithium-symmetric battery shows that the interface stability between dianion-doped halide and lithium metal is significantly improved, and the cycle test time can be stably maintained for more than 1600 h at 0.1 mA cm 2. Moreover, the LYBCF0.3 based all-solid-state battery maintains a stable discharge capacity of 70 mAh g 1 at 0.3 C for 100 cycles at room temperature, demonstrating excellent electrochemical performance. This study presents a simple and economical wet chemical synthesis route for the preparation of fluorine-doped multi-component high performance halide electrolytes and demonstrates their potential for large scale production.","container-title":"Journal of Power Sources","DOI":"10.1016/j.jpowsour.2025.236424","ISSN":"03787753","journalAbbreviation":"Journal of Power Sources","language":"en","page":"236424","source":"DOI.org (Crossref)","title":"Wet chemical synthesis of dianion-doped halide solid-state electrolytes for improved interface stability","volume":"633","author":[{"family":"Yan","given":"Jie"},{"family":"Bi","given":"Linnan"},{"family":"Sun","given":"Tianrui"},{"family":"Wang","given":"Yu"},{"family":"Liang","given":"Fei"},{"family":"Long","given":"Xin"},{"family":"Wei","given":"Xiongbang"},{"family":"Lin","given":"Ying"},{"family":"Liao","given":"Jiaxuan"},{"family":"Wang","given":"Sizhe"}],"issued":{"date-parts":[["2025",3]]}}}],"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77</w:t>
            </w:r>
            <w:r w:rsidRPr="002657D1">
              <w:rPr>
                <w:rFonts w:ascii="Times New Roman" w:hAnsi="Times New Roman" w:cs="Times New Roman"/>
                <w:color w:val="000000" w:themeColor="text1"/>
                <w:sz w:val="24"/>
                <w:szCs w:val="24"/>
              </w:rPr>
              <w:fldChar w:fldCharType="end"/>
            </w:r>
          </w:p>
        </w:tc>
      </w:tr>
      <w:tr w:rsidR="002657D1" w:rsidRPr="002657D1" w14:paraId="0801FA78" w14:textId="77777777" w:rsidTr="009C3A29">
        <w:trPr>
          <w:trHeight w:val="50"/>
          <w:jc w:val="center"/>
        </w:trPr>
        <w:tc>
          <w:tcPr>
            <w:tcW w:w="2943" w:type="dxa"/>
            <w:tcBorders>
              <w:top w:val="nil"/>
              <w:left w:val="nil"/>
              <w:bottom w:val="nil"/>
              <w:right w:val="nil"/>
            </w:tcBorders>
            <w:vAlign w:val="center"/>
          </w:tcPr>
          <w:p w14:paraId="415C187F" w14:textId="3ABFA063" w:rsidR="00924424" w:rsidRPr="002657D1" w:rsidRDefault="004A570C" w:rsidP="00C20FBC">
            <w:pPr>
              <w:pStyle w:val="ac"/>
              <w:spacing w:before="0" w:beforeAutospacing="0" w:after="0" w:afterAutospacing="0" w:line="360" w:lineRule="auto"/>
              <w:jc w:val="center"/>
              <w:rPr>
                <w:rFonts w:ascii="Times New Roman" w:eastAsiaTheme="minorEastAsia" w:hAnsi="Times New Roman" w:cs="Times New Roman"/>
                <w:color w:val="000000" w:themeColor="text1"/>
                <w:kern w:val="24"/>
              </w:rPr>
            </w:pPr>
            <w:r w:rsidRPr="002657D1">
              <w:rPr>
                <w:rFonts w:ascii="Times New Roman" w:eastAsiaTheme="minorEastAsia" w:hAnsi="Times New Roman" w:cs="Times New Roman" w:hint="eastAsia"/>
                <w:color w:val="000000" w:themeColor="text1"/>
                <w:kern w:val="24"/>
              </w:rPr>
              <w:t>Li/Li</w:t>
            </w:r>
            <w:r w:rsidRPr="002657D1">
              <w:rPr>
                <w:rFonts w:ascii="Times New Roman" w:eastAsiaTheme="minorEastAsia" w:hAnsi="Times New Roman" w:cs="Times New Roman" w:hint="eastAsia"/>
                <w:color w:val="000000" w:themeColor="text1"/>
                <w:kern w:val="24"/>
                <w:vertAlign w:val="subscript"/>
              </w:rPr>
              <w:t>3</w:t>
            </w:r>
            <w:r w:rsidRPr="002657D1">
              <w:rPr>
                <w:rFonts w:ascii="Times New Roman" w:eastAsiaTheme="minorEastAsia" w:hAnsi="Times New Roman" w:cs="Times New Roman" w:hint="eastAsia"/>
                <w:color w:val="000000" w:themeColor="text1"/>
                <w:kern w:val="24"/>
              </w:rPr>
              <w:t>YCl</w:t>
            </w:r>
            <w:r w:rsidRPr="002657D1">
              <w:rPr>
                <w:rFonts w:ascii="Times New Roman" w:eastAsiaTheme="minorEastAsia" w:hAnsi="Times New Roman" w:cs="Times New Roman" w:hint="eastAsia"/>
                <w:color w:val="000000" w:themeColor="text1"/>
                <w:kern w:val="24"/>
                <w:vertAlign w:val="subscript"/>
              </w:rPr>
              <w:t>4</w:t>
            </w:r>
            <w:r w:rsidRPr="002657D1">
              <w:rPr>
                <w:rFonts w:ascii="Times New Roman" w:eastAsiaTheme="minorEastAsia" w:hAnsi="Times New Roman" w:cs="Times New Roman" w:hint="eastAsia"/>
                <w:color w:val="000000" w:themeColor="text1"/>
                <w:kern w:val="24"/>
              </w:rPr>
              <w:t>Br</w:t>
            </w:r>
            <w:r w:rsidRPr="002657D1">
              <w:rPr>
                <w:rFonts w:ascii="Times New Roman" w:eastAsiaTheme="minorEastAsia" w:hAnsi="Times New Roman" w:cs="Times New Roman" w:hint="eastAsia"/>
                <w:color w:val="000000" w:themeColor="text1"/>
                <w:kern w:val="24"/>
                <w:vertAlign w:val="subscript"/>
              </w:rPr>
              <w:t>2</w:t>
            </w:r>
            <w:r w:rsidRPr="002657D1">
              <w:rPr>
                <w:rFonts w:ascii="Times New Roman" w:eastAsiaTheme="minorEastAsia" w:hAnsi="Times New Roman" w:cs="Times New Roman" w:hint="eastAsia"/>
                <w:color w:val="000000" w:themeColor="text1"/>
                <w:kern w:val="24"/>
              </w:rPr>
              <w:t>/Li</w:t>
            </w:r>
          </w:p>
        </w:tc>
        <w:tc>
          <w:tcPr>
            <w:tcW w:w="1310" w:type="dxa"/>
            <w:tcBorders>
              <w:top w:val="nil"/>
              <w:left w:val="nil"/>
              <w:bottom w:val="nil"/>
              <w:right w:val="nil"/>
            </w:tcBorders>
            <w:vAlign w:val="center"/>
          </w:tcPr>
          <w:p w14:paraId="05249E40" w14:textId="04E4C234" w:rsidR="00924424" w:rsidRPr="002657D1" w:rsidRDefault="004A570C"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0.1</w:t>
            </w:r>
          </w:p>
        </w:tc>
        <w:tc>
          <w:tcPr>
            <w:tcW w:w="1701" w:type="dxa"/>
            <w:tcBorders>
              <w:top w:val="nil"/>
              <w:left w:val="nil"/>
              <w:bottom w:val="nil"/>
              <w:right w:val="nil"/>
            </w:tcBorders>
            <w:vAlign w:val="center"/>
          </w:tcPr>
          <w:p w14:paraId="68D7B61E" w14:textId="555C3767" w:rsidR="00924424" w:rsidRPr="002657D1" w:rsidRDefault="004A570C"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0.5</w:t>
            </w:r>
          </w:p>
        </w:tc>
        <w:tc>
          <w:tcPr>
            <w:tcW w:w="1276" w:type="dxa"/>
            <w:tcBorders>
              <w:top w:val="nil"/>
              <w:left w:val="nil"/>
              <w:bottom w:val="nil"/>
              <w:right w:val="nil"/>
            </w:tcBorders>
            <w:vAlign w:val="center"/>
          </w:tcPr>
          <w:p w14:paraId="367297EE" w14:textId="1D840CB0" w:rsidR="00924424" w:rsidRPr="002657D1" w:rsidRDefault="004A570C"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100</w:t>
            </w:r>
          </w:p>
        </w:tc>
        <w:tc>
          <w:tcPr>
            <w:tcW w:w="1842" w:type="dxa"/>
            <w:tcBorders>
              <w:top w:val="nil"/>
              <w:left w:val="nil"/>
              <w:bottom w:val="nil"/>
              <w:right w:val="nil"/>
            </w:tcBorders>
          </w:tcPr>
          <w:p w14:paraId="653B690A" w14:textId="2554D0D4" w:rsidR="00924424" w:rsidRPr="002657D1" w:rsidRDefault="004A570C"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50</w:t>
            </w:r>
          </w:p>
        </w:tc>
        <w:tc>
          <w:tcPr>
            <w:tcW w:w="1701" w:type="dxa"/>
            <w:tcBorders>
              <w:top w:val="nil"/>
              <w:left w:val="nil"/>
              <w:bottom w:val="nil"/>
              <w:right w:val="nil"/>
            </w:tcBorders>
            <w:vAlign w:val="center"/>
          </w:tcPr>
          <w:p w14:paraId="33398DD5" w14:textId="006FF110" w:rsidR="00924424" w:rsidRPr="002657D1" w:rsidRDefault="004A570C"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25</w:t>
            </w:r>
          </w:p>
        </w:tc>
        <w:tc>
          <w:tcPr>
            <w:tcW w:w="1276" w:type="dxa"/>
            <w:tcBorders>
              <w:top w:val="nil"/>
              <w:left w:val="nil"/>
              <w:bottom w:val="nil"/>
              <w:right w:val="nil"/>
            </w:tcBorders>
            <w:vAlign w:val="center"/>
          </w:tcPr>
          <w:p w14:paraId="4202FF1E" w14:textId="2E54D9D5" w:rsidR="00924424" w:rsidRPr="002657D1" w:rsidRDefault="004A570C" w:rsidP="00F364F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Pr="002657D1">
              <w:rPr>
                <w:rFonts w:ascii="Times New Roman" w:hAnsi="Times New Roman" w:cs="Times New Roman"/>
                <w:color w:val="000000" w:themeColor="text1"/>
                <w:sz w:val="24"/>
                <w:szCs w:val="24"/>
              </w:rPr>
              <w:instrText xml:space="preserve"> ADDIN ZOTERO_ITEM CSL_CITATION {"citationID":"a1udt0cb9cs","properties":{"formattedCitation":"\\super 78\\nosupersub{}","plainCitation":"78","noteIndex":0},"citationItems":[{"id":3072,"uris":["http://zotero.org/users/local/J1vikkcu/items/EVKEJTNF"],"itemData":{"id":3072,"type":"article-journal","abstract":"Halides are potential electrolytes for Li metal solid state batteries owing to their combination of high ionic conductivity, ductility and electrochemical stability against oxidation. However, their reactivity with the Li metal electrode may result in the formation of secondary compounds hindering their practical utility in terms of cycling performance as key indicator in battery operation. In this work, we investigate the high performance of symmetric cells with Li3YCl4Br2 halide and bare Li-metal electrode, able to withstand 1000 h of Li electrodeposition-dissolution with an overpotential as low as 46 mV. Through a comprehensive analysis employing physico-chemical and electrochemical characterizations, complemented by computational methodologies, we unravel the dynamics of the complex of the Li/halide interface and its evolution during cycling. The reactivity between Li3YCl4Br2 with metallic Li results in the reduction of the halide into LiCl, LiBr and Y metal. Surprisingly, during cycling, those secondary products from the reduction of the halide build a structured solid electrolyte interphase, containing a Y-rich electronic conductive and LiCl and LiBr ionic conductive layers. The particular chemistry and robustness of this solid electrolyte interphase exhibiting a mixed ionic and electronic conductivity appears to be responsible for the outstanding cycling stability.","container-title":"Energy Storage Materials","DOI":"10.1016/j.ensm.2024.103733","ISSN":"24058297","journalAbbreviation":"Energy Storage Materials","language":"en","page":"103733","source":"DOI.org (Crossref)","title":"Stable cycling of halide solid state electrolyte enabled by a dynamic layered solid electrolyte interphase between Li metal and Li3YCl4Br2","volume":"72","author":[{"family":"Lannelongue","given":"Pierre"},{"family":"Lindberg","given":"Simon"},{"family":"Gonzalo","given":"Elena"},{"family":"Golov","given":"Andrey"},{"family":"Bonilla","given":"Francisco"},{"family":"Lopez Del Amo","given":"Juan Miguel"},{"family":"Marchandier","given":"Thomas"},{"family":"Tron","given":"Artur"},{"family":"Carrasco","given":"Javier"},{"family":"López-Aranguren","given":"Pedro"}],"issued":{"date-parts":[["2024",9]]}}}],"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78</w:t>
            </w:r>
            <w:r w:rsidRPr="002657D1">
              <w:rPr>
                <w:rFonts w:ascii="Times New Roman" w:hAnsi="Times New Roman" w:cs="Times New Roman"/>
                <w:color w:val="000000" w:themeColor="text1"/>
                <w:sz w:val="24"/>
                <w:szCs w:val="24"/>
              </w:rPr>
              <w:fldChar w:fldCharType="end"/>
            </w:r>
          </w:p>
        </w:tc>
      </w:tr>
      <w:tr w:rsidR="005B3FF4" w:rsidRPr="002657D1" w14:paraId="58DF6B3D" w14:textId="77777777" w:rsidTr="009C3A29">
        <w:trPr>
          <w:jc w:val="center"/>
        </w:trPr>
        <w:tc>
          <w:tcPr>
            <w:tcW w:w="2943" w:type="dxa"/>
            <w:tcBorders>
              <w:top w:val="nil"/>
              <w:left w:val="nil"/>
              <w:bottom w:val="single" w:sz="12" w:space="0" w:color="auto"/>
              <w:right w:val="nil"/>
            </w:tcBorders>
            <w:vAlign w:val="center"/>
          </w:tcPr>
          <w:p w14:paraId="5951548F" w14:textId="24FFADAE" w:rsidR="005B3FF4" w:rsidRPr="002657D1" w:rsidRDefault="005B3FF4" w:rsidP="00C20FBC">
            <w:pPr>
              <w:pStyle w:val="ac"/>
              <w:spacing w:before="0" w:beforeAutospacing="0" w:after="0" w:afterAutospacing="0" w:line="360" w:lineRule="auto"/>
              <w:jc w:val="center"/>
              <w:rPr>
                <w:rFonts w:ascii="Times New Roman" w:eastAsiaTheme="minorEastAsia" w:hAnsi="Times New Roman" w:cs="Times New Roman"/>
                <w:color w:val="000000" w:themeColor="text1"/>
                <w:kern w:val="24"/>
              </w:rPr>
            </w:pPr>
            <w:r w:rsidRPr="002657D1">
              <w:rPr>
                <w:rFonts w:ascii="Times New Roman" w:eastAsiaTheme="minorEastAsia" w:hAnsi="Times New Roman" w:cs="Times New Roman" w:hint="eastAsia"/>
                <w:color w:val="000000" w:themeColor="text1"/>
                <w:kern w:val="24"/>
              </w:rPr>
              <w:t>Li/Li</w:t>
            </w:r>
            <w:r w:rsidRPr="002657D1">
              <w:rPr>
                <w:rFonts w:ascii="Times New Roman" w:eastAsiaTheme="minorEastAsia" w:hAnsi="Times New Roman" w:cs="Times New Roman" w:hint="eastAsia"/>
                <w:color w:val="000000" w:themeColor="text1"/>
                <w:kern w:val="24"/>
                <w:vertAlign w:val="subscript"/>
              </w:rPr>
              <w:t>3</w:t>
            </w:r>
            <w:r w:rsidRPr="002657D1">
              <w:rPr>
                <w:rFonts w:ascii="Times New Roman" w:eastAsiaTheme="minorEastAsia" w:hAnsi="Times New Roman" w:cs="Times New Roman" w:hint="eastAsia"/>
                <w:color w:val="000000" w:themeColor="text1"/>
                <w:kern w:val="24"/>
              </w:rPr>
              <w:t>Ta</w:t>
            </w:r>
            <w:r w:rsidRPr="002657D1">
              <w:rPr>
                <w:rFonts w:ascii="Times New Roman" w:eastAsiaTheme="minorEastAsia" w:hAnsi="Times New Roman" w:cs="Times New Roman" w:hint="eastAsia"/>
                <w:color w:val="000000" w:themeColor="text1"/>
                <w:kern w:val="24"/>
                <w:vertAlign w:val="subscript"/>
              </w:rPr>
              <w:t>3</w:t>
            </w:r>
            <w:r w:rsidRPr="002657D1">
              <w:rPr>
                <w:rFonts w:ascii="Times New Roman" w:eastAsiaTheme="minorEastAsia" w:hAnsi="Times New Roman" w:cs="Times New Roman" w:hint="eastAsia"/>
                <w:color w:val="000000" w:themeColor="text1"/>
                <w:kern w:val="24"/>
              </w:rPr>
              <w:t>O</w:t>
            </w:r>
            <w:r w:rsidRPr="002657D1">
              <w:rPr>
                <w:rFonts w:ascii="Times New Roman" w:eastAsiaTheme="minorEastAsia" w:hAnsi="Times New Roman" w:cs="Times New Roman" w:hint="eastAsia"/>
                <w:color w:val="000000" w:themeColor="text1"/>
                <w:kern w:val="24"/>
                <w:vertAlign w:val="subscript"/>
              </w:rPr>
              <w:t>4</w:t>
            </w:r>
            <w:r w:rsidRPr="002657D1">
              <w:rPr>
                <w:rFonts w:ascii="Times New Roman" w:eastAsiaTheme="minorEastAsia" w:hAnsi="Times New Roman" w:cs="Times New Roman" w:hint="eastAsia"/>
                <w:color w:val="000000" w:themeColor="text1"/>
                <w:kern w:val="24"/>
              </w:rPr>
              <w:t>Cl</w:t>
            </w:r>
            <w:r w:rsidRPr="002657D1">
              <w:rPr>
                <w:rFonts w:ascii="Times New Roman" w:eastAsiaTheme="minorEastAsia" w:hAnsi="Times New Roman" w:cs="Times New Roman" w:hint="eastAsia"/>
                <w:color w:val="000000" w:themeColor="text1"/>
                <w:kern w:val="24"/>
                <w:vertAlign w:val="subscript"/>
              </w:rPr>
              <w:t>10</w:t>
            </w:r>
            <w:r w:rsidRPr="002657D1">
              <w:rPr>
                <w:rFonts w:ascii="Times New Roman" w:eastAsiaTheme="minorEastAsia" w:hAnsi="Times New Roman" w:cs="Times New Roman" w:hint="eastAsia"/>
                <w:color w:val="000000" w:themeColor="text1"/>
                <w:kern w:val="24"/>
              </w:rPr>
              <w:t>/Li</w:t>
            </w:r>
          </w:p>
        </w:tc>
        <w:tc>
          <w:tcPr>
            <w:tcW w:w="1310" w:type="dxa"/>
            <w:tcBorders>
              <w:top w:val="nil"/>
              <w:left w:val="nil"/>
              <w:bottom w:val="single" w:sz="12" w:space="0" w:color="auto"/>
              <w:right w:val="nil"/>
            </w:tcBorders>
            <w:vAlign w:val="center"/>
          </w:tcPr>
          <w:p w14:paraId="2025D981" w14:textId="7544168F" w:rsidR="005B3FF4" w:rsidRPr="002657D1" w:rsidRDefault="005B3FF4"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0.1</w:t>
            </w:r>
          </w:p>
        </w:tc>
        <w:tc>
          <w:tcPr>
            <w:tcW w:w="1701" w:type="dxa"/>
            <w:tcBorders>
              <w:top w:val="nil"/>
              <w:left w:val="nil"/>
              <w:bottom w:val="single" w:sz="12" w:space="0" w:color="auto"/>
              <w:right w:val="nil"/>
            </w:tcBorders>
            <w:vAlign w:val="center"/>
          </w:tcPr>
          <w:p w14:paraId="6715DE63" w14:textId="5982D987" w:rsidR="005B3FF4" w:rsidRPr="002657D1" w:rsidRDefault="005B3FF4"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0.1</w:t>
            </w:r>
          </w:p>
        </w:tc>
        <w:tc>
          <w:tcPr>
            <w:tcW w:w="1276" w:type="dxa"/>
            <w:tcBorders>
              <w:top w:val="nil"/>
              <w:left w:val="nil"/>
              <w:bottom w:val="single" w:sz="12" w:space="0" w:color="auto"/>
              <w:right w:val="nil"/>
            </w:tcBorders>
            <w:vAlign w:val="center"/>
          </w:tcPr>
          <w:p w14:paraId="4D016277" w14:textId="7A00EE68" w:rsidR="005B3FF4" w:rsidRPr="002657D1" w:rsidRDefault="005B3FF4"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25</w:t>
            </w:r>
          </w:p>
        </w:tc>
        <w:tc>
          <w:tcPr>
            <w:tcW w:w="1842" w:type="dxa"/>
            <w:tcBorders>
              <w:top w:val="nil"/>
              <w:left w:val="nil"/>
              <w:bottom w:val="single" w:sz="12" w:space="0" w:color="auto"/>
              <w:right w:val="nil"/>
            </w:tcBorders>
          </w:tcPr>
          <w:p w14:paraId="492B5BA7" w14:textId="77DEDAA3" w:rsidR="005B3FF4" w:rsidRPr="002657D1" w:rsidRDefault="005B3FF4"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2.5</w:t>
            </w:r>
          </w:p>
        </w:tc>
        <w:tc>
          <w:tcPr>
            <w:tcW w:w="1701" w:type="dxa"/>
            <w:tcBorders>
              <w:top w:val="nil"/>
              <w:left w:val="nil"/>
              <w:bottom w:val="single" w:sz="12" w:space="0" w:color="auto"/>
              <w:right w:val="nil"/>
            </w:tcBorders>
            <w:vAlign w:val="center"/>
          </w:tcPr>
          <w:p w14:paraId="1F67E924" w14:textId="2033D70D" w:rsidR="005B3FF4" w:rsidRPr="002657D1" w:rsidRDefault="005B3FF4" w:rsidP="00C20FBC">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kern w:val="24"/>
                <w:sz w:val="24"/>
                <w:szCs w:val="24"/>
              </w:rPr>
              <w:t>25</w:t>
            </w:r>
          </w:p>
        </w:tc>
        <w:tc>
          <w:tcPr>
            <w:tcW w:w="1276" w:type="dxa"/>
            <w:tcBorders>
              <w:top w:val="nil"/>
              <w:left w:val="nil"/>
              <w:bottom w:val="single" w:sz="12" w:space="0" w:color="auto"/>
              <w:right w:val="nil"/>
            </w:tcBorders>
            <w:vAlign w:val="center"/>
          </w:tcPr>
          <w:p w14:paraId="7067CAE3" w14:textId="0D078EC5" w:rsidR="005B3FF4" w:rsidRPr="002657D1" w:rsidRDefault="00654B51" w:rsidP="00F364F4">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Pr="002657D1">
              <w:rPr>
                <w:rFonts w:ascii="Times New Roman" w:hAnsi="Times New Roman" w:cs="Times New Roman"/>
                <w:color w:val="000000" w:themeColor="text1"/>
                <w:sz w:val="24"/>
                <w:szCs w:val="24"/>
              </w:rPr>
              <w:instrText xml:space="preserve"> ADDIN ZOTERO_ITEM CSL_CITATION {"citationID":"a1nls6a9a8b","properties":{"formattedCitation":"\\super 79\\nosupersub{}","plainCitation":"79","noteIndex":0},"citationItems":[{"id":2839,"uris":["http://zotero.org/users/local/J1vikkcu/items/NG5JG8CR"],"itemData":{"id":2839,"type":"article-journal","language":"en","source":"Zotero","title":"Anion sublattice design enables superionic conductivity in crystalline oxyhalides","author":[{"family":"Zhao","given":"Feipeng"},{"family":"Zhang","given":"Shumin"},{"family":"Wang","given":"Shuo"},{"family":"Reid","given":"Joel W"},{"family":"Xia","given":"Wei"},{"family":"Liu","given":"Jue"},{"family":"King","given":"Graham"},{"family":"Kaduk","given":"James A"},{"family":"Liang","given":"Jianwen"},{"family":"Luo","given":"Jing"},{"family":"Gao","given":"Yingjie"},{"family":"Yang","given":"Feipeng"},{"family":"Zhao","given":"Yang"},{"family":"Li","given":"Weihan"},{"family":"Alahakoon","given":"Sandamini H"},{"family":"Guo","given":"Jinghua"},{"family":"Huang","given":"Yining"},{"family":"Sham","given":"Tsun-Kong"},{"family":"Mo","given":"Yifei"},{"family":"Sun","given":"Xueliang"}]}}],"schema":"https://github.com/citation-style-language/schema/raw/master/csl-citation.json"}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79</w:t>
            </w:r>
            <w:r w:rsidRPr="002657D1">
              <w:rPr>
                <w:rFonts w:ascii="Times New Roman" w:hAnsi="Times New Roman" w:cs="Times New Roman"/>
                <w:color w:val="000000" w:themeColor="text1"/>
                <w:sz w:val="24"/>
                <w:szCs w:val="24"/>
              </w:rPr>
              <w:fldChar w:fldCharType="end"/>
            </w:r>
          </w:p>
        </w:tc>
      </w:tr>
    </w:tbl>
    <w:p w14:paraId="7B450AFF" w14:textId="77777777" w:rsidR="00774816" w:rsidRPr="002657D1" w:rsidRDefault="00774816" w:rsidP="009E5DA1">
      <w:pPr>
        <w:widowControl/>
        <w:spacing w:before="120" w:afterLines="50" w:after="156" w:line="360" w:lineRule="auto"/>
        <w:rPr>
          <w:rFonts w:ascii="Times New Roman" w:hAnsi="Times New Roman" w:cs="Times New Roman"/>
          <w:color w:val="000000" w:themeColor="text1"/>
        </w:rPr>
        <w:sectPr w:rsidR="00774816" w:rsidRPr="002657D1" w:rsidSect="000F1516">
          <w:pgSz w:w="14175" w:h="16840"/>
          <w:pgMar w:top="1440" w:right="1797" w:bottom="1440" w:left="1797" w:header="851" w:footer="992" w:gutter="0"/>
          <w:lnNumType w:countBy="1" w:restart="continuous"/>
          <w:cols w:space="425"/>
          <w:docGrid w:type="lines" w:linePitch="312"/>
        </w:sectPr>
      </w:pPr>
    </w:p>
    <w:p w14:paraId="7D57F728" w14:textId="157D0223" w:rsidR="007E1562" w:rsidRPr="002657D1" w:rsidRDefault="007E1562" w:rsidP="009E5DA1">
      <w:pPr>
        <w:widowControl/>
        <w:spacing w:before="120" w:afterLines="50" w:after="156" w:line="360" w:lineRule="auto"/>
        <w:rPr>
          <w:rFonts w:ascii="Times New Roman" w:hAnsi="Times New Roman" w:cs="Times New Roman"/>
          <w:color w:val="000000" w:themeColor="text1"/>
          <w:sz w:val="24"/>
          <w:szCs w:val="24"/>
        </w:rPr>
      </w:pPr>
      <w:r w:rsidRPr="002657D1">
        <w:rPr>
          <w:rFonts w:ascii="Times New Roman" w:hAnsi="Times New Roman" w:cs="Times New Roman"/>
          <w:b/>
          <w:bCs/>
          <w:color w:val="000000" w:themeColor="text1"/>
          <w:sz w:val="24"/>
          <w:szCs w:val="24"/>
        </w:rPr>
        <w:lastRenderedPageBreak/>
        <w:t>Supplementary Table 7.</w:t>
      </w:r>
      <w:r w:rsidRPr="002657D1">
        <w:rPr>
          <w:rFonts w:ascii="Times New Roman" w:hAnsi="Times New Roman" w:cs="Times New Roman"/>
          <w:color w:val="000000" w:themeColor="text1"/>
          <w:sz w:val="24"/>
          <w:szCs w:val="24"/>
        </w:rPr>
        <w:t xml:space="preserve"> </w:t>
      </w:r>
      <w:r w:rsidR="00DE7E28" w:rsidRPr="002657D1">
        <w:rPr>
          <w:rFonts w:ascii="Times New Roman" w:hAnsi="Times New Roman" w:cs="Times New Roman"/>
          <w:color w:val="000000" w:themeColor="text1"/>
          <w:sz w:val="24"/>
          <w:szCs w:val="24"/>
        </w:rPr>
        <w:t xml:space="preserve">Comparison of </w:t>
      </w:r>
      <w:r w:rsidR="009D049B" w:rsidRPr="002657D1">
        <w:rPr>
          <w:rFonts w:ascii="Times New Roman" w:hAnsi="Times New Roman" w:cs="Times New Roman" w:hint="eastAsia"/>
          <w:color w:val="000000" w:themeColor="text1"/>
          <w:sz w:val="24"/>
          <w:szCs w:val="24"/>
        </w:rPr>
        <w:t>cathode active material</w:t>
      </w:r>
      <w:r w:rsidR="00DE7E28" w:rsidRPr="002657D1">
        <w:rPr>
          <w:rFonts w:ascii="Times New Roman" w:hAnsi="Times New Roman" w:cs="Times New Roman"/>
          <w:color w:val="000000" w:themeColor="text1"/>
          <w:sz w:val="24"/>
          <w:szCs w:val="24"/>
        </w:rPr>
        <w:t xml:space="preserve"> loading and </w:t>
      </w:r>
      <w:r w:rsidR="00ED213D" w:rsidRPr="002657D1">
        <w:rPr>
          <w:rFonts w:ascii="Times New Roman" w:hAnsi="Times New Roman" w:cs="Times New Roman"/>
          <w:color w:val="000000" w:themeColor="text1"/>
          <w:sz w:val="24"/>
          <w:szCs w:val="24"/>
        </w:rPr>
        <w:t>areal capacity</w:t>
      </w:r>
      <w:r w:rsidR="00DE7E28" w:rsidRPr="002657D1">
        <w:rPr>
          <w:rFonts w:ascii="Times New Roman" w:hAnsi="Times New Roman" w:cs="Times New Roman"/>
          <w:color w:val="000000" w:themeColor="text1"/>
          <w:sz w:val="24"/>
          <w:szCs w:val="24"/>
        </w:rPr>
        <w:t xml:space="preserve"> </w:t>
      </w:r>
      <w:r w:rsidR="00302C1B" w:rsidRPr="002657D1">
        <w:rPr>
          <w:rFonts w:ascii="Times New Roman" w:hAnsi="Times New Roman" w:cs="Times New Roman"/>
          <w:color w:val="000000" w:themeColor="text1"/>
          <w:sz w:val="24"/>
          <w:szCs w:val="24"/>
        </w:rPr>
        <w:t>in</w:t>
      </w:r>
      <w:r w:rsidR="00DE7E28" w:rsidRPr="002657D1">
        <w:rPr>
          <w:rFonts w:ascii="Times New Roman" w:hAnsi="Times New Roman" w:cs="Times New Roman"/>
          <w:color w:val="000000" w:themeColor="text1"/>
          <w:sz w:val="24"/>
          <w:szCs w:val="24"/>
        </w:rPr>
        <w:t xml:space="preserve"> </w:t>
      </w:r>
      <w:r w:rsidR="00ED213D" w:rsidRPr="002657D1">
        <w:rPr>
          <w:rFonts w:ascii="Times New Roman" w:hAnsi="Times New Roman" w:cs="Times New Roman"/>
          <w:color w:val="000000" w:themeColor="text1"/>
          <w:sz w:val="24"/>
          <w:szCs w:val="24"/>
        </w:rPr>
        <w:t>ASSLMBs</w:t>
      </w:r>
      <w:r w:rsidR="00DE7E28" w:rsidRPr="002657D1">
        <w:rPr>
          <w:rFonts w:ascii="Times New Roman" w:hAnsi="Times New Roman" w:cs="Times New Roman"/>
          <w:color w:val="000000" w:themeColor="text1"/>
          <w:sz w:val="24"/>
          <w:szCs w:val="24"/>
        </w:rPr>
        <w:t xml:space="preserve"> using </w:t>
      </w:r>
      <w:r w:rsidR="00AF3BB2" w:rsidRPr="002657D1">
        <w:rPr>
          <w:rFonts w:ascii="Times New Roman" w:hAnsi="Times New Roman" w:cs="Times New Roman"/>
          <w:color w:val="000000" w:themeColor="text1"/>
          <w:sz w:val="24"/>
          <w:szCs w:val="24"/>
        </w:rPr>
        <w:t xml:space="preserve">Li </w:t>
      </w:r>
      <w:r w:rsidR="00DE7E28" w:rsidRPr="002657D1">
        <w:rPr>
          <w:rFonts w:ascii="Times New Roman" w:hAnsi="Times New Roman" w:cs="Times New Roman"/>
          <w:color w:val="000000" w:themeColor="text1"/>
          <w:sz w:val="24"/>
          <w:szCs w:val="24"/>
        </w:rPr>
        <w:t xml:space="preserve">metal and </w:t>
      </w:r>
      <w:r w:rsidR="00500A70" w:rsidRPr="002657D1">
        <w:rPr>
          <w:rFonts w:ascii="Times New Roman" w:hAnsi="Times New Roman" w:cs="Times New Roman"/>
          <w:color w:val="000000" w:themeColor="text1"/>
          <w:sz w:val="24"/>
          <w:szCs w:val="24"/>
        </w:rPr>
        <w:t>HSEs</w:t>
      </w:r>
      <w:r w:rsidR="00BD5C3D" w:rsidRPr="002657D1">
        <w:rPr>
          <w:rFonts w:ascii="Times New Roman" w:hAnsi="Times New Roman" w:cs="Times New Roman"/>
          <w:color w:val="000000" w:themeColor="text1"/>
          <w:sz w:val="24"/>
          <w:szCs w:val="24"/>
        </w:rPr>
        <w:t>.</w:t>
      </w:r>
    </w:p>
    <w:tbl>
      <w:tblPr>
        <w:tblStyle w:val="af7"/>
        <w:tblW w:w="13041" w:type="dxa"/>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2518"/>
        <w:gridCol w:w="1877"/>
        <w:gridCol w:w="1417"/>
        <w:gridCol w:w="1418"/>
        <w:gridCol w:w="1559"/>
        <w:gridCol w:w="1559"/>
        <w:gridCol w:w="1418"/>
        <w:gridCol w:w="1275"/>
      </w:tblGrid>
      <w:tr w:rsidR="002657D1" w:rsidRPr="002657D1" w14:paraId="02B9378D" w14:textId="77777777" w:rsidTr="009D049B">
        <w:trPr>
          <w:jc w:val="center"/>
        </w:trPr>
        <w:tc>
          <w:tcPr>
            <w:tcW w:w="2518" w:type="dxa"/>
            <w:tcBorders>
              <w:top w:val="single" w:sz="12" w:space="0" w:color="auto"/>
              <w:bottom w:val="single" w:sz="12" w:space="0" w:color="auto"/>
            </w:tcBorders>
            <w:vAlign w:val="center"/>
          </w:tcPr>
          <w:p w14:paraId="626771FD" w14:textId="31D25088" w:rsidR="006F5648" w:rsidRPr="002657D1" w:rsidRDefault="006F5648" w:rsidP="006269AB">
            <w:pPr>
              <w:widowControl/>
              <w:spacing w:before="120" w:afterLines="50" w:after="156"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18"/>
                <w:sz w:val="24"/>
                <w:szCs w:val="24"/>
              </w:rPr>
              <w:t>Cell structure</w:t>
            </w:r>
          </w:p>
        </w:tc>
        <w:tc>
          <w:tcPr>
            <w:tcW w:w="1877" w:type="dxa"/>
            <w:tcBorders>
              <w:top w:val="single" w:sz="12" w:space="0" w:color="auto"/>
              <w:bottom w:val="single" w:sz="12" w:space="0" w:color="auto"/>
            </w:tcBorders>
            <w:vAlign w:val="center"/>
          </w:tcPr>
          <w:p w14:paraId="358CDB3D" w14:textId="4C29CBB3" w:rsidR="006F5648" w:rsidRPr="002657D1" w:rsidRDefault="009D049B" w:rsidP="006269AB">
            <w:pPr>
              <w:widowControl/>
              <w:spacing w:before="120" w:afterLines="50" w:after="156"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hint="eastAsia"/>
                <w:color w:val="000000" w:themeColor="text1"/>
                <w:sz w:val="24"/>
                <w:szCs w:val="24"/>
              </w:rPr>
              <w:t>Cathode active materials</w:t>
            </w:r>
            <w:r w:rsidR="006F5648" w:rsidRPr="002657D1">
              <w:rPr>
                <w:rFonts w:ascii="Times New Roman" w:hAnsi="Times New Roman" w:cs="Times New Roman"/>
                <w:color w:val="000000" w:themeColor="text1"/>
                <w:sz w:val="24"/>
                <w:szCs w:val="24"/>
              </w:rPr>
              <w:t xml:space="preserve"> loading (mg cm</w:t>
            </w:r>
            <w:r w:rsidR="006F5648" w:rsidRPr="002657D1">
              <w:rPr>
                <w:rFonts w:ascii="Times New Roman" w:hAnsi="Times New Roman" w:cs="Times New Roman"/>
                <w:color w:val="000000" w:themeColor="text1"/>
                <w:kern w:val="24"/>
                <w:sz w:val="24"/>
                <w:szCs w:val="24"/>
                <w:vertAlign w:val="superscript"/>
              </w:rPr>
              <w:t>−</w:t>
            </w:r>
            <w:r w:rsidR="006F5648" w:rsidRPr="002657D1">
              <w:rPr>
                <w:rFonts w:ascii="Times New Roman" w:hAnsi="Times New Roman" w:cs="Times New Roman"/>
                <w:color w:val="000000" w:themeColor="text1"/>
                <w:sz w:val="24"/>
                <w:szCs w:val="24"/>
                <w:vertAlign w:val="superscript"/>
              </w:rPr>
              <w:t>2</w:t>
            </w:r>
            <w:r w:rsidR="006F5648" w:rsidRPr="002657D1">
              <w:rPr>
                <w:rFonts w:ascii="Times New Roman" w:hAnsi="Times New Roman" w:cs="Times New Roman"/>
                <w:color w:val="000000" w:themeColor="text1"/>
                <w:sz w:val="24"/>
                <w:szCs w:val="24"/>
              </w:rPr>
              <w:t>)</w:t>
            </w:r>
          </w:p>
        </w:tc>
        <w:tc>
          <w:tcPr>
            <w:tcW w:w="1417" w:type="dxa"/>
            <w:tcBorders>
              <w:top w:val="single" w:sz="12" w:space="0" w:color="auto"/>
              <w:bottom w:val="single" w:sz="12" w:space="0" w:color="auto"/>
            </w:tcBorders>
            <w:vAlign w:val="center"/>
          </w:tcPr>
          <w:p w14:paraId="77C39550" w14:textId="04777270" w:rsidR="006F5648" w:rsidRPr="002657D1" w:rsidRDefault="006F5648" w:rsidP="006269AB">
            <w:pPr>
              <w:widowControl/>
              <w:spacing w:before="120" w:afterLines="50" w:after="156"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Discharge capacity (mAh g</w:t>
            </w:r>
            <w:r w:rsidRPr="002657D1">
              <w:rPr>
                <w:rFonts w:ascii="Times New Roman" w:hAnsi="Times New Roman" w:cs="Times New Roman"/>
                <w:color w:val="000000" w:themeColor="text1"/>
                <w:kern w:val="24"/>
                <w:sz w:val="24"/>
                <w:szCs w:val="24"/>
                <w:vertAlign w:val="superscript"/>
              </w:rPr>
              <w:t>−</w:t>
            </w:r>
            <w:r w:rsidRPr="002657D1">
              <w:rPr>
                <w:rFonts w:ascii="Times New Roman" w:hAnsi="Times New Roman" w:cs="Times New Roman"/>
                <w:color w:val="000000" w:themeColor="text1"/>
                <w:sz w:val="24"/>
                <w:szCs w:val="24"/>
                <w:vertAlign w:val="superscript"/>
              </w:rPr>
              <w:t>1</w:t>
            </w:r>
            <w:r w:rsidRPr="002657D1">
              <w:rPr>
                <w:rFonts w:ascii="Times New Roman" w:hAnsi="Times New Roman" w:cs="Times New Roman"/>
                <w:color w:val="000000" w:themeColor="text1"/>
                <w:sz w:val="24"/>
                <w:szCs w:val="24"/>
              </w:rPr>
              <w:t>)</w:t>
            </w:r>
          </w:p>
        </w:tc>
        <w:tc>
          <w:tcPr>
            <w:tcW w:w="1418" w:type="dxa"/>
            <w:tcBorders>
              <w:top w:val="single" w:sz="12" w:space="0" w:color="auto"/>
              <w:bottom w:val="single" w:sz="12" w:space="0" w:color="auto"/>
            </w:tcBorders>
            <w:vAlign w:val="center"/>
          </w:tcPr>
          <w:p w14:paraId="25441C52" w14:textId="31E06C62" w:rsidR="006F5648" w:rsidRPr="002657D1" w:rsidRDefault="006F5648" w:rsidP="006269AB">
            <w:pPr>
              <w:widowControl/>
              <w:spacing w:before="120" w:afterLines="50" w:after="156"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Areal capacity (mAh cm</w:t>
            </w:r>
            <w:r w:rsidRPr="002657D1">
              <w:rPr>
                <w:rFonts w:ascii="Times New Roman" w:hAnsi="Times New Roman" w:cs="Times New Roman"/>
                <w:color w:val="000000" w:themeColor="text1"/>
                <w:kern w:val="24"/>
                <w:sz w:val="24"/>
                <w:szCs w:val="24"/>
                <w:vertAlign w:val="superscript"/>
              </w:rPr>
              <w:t>−</w:t>
            </w:r>
            <w:r w:rsidRPr="002657D1">
              <w:rPr>
                <w:rFonts w:ascii="Times New Roman" w:hAnsi="Times New Roman" w:cs="Times New Roman"/>
                <w:color w:val="000000" w:themeColor="text1"/>
                <w:sz w:val="24"/>
                <w:szCs w:val="24"/>
                <w:vertAlign w:val="superscript"/>
              </w:rPr>
              <w:t>2</w:t>
            </w:r>
            <w:r w:rsidRPr="002657D1">
              <w:rPr>
                <w:rFonts w:ascii="Times New Roman" w:hAnsi="Times New Roman" w:cs="Times New Roman"/>
                <w:color w:val="000000" w:themeColor="text1"/>
                <w:sz w:val="24"/>
                <w:szCs w:val="24"/>
              </w:rPr>
              <w:t>)</w:t>
            </w:r>
          </w:p>
        </w:tc>
        <w:tc>
          <w:tcPr>
            <w:tcW w:w="1559" w:type="dxa"/>
            <w:tcBorders>
              <w:top w:val="single" w:sz="12" w:space="0" w:color="auto"/>
              <w:bottom w:val="single" w:sz="12" w:space="0" w:color="auto"/>
            </w:tcBorders>
            <w:vAlign w:val="center"/>
          </w:tcPr>
          <w:p w14:paraId="04E94ECA" w14:textId="438416E7" w:rsidR="006F5648" w:rsidRPr="002657D1" w:rsidRDefault="006F5648" w:rsidP="006F5648">
            <w:pPr>
              <w:widowControl/>
              <w:spacing w:before="120" w:afterLines="50" w:after="156"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Total cycles (n)@current</w:t>
            </w:r>
          </w:p>
        </w:tc>
        <w:tc>
          <w:tcPr>
            <w:tcW w:w="1559" w:type="dxa"/>
            <w:tcBorders>
              <w:top w:val="single" w:sz="12" w:space="0" w:color="auto"/>
              <w:bottom w:val="single" w:sz="12" w:space="0" w:color="auto"/>
            </w:tcBorders>
            <w:vAlign w:val="center"/>
          </w:tcPr>
          <w:p w14:paraId="05803D41" w14:textId="0AF74771" w:rsidR="006F5648" w:rsidRPr="002657D1" w:rsidRDefault="006F5648" w:rsidP="006F5648">
            <w:pPr>
              <w:widowControl/>
              <w:spacing w:before="120" w:afterLines="50" w:after="156"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Capacity decay rate per cycle (%)</w:t>
            </w:r>
          </w:p>
        </w:tc>
        <w:tc>
          <w:tcPr>
            <w:tcW w:w="1418" w:type="dxa"/>
            <w:tcBorders>
              <w:top w:val="single" w:sz="12" w:space="0" w:color="auto"/>
              <w:bottom w:val="single" w:sz="12" w:space="0" w:color="auto"/>
            </w:tcBorders>
            <w:vAlign w:val="center"/>
          </w:tcPr>
          <w:p w14:paraId="40FF2BD0" w14:textId="10FE3FFC" w:rsidR="006F5648" w:rsidRPr="002657D1" w:rsidRDefault="006F5648" w:rsidP="006269AB">
            <w:pPr>
              <w:widowControl/>
              <w:spacing w:before="120" w:afterLines="50" w:after="156"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Test temperature (℃)</w:t>
            </w:r>
          </w:p>
        </w:tc>
        <w:tc>
          <w:tcPr>
            <w:tcW w:w="1275" w:type="dxa"/>
            <w:tcBorders>
              <w:top w:val="single" w:sz="12" w:space="0" w:color="auto"/>
              <w:bottom w:val="single" w:sz="12" w:space="0" w:color="auto"/>
            </w:tcBorders>
            <w:vAlign w:val="center"/>
          </w:tcPr>
          <w:p w14:paraId="1840A2FB" w14:textId="2A1B37A2" w:rsidR="006F5648" w:rsidRPr="002657D1" w:rsidRDefault="006F5648" w:rsidP="006269AB">
            <w:pPr>
              <w:widowControl/>
              <w:spacing w:before="120" w:afterLines="50" w:after="156"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Reference</w:t>
            </w:r>
          </w:p>
        </w:tc>
      </w:tr>
      <w:tr w:rsidR="002657D1" w:rsidRPr="002657D1" w14:paraId="5D4AD236" w14:textId="77777777" w:rsidTr="009D049B">
        <w:trPr>
          <w:jc w:val="center"/>
        </w:trPr>
        <w:tc>
          <w:tcPr>
            <w:tcW w:w="2518" w:type="dxa"/>
            <w:vMerge w:val="restart"/>
            <w:tcBorders>
              <w:top w:val="single" w:sz="12" w:space="0" w:color="auto"/>
              <w:bottom w:val="nil"/>
            </w:tcBorders>
            <w:vAlign w:val="center"/>
          </w:tcPr>
          <w:p w14:paraId="661BF5C2" w14:textId="0D7E2CB1" w:rsidR="006F5648" w:rsidRPr="002657D1" w:rsidRDefault="006F5648" w:rsidP="006F5648">
            <w:pPr>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t>NCM811/LZC-10TF/Li</w:t>
            </w:r>
          </w:p>
        </w:tc>
        <w:tc>
          <w:tcPr>
            <w:tcW w:w="1877" w:type="dxa"/>
            <w:tcBorders>
              <w:top w:val="single" w:sz="12" w:space="0" w:color="auto"/>
              <w:bottom w:val="nil"/>
            </w:tcBorders>
            <w:vAlign w:val="center"/>
          </w:tcPr>
          <w:p w14:paraId="59B012C7" w14:textId="6782957A" w:rsidR="006F5648" w:rsidRPr="002657D1" w:rsidRDefault="006F5648" w:rsidP="006F5648">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t>8.9</w:t>
            </w:r>
          </w:p>
        </w:tc>
        <w:tc>
          <w:tcPr>
            <w:tcW w:w="1417" w:type="dxa"/>
            <w:tcBorders>
              <w:top w:val="single" w:sz="12" w:space="0" w:color="auto"/>
              <w:bottom w:val="nil"/>
            </w:tcBorders>
            <w:vAlign w:val="center"/>
          </w:tcPr>
          <w:p w14:paraId="52CD4D6F" w14:textId="67464F65" w:rsidR="006F5648" w:rsidRPr="002657D1" w:rsidRDefault="006F5648" w:rsidP="006F5648">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t xml:space="preserve">130.6 </w:t>
            </w:r>
          </w:p>
        </w:tc>
        <w:tc>
          <w:tcPr>
            <w:tcW w:w="1418" w:type="dxa"/>
            <w:tcBorders>
              <w:top w:val="single" w:sz="12" w:space="0" w:color="auto"/>
              <w:bottom w:val="nil"/>
            </w:tcBorders>
            <w:vAlign w:val="center"/>
          </w:tcPr>
          <w:p w14:paraId="29207FCE" w14:textId="615182F1" w:rsidR="006F5648" w:rsidRPr="002657D1" w:rsidRDefault="006F5648" w:rsidP="006F5648">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t>1.2</w:t>
            </w:r>
          </w:p>
        </w:tc>
        <w:tc>
          <w:tcPr>
            <w:tcW w:w="1559" w:type="dxa"/>
            <w:tcBorders>
              <w:top w:val="single" w:sz="12" w:space="0" w:color="auto"/>
              <w:bottom w:val="nil"/>
            </w:tcBorders>
            <w:vAlign w:val="center"/>
          </w:tcPr>
          <w:p w14:paraId="494BAF4D" w14:textId="2A1DAF70" w:rsidR="006F5648" w:rsidRPr="002657D1" w:rsidRDefault="006F5648" w:rsidP="006F5648">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t>1000@1.0 C</w:t>
            </w:r>
          </w:p>
        </w:tc>
        <w:tc>
          <w:tcPr>
            <w:tcW w:w="1559" w:type="dxa"/>
            <w:tcBorders>
              <w:top w:val="single" w:sz="12" w:space="0" w:color="auto"/>
              <w:bottom w:val="nil"/>
            </w:tcBorders>
            <w:vAlign w:val="center"/>
          </w:tcPr>
          <w:p w14:paraId="7791063E" w14:textId="4FE036CD" w:rsidR="006F5648" w:rsidRPr="002657D1" w:rsidRDefault="006F5648" w:rsidP="006F5648">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t>0.014</w:t>
            </w:r>
          </w:p>
        </w:tc>
        <w:tc>
          <w:tcPr>
            <w:tcW w:w="1418" w:type="dxa"/>
            <w:tcBorders>
              <w:top w:val="single" w:sz="12" w:space="0" w:color="auto"/>
              <w:bottom w:val="nil"/>
            </w:tcBorders>
            <w:vAlign w:val="center"/>
          </w:tcPr>
          <w:p w14:paraId="5ED3CB90" w14:textId="23BA9DFD" w:rsidR="006F5648" w:rsidRPr="002657D1" w:rsidRDefault="006F5648" w:rsidP="006F5648">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t>25</w:t>
            </w:r>
          </w:p>
        </w:tc>
        <w:tc>
          <w:tcPr>
            <w:tcW w:w="1275" w:type="dxa"/>
            <w:vMerge w:val="restart"/>
            <w:tcBorders>
              <w:top w:val="single" w:sz="12" w:space="0" w:color="auto"/>
              <w:bottom w:val="nil"/>
            </w:tcBorders>
            <w:vAlign w:val="center"/>
          </w:tcPr>
          <w:p w14:paraId="7E354952" w14:textId="177FB603" w:rsidR="006F5648" w:rsidRPr="002657D1" w:rsidRDefault="006F5648" w:rsidP="006F5648">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t>This work</w:t>
            </w:r>
          </w:p>
        </w:tc>
      </w:tr>
      <w:tr w:rsidR="002657D1" w:rsidRPr="002657D1" w14:paraId="1EC53552" w14:textId="77777777" w:rsidTr="009D049B">
        <w:trPr>
          <w:trHeight w:val="57"/>
          <w:jc w:val="center"/>
        </w:trPr>
        <w:tc>
          <w:tcPr>
            <w:tcW w:w="2518" w:type="dxa"/>
            <w:vMerge/>
            <w:tcBorders>
              <w:top w:val="nil"/>
              <w:bottom w:val="nil"/>
            </w:tcBorders>
            <w:vAlign w:val="center"/>
          </w:tcPr>
          <w:p w14:paraId="3BBE2158" w14:textId="6815941A"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p>
        </w:tc>
        <w:tc>
          <w:tcPr>
            <w:tcW w:w="1877" w:type="dxa"/>
            <w:tcBorders>
              <w:top w:val="nil"/>
              <w:bottom w:val="nil"/>
            </w:tcBorders>
            <w:vAlign w:val="center"/>
          </w:tcPr>
          <w:p w14:paraId="08120311" w14:textId="0B7584EB" w:rsidR="006F5648" w:rsidRPr="002657D1" w:rsidRDefault="006F5648" w:rsidP="006F5648">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t>18.3</w:t>
            </w:r>
          </w:p>
        </w:tc>
        <w:tc>
          <w:tcPr>
            <w:tcW w:w="1417" w:type="dxa"/>
            <w:tcBorders>
              <w:top w:val="nil"/>
              <w:bottom w:val="nil"/>
            </w:tcBorders>
            <w:vAlign w:val="center"/>
          </w:tcPr>
          <w:p w14:paraId="360C4B57" w14:textId="0F60C09E" w:rsidR="006F5648" w:rsidRPr="002657D1" w:rsidRDefault="006F5648" w:rsidP="006F5648">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t>163.8</w:t>
            </w:r>
          </w:p>
        </w:tc>
        <w:tc>
          <w:tcPr>
            <w:tcW w:w="1418" w:type="dxa"/>
            <w:tcBorders>
              <w:top w:val="nil"/>
              <w:bottom w:val="nil"/>
            </w:tcBorders>
            <w:vAlign w:val="center"/>
          </w:tcPr>
          <w:p w14:paraId="10B309DF" w14:textId="0DCA2898" w:rsidR="006F5648" w:rsidRPr="002657D1" w:rsidRDefault="006F5648" w:rsidP="006F5648">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t>3.1</w:t>
            </w:r>
          </w:p>
        </w:tc>
        <w:tc>
          <w:tcPr>
            <w:tcW w:w="1559" w:type="dxa"/>
            <w:tcBorders>
              <w:top w:val="nil"/>
              <w:bottom w:val="nil"/>
            </w:tcBorders>
            <w:vAlign w:val="center"/>
          </w:tcPr>
          <w:p w14:paraId="2EB71BAA" w14:textId="67A32B84" w:rsidR="006F5648" w:rsidRPr="002657D1" w:rsidRDefault="006F5648" w:rsidP="006F5648">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t>400@0.2 C</w:t>
            </w:r>
          </w:p>
        </w:tc>
        <w:tc>
          <w:tcPr>
            <w:tcW w:w="1559" w:type="dxa"/>
            <w:tcBorders>
              <w:top w:val="nil"/>
              <w:bottom w:val="nil"/>
            </w:tcBorders>
            <w:vAlign w:val="center"/>
          </w:tcPr>
          <w:p w14:paraId="41AD176F" w14:textId="79C94702" w:rsidR="006F5648" w:rsidRPr="002657D1" w:rsidRDefault="006F5648" w:rsidP="006F5648">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t>0.042</w:t>
            </w:r>
          </w:p>
        </w:tc>
        <w:tc>
          <w:tcPr>
            <w:tcW w:w="1418" w:type="dxa"/>
            <w:tcBorders>
              <w:top w:val="nil"/>
              <w:bottom w:val="nil"/>
            </w:tcBorders>
            <w:vAlign w:val="center"/>
          </w:tcPr>
          <w:p w14:paraId="3F8E6B81" w14:textId="11A98099" w:rsidR="006F5648" w:rsidRPr="002657D1" w:rsidRDefault="006F5648" w:rsidP="006F5648">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t>25</w:t>
            </w:r>
          </w:p>
        </w:tc>
        <w:tc>
          <w:tcPr>
            <w:tcW w:w="1275" w:type="dxa"/>
            <w:vMerge/>
            <w:tcBorders>
              <w:top w:val="nil"/>
              <w:bottom w:val="nil"/>
            </w:tcBorders>
            <w:vAlign w:val="center"/>
          </w:tcPr>
          <w:p w14:paraId="55BF163E" w14:textId="77777777"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p>
        </w:tc>
      </w:tr>
      <w:tr w:rsidR="002657D1" w:rsidRPr="002657D1" w14:paraId="6CC8CB21" w14:textId="77777777" w:rsidTr="009D049B">
        <w:trPr>
          <w:jc w:val="center"/>
        </w:trPr>
        <w:tc>
          <w:tcPr>
            <w:tcW w:w="2518" w:type="dxa"/>
            <w:vMerge/>
            <w:tcBorders>
              <w:top w:val="nil"/>
              <w:bottom w:val="nil"/>
            </w:tcBorders>
            <w:vAlign w:val="center"/>
          </w:tcPr>
          <w:p w14:paraId="78F4D73A" w14:textId="1EDF993E"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p>
        </w:tc>
        <w:tc>
          <w:tcPr>
            <w:tcW w:w="1877" w:type="dxa"/>
            <w:tcBorders>
              <w:top w:val="nil"/>
              <w:bottom w:val="nil"/>
            </w:tcBorders>
            <w:vAlign w:val="center"/>
          </w:tcPr>
          <w:p w14:paraId="63F1D2B7" w14:textId="2F1B551B" w:rsidR="006F5648" w:rsidRPr="002657D1" w:rsidRDefault="006F5648" w:rsidP="006F5648">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t>24.1</w:t>
            </w:r>
          </w:p>
        </w:tc>
        <w:tc>
          <w:tcPr>
            <w:tcW w:w="1417" w:type="dxa"/>
            <w:tcBorders>
              <w:top w:val="nil"/>
              <w:bottom w:val="nil"/>
            </w:tcBorders>
            <w:vAlign w:val="center"/>
          </w:tcPr>
          <w:p w14:paraId="4F2DA00E" w14:textId="1F8415BB" w:rsidR="006F5648" w:rsidRPr="002657D1" w:rsidRDefault="006F5648" w:rsidP="006F5648">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t>161.3</w:t>
            </w:r>
          </w:p>
        </w:tc>
        <w:tc>
          <w:tcPr>
            <w:tcW w:w="1418" w:type="dxa"/>
            <w:tcBorders>
              <w:top w:val="nil"/>
              <w:bottom w:val="nil"/>
            </w:tcBorders>
            <w:vAlign w:val="center"/>
          </w:tcPr>
          <w:p w14:paraId="2462104E" w14:textId="54533D24" w:rsidR="006F5648" w:rsidRPr="002657D1" w:rsidRDefault="006F5648" w:rsidP="006F5648">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t>3.9</w:t>
            </w:r>
          </w:p>
        </w:tc>
        <w:tc>
          <w:tcPr>
            <w:tcW w:w="1559" w:type="dxa"/>
            <w:tcBorders>
              <w:top w:val="nil"/>
              <w:bottom w:val="nil"/>
            </w:tcBorders>
            <w:vAlign w:val="center"/>
          </w:tcPr>
          <w:p w14:paraId="577B0A4B" w14:textId="39B612AF" w:rsidR="006F5648" w:rsidRPr="002657D1" w:rsidRDefault="006F5648" w:rsidP="006F5648">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t>200@0.1 C</w:t>
            </w:r>
          </w:p>
        </w:tc>
        <w:tc>
          <w:tcPr>
            <w:tcW w:w="1559" w:type="dxa"/>
            <w:tcBorders>
              <w:top w:val="nil"/>
              <w:bottom w:val="nil"/>
            </w:tcBorders>
            <w:vAlign w:val="center"/>
          </w:tcPr>
          <w:p w14:paraId="2646C261" w14:textId="18F7A043" w:rsidR="006F5648" w:rsidRPr="002657D1" w:rsidRDefault="006F5648" w:rsidP="006F5648">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t>0.107</w:t>
            </w:r>
          </w:p>
        </w:tc>
        <w:tc>
          <w:tcPr>
            <w:tcW w:w="1418" w:type="dxa"/>
            <w:tcBorders>
              <w:top w:val="nil"/>
              <w:bottom w:val="nil"/>
            </w:tcBorders>
            <w:vAlign w:val="center"/>
          </w:tcPr>
          <w:p w14:paraId="6118444B" w14:textId="2868CC86" w:rsidR="006F5648" w:rsidRPr="002657D1" w:rsidRDefault="006F5648" w:rsidP="006F5648">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t>25</w:t>
            </w:r>
          </w:p>
        </w:tc>
        <w:tc>
          <w:tcPr>
            <w:tcW w:w="1275" w:type="dxa"/>
            <w:vMerge/>
            <w:tcBorders>
              <w:top w:val="nil"/>
              <w:bottom w:val="nil"/>
            </w:tcBorders>
            <w:vAlign w:val="center"/>
          </w:tcPr>
          <w:p w14:paraId="7B00E7C8" w14:textId="77777777"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p>
        </w:tc>
      </w:tr>
      <w:tr w:rsidR="002657D1" w:rsidRPr="002657D1" w14:paraId="13263B92" w14:textId="77777777" w:rsidTr="009D049B">
        <w:trPr>
          <w:jc w:val="center"/>
        </w:trPr>
        <w:tc>
          <w:tcPr>
            <w:tcW w:w="2518" w:type="dxa"/>
            <w:tcBorders>
              <w:top w:val="nil"/>
              <w:bottom w:val="nil"/>
            </w:tcBorders>
            <w:vAlign w:val="center"/>
          </w:tcPr>
          <w:p w14:paraId="474509B2" w14:textId="56F30EE2"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LCO/Li</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YBr</w:t>
            </w:r>
            <w:r w:rsidRPr="002657D1">
              <w:rPr>
                <w:rFonts w:ascii="Times New Roman" w:hAnsi="Times New Roman" w:cs="Times New Roman"/>
                <w:color w:val="000000" w:themeColor="text1"/>
                <w:sz w:val="24"/>
                <w:szCs w:val="24"/>
                <w:vertAlign w:val="subscript"/>
              </w:rPr>
              <w:t>5.7</w:t>
            </w:r>
            <w:r w:rsidRPr="002657D1">
              <w:rPr>
                <w:rFonts w:ascii="Times New Roman" w:hAnsi="Times New Roman" w:cs="Times New Roman"/>
                <w:color w:val="000000" w:themeColor="text1"/>
                <w:sz w:val="24"/>
                <w:szCs w:val="24"/>
              </w:rPr>
              <w:t>F</w:t>
            </w:r>
            <w:r w:rsidRPr="002657D1">
              <w:rPr>
                <w:rFonts w:ascii="Times New Roman" w:hAnsi="Times New Roman" w:cs="Times New Roman"/>
                <w:color w:val="000000" w:themeColor="text1"/>
                <w:sz w:val="24"/>
                <w:szCs w:val="24"/>
                <w:vertAlign w:val="subscript"/>
              </w:rPr>
              <w:t>0.3</w:t>
            </w:r>
            <w:r w:rsidRPr="002657D1">
              <w:rPr>
                <w:rFonts w:ascii="Times New Roman" w:hAnsi="Times New Roman" w:cs="Times New Roman"/>
                <w:color w:val="000000" w:themeColor="text1"/>
                <w:sz w:val="24"/>
                <w:szCs w:val="24"/>
              </w:rPr>
              <w:t>/Li</w:t>
            </w:r>
          </w:p>
        </w:tc>
        <w:tc>
          <w:tcPr>
            <w:tcW w:w="1877" w:type="dxa"/>
            <w:tcBorders>
              <w:top w:val="nil"/>
              <w:bottom w:val="nil"/>
            </w:tcBorders>
            <w:vAlign w:val="center"/>
          </w:tcPr>
          <w:p w14:paraId="3E91C9B5" w14:textId="458ED73B"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10.0</w:t>
            </w:r>
          </w:p>
        </w:tc>
        <w:tc>
          <w:tcPr>
            <w:tcW w:w="1417" w:type="dxa"/>
            <w:tcBorders>
              <w:top w:val="nil"/>
              <w:bottom w:val="nil"/>
            </w:tcBorders>
            <w:vAlign w:val="center"/>
          </w:tcPr>
          <w:p w14:paraId="79F3E8A3" w14:textId="13E3D830"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121.6</w:t>
            </w:r>
          </w:p>
        </w:tc>
        <w:tc>
          <w:tcPr>
            <w:tcW w:w="1418" w:type="dxa"/>
            <w:tcBorders>
              <w:top w:val="nil"/>
              <w:bottom w:val="nil"/>
            </w:tcBorders>
            <w:vAlign w:val="center"/>
          </w:tcPr>
          <w:p w14:paraId="1D30A4C9" w14:textId="26E9768A"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1.22</w:t>
            </w:r>
          </w:p>
        </w:tc>
        <w:tc>
          <w:tcPr>
            <w:tcW w:w="1559" w:type="dxa"/>
            <w:tcBorders>
              <w:top w:val="nil"/>
              <w:bottom w:val="nil"/>
            </w:tcBorders>
            <w:vAlign w:val="center"/>
          </w:tcPr>
          <w:p w14:paraId="09866798" w14:textId="6ECBF843"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70@0.14 mA cm</w:t>
            </w:r>
            <w:r w:rsidRPr="002657D1">
              <w:rPr>
                <w:rFonts w:ascii="Times New Roman" w:hAnsi="Times New Roman" w:cs="Times New Roman"/>
                <w:color w:val="000000" w:themeColor="text1"/>
                <w:kern w:val="24"/>
                <w:sz w:val="24"/>
                <w:szCs w:val="24"/>
                <w:vertAlign w:val="superscript"/>
              </w:rPr>
              <w:t>−</w:t>
            </w:r>
            <w:r w:rsidRPr="002657D1">
              <w:rPr>
                <w:rFonts w:ascii="Times New Roman" w:hAnsi="Times New Roman" w:cs="Times New Roman"/>
                <w:color w:val="000000" w:themeColor="text1"/>
                <w:sz w:val="24"/>
                <w:szCs w:val="24"/>
                <w:vertAlign w:val="superscript"/>
              </w:rPr>
              <w:t>2</w:t>
            </w:r>
          </w:p>
        </w:tc>
        <w:tc>
          <w:tcPr>
            <w:tcW w:w="1559" w:type="dxa"/>
            <w:tcBorders>
              <w:top w:val="nil"/>
              <w:bottom w:val="nil"/>
            </w:tcBorders>
            <w:vAlign w:val="center"/>
          </w:tcPr>
          <w:p w14:paraId="0440E22D" w14:textId="22001EF3"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0.571</w:t>
            </w:r>
          </w:p>
        </w:tc>
        <w:tc>
          <w:tcPr>
            <w:tcW w:w="1418" w:type="dxa"/>
            <w:tcBorders>
              <w:top w:val="nil"/>
              <w:bottom w:val="nil"/>
            </w:tcBorders>
            <w:vAlign w:val="center"/>
          </w:tcPr>
          <w:p w14:paraId="6E2E7853" w14:textId="039BC2A2"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tcBorders>
              <w:top w:val="nil"/>
              <w:bottom w:val="nil"/>
            </w:tcBorders>
            <w:vAlign w:val="center"/>
          </w:tcPr>
          <w:p w14:paraId="07CB0908" w14:textId="0689025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{"citationID":"ypufRTMi","properties":{"formattedCitation":"\\super 28\\nosupersub{}","plainCitation":"28","noteIndex":0},"citationItems":[{"id":"IXaoCdHi/nusVTCKG","uris":["http://zotero.org/users/local/As3BANDe/items/PGQEPSXT"],"itemData":{"id":2814,"type":"article-journal","abstract":"Abstract\n            \n              The halide solid‐state electrolytes (SSEs) have received significant attention due to their high ionic conductivity and desirable compatibility with cathode materials. However, the reduction potential of the halide is still &gt;0.6 V (versus Li/Li\n              +\n              ). Reduction stability is still one of the challenges that need to be addressed. The fluorides have a wide electrochemical stability window due to the large electronegativity of F\n              –\n              . In contrast, Li\n              3\n              YBr\n              6\n              (LYB) bromides have a narrower electrochemical window, although they have high lithium ion conductivity (&gt;10\n              –3\n              S cm\n              –1\n              ). Herein, a fluorine doping strategy is employed. The interfacial stability between fluoride‐doped bromides and lithium metal is researched by cycling of lithium symmetric cells. Li plating/stripping can maintain over 1000 h at 0.75 mA cm\n              –2\n              . Interfacial protection mechanisms investigated by X‐ray photoelectron spectroscopy. A fluoride‐rich interfacial layer is formed in situ during the cycle, which achieves inhibition of the reduction. The Li metal treated fluorine doping of LYB exhibits significant potential in full cells. In fact, the induction of a stable in situ interfacial layer by fluorine doping can effectively improve the interfacial stability of bromides to lithium metal. Fluorine‐doped modification offers a new attempt to realize lithium metal applications in all‐solid‐state lithium batteries.","container-title":"Advanced Energy Materials","DOI":"10.1002/aenm.202101915","ISSN":"1614-6832, 1614-6840","issue":"36","journalAbbreviation":"Advanced Energy Materials","language":"en","page":"2101915","source":"DOI.org (Crossref)","title":"Superionic Fluorinated Halide Solid Electrolytes for Highly Stable Li‐Metal in All‐Solid‐State Li Batteries","volume":"11","author":[{"family":"Yu","given":"Tianwei"},{"family":"Liang","given":"Jianwen"},{"family":"Luo","given":"Liang"},{"family":"Wang","given":"Limin"},{"family":"Zhao","given":"Feipeng"},{"family":"Xu","given":"Guofeng"},{"family":"Bai","given":"Xiangtao"},{"family":"Yang","given":"Rong"},{"family":"Zhao","given":"Shangqian"},{"family":"Wang","given":"Jiantao"},{"family":"Yu","given":"Jinqiu"},{"family":"Sun","given":"Xueliang"}],"issued":{"date-parts":[["2021",9]]}}}],"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28</w:t>
            </w:r>
            <w:r w:rsidRPr="002657D1">
              <w:rPr>
                <w:rFonts w:ascii="Times New Roman" w:hAnsi="Times New Roman" w:cs="Times New Roman"/>
                <w:color w:val="000000" w:themeColor="text1"/>
                <w:sz w:val="24"/>
                <w:szCs w:val="24"/>
              </w:rPr>
              <w:fldChar w:fldCharType="end"/>
            </w:r>
          </w:p>
        </w:tc>
      </w:tr>
      <w:tr w:rsidR="002657D1" w:rsidRPr="002657D1" w14:paraId="348D62E4" w14:textId="77777777" w:rsidTr="009D049B">
        <w:trPr>
          <w:jc w:val="center"/>
        </w:trPr>
        <w:tc>
          <w:tcPr>
            <w:tcW w:w="2518" w:type="dxa"/>
            <w:tcBorders>
              <w:top w:val="nil"/>
              <w:bottom w:val="nil"/>
            </w:tcBorders>
            <w:vAlign w:val="center"/>
          </w:tcPr>
          <w:p w14:paraId="42C41180" w14:textId="27C90ECF" w:rsidR="006F5648" w:rsidRPr="002657D1" w:rsidRDefault="006F5648" w:rsidP="006F5648">
            <w:pPr>
              <w:widowControl/>
              <w:spacing w:line="360" w:lineRule="auto"/>
              <w:jc w:val="center"/>
              <w:rPr>
                <w:rFonts w:ascii="Times New Roman" w:hAnsi="Times New Roman" w:cs="Times New Roman"/>
                <w:color w:val="000000" w:themeColor="text1"/>
                <w:sz w:val="24"/>
                <w:szCs w:val="24"/>
                <w:lang w:val="de-DE"/>
              </w:rPr>
            </w:pPr>
            <w:r w:rsidRPr="002657D1">
              <w:rPr>
                <w:rFonts w:ascii="Times New Roman" w:hAnsi="Times New Roman" w:cs="Times New Roman"/>
                <w:color w:val="000000" w:themeColor="text1"/>
                <w:sz w:val="24"/>
                <w:szCs w:val="24"/>
                <w:lang w:val="de-DE"/>
              </w:rPr>
              <w:t>NCM523/Li</w:t>
            </w:r>
            <w:r w:rsidRPr="002657D1">
              <w:rPr>
                <w:rFonts w:ascii="Times New Roman" w:hAnsi="Times New Roman" w:cs="Times New Roman"/>
                <w:color w:val="000000" w:themeColor="text1"/>
                <w:sz w:val="24"/>
                <w:szCs w:val="24"/>
                <w:vertAlign w:val="subscript"/>
                <w:lang w:val="de-DE"/>
              </w:rPr>
              <w:t>0.388</w:t>
            </w:r>
            <w:r w:rsidRPr="002657D1">
              <w:rPr>
                <w:rFonts w:ascii="Times New Roman" w:hAnsi="Times New Roman" w:cs="Times New Roman"/>
                <w:color w:val="000000" w:themeColor="text1"/>
                <w:sz w:val="24"/>
                <w:szCs w:val="24"/>
                <w:lang w:val="de-DE"/>
              </w:rPr>
              <w:t>Ta</w:t>
            </w:r>
            <w:r w:rsidRPr="002657D1">
              <w:rPr>
                <w:rFonts w:ascii="Times New Roman" w:hAnsi="Times New Roman" w:cs="Times New Roman"/>
                <w:color w:val="000000" w:themeColor="text1"/>
                <w:sz w:val="24"/>
                <w:szCs w:val="24"/>
                <w:vertAlign w:val="subscript"/>
                <w:lang w:val="de-DE"/>
              </w:rPr>
              <w:t>0.238</w:t>
            </w:r>
            <w:r w:rsidRPr="002657D1">
              <w:rPr>
                <w:rFonts w:ascii="Times New Roman" w:hAnsi="Times New Roman" w:cs="Times New Roman"/>
                <w:color w:val="000000" w:themeColor="text1"/>
                <w:sz w:val="24"/>
                <w:szCs w:val="24"/>
                <w:lang w:val="de-DE"/>
              </w:rPr>
              <w:t>La</w:t>
            </w:r>
            <w:r w:rsidRPr="002657D1">
              <w:rPr>
                <w:rFonts w:ascii="Times New Roman" w:hAnsi="Times New Roman" w:cs="Times New Roman"/>
                <w:color w:val="000000" w:themeColor="text1"/>
                <w:sz w:val="24"/>
                <w:szCs w:val="24"/>
                <w:vertAlign w:val="subscript"/>
                <w:lang w:val="de-DE"/>
              </w:rPr>
              <w:t>0.475</w:t>
            </w:r>
            <w:r w:rsidRPr="002657D1">
              <w:rPr>
                <w:rFonts w:ascii="Times New Roman" w:hAnsi="Times New Roman" w:cs="Times New Roman"/>
                <w:color w:val="000000" w:themeColor="text1"/>
                <w:sz w:val="24"/>
                <w:szCs w:val="24"/>
                <w:lang w:val="de-DE"/>
              </w:rPr>
              <w:t>Cl</w:t>
            </w:r>
            <w:r w:rsidRPr="002657D1">
              <w:rPr>
                <w:rFonts w:ascii="Times New Roman" w:hAnsi="Times New Roman" w:cs="Times New Roman"/>
                <w:color w:val="000000" w:themeColor="text1"/>
                <w:sz w:val="24"/>
                <w:szCs w:val="24"/>
                <w:vertAlign w:val="subscript"/>
                <w:lang w:val="de-DE"/>
              </w:rPr>
              <w:t>3</w:t>
            </w:r>
            <w:r w:rsidRPr="002657D1">
              <w:rPr>
                <w:rFonts w:ascii="Times New Roman" w:hAnsi="Times New Roman" w:cs="Times New Roman"/>
                <w:color w:val="000000" w:themeColor="text1"/>
                <w:sz w:val="24"/>
                <w:szCs w:val="24"/>
                <w:lang w:val="de-DE"/>
              </w:rPr>
              <w:t>/Li</w:t>
            </w:r>
          </w:p>
        </w:tc>
        <w:tc>
          <w:tcPr>
            <w:tcW w:w="1877" w:type="dxa"/>
            <w:tcBorders>
              <w:top w:val="nil"/>
              <w:bottom w:val="nil"/>
            </w:tcBorders>
            <w:vAlign w:val="center"/>
          </w:tcPr>
          <w:p w14:paraId="76E04047" w14:textId="756DE5EF"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7.12</w:t>
            </w:r>
          </w:p>
        </w:tc>
        <w:tc>
          <w:tcPr>
            <w:tcW w:w="1417" w:type="dxa"/>
            <w:tcBorders>
              <w:top w:val="nil"/>
              <w:bottom w:val="nil"/>
            </w:tcBorders>
            <w:vAlign w:val="center"/>
          </w:tcPr>
          <w:p w14:paraId="140EC966" w14:textId="141B0B52"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163</w:t>
            </w:r>
          </w:p>
        </w:tc>
        <w:tc>
          <w:tcPr>
            <w:tcW w:w="1418" w:type="dxa"/>
            <w:tcBorders>
              <w:top w:val="nil"/>
              <w:bottom w:val="nil"/>
            </w:tcBorders>
            <w:vAlign w:val="center"/>
          </w:tcPr>
          <w:p w14:paraId="16510D39" w14:textId="59BB9008"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1.16</w:t>
            </w:r>
          </w:p>
        </w:tc>
        <w:tc>
          <w:tcPr>
            <w:tcW w:w="1559" w:type="dxa"/>
            <w:tcBorders>
              <w:top w:val="nil"/>
              <w:bottom w:val="nil"/>
            </w:tcBorders>
            <w:vAlign w:val="center"/>
          </w:tcPr>
          <w:p w14:paraId="313DDEC6" w14:textId="79B00673"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100@0.44 C</w:t>
            </w:r>
          </w:p>
        </w:tc>
        <w:tc>
          <w:tcPr>
            <w:tcW w:w="1559" w:type="dxa"/>
            <w:tcBorders>
              <w:top w:val="nil"/>
              <w:bottom w:val="nil"/>
            </w:tcBorders>
            <w:vAlign w:val="center"/>
          </w:tcPr>
          <w:p w14:paraId="2D980E8C" w14:textId="70F45020"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0.184</w:t>
            </w:r>
          </w:p>
        </w:tc>
        <w:tc>
          <w:tcPr>
            <w:tcW w:w="1418" w:type="dxa"/>
            <w:tcBorders>
              <w:top w:val="nil"/>
              <w:bottom w:val="nil"/>
            </w:tcBorders>
            <w:vAlign w:val="center"/>
          </w:tcPr>
          <w:p w14:paraId="3E74FBE7" w14:textId="4831956A"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30</w:t>
            </w:r>
          </w:p>
        </w:tc>
        <w:tc>
          <w:tcPr>
            <w:tcW w:w="1275" w:type="dxa"/>
            <w:tcBorders>
              <w:top w:val="nil"/>
              <w:bottom w:val="nil"/>
            </w:tcBorders>
            <w:vAlign w:val="center"/>
          </w:tcPr>
          <w:p w14:paraId="28F0AF9A" w14:textId="379C9AB7" w:rsidR="006F5648" w:rsidRPr="002657D1" w:rsidRDefault="00A213D0"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9B6062" w:rsidRPr="002657D1">
              <w:rPr>
                <w:rFonts w:ascii="Times New Roman" w:hAnsi="Times New Roman" w:cs="Times New Roman"/>
                <w:color w:val="000000" w:themeColor="text1"/>
                <w:sz w:val="24"/>
                <w:szCs w:val="24"/>
              </w:rPr>
              <w:instrText xml:space="preserve"> ADDIN ZOTERO_ITEM CSL_CITATION {"citationID":"a3g4t4370k","properties":{"formattedCitation":"\\super 53\\nosupersub{}","plainCitation":"53","noteIndex":0},"citationItems":[{"id":37,"uris":["http://zotero.org/users/local/J1vikkcu/items/AGLXRULG"],"itemData":{"id":37,"type":"article-journal","container-title":"Nature","DOI":"10.1038/s41586-023-05899-8","ISSN":"0028-0836, 1476-4687","issue":"7955","journalAbbreviation":"Nature","language":"en","page":"77-83","source":"DOI.org (Crossref)","title":"A LaCl3-based lithium superionic conductor compatible with lithium metal","volume":"616","author":[{"family":"Yin","given":"Yi-Chen"},{"family":"Yang","given":"Jing-Tian"},{"family":"Luo","given":"Jin-Da"},{"family":"Lu","given":"Gong-Xun"},{"family":"Huang","given":"Zhongyuan"},{"family":"Wang","given":"Jian-Ping"},{"family":"Li","given":"Pai"},{"family":"Li","given":"Feng"},{"family":"Wu","given":"Ye-Chao"},{"family":"Tian","given":"Te"},{"family":"Meng","given":"Yu-Feng"},{"family":"Mo","given":"Hong-Sheng"},{"family":"Song","given":"Yong-Hui"},{"family":"Yang","given":"Jun-Nan"},{"family":"Feng","given":"Li-Zhe"},{"family":"Ma","given":"Tao"},{"family":"Wen","given":"Wen"},{"family":"Gong","given":"Ke"},{"family":"Wang","given":"Lin-Jun"},{"family":"Ju","given":"Huan-Xin"},{"family":"Xiao","given":"Yinguo"},{"family":"Li","given":"Zhenyu"},{"family":"Tao","given":"Xinyong"},{"family":"Yao","given":"Hong-Bin"}],"issued":{"date-parts":[["2023",4,6]]}}}],"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9B6062" w:rsidRPr="002657D1">
              <w:rPr>
                <w:rFonts w:ascii="Times New Roman" w:hAnsi="Times New Roman" w:cs="Times New Roman"/>
                <w:color w:val="000000" w:themeColor="text1"/>
                <w:kern w:val="0"/>
                <w:sz w:val="24"/>
                <w:szCs w:val="24"/>
                <w:vertAlign w:val="superscript"/>
              </w:rPr>
              <w:t>53</w:t>
            </w:r>
            <w:r w:rsidRPr="002657D1">
              <w:rPr>
                <w:rFonts w:ascii="Times New Roman" w:hAnsi="Times New Roman" w:cs="Times New Roman"/>
                <w:color w:val="000000" w:themeColor="text1"/>
                <w:sz w:val="24"/>
                <w:szCs w:val="24"/>
              </w:rPr>
              <w:fldChar w:fldCharType="end"/>
            </w:r>
          </w:p>
        </w:tc>
      </w:tr>
      <w:tr w:rsidR="002657D1" w:rsidRPr="002657D1" w14:paraId="5EAA88E4" w14:textId="77777777" w:rsidTr="009D049B">
        <w:trPr>
          <w:jc w:val="center"/>
        </w:trPr>
        <w:tc>
          <w:tcPr>
            <w:tcW w:w="2518" w:type="dxa"/>
            <w:tcBorders>
              <w:top w:val="nil"/>
              <w:bottom w:val="nil"/>
            </w:tcBorders>
            <w:vAlign w:val="center"/>
          </w:tcPr>
          <w:p w14:paraId="720F9B64" w14:textId="3E8EA671"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LFP/Li</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AlF</w:t>
            </w:r>
            <w:r w:rsidRPr="002657D1">
              <w:rPr>
                <w:rFonts w:ascii="Times New Roman" w:hAnsi="Times New Roman" w:cs="Times New Roman"/>
                <w:color w:val="000000" w:themeColor="text1"/>
                <w:sz w:val="24"/>
                <w:szCs w:val="24"/>
                <w:vertAlign w:val="subscript"/>
              </w:rPr>
              <w:t>5.87</w:t>
            </w:r>
            <w:r w:rsidRPr="002657D1">
              <w:rPr>
                <w:rFonts w:ascii="Times New Roman" w:hAnsi="Times New Roman" w:cs="Times New Roman"/>
                <w:color w:val="000000" w:themeColor="text1"/>
                <w:sz w:val="24"/>
                <w:szCs w:val="24"/>
              </w:rPr>
              <w:t>Cl</w:t>
            </w:r>
            <w:r w:rsidRPr="002657D1">
              <w:rPr>
                <w:rFonts w:ascii="Times New Roman" w:hAnsi="Times New Roman" w:cs="Times New Roman"/>
                <w:color w:val="000000" w:themeColor="text1"/>
                <w:sz w:val="24"/>
                <w:szCs w:val="24"/>
                <w:vertAlign w:val="subscript"/>
              </w:rPr>
              <w:t>0.13</w:t>
            </w:r>
            <w:r w:rsidRPr="002657D1">
              <w:rPr>
                <w:rFonts w:ascii="Times New Roman" w:hAnsi="Times New Roman" w:cs="Times New Roman"/>
                <w:color w:val="000000" w:themeColor="text1"/>
                <w:sz w:val="24"/>
                <w:szCs w:val="24"/>
              </w:rPr>
              <w:t>/Li</w:t>
            </w:r>
          </w:p>
        </w:tc>
        <w:tc>
          <w:tcPr>
            <w:tcW w:w="1877" w:type="dxa"/>
            <w:tcBorders>
              <w:top w:val="nil"/>
              <w:bottom w:val="nil"/>
            </w:tcBorders>
            <w:vAlign w:val="center"/>
          </w:tcPr>
          <w:p w14:paraId="5BC92D68" w14:textId="45E17FE3"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1.25</w:t>
            </w:r>
          </w:p>
        </w:tc>
        <w:tc>
          <w:tcPr>
            <w:tcW w:w="1417" w:type="dxa"/>
            <w:tcBorders>
              <w:top w:val="nil"/>
              <w:bottom w:val="nil"/>
            </w:tcBorders>
            <w:vAlign w:val="center"/>
          </w:tcPr>
          <w:p w14:paraId="4FDFE624" w14:textId="542F0DDE"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155.1</w:t>
            </w:r>
          </w:p>
        </w:tc>
        <w:tc>
          <w:tcPr>
            <w:tcW w:w="1418" w:type="dxa"/>
            <w:tcBorders>
              <w:top w:val="nil"/>
              <w:bottom w:val="nil"/>
            </w:tcBorders>
            <w:vAlign w:val="center"/>
          </w:tcPr>
          <w:p w14:paraId="5B8CDA7A" w14:textId="45257390"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0.19</w:t>
            </w:r>
          </w:p>
        </w:tc>
        <w:tc>
          <w:tcPr>
            <w:tcW w:w="1559" w:type="dxa"/>
            <w:tcBorders>
              <w:top w:val="nil"/>
              <w:bottom w:val="nil"/>
            </w:tcBorders>
            <w:vAlign w:val="center"/>
          </w:tcPr>
          <w:p w14:paraId="7C550A30" w14:textId="67B2E09F"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180@0.0875 mA cm</w:t>
            </w:r>
            <w:r w:rsidRPr="002657D1">
              <w:rPr>
                <w:rFonts w:ascii="Times New Roman" w:hAnsi="Times New Roman" w:cs="Times New Roman"/>
                <w:color w:val="000000" w:themeColor="text1"/>
                <w:kern w:val="24"/>
                <w:sz w:val="24"/>
                <w:szCs w:val="24"/>
                <w:vertAlign w:val="superscript"/>
              </w:rPr>
              <w:t>−</w:t>
            </w:r>
            <w:r w:rsidRPr="002657D1">
              <w:rPr>
                <w:rFonts w:ascii="Times New Roman" w:hAnsi="Times New Roman" w:cs="Times New Roman"/>
                <w:color w:val="000000" w:themeColor="text1"/>
                <w:sz w:val="24"/>
                <w:szCs w:val="24"/>
                <w:vertAlign w:val="superscript"/>
              </w:rPr>
              <w:t>2</w:t>
            </w:r>
          </w:p>
        </w:tc>
        <w:tc>
          <w:tcPr>
            <w:tcW w:w="1559" w:type="dxa"/>
            <w:tcBorders>
              <w:top w:val="nil"/>
              <w:bottom w:val="nil"/>
            </w:tcBorders>
            <w:vAlign w:val="center"/>
          </w:tcPr>
          <w:p w14:paraId="6574CF5E" w14:textId="54601D7C"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0.054</w:t>
            </w:r>
          </w:p>
        </w:tc>
        <w:tc>
          <w:tcPr>
            <w:tcW w:w="1418" w:type="dxa"/>
            <w:tcBorders>
              <w:top w:val="nil"/>
              <w:bottom w:val="nil"/>
            </w:tcBorders>
            <w:vAlign w:val="center"/>
          </w:tcPr>
          <w:p w14:paraId="45A66DA3" w14:textId="3D72E8A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60</w:t>
            </w:r>
          </w:p>
        </w:tc>
        <w:tc>
          <w:tcPr>
            <w:tcW w:w="1275" w:type="dxa"/>
            <w:tcBorders>
              <w:top w:val="nil"/>
              <w:bottom w:val="nil"/>
            </w:tcBorders>
            <w:vAlign w:val="center"/>
          </w:tcPr>
          <w:p w14:paraId="1CC8CE99" w14:textId="16C608B0"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{"citationID":"58E4waEH","properties":{"formattedCitation":"\\super 58\\nosupersub{}","plainCitation":"58","noteIndex":0},"citationItems":[{"id":"IXaoCdHi/GqsUiitG","uris":["http://zotero.org/users/local/As3BANDe/items/KPSAPZDH"],"itemData":{"id":4697,"type":"article-journal","abstract":"Abstract\n            \n              Solid‐state lithium metal batteries based on fluorinated solid electrolytes have attracted attention due to their safety and stability advantages. However, the fluoride solid electrolytes face the problem of relatively low Li‐ion conductivity due to the lacking of suitable structural prototypes and their corresponding modulation modes. In this work, a chlorine‐doped fluoride solid electrolyte Li\n              3\n              AlF\n              5.87\n              Cl\n              0.13\n              is developed with high ionic conductivity by thermal fluorination and weak chlorination of mixed ionic liquids. The Cl anion is doped into the cryolite‐like open framework structure, and the electrolyte particle boundaries are decorated by solidified thin‐layer (≈2 nm) ionic liquid. Both the bulk and interface modifications enable the improvement of Li‐ion conductivity to 2 × 10\n              −4\n              S cm\n              −1\n              at 30 °C, which is the highest level among fluoride solid electrolytes. The Li\n              3\n              AlF\n              5.87\n              Cl\n              0.13\n              with residual solidified ionic liquid shows the excellent stability of interface contact with Li metal, and the corresponding Li symmetric cell exhibits a small overvoltage (≈100 mV) with outstanding cycle life (at least 500 h). For the first time, a conversion‐type solid‐state Li/FeF\n              3\n              battery is developed based on this fluoride electrolyte, delivering a reversible capacity as high as 430 mAh g\n              −1\n              . The existence of natural F‐rich interface promotes the conversion reaction reversibility of FeF\n              3\n              cathode.","container-title":"Advanced Functional Materials","DOI":"10.1002/adfm.202314044","ISSN":"1616-301X, 1616-3028","journalAbbreviation":"Adv Funct Materials","language":"en","page":"2314044","source":"DOI.org (Crossref)","title":"Highly Conductive Doped Fluoride Solid Electrolytes with Solidified Ionic Liquid to Enable Reversible FeF&lt;sub&gt;3&lt;/sub&gt; Conversion Solid State Batteries","author":[{"family":"Hu","given":"Jiulin"},{"family":"Lei","given":"Meng"},{"family":"Zhu","given":"Chenxi"},{"family":"Zhang","given":"Bo"},{"family":"Li","given":"Chilin"}],"issued":{"date-parts":[["2024",3,28]]}}}],"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58</w:t>
            </w:r>
            <w:r w:rsidRPr="002657D1">
              <w:rPr>
                <w:rFonts w:ascii="Times New Roman" w:hAnsi="Times New Roman" w:cs="Times New Roman"/>
                <w:color w:val="000000" w:themeColor="text1"/>
                <w:sz w:val="24"/>
                <w:szCs w:val="24"/>
              </w:rPr>
              <w:fldChar w:fldCharType="end"/>
            </w:r>
          </w:p>
        </w:tc>
      </w:tr>
      <w:tr w:rsidR="002657D1" w:rsidRPr="002657D1" w14:paraId="5AEFE839" w14:textId="77777777" w:rsidTr="009D049B">
        <w:trPr>
          <w:jc w:val="center"/>
        </w:trPr>
        <w:tc>
          <w:tcPr>
            <w:tcW w:w="2518" w:type="dxa"/>
            <w:tcBorders>
              <w:top w:val="nil"/>
              <w:bottom w:val="nil"/>
            </w:tcBorders>
            <w:vAlign w:val="center"/>
          </w:tcPr>
          <w:p w14:paraId="362B40A3" w14:textId="6E4F80E7"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NCM721/Li</w:t>
            </w:r>
            <w:r w:rsidRPr="002657D1">
              <w:rPr>
                <w:rFonts w:ascii="Times New Roman" w:hAnsi="Times New Roman" w:cs="Times New Roman"/>
                <w:color w:val="000000" w:themeColor="text1"/>
                <w:sz w:val="24"/>
                <w:szCs w:val="24"/>
                <w:vertAlign w:val="subscript"/>
              </w:rPr>
              <w:t>0.388</w:t>
            </w:r>
            <w:r w:rsidRPr="002657D1">
              <w:rPr>
                <w:rFonts w:ascii="Times New Roman" w:hAnsi="Times New Roman" w:cs="Times New Roman"/>
                <w:color w:val="000000" w:themeColor="text1"/>
                <w:sz w:val="24"/>
                <w:szCs w:val="24"/>
              </w:rPr>
              <w:t>Ta</w:t>
            </w:r>
            <w:r w:rsidRPr="002657D1">
              <w:rPr>
                <w:rFonts w:ascii="Times New Roman" w:hAnsi="Times New Roman" w:cs="Times New Roman"/>
                <w:color w:val="000000" w:themeColor="text1"/>
                <w:sz w:val="24"/>
                <w:szCs w:val="24"/>
                <w:vertAlign w:val="subscript"/>
              </w:rPr>
              <w:t>0.238</w:t>
            </w:r>
            <w:r w:rsidRPr="002657D1">
              <w:rPr>
                <w:rFonts w:ascii="Times New Roman" w:hAnsi="Times New Roman" w:cs="Times New Roman"/>
                <w:color w:val="000000" w:themeColor="text1"/>
                <w:sz w:val="24"/>
                <w:szCs w:val="24"/>
              </w:rPr>
              <w:t>La</w:t>
            </w:r>
            <w:r w:rsidRPr="002657D1">
              <w:rPr>
                <w:rFonts w:ascii="Times New Roman" w:hAnsi="Times New Roman" w:cs="Times New Roman"/>
                <w:color w:val="000000" w:themeColor="text1"/>
                <w:sz w:val="24"/>
                <w:szCs w:val="24"/>
                <w:vertAlign w:val="subscript"/>
              </w:rPr>
              <w:t>0.475</w:t>
            </w:r>
            <w:r w:rsidRPr="002657D1">
              <w:rPr>
                <w:rFonts w:ascii="Times New Roman" w:hAnsi="Times New Roman" w:cs="Times New Roman"/>
                <w:color w:val="000000" w:themeColor="text1"/>
                <w:sz w:val="24"/>
                <w:szCs w:val="24"/>
              </w:rPr>
              <w:t>Cl</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/LPSC/Li</w:t>
            </w:r>
          </w:p>
        </w:tc>
        <w:tc>
          <w:tcPr>
            <w:tcW w:w="1877" w:type="dxa"/>
            <w:tcBorders>
              <w:top w:val="nil"/>
              <w:bottom w:val="nil"/>
            </w:tcBorders>
            <w:vAlign w:val="center"/>
          </w:tcPr>
          <w:p w14:paraId="345B75D2" w14:textId="5FAD353B"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3.57</w:t>
            </w:r>
          </w:p>
        </w:tc>
        <w:tc>
          <w:tcPr>
            <w:tcW w:w="1417" w:type="dxa"/>
            <w:tcBorders>
              <w:top w:val="nil"/>
              <w:bottom w:val="nil"/>
            </w:tcBorders>
            <w:vAlign w:val="center"/>
          </w:tcPr>
          <w:p w14:paraId="33C3D381" w14:textId="7CECA9F6"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170.5</w:t>
            </w:r>
          </w:p>
        </w:tc>
        <w:tc>
          <w:tcPr>
            <w:tcW w:w="1418" w:type="dxa"/>
            <w:tcBorders>
              <w:top w:val="nil"/>
              <w:bottom w:val="nil"/>
            </w:tcBorders>
            <w:vAlign w:val="center"/>
          </w:tcPr>
          <w:p w14:paraId="7A95CA03" w14:textId="1910699E"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0.61</w:t>
            </w:r>
          </w:p>
        </w:tc>
        <w:tc>
          <w:tcPr>
            <w:tcW w:w="1559" w:type="dxa"/>
            <w:tcBorders>
              <w:top w:val="nil"/>
              <w:bottom w:val="nil"/>
            </w:tcBorders>
            <w:vAlign w:val="center"/>
          </w:tcPr>
          <w:p w14:paraId="4C82F89D" w14:textId="06580334"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200@0.5 C</w:t>
            </w:r>
          </w:p>
        </w:tc>
        <w:tc>
          <w:tcPr>
            <w:tcW w:w="1559" w:type="dxa"/>
            <w:tcBorders>
              <w:top w:val="nil"/>
              <w:bottom w:val="nil"/>
            </w:tcBorders>
            <w:vAlign w:val="center"/>
          </w:tcPr>
          <w:p w14:paraId="57887607" w14:textId="797F9D9B"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0.062</w:t>
            </w:r>
          </w:p>
        </w:tc>
        <w:tc>
          <w:tcPr>
            <w:tcW w:w="1418" w:type="dxa"/>
            <w:tcBorders>
              <w:top w:val="nil"/>
              <w:bottom w:val="nil"/>
            </w:tcBorders>
            <w:vAlign w:val="center"/>
          </w:tcPr>
          <w:p w14:paraId="5F73C03C" w14:textId="4D4433C5"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30</w:t>
            </w:r>
          </w:p>
        </w:tc>
        <w:tc>
          <w:tcPr>
            <w:tcW w:w="1275" w:type="dxa"/>
            <w:tcBorders>
              <w:top w:val="nil"/>
              <w:bottom w:val="nil"/>
            </w:tcBorders>
            <w:vAlign w:val="center"/>
          </w:tcPr>
          <w:p w14:paraId="76A2B468" w14:textId="5BA3DB93"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{"citationID":"SlZtfYC7","properties":{"formattedCitation":"\\super 65\\nosupersub{}","plainCitation":"65","noteIndex":0},"citationItems":[{"id":"IXaoCdHi/1HlMlNir","uris":["http://zotero.org/users/local/As3BANDe/items/J47Y6UJB"],"itemData":{"id":4707,"type":"article-journal","abstract":"Abstract\n            \n              Li\n              6\n              PS\n              5\n              Cl (LPSC) is a very attractive sulfide solid electrolyte for developing high‐performance all‐solid‐state lithium batteries. However, it cannot suppress the growth of lithium dendrites and then can only tolerate a small critical current density (CCD) before getting short‐circuited to death. Learning from that a newly‐developed LaCl\n              3\n              ‐based electrolyte (LTLC) can afford a very large CCD, a three‐layer sandwich‐structured electrolyte is designed by inserting LTLC inside LPSC. Remarkably, compared with bland LPSC, this hybrid electrolyte LPSC/LTLC/LPSC presents extraordinary performance improvements: the CCD gets increased from 0.51 to 1.52 mA cm\n              −2\n              , the lifetime gets prolonged from 7 h to &gt;500 h at the cycling current of 0.5 mA cm\n              −2\n              in symmetric cells, and the cyclability gets extended from 10 cycles to &gt;200 cycles at the cycling rate of 0.5 C and 30 °C in Li|electrolyte|NCM721 full cells. The enhancing reasons are assigned to the capability of LTLC to scavenge lithium dendrites, forming a passive layer of Ta, La, and LiCl.","container-title":"Advanced Materials","DOI":"10.1002/adma.202310356","ISSN":"0935-9648, 1521-4095","issue":"15","journalAbbreviation":"Advanced Materials","language":"en","page":"2310356","source":"DOI.org (Crossref)","title":"Performance Enhancement of the Li&lt;sub&gt;6&lt;/sub&gt; PS&lt;sub&gt;5&lt;/sub&gt; Cl‐Based Solid‐State Batteries by Scavenging Lithium Dendrites with LaCl&lt;sub&gt;3&lt;/sub&gt; ‐Based Electrolyte","volume":"36","author":[{"family":"Xu","given":"Shijie"},{"family":"Cheng","given":"Xiaobin"},{"family":"Yang","given":"Shunjin"},{"family":"Yin","given":"Yichen"},{"family":"Wang","given":"Xinyu"},{"family":"Zhang","given":"Yuzhe"},{"family":"Ren","given":"Dehang"},{"family":"Sun","given":"Yujiang"},{"family":"Sun","given":"Xiao"},{"family":"Yao","given":"Hongbin"},{"family":"Yang","given":"Yongan"}],"issued":{"date-parts":[["2024",4]]}}}],"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65</w:t>
            </w:r>
            <w:r w:rsidRPr="002657D1">
              <w:rPr>
                <w:rFonts w:ascii="Times New Roman" w:hAnsi="Times New Roman" w:cs="Times New Roman"/>
                <w:color w:val="000000" w:themeColor="text1"/>
                <w:sz w:val="24"/>
                <w:szCs w:val="24"/>
              </w:rPr>
              <w:fldChar w:fldCharType="end"/>
            </w:r>
          </w:p>
        </w:tc>
      </w:tr>
      <w:tr w:rsidR="002657D1" w:rsidRPr="002657D1" w14:paraId="675FE0D5" w14:textId="77777777" w:rsidTr="009D049B">
        <w:trPr>
          <w:jc w:val="center"/>
        </w:trPr>
        <w:tc>
          <w:tcPr>
            <w:tcW w:w="2518" w:type="dxa"/>
            <w:tcBorders>
              <w:top w:val="nil"/>
              <w:bottom w:val="nil"/>
            </w:tcBorders>
            <w:vAlign w:val="center"/>
          </w:tcPr>
          <w:p w14:paraId="4EE3FB25" w14:textId="56B3F5D9"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24"/>
                <w:sz w:val="24"/>
                <w:szCs w:val="24"/>
              </w:rPr>
              <w:t>LCO/Li</w:t>
            </w:r>
            <w:r w:rsidRPr="002657D1">
              <w:rPr>
                <w:rFonts w:ascii="Times New Roman" w:hAnsi="Times New Roman" w:cs="Times New Roman"/>
                <w:color w:val="000000" w:themeColor="text1"/>
                <w:kern w:val="24"/>
                <w:position w:val="-4"/>
                <w:sz w:val="24"/>
                <w:szCs w:val="24"/>
                <w:vertAlign w:val="subscript"/>
              </w:rPr>
              <w:t>3</w:t>
            </w:r>
            <w:proofErr w:type="spellStart"/>
            <w:r w:rsidRPr="002657D1">
              <w:rPr>
                <w:rFonts w:ascii="Times New Roman" w:hAnsi="Times New Roman" w:cs="Times New Roman"/>
                <w:color w:val="000000" w:themeColor="text1"/>
                <w:kern w:val="24"/>
                <w:sz w:val="24"/>
                <w:szCs w:val="24"/>
              </w:rPr>
              <w:t>InCl</w:t>
            </w:r>
            <w:proofErr w:type="spellEnd"/>
            <w:r w:rsidRPr="002657D1">
              <w:rPr>
                <w:rFonts w:ascii="Times New Roman" w:hAnsi="Times New Roman" w:cs="Times New Roman"/>
                <w:color w:val="000000" w:themeColor="text1"/>
                <w:kern w:val="24"/>
                <w:position w:val="-4"/>
                <w:sz w:val="24"/>
                <w:szCs w:val="24"/>
                <w:vertAlign w:val="subscript"/>
              </w:rPr>
              <w:t>6</w:t>
            </w:r>
            <w:r w:rsidRPr="002657D1">
              <w:rPr>
                <w:rFonts w:ascii="Times New Roman" w:hAnsi="Times New Roman" w:cs="Times New Roman"/>
                <w:color w:val="000000" w:themeColor="text1"/>
                <w:kern w:val="24"/>
                <w:sz w:val="24"/>
                <w:szCs w:val="24"/>
              </w:rPr>
              <w:t>/</w:t>
            </w:r>
            <w:proofErr w:type="spellStart"/>
            <w:r w:rsidRPr="002657D1">
              <w:rPr>
                <w:rFonts w:ascii="Times New Roman" w:hAnsi="Times New Roman" w:cs="Times New Roman"/>
                <w:color w:val="000000" w:themeColor="text1"/>
                <w:kern w:val="24"/>
                <w:sz w:val="24"/>
                <w:szCs w:val="24"/>
              </w:rPr>
              <w:t>xPBO-SPE@Li</w:t>
            </w:r>
            <w:proofErr w:type="spellEnd"/>
          </w:p>
        </w:tc>
        <w:tc>
          <w:tcPr>
            <w:tcW w:w="1877" w:type="dxa"/>
            <w:tcBorders>
              <w:top w:val="nil"/>
              <w:bottom w:val="nil"/>
            </w:tcBorders>
            <w:vAlign w:val="center"/>
          </w:tcPr>
          <w:p w14:paraId="1B26A691" w14:textId="62E8E76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4.46</w:t>
            </w:r>
          </w:p>
        </w:tc>
        <w:tc>
          <w:tcPr>
            <w:tcW w:w="1417" w:type="dxa"/>
            <w:tcBorders>
              <w:top w:val="nil"/>
              <w:bottom w:val="nil"/>
            </w:tcBorders>
            <w:vAlign w:val="center"/>
          </w:tcPr>
          <w:p w14:paraId="34D0C046" w14:textId="5D2D74A1"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133.4</w:t>
            </w:r>
          </w:p>
        </w:tc>
        <w:tc>
          <w:tcPr>
            <w:tcW w:w="1418" w:type="dxa"/>
            <w:tcBorders>
              <w:top w:val="nil"/>
              <w:bottom w:val="nil"/>
            </w:tcBorders>
            <w:vAlign w:val="center"/>
          </w:tcPr>
          <w:p w14:paraId="476D0EBA" w14:textId="6B446CC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0.59</w:t>
            </w:r>
          </w:p>
        </w:tc>
        <w:tc>
          <w:tcPr>
            <w:tcW w:w="1559" w:type="dxa"/>
            <w:tcBorders>
              <w:top w:val="nil"/>
              <w:bottom w:val="nil"/>
            </w:tcBorders>
            <w:vAlign w:val="center"/>
          </w:tcPr>
          <w:p w14:paraId="688A84F0" w14:textId="51A10CB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50@0.1 C</w:t>
            </w:r>
          </w:p>
        </w:tc>
        <w:tc>
          <w:tcPr>
            <w:tcW w:w="1559" w:type="dxa"/>
            <w:tcBorders>
              <w:top w:val="nil"/>
              <w:bottom w:val="nil"/>
            </w:tcBorders>
            <w:vAlign w:val="center"/>
          </w:tcPr>
          <w:p w14:paraId="251AC88D" w14:textId="2A729D08"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0.206</w:t>
            </w:r>
          </w:p>
        </w:tc>
        <w:tc>
          <w:tcPr>
            <w:tcW w:w="1418" w:type="dxa"/>
            <w:tcBorders>
              <w:top w:val="nil"/>
              <w:bottom w:val="nil"/>
            </w:tcBorders>
            <w:vAlign w:val="center"/>
          </w:tcPr>
          <w:p w14:paraId="3DDAD27B" w14:textId="0F81258E"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30</w:t>
            </w:r>
          </w:p>
        </w:tc>
        <w:tc>
          <w:tcPr>
            <w:tcW w:w="1275" w:type="dxa"/>
            <w:tcBorders>
              <w:top w:val="nil"/>
              <w:bottom w:val="nil"/>
            </w:tcBorders>
            <w:vAlign w:val="center"/>
          </w:tcPr>
          <w:p w14:paraId="0EC99B84" w14:textId="1F620065"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{"citationID":"zPRVQUqL","properties":{"formattedCitation":"\\super 61\\nosupersub{}","plainCitation":"61","noteIndex":0},"citationItems":[{"id":"IXaoCdHi/f22Dpzk2","uris":["http://zotero.org/users/local/As3BANDe/items/9X4WXQEM"],"itemData":{"id":3463,"type":"article-journal","abstract":"Halide-based solid-state halide electrolytes (SSEs) were recently revived as promising candidates for next-generation all-solid-state batteries due to their superionic conductivity, direct compatibility with high-voltage cathodes, and scalable production. However, the incompatibility between halide SSEs and lithium metal anodes remains a main challenge to achieve high energy density. Herein, we demonstrate a thin cross-linked poly(butylene oxide) solid polymer electrolyte (xPBO SPE) interlayer on the superionic Li3InCl6 SSE to enable lithium metal compatibility. A rapid and solvent-free in situ cross-linking process is developed by reaction between a 0.5 s pulse of trimethylaluminum vapor and the hydroxyl terminal groups of poly(butylene oxide). The Li−Li symmetric cells using xPBO-SPE@Li3InCl6 demonstrate a highly stable cycling performance over 1100 h and up to 1.0 mA cm−2 and 1.0 mAh cm−2. All-solid-state lithium metal battery (ASSLMB) performance with a LiCoO2 cathode is presented. This new rapid cross-linking strategy shall inspire more possibilities for lithium metal anode integration in ASSLMBs.","container-title":"ACS Energy Letters","DOI":"10.1021/acsenergylett.3c01157","ISSN":"2380-8195, 2380-8195","issue":"9","journalAbbreviation":"ACS Energy Lett.","language":"en","license":"https://doi.org/10.15223/policy-029","page":"3676-3684","source":"DOI.org (Crossref)","title":"Rapidly In Situ Cross-Linked Poly(butylene oxide) Electrolyte Interface Enabling Halide-Based All-Solid-State Lithium Metal Batteries","volume":"8","author":[{"family":"Luo","given":"Jing"},{"family":"Sun","given":"Qian"},{"family":"Liang","given":"Jianwen"},{"family":"Adair","given":"Keegan"},{"family":"Zhao","given":"Feipeng"},{"family":"Deng","given":"Sixu"},{"family":"Zhao","given":"Yang"},{"family":"Li","given":"Ruying"},{"family":"Huang","given":"Huan"},{"family":"Yang","given":"Rong"},{"family":"Zhao","given":"Shangqian"},{"family":"Wang","given":"Jiantao"},{"family":"Sun","given":"Xueliang"}],"issued":{"date-parts":[["2023",9,8]]}}}],"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61</w:t>
            </w:r>
            <w:r w:rsidRPr="002657D1">
              <w:rPr>
                <w:rFonts w:ascii="Times New Roman" w:hAnsi="Times New Roman" w:cs="Times New Roman"/>
                <w:color w:val="000000" w:themeColor="text1"/>
                <w:sz w:val="24"/>
                <w:szCs w:val="24"/>
              </w:rPr>
              <w:fldChar w:fldCharType="end"/>
            </w:r>
          </w:p>
        </w:tc>
      </w:tr>
      <w:tr w:rsidR="002657D1" w:rsidRPr="002657D1" w14:paraId="6492B26F" w14:textId="77777777" w:rsidTr="009D049B">
        <w:trPr>
          <w:jc w:val="center"/>
        </w:trPr>
        <w:tc>
          <w:tcPr>
            <w:tcW w:w="2518" w:type="dxa"/>
            <w:tcBorders>
              <w:top w:val="nil"/>
              <w:bottom w:val="nil"/>
            </w:tcBorders>
            <w:vAlign w:val="center"/>
          </w:tcPr>
          <w:p w14:paraId="644128F6" w14:textId="12B0C062"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LCO/Li</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InCl</w:t>
            </w:r>
            <w:r w:rsidRPr="002657D1">
              <w:rPr>
                <w:rFonts w:ascii="Times New Roman" w:hAnsi="Times New Roman" w:cs="Times New Roman"/>
                <w:color w:val="000000" w:themeColor="text1"/>
                <w:sz w:val="24"/>
                <w:szCs w:val="24"/>
                <w:vertAlign w:val="subscript"/>
              </w:rPr>
              <w:t>6</w:t>
            </w:r>
            <w:r w:rsidRPr="002657D1">
              <w:rPr>
                <w:rFonts w:ascii="Times New Roman" w:hAnsi="Times New Roman" w:cs="Times New Roman"/>
                <w:color w:val="000000" w:themeColor="text1"/>
                <w:sz w:val="24"/>
                <w:szCs w:val="24"/>
              </w:rPr>
              <w:t>/</w:t>
            </w: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position w:val="-4"/>
                <w:sz w:val="24"/>
                <w:szCs w:val="24"/>
                <w:vertAlign w:val="subscript"/>
              </w:rPr>
              <w:t>7</w:t>
            </w:r>
            <w:r w:rsidRPr="002657D1">
              <w:rPr>
                <w:rFonts w:ascii="Times New Roman" w:hAnsi="Times New Roman" w:cs="Times New Roman"/>
                <w:color w:val="000000" w:themeColor="text1"/>
                <w:kern w:val="24"/>
                <w:sz w:val="24"/>
                <w:szCs w:val="24"/>
              </w:rPr>
              <w:t>N</w:t>
            </w:r>
            <w:r w:rsidRPr="002657D1">
              <w:rPr>
                <w:rFonts w:ascii="Times New Roman" w:hAnsi="Times New Roman" w:cs="Times New Roman"/>
                <w:color w:val="000000" w:themeColor="text1"/>
                <w:kern w:val="24"/>
                <w:position w:val="-4"/>
                <w:sz w:val="24"/>
                <w:szCs w:val="24"/>
                <w:vertAlign w:val="subscript"/>
              </w:rPr>
              <w:t>2</w:t>
            </w:r>
            <w:r w:rsidRPr="002657D1">
              <w:rPr>
                <w:rFonts w:ascii="Times New Roman" w:hAnsi="Times New Roman" w:cs="Times New Roman"/>
                <w:color w:val="000000" w:themeColor="text1"/>
                <w:kern w:val="24"/>
                <w:sz w:val="24"/>
                <w:szCs w:val="24"/>
              </w:rPr>
              <w:t>I-0.5LiOH/Li</w:t>
            </w:r>
          </w:p>
        </w:tc>
        <w:tc>
          <w:tcPr>
            <w:tcW w:w="1877" w:type="dxa"/>
            <w:tcBorders>
              <w:top w:val="nil"/>
              <w:bottom w:val="nil"/>
            </w:tcBorders>
            <w:vAlign w:val="center"/>
          </w:tcPr>
          <w:p w14:paraId="32CD608D" w14:textId="5B00B0D0"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~8.66</w:t>
            </w:r>
          </w:p>
        </w:tc>
        <w:tc>
          <w:tcPr>
            <w:tcW w:w="1417" w:type="dxa"/>
            <w:tcBorders>
              <w:top w:val="nil"/>
              <w:bottom w:val="nil"/>
            </w:tcBorders>
            <w:vAlign w:val="center"/>
          </w:tcPr>
          <w:p w14:paraId="0BFDCC61" w14:textId="448BEF42"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~165</w:t>
            </w:r>
          </w:p>
        </w:tc>
        <w:tc>
          <w:tcPr>
            <w:tcW w:w="1418" w:type="dxa"/>
            <w:tcBorders>
              <w:top w:val="nil"/>
              <w:bottom w:val="nil"/>
            </w:tcBorders>
            <w:vAlign w:val="center"/>
          </w:tcPr>
          <w:p w14:paraId="22965FD6" w14:textId="2F807821"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w:t>
            </w:r>
          </w:p>
        </w:tc>
        <w:tc>
          <w:tcPr>
            <w:tcW w:w="1559" w:type="dxa"/>
            <w:tcBorders>
              <w:top w:val="nil"/>
              <w:bottom w:val="nil"/>
            </w:tcBorders>
            <w:vAlign w:val="center"/>
          </w:tcPr>
          <w:p w14:paraId="1D75DB3C" w14:textId="09FF04B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500@0.1 C</w:t>
            </w:r>
          </w:p>
        </w:tc>
        <w:tc>
          <w:tcPr>
            <w:tcW w:w="1559" w:type="dxa"/>
            <w:tcBorders>
              <w:top w:val="nil"/>
              <w:bottom w:val="nil"/>
            </w:tcBorders>
            <w:vAlign w:val="center"/>
          </w:tcPr>
          <w:p w14:paraId="4D684644" w14:textId="17658F6B"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0.020</w:t>
            </w:r>
          </w:p>
        </w:tc>
        <w:tc>
          <w:tcPr>
            <w:tcW w:w="1418" w:type="dxa"/>
            <w:tcBorders>
              <w:top w:val="nil"/>
              <w:bottom w:val="nil"/>
            </w:tcBorders>
            <w:vAlign w:val="center"/>
          </w:tcPr>
          <w:p w14:paraId="7DE749DD" w14:textId="0F8C8924"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tcBorders>
              <w:top w:val="nil"/>
              <w:bottom w:val="nil"/>
            </w:tcBorders>
            <w:vAlign w:val="center"/>
          </w:tcPr>
          <w:p w14:paraId="2D099B2C" w14:textId="2BC28C3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{"citationID":"dmWhEi6m","properties":{"formattedCitation":"\\super 59\\nosupersub{}","plainCitation":"59","noteIndex":0},"citationItems":[{"id":"IXaoCdHi/QRStYJGc","uris":["http://zotero.org/users/local/As3BANDe/items/E9E9FLEI"],"itemData":{"id":4699,"type":"article-journal","abstract":"Abstract\n            \n              Rechargeable all‐solid‐state lithium metal batteries (ASSLMBs) utilizing inorganic solid‐state electrolytes (SSEs) are promising for electric vehicles and large‐scale grid energy storage. However, the Li dendrite growth in SSEs still constrains the practical utility of ASSLMBs. To achieve a high dendrite‐suppression capability, SSEs must be chemically stable with Li, possess fast Li transfer kinetics, and exhibit high interface energy. Herein, a class of low‐cost, eco‐friendly, and sustainable oxyhalide‐nitride solid electrolytes (ONSEs), denoted as Li\n              \n                x\n              \n              N\n              \n                y\n              \n              I\n              \n                z\n              \n              ‐\n              q\n              LiOH (where\n              x\n              = 3\n              y\n              +\n              z\n              , 0 ≤\n              q\n              ≤ 0.75), is designed to fulfill all the requirements. As‐prepared ONSEs demonstrate chemically stable against Li and high interface energy (&gt;43.08 meV Å\n              −2\n              ), effectively restraining Li dendrite growth and the self‐degradation at electrode interfaces. Furthermore, improved thermodynamic oxidation stability of ONSEs (&gt;3 V vs Li\n              +\n              /Li, 0.45 V for pure Li\n              3\n              N), arising from the increased ionicity of Li─N bonds, contributes to the stability in ASSLMBs. As a proof‐of‐concept, the optimized ONSEs possess high ionic conductivity of 0.52 mS cm\n              −1\n              and achieve long‐term cycling of Li||Li symmetric cell for over 500 h. When coupled with the Li\n              3\n              InCl\n              6\n              SSE for high‐voltage cathodes, the bilayer oxyhalide‐nitride/Li\n              3\n              InCl\n              6\n              electrolyte imparts 90% capacity retention over 500 cycles for Li||1 mAh cm\n              −2\n              LiCoO\n              2\n              cells.","container-title":"Advanced Materials","DOI":"10.1002/adma.202402324","ISSN":"0935-9648, 1521-4095","issue":"30","journalAbbreviation":"Advanced Materials","language":"en","page":"2402324","source":"DOI.org (Crossref)","title":"Stable Oxyhalide‐Nitride Fast Ionic Conductors for All‐Solid‐State Li Metal Batteries","volume":"36","author":[{"family":"Ma","given":"Baochen"},{"family":"Li","given":"Ruhong"},{"family":"Zhu","given":"Haotian"},{"family":"Zhou","given":"Tao"},{"family":"Lv","given":"Ling"},{"family":"Zhang","given":"Haikuo"},{"family":"Zhang","given":"Shuoqing"},{"family":"Chen","given":"Long"},{"family":"Wang","given":"Jinze"},{"family":"Xiao","given":"Xuezhang"},{"family":"Deng","given":"Tao"},{"family":"Chen","given":"Lixin"},{"family":"Wang","given":"Chunsheng"},{"family":"Fan","given":"Xiulin"}],"issued":{"date-parts":[["2024",7]]}}}],"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59</w:t>
            </w:r>
            <w:r w:rsidRPr="002657D1">
              <w:rPr>
                <w:rFonts w:ascii="Times New Roman" w:hAnsi="Times New Roman" w:cs="Times New Roman"/>
                <w:color w:val="000000" w:themeColor="text1"/>
                <w:sz w:val="24"/>
                <w:szCs w:val="24"/>
              </w:rPr>
              <w:fldChar w:fldCharType="end"/>
            </w:r>
          </w:p>
        </w:tc>
      </w:tr>
      <w:tr w:rsidR="002657D1" w:rsidRPr="002657D1" w14:paraId="1618646D" w14:textId="77777777" w:rsidTr="009D049B">
        <w:trPr>
          <w:jc w:val="center"/>
        </w:trPr>
        <w:tc>
          <w:tcPr>
            <w:tcW w:w="2518" w:type="dxa"/>
            <w:tcBorders>
              <w:top w:val="nil"/>
              <w:bottom w:val="nil"/>
            </w:tcBorders>
            <w:vAlign w:val="center"/>
          </w:tcPr>
          <w:p w14:paraId="7B2697E4" w14:textId="231C873A" w:rsidR="006F5648" w:rsidRPr="002657D1" w:rsidRDefault="006F5648" w:rsidP="006F5648">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color w:val="000000" w:themeColor="text1"/>
                <w:sz w:val="24"/>
                <w:szCs w:val="24"/>
              </w:rPr>
              <w:t>NCM811/Li</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InCl</w:t>
            </w:r>
            <w:r w:rsidRPr="002657D1">
              <w:rPr>
                <w:rFonts w:ascii="Times New Roman" w:hAnsi="Times New Roman" w:cs="Times New Roman"/>
                <w:color w:val="000000" w:themeColor="text1"/>
                <w:sz w:val="24"/>
                <w:szCs w:val="24"/>
                <w:vertAlign w:val="subscript"/>
              </w:rPr>
              <w:t>6</w:t>
            </w:r>
            <w:r w:rsidRPr="002657D1">
              <w:rPr>
                <w:rFonts w:ascii="Times New Roman" w:hAnsi="Times New Roman" w:cs="Times New Roman"/>
                <w:color w:val="000000" w:themeColor="text1"/>
                <w:sz w:val="24"/>
                <w:szCs w:val="24"/>
              </w:rPr>
              <w:t>/</w:t>
            </w: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position w:val="-4"/>
                <w:sz w:val="24"/>
                <w:szCs w:val="24"/>
                <w:vertAlign w:val="subscript"/>
              </w:rPr>
              <w:t>7</w:t>
            </w:r>
            <w:r w:rsidRPr="002657D1">
              <w:rPr>
                <w:rFonts w:ascii="Times New Roman" w:hAnsi="Times New Roman" w:cs="Times New Roman"/>
                <w:color w:val="000000" w:themeColor="text1"/>
                <w:kern w:val="24"/>
                <w:sz w:val="24"/>
                <w:szCs w:val="24"/>
              </w:rPr>
              <w:t>N</w:t>
            </w:r>
            <w:r w:rsidRPr="002657D1">
              <w:rPr>
                <w:rFonts w:ascii="Times New Roman" w:hAnsi="Times New Roman" w:cs="Times New Roman"/>
                <w:color w:val="000000" w:themeColor="text1"/>
                <w:kern w:val="24"/>
                <w:position w:val="-4"/>
                <w:sz w:val="24"/>
                <w:szCs w:val="24"/>
                <w:vertAlign w:val="subscript"/>
              </w:rPr>
              <w:t>2</w:t>
            </w:r>
            <w:r w:rsidRPr="002657D1">
              <w:rPr>
                <w:rFonts w:ascii="Times New Roman" w:hAnsi="Times New Roman" w:cs="Times New Roman"/>
                <w:color w:val="000000" w:themeColor="text1"/>
                <w:kern w:val="24"/>
                <w:sz w:val="24"/>
                <w:szCs w:val="24"/>
              </w:rPr>
              <w:t>I-0.5LiOH/Li</w:t>
            </w:r>
          </w:p>
        </w:tc>
        <w:tc>
          <w:tcPr>
            <w:tcW w:w="1877" w:type="dxa"/>
            <w:tcBorders>
              <w:top w:val="nil"/>
              <w:bottom w:val="nil"/>
            </w:tcBorders>
            <w:vAlign w:val="center"/>
          </w:tcPr>
          <w:p w14:paraId="129E0D87" w14:textId="462ED028"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~3.89</w:t>
            </w:r>
          </w:p>
        </w:tc>
        <w:tc>
          <w:tcPr>
            <w:tcW w:w="1417" w:type="dxa"/>
            <w:tcBorders>
              <w:top w:val="nil"/>
              <w:bottom w:val="nil"/>
            </w:tcBorders>
            <w:vAlign w:val="center"/>
          </w:tcPr>
          <w:p w14:paraId="5479A5B8" w14:textId="0AC358D9"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~180</w:t>
            </w:r>
          </w:p>
        </w:tc>
        <w:tc>
          <w:tcPr>
            <w:tcW w:w="1418" w:type="dxa"/>
            <w:tcBorders>
              <w:top w:val="nil"/>
              <w:bottom w:val="nil"/>
            </w:tcBorders>
            <w:vAlign w:val="center"/>
          </w:tcPr>
          <w:p w14:paraId="59D76E17" w14:textId="0334401F"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w:t>
            </w:r>
          </w:p>
        </w:tc>
        <w:tc>
          <w:tcPr>
            <w:tcW w:w="1559" w:type="dxa"/>
            <w:tcBorders>
              <w:top w:val="nil"/>
              <w:bottom w:val="nil"/>
            </w:tcBorders>
            <w:vAlign w:val="center"/>
          </w:tcPr>
          <w:p w14:paraId="5C5DC916" w14:textId="2E3BBDA9"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300@0.1 C</w:t>
            </w:r>
          </w:p>
        </w:tc>
        <w:tc>
          <w:tcPr>
            <w:tcW w:w="1559" w:type="dxa"/>
            <w:tcBorders>
              <w:top w:val="nil"/>
              <w:bottom w:val="nil"/>
            </w:tcBorders>
            <w:vAlign w:val="center"/>
          </w:tcPr>
          <w:p w14:paraId="14F83D31" w14:textId="44E7C24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0.033</w:t>
            </w:r>
          </w:p>
        </w:tc>
        <w:tc>
          <w:tcPr>
            <w:tcW w:w="1418" w:type="dxa"/>
            <w:tcBorders>
              <w:top w:val="nil"/>
              <w:bottom w:val="nil"/>
            </w:tcBorders>
            <w:vAlign w:val="center"/>
          </w:tcPr>
          <w:p w14:paraId="38A757ED" w14:textId="345C84C2"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tcBorders>
              <w:top w:val="nil"/>
              <w:bottom w:val="nil"/>
            </w:tcBorders>
            <w:vAlign w:val="center"/>
          </w:tcPr>
          <w:p w14:paraId="06E4E456" w14:textId="7EE5EB40"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{"citationID":"q5ddPoPt","properties":{"formattedCitation":"\\super 59\\nosupersub{}","plainCitation":"59","noteIndex":0},"citationItems":[{"id":"IXaoCdHi/QRStYJGc","uris":["http://zotero.org/users/local/As3BANDe/items/E9E9FLEI"],"itemData":{"id":4699,"type":"article-journal","abstract":"Abstract\n            \n              Rechargeable all‐solid‐state lithium metal batteries (ASSLMBs) utilizing inorganic solid‐state electrolytes (SSEs) are promising for electric vehicles and large‐scale grid energy storage. However, the Li dendrite growth in SSEs still constrains the practical utility of ASSLMBs. To achieve a high dendrite‐suppression capability, SSEs must be chemically stable with Li, possess fast Li transfer kinetics, and exhibit high interface energy. Herein, a class of low‐cost, eco‐friendly, and sustainable oxyhalide‐nitride solid electrolytes (ONSEs), denoted as Li\n              \n                x\n              \n              N\n              \n                y\n              \n              I\n              \n                z\n              \n              ‐\n              q\n              LiOH (where\n              x\n              = 3\n              y\n              +\n              z\n              , 0 ≤\n              q\n              ≤ 0.75), is designed to fulfill all the requirements. As‐prepared ONSEs demonstrate chemically stable against Li and high interface energy (&gt;43.08 meV Å\n              −2\n              ), effectively restraining Li dendrite growth and the self‐degradation at electrode interfaces. Furthermore, improved thermodynamic oxidation stability of ONSEs (&gt;3 V vs Li\n              +\n              /Li, 0.45 V for pure Li\n              3\n              N), arising from the increased ionicity of Li─N bonds, contributes to the stability in ASSLMBs. As a proof‐of‐concept, the optimized ONSEs possess high ionic conductivity of 0.52 mS cm\n              −1\n              and achieve long‐term cycling of Li||Li symmetric cell for over 500 h. When coupled with the Li\n              3\n              InCl\n              6\n              SSE for high‐voltage cathodes, the bilayer oxyhalide‐nitride/Li\n              3\n              InCl\n              6\n              electrolyte imparts 90% capacity retention over 500 cycles for Li||1 mAh cm\n              −2\n              LiCoO\n              2\n              cells.","container-title":"Advanced Materials","DOI":"10.1002/adma.202402324","ISSN":"0935-9648, 1521-4095","issue":"30","journalAbbreviation":"Advanced Materials","language":"en","page":"2402324","source":"DOI.org (Crossref)","title":"Stable Oxyhalide‐Nitride Fast Ionic Conductors for All‐Solid‐State Li Metal Batteries","volume":"36","author":[{"family":"Ma","given":"Baochen"},{"family":"Li","given":"Ruhong"},{"family":"Zhu","given":"Haotian"},{"family":"Zhou","given":"Tao"},{"family":"Lv","given":"Ling"},{"family":"Zhang","given":"Haikuo"},{"family":"Zhang","given":"Shuoqing"},{"family":"Chen","given":"Long"},{"family":"Wang","given":"Jinze"},{"family":"Xiao","given":"Xuezhang"},{"family":"Deng","given":"Tao"},{"family":"Chen","given":"Lixin"},{"family":"Wang","given":"Chunsheng"},{"family":"Fan","given":"Xiulin"}],"issued":{"date-parts":[["2024",7]]}}}],"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59</w:t>
            </w:r>
            <w:r w:rsidRPr="002657D1">
              <w:rPr>
                <w:rFonts w:ascii="Times New Roman" w:hAnsi="Times New Roman" w:cs="Times New Roman"/>
                <w:color w:val="000000" w:themeColor="text1"/>
                <w:sz w:val="24"/>
                <w:szCs w:val="24"/>
              </w:rPr>
              <w:fldChar w:fldCharType="end"/>
            </w:r>
          </w:p>
        </w:tc>
      </w:tr>
      <w:tr w:rsidR="002657D1" w:rsidRPr="002657D1" w14:paraId="65BAF8F5" w14:textId="77777777" w:rsidTr="009D049B">
        <w:trPr>
          <w:jc w:val="center"/>
        </w:trPr>
        <w:tc>
          <w:tcPr>
            <w:tcW w:w="2518" w:type="dxa"/>
            <w:tcBorders>
              <w:top w:val="nil"/>
              <w:bottom w:val="nil"/>
            </w:tcBorders>
            <w:vAlign w:val="center"/>
          </w:tcPr>
          <w:p w14:paraId="40D17161" w14:textId="07522699"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NCM83/Li</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InCl</w:t>
            </w:r>
            <w:r w:rsidRPr="002657D1">
              <w:rPr>
                <w:rFonts w:ascii="Times New Roman" w:hAnsi="Times New Roman" w:cs="Times New Roman"/>
                <w:color w:val="000000" w:themeColor="text1"/>
                <w:sz w:val="24"/>
                <w:szCs w:val="24"/>
                <w:vertAlign w:val="subscript"/>
              </w:rPr>
              <w:t>6</w:t>
            </w:r>
            <w:r w:rsidRPr="002657D1">
              <w:rPr>
                <w:rFonts w:ascii="Times New Roman" w:hAnsi="Times New Roman" w:cs="Times New Roman"/>
                <w:color w:val="000000" w:themeColor="text1"/>
                <w:sz w:val="24"/>
                <w:szCs w:val="24"/>
              </w:rPr>
              <w:t>/</w:t>
            </w:r>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6</w:t>
            </w:r>
            <w:r w:rsidRPr="002657D1">
              <w:rPr>
                <w:rFonts w:ascii="Times New Roman" w:hAnsi="Times New Roman" w:cs="Times New Roman"/>
                <w:color w:val="000000" w:themeColor="text1"/>
                <w:kern w:val="24"/>
                <w:sz w:val="24"/>
                <w:szCs w:val="24"/>
              </w:rPr>
              <w:t>PS</w:t>
            </w:r>
            <w:r w:rsidRPr="002657D1">
              <w:rPr>
                <w:rFonts w:ascii="Times New Roman" w:hAnsi="Times New Roman" w:cs="Times New Roman"/>
                <w:color w:val="000000" w:themeColor="text1"/>
                <w:kern w:val="24"/>
                <w:sz w:val="24"/>
                <w:szCs w:val="24"/>
                <w:vertAlign w:val="subscript"/>
              </w:rPr>
              <w:t>5</w:t>
            </w:r>
            <w:r w:rsidRPr="002657D1">
              <w:rPr>
                <w:rFonts w:ascii="Times New Roman" w:hAnsi="Times New Roman" w:cs="Times New Roman"/>
                <w:color w:val="000000" w:themeColor="text1"/>
                <w:kern w:val="24"/>
                <w:sz w:val="24"/>
                <w:szCs w:val="24"/>
              </w:rPr>
              <w:t>Cl/Li</w:t>
            </w:r>
          </w:p>
        </w:tc>
        <w:tc>
          <w:tcPr>
            <w:tcW w:w="1877" w:type="dxa"/>
            <w:tcBorders>
              <w:top w:val="nil"/>
              <w:bottom w:val="nil"/>
            </w:tcBorders>
            <w:vAlign w:val="center"/>
          </w:tcPr>
          <w:p w14:paraId="3DF77087" w14:textId="0AE472D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8.91</w:t>
            </w:r>
          </w:p>
        </w:tc>
        <w:tc>
          <w:tcPr>
            <w:tcW w:w="1417" w:type="dxa"/>
            <w:tcBorders>
              <w:top w:val="nil"/>
              <w:bottom w:val="nil"/>
            </w:tcBorders>
            <w:vAlign w:val="center"/>
          </w:tcPr>
          <w:p w14:paraId="58A4C029" w14:textId="6607EA67"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207</w:t>
            </w:r>
          </w:p>
        </w:tc>
        <w:tc>
          <w:tcPr>
            <w:tcW w:w="1418" w:type="dxa"/>
            <w:tcBorders>
              <w:top w:val="nil"/>
              <w:bottom w:val="nil"/>
            </w:tcBorders>
            <w:vAlign w:val="center"/>
          </w:tcPr>
          <w:p w14:paraId="436CCBEC" w14:textId="588DC596"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1.84</w:t>
            </w:r>
          </w:p>
        </w:tc>
        <w:tc>
          <w:tcPr>
            <w:tcW w:w="1559" w:type="dxa"/>
            <w:tcBorders>
              <w:top w:val="nil"/>
              <w:bottom w:val="nil"/>
            </w:tcBorders>
            <w:vAlign w:val="center"/>
          </w:tcPr>
          <w:p w14:paraId="2B9BC653" w14:textId="0A15EFDF"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270@0.1 C</w:t>
            </w:r>
          </w:p>
        </w:tc>
        <w:tc>
          <w:tcPr>
            <w:tcW w:w="1559" w:type="dxa"/>
            <w:tcBorders>
              <w:top w:val="nil"/>
              <w:bottom w:val="nil"/>
            </w:tcBorders>
            <w:vAlign w:val="center"/>
          </w:tcPr>
          <w:p w14:paraId="12143B71" w14:textId="06A00712"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0.066</w:t>
            </w:r>
          </w:p>
        </w:tc>
        <w:tc>
          <w:tcPr>
            <w:tcW w:w="1418" w:type="dxa"/>
            <w:tcBorders>
              <w:top w:val="nil"/>
              <w:bottom w:val="nil"/>
            </w:tcBorders>
            <w:vAlign w:val="center"/>
          </w:tcPr>
          <w:p w14:paraId="3FD7ED35" w14:textId="12503F5E"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tcBorders>
              <w:top w:val="nil"/>
              <w:bottom w:val="nil"/>
            </w:tcBorders>
            <w:vAlign w:val="center"/>
          </w:tcPr>
          <w:p w14:paraId="59B3E73D" w14:textId="417F9879"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{"citationID":"IJYhjTLB","properties":{"formattedCitation":"\\super 80\\nosupersub{}","plainCitation":"80","noteIndex":0},"citationItems":[{"id":"IXaoCdHi/iE4p0r5c","uris":["http://zotero.org/users/local/As3BANDe/items/BTBWLFE2"],"itemData":{"id":4851,"type":"article-journal","abstract":"Abstract\n            \n              All‐solid‐state lithium metal batteries can address crucial challenges regarding insufficient battery cycling life and energy density. The demonstration of long‐cycling dendrite‐free all‐solid‐state lithium metal batteries requires precise tailoring of lithium‐ion transport of solid‐state electrolytes (SSEs). In this work, a proof of concept is reported for precise tailoring of lithium‐ion transport of a halide SSE, Li\n              3\n              InCl\n              6\n              , including intragranular (within grains) but also intergranular (between grains) lithium‐ion transport. Lithium‐ion migration tailoring mechanism in crystals is developed by unexpected enhanced Li, In, and Cl vacancy populations and lower energy barrier for hopping. The lithium‐ion transport tailoring mechanism between the grains is determined by the elimination of voids between grains and the formation of unexpected supersonic conducting grain boundaries, boosting the lithium dendrite suppression ability of SSE. Due to boosted lithium‐ion conduction and dendrite‐suppression ability, the all‐solid‐state lithium metal batteries coupled with Ni‐rich LiNi\n              0.83\n              Co\n              0.12\n              Mn\n              0.05\n              O\n              2\n              cathodes and lithium metal anodes demonstrate breakthroughs in electrochemical performance by achieving extremely long cycling life at a high current density of 0.5 C (2000 cycles, 93.7% capacity retention). This concept of precise tailoring of lithium‐ion transport provides a cost, time, and energy efficient solution to conquer the remaining challenges in all‐solid‐state lithium‐metal batteries for fast developing electric vehicle markets.","container-title":"Advanced Materials","DOI":"10.1002/adma.202302647","ISSN":"0935-9648, 1521-4095","issue":"13","journalAbbreviation":"Advanced Materials","language":"en","page":"2302647","source":"DOI.org (Crossref)","title":"Precise Tailoring of Lithium‐Ion Transport for Ultralong‐Cycling Dendrite‐Free All‐Solid‐State Lithium Metal Batteries","volume":"36","author":[{"family":"Li","given":"Weihan"},{"family":"Quirk","given":"James A."},{"family":"Li","given":"Minsi"},{"family":"Xia","given":"Wei"},{"family":"Morgan","given":"Lucy M."},{"family":"Yin","given":"Wen"},{"family":"Zheng","given":"Matthew"},{"family":"Gallington","given":"Leighanne C."},{"family":"Ren","given":"Yang"},{"family":"Zhu","given":"Ning"},{"family":"King","given":"Graham"},{"family":"Feng","given":"Renfei"},{"family":"Li","given":"Ruying"},{"family":"Dawson","given":"James A."},{"family":"Sham","given":"Tsun‐Kong"},{"family":"Sun","given":"Xueliang"}],"issued":{"date-parts":[["2024",3]]}}}],"schema":"https://github.com/citation-style-language/schema/raw/master/csl-citation.json"}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80</w:t>
            </w:r>
            <w:r w:rsidRPr="002657D1">
              <w:rPr>
                <w:rFonts w:ascii="Times New Roman" w:hAnsi="Times New Roman" w:cs="Times New Roman"/>
                <w:color w:val="000000" w:themeColor="text1"/>
                <w:sz w:val="24"/>
                <w:szCs w:val="24"/>
              </w:rPr>
              <w:fldChar w:fldCharType="end"/>
            </w:r>
          </w:p>
        </w:tc>
      </w:tr>
      <w:tr w:rsidR="006F5648" w:rsidRPr="002657D1" w14:paraId="2CF0C250" w14:textId="77777777" w:rsidTr="009D049B">
        <w:trPr>
          <w:jc w:val="center"/>
        </w:trPr>
        <w:tc>
          <w:tcPr>
            <w:tcW w:w="2518" w:type="dxa"/>
            <w:tcBorders>
              <w:top w:val="nil"/>
              <w:bottom w:val="single" w:sz="12" w:space="0" w:color="auto"/>
            </w:tcBorders>
            <w:vAlign w:val="center"/>
          </w:tcPr>
          <w:p w14:paraId="26104DFD" w14:textId="086A2902"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LCO/Li</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LuCl</w:t>
            </w:r>
            <w:r w:rsidRPr="002657D1">
              <w:rPr>
                <w:rFonts w:ascii="Times New Roman" w:hAnsi="Times New Roman" w:cs="Times New Roman"/>
                <w:color w:val="000000" w:themeColor="text1"/>
                <w:sz w:val="24"/>
                <w:szCs w:val="24"/>
                <w:vertAlign w:val="subscript"/>
              </w:rPr>
              <w:t>6</w:t>
            </w:r>
            <w:r w:rsidRPr="002657D1">
              <w:rPr>
                <w:rFonts w:ascii="Times New Roman" w:hAnsi="Times New Roman" w:cs="Times New Roman"/>
                <w:color w:val="000000" w:themeColor="text1"/>
                <w:sz w:val="24"/>
                <w:szCs w:val="24"/>
              </w:rPr>
              <w:t>@PI</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/Li</w:t>
            </w:r>
          </w:p>
        </w:tc>
        <w:tc>
          <w:tcPr>
            <w:tcW w:w="1877" w:type="dxa"/>
            <w:tcBorders>
              <w:top w:val="nil"/>
              <w:bottom w:val="single" w:sz="12" w:space="0" w:color="auto"/>
            </w:tcBorders>
            <w:vAlign w:val="center"/>
          </w:tcPr>
          <w:p w14:paraId="5A8CA465" w14:textId="722CD30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3.56</w:t>
            </w:r>
          </w:p>
        </w:tc>
        <w:tc>
          <w:tcPr>
            <w:tcW w:w="1417" w:type="dxa"/>
            <w:tcBorders>
              <w:top w:val="nil"/>
              <w:bottom w:val="single" w:sz="12" w:space="0" w:color="auto"/>
            </w:tcBorders>
            <w:vAlign w:val="center"/>
          </w:tcPr>
          <w:p w14:paraId="608BAD73" w14:textId="17FFAF37"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140.6</w:t>
            </w:r>
          </w:p>
        </w:tc>
        <w:tc>
          <w:tcPr>
            <w:tcW w:w="1418" w:type="dxa"/>
            <w:tcBorders>
              <w:top w:val="nil"/>
              <w:bottom w:val="single" w:sz="12" w:space="0" w:color="auto"/>
            </w:tcBorders>
            <w:vAlign w:val="center"/>
          </w:tcPr>
          <w:p w14:paraId="698A1128" w14:textId="04A1E171"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0.5</w:t>
            </w:r>
          </w:p>
        </w:tc>
        <w:tc>
          <w:tcPr>
            <w:tcW w:w="1559" w:type="dxa"/>
            <w:tcBorders>
              <w:top w:val="nil"/>
              <w:bottom w:val="single" w:sz="12" w:space="0" w:color="auto"/>
            </w:tcBorders>
            <w:vAlign w:val="center"/>
          </w:tcPr>
          <w:p w14:paraId="02366FDB" w14:textId="07D7D571"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200@0.2 mA cm</w:t>
            </w:r>
            <w:r w:rsidRPr="002657D1">
              <w:rPr>
                <w:rFonts w:ascii="Times New Roman" w:hAnsi="Times New Roman" w:cs="Times New Roman"/>
                <w:color w:val="000000" w:themeColor="text1"/>
                <w:kern w:val="24"/>
                <w:sz w:val="24"/>
                <w:szCs w:val="24"/>
                <w:vertAlign w:val="superscript"/>
              </w:rPr>
              <w:t>−</w:t>
            </w:r>
            <w:r w:rsidRPr="002657D1">
              <w:rPr>
                <w:rFonts w:ascii="Times New Roman" w:hAnsi="Times New Roman" w:cs="Times New Roman"/>
                <w:color w:val="000000" w:themeColor="text1"/>
                <w:sz w:val="24"/>
                <w:szCs w:val="24"/>
                <w:vertAlign w:val="superscript"/>
              </w:rPr>
              <w:t>2</w:t>
            </w:r>
          </w:p>
        </w:tc>
        <w:tc>
          <w:tcPr>
            <w:tcW w:w="1559" w:type="dxa"/>
            <w:tcBorders>
              <w:top w:val="nil"/>
              <w:bottom w:val="single" w:sz="12" w:space="0" w:color="auto"/>
            </w:tcBorders>
            <w:vAlign w:val="center"/>
          </w:tcPr>
          <w:p w14:paraId="7D6DDF73" w14:textId="7E240B04"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0.068</w:t>
            </w:r>
          </w:p>
        </w:tc>
        <w:tc>
          <w:tcPr>
            <w:tcW w:w="1418" w:type="dxa"/>
            <w:tcBorders>
              <w:top w:val="nil"/>
              <w:bottom w:val="single" w:sz="12" w:space="0" w:color="auto"/>
            </w:tcBorders>
            <w:vAlign w:val="center"/>
          </w:tcPr>
          <w:p w14:paraId="70C11973" w14:textId="0503EA0C"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tcBorders>
              <w:top w:val="nil"/>
              <w:bottom w:val="single" w:sz="12" w:space="0" w:color="auto"/>
            </w:tcBorders>
            <w:vAlign w:val="center"/>
          </w:tcPr>
          <w:p w14:paraId="3AFA3C86" w14:textId="050FC920"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Pr="002657D1">
              <w:rPr>
                <w:rFonts w:ascii="Times New Roman" w:hAnsi="Times New Roman" w:cs="Times New Roman"/>
                <w:color w:val="000000" w:themeColor="text1"/>
                <w:sz w:val="24"/>
                <w:szCs w:val="24"/>
              </w:rPr>
              <w:instrText xml:space="preserve"> ADDIN ZOTERO_ITEM CSL_CITATION {"citationID":"aq0j4josg3","properties":{"formattedCitation":"\\super 68\\nosupersub{}","plainCitation":"68","noteIndex":0},"citationItems":[{"id":1537,"uris":["http://zotero.org/users/local/J1vikkcu/items/6S3LAJ4D"],"itemData":{"id":1537,"type":"article-journal","abstract":"Abstract\n            \n              All‐solid‐state lithium‐metal batteries (ASSLMBs) are promising for transportation electrification due to their superior safety and high energy density. Lithium halide electrolytes provide excellent processing flexibility, high ionic conductivity, and anodic stability (&gt;4.1 V), making them highly compatible with high‐voltage cathodes, surpassing sulfide electrolytes (&lt;2.1 V). Nevertheless, halide electrolytes suffer from low cathodic stability and form an electronically conductive interphase with lithium, resulting in a critical current density (CCD) of nearly zero. Herein, Li\n              3\n              YbCl\n              6\n              electrolytes are synthesized that are kinetically stable with lithium by forming an electronic insulating solid electrolyte interphase. Guided by critical overpotential criteria, a PI\n              3\n              interlayer is designed that transforms into Li\n              6\n              PI\n              3\n              upon contact with lithium, substantially reducing the interfacial resistance of Li\n              3\n              YbCl\n              6\n              against lithium to 34 Ω and achieving a high critical overpotential of 114 mV. By substituting Yb with Lu, Li\n              3\n              LuCl\n              6\n              electrolytes with Li\n              6\n              PI\n              3\n              interlayers reach a CCD of 1.0 mA cm\n              −2\n              at a capacity of 1.0 mAh cm\n              −2\n              , comparable to sulfide electrolytes but with higher oxidation stability. Additionally, Li\n              6\n              PI\n              3\n              enables stable cycling of Li//Li cells with Li\n              3\n              LuCl\n              6\n              electrolytes at 0.5 mA cm\n              −2\n              for 400 cycles and maintains 86.5% capacity in Li//LiCoO\n              2\n              cells after 220 cycles at 30 °C, paving the way for high‐performance ASSLMBs.","container-title":"Advanced Materials","DOI":"10.1002/adma.202501838","ISSN":"0935-9648, 1521-4095","issue":"30","journalAbbreviation":"Advanced Materials","language":"en","page":"2501838","source":"DOI.org (Crossref)","title":"Interlayer Design for Halide Electrolytes in All‐Solid‐State Lithium Metal Batteries","volume":"37","author":[{"family":"Wang","given":"Zeyi"},{"family":"Wang","given":"Tengrui"},{"family":"Zhang","given":"Nan"},{"family":"Zhang","given":"Weiran"},{"family":"Liu","given":"Yijie"},{"family":"Wang","given":"Chunsheng"}],"issued":{"date-parts":[["2025",7]]}}}],"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68</w:t>
            </w:r>
            <w:r w:rsidRPr="002657D1">
              <w:rPr>
                <w:rFonts w:ascii="Times New Roman" w:hAnsi="Times New Roman" w:cs="Times New Roman"/>
                <w:color w:val="000000" w:themeColor="text1"/>
                <w:sz w:val="24"/>
                <w:szCs w:val="24"/>
              </w:rPr>
              <w:fldChar w:fldCharType="end"/>
            </w:r>
          </w:p>
        </w:tc>
      </w:tr>
    </w:tbl>
    <w:p w14:paraId="19D3AA5F" w14:textId="77777777" w:rsidR="005219E0" w:rsidRPr="002657D1" w:rsidRDefault="005219E0" w:rsidP="00500A70">
      <w:pPr>
        <w:widowControl/>
        <w:spacing w:before="120" w:afterLines="50" w:after="156" w:line="360" w:lineRule="auto"/>
        <w:rPr>
          <w:rFonts w:ascii="Times New Roman" w:hAnsi="Times New Roman" w:cs="Times New Roman"/>
          <w:b/>
          <w:bCs/>
          <w:color w:val="000000" w:themeColor="text1"/>
          <w:sz w:val="24"/>
          <w:szCs w:val="24"/>
        </w:rPr>
        <w:sectPr w:rsidR="005219E0" w:rsidRPr="002657D1" w:rsidSect="005219E0">
          <w:pgSz w:w="14175" w:h="16840"/>
          <w:pgMar w:top="1440" w:right="1797" w:bottom="1440" w:left="1797" w:header="851" w:footer="992" w:gutter="0"/>
          <w:lnNumType w:countBy="1" w:restart="continuous"/>
          <w:cols w:space="425"/>
          <w:docGrid w:type="lines" w:linePitch="312"/>
        </w:sectPr>
      </w:pPr>
    </w:p>
    <w:p w14:paraId="565A95D9" w14:textId="2393AA4F" w:rsidR="00500A70" w:rsidRPr="002657D1" w:rsidRDefault="00500A70" w:rsidP="00500A70">
      <w:pPr>
        <w:widowControl/>
        <w:spacing w:before="120" w:afterLines="50" w:after="156" w:line="360" w:lineRule="auto"/>
        <w:rPr>
          <w:rFonts w:ascii="Times New Roman" w:hAnsi="Times New Roman" w:cs="Times New Roman"/>
          <w:color w:val="000000" w:themeColor="text1"/>
          <w:sz w:val="24"/>
          <w:szCs w:val="24"/>
        </w:rPr>
      </w:pPr>
      <w:r w:rsidRPr="002657D1">
        <w:rPr>
          <w:rFonts w:ascii="Times New Roman" w:hAnsi="Times New Roman" w:cs="Times New Roman"/>
          <w:b/>
          <w:bCs/>
          <w:color w:val="000000" w:themeColor="text1"/>
          <w:sz w:val="24"/>
          <w:szCs w:val="24"/>
        </w:rPr>
        <w:lastRenderedPageBreak/>
        <w:t>Supplementary Table 8.</w:t>
      </w:r>
      <w:r w:rsidRPr="002657D1">
        <w:rPr>
          <w:rFonts w:ascii="Times New Roman" w:hAnsi="Times New Roman" w:cs="Times New Roman"/>
          <w:color w:val="000000" w:themeColor="text1"/>
          <w:sz w:val="24"/>
          <w:szCs w:val="24"/>
        </w:rPr>
        <w:t xml:space="preserve"> Comparison of </w:t>
      </w:r>
      <w:r w:rsidR="009D049B" w:rsidRPr="002657D1">
        <w:rPr>
          <w:rFonts w:ascii="Times New Roman" w:hAnsi="Times New Roman" w:cs="Times New Roman"/>
          <w:color w:val="000000" w:themeColor="text1"/>
          <w:sz w:val="24"/>
          <w:szCs w:val="24"/>
        </w:rPr>
        <w:t>cathode active material</w:t>
      </w:r>
      <w:r w:rsidRPr="002657D1">
        <w:rPr>
          <w:rFonts w:ascii="Times New Roman" w:hAnsi="Times New Roman" w:cs="Times New Roman"/>
          <w:color w:val="000000" w:themeColor="text1"/>
          <w:sz w:val="24"/>
          <w:szCs w:val="24"/>
        </w:rPr>
        <w:t xml:space="preserve"> loading and areal capacity in ASSLMBs using </w:t>
      </w:r>
      <w:r w:rsidR="00516262" w:rsidRPr="002657D1">
        <w:rPr>
          <w:rFonts w:ascii="Times New Roman" w:hAnsi="Times New Roman" w:cs="Times New Roman"/>
          <w:color w:val="000000" w:themeColor="text1"/>
          <w:sz w:val="24"/>
          <w:szCs w:val="24"/>
        </w:rPr>
        <w:t xml:space="preserve">Li </w:t>
      </w:r>
      <w:r w:rsidRPr="002657D1">
        <w:rPr>
          <w:rFonts w:ascii="Times New Roman" w:hAnsi="Times New Roman" w:cs="Times New Roman"/>
          <w:color w:val="000000" w:themeColor="text1"/>
          <w:sz w:val="24"/>
          <w:szCs w:val="24"/>
        </w:rPr>
        <w:t xml:space="preserve">metal and </w:t>
      </w:r>
      <w:r w:rsidR="00C92727" w:rsidRPr="002657D1">
        <w:rPr>
          <w:rFonts w:ascii="Times New Roman" w:hAnsi="Times New Roman" w:cs="Times New Roman"/>
          <w:color w:val="000000" w:themeColor="text1"/>
          <w:sz w:val="24"/>
          <w:szCs w:val="24"/>
        </w:rPr>
        <w:t>sulfide</w:t>
      </w:r>
      <w:r w:rsidR="00D718C8" w:rsidRPr="002657D1">
        <w:rPr>
          <w:rFonts w:ascii="Times New Roman" w:hAnsi="Times New Roman" w:cs="Times New Roman"/>
          <w:color w:val="000000" w:themeColor="text1"/>
          <w:sz w:val="24"/>
          <w:szCs w:val="24"/>
        </w:rPr>
        <w:t xml:space="preserve"> electrolyte.</w:t>
      </w:r>
    </w:p>
    <w:tbl>
      <w:tblPr>
        <w:tblStyle w:val="af7"/>
        <w:tblW w:w="13041" w:type="dxa"/>
        <w:jc w:val="center"/>
        <w:tblBorders>
          <w:top w:val="single" w:sz="12" w:space="0" w:color="auto"/>
          <w:left w:val="none" w:sz="0" w:space="0" w:color="auto"/>
          <w:bottom w:val="single" w:sz="12" w:space="0" w:color="auto"/>
          <w:right w:val="none" w:sz="0" w:space="0" w:color="auto"/>
          <w:insideV w:val="none" w:sz="0" w:space="0" w:color="auto"/>
        </w:tblBorders>
        <w:tblLayout w:type="fixed"/>
        <w:tblLook w:val="04A0" w:firstRow="1" w:lastRow="0" w:firstColumn="1" w:lastColumn="0" w:noHBand="0" w:noVBand="1"/>
      </w:tblPr>
      <w:tblGrid>
        <w:gridCol w:w="2694"/>
        <w:gridCol w:w="1842"/>
        <w:gridCol w:w="1276"/>
        <w:gridCol w:w="1418"/>
        <w:gridCol w:w="1417"/>
        <w:gridCol w:w="1559"/>
        <w:gridCol w:w="1560"/>
        <w:gridCol w:w="1275"/>
      </w:tblGrid>
      <w:tr w:rsidR="002657D1" w:rsidRPr="002657D1" w14:paraId="68582229" w14:textId="77777777" w:rsidTr="001A7EE6">
        <w:trPr>
          <w:trHeight w:val="794"/>
          <w:jc w:val="center"/>
        </w:trPr>
        <w:tc>
          <w:tcPr>
            <w:tcW w:w="2694" w:type="dxa"/>
            <w:tcBorders>
              <w:top w:val="single" w:sz="12" w:space="0" w:color="auto"/>
              <w:bottom w:val="single" w:sz="12" w:space="0" w:color="auto"/>
            </w:tcBorders>
            <w:vAlign w:val="center"/>
          </w:tcPr>
          <w:p w14:paraId="7CF38872" w14:textId="77777777"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18"/>
                <w:sz w:val="24"/>
                <w:szCs w:val="24"/>
              </w:rPr>
              <w:t>Cell structure</w:t>
            </w:r>
          </w:p>
        </w:tc>
        <w:tc>
          <w:tcPr>
            <w:tcW w:w="1842" w:type="dxa"/>
            <w:tcBorders>
              <w:top w:val="single" w:sz="12" w:space="0" w:color="auto"/>
              <w:bottom w:val="single" w:sz="12" w:space="0" w:color="auto"/>
            </w:tcBorders>
            <w:vAlign w:val="center"/>
          </w:tcPr>
          <w:p w14:paraId="25C6851C" w14:textId="07231BF9" w:rsidR="006F5648" w:rsidRPr="002657D1" w:rsidRDefault="009D049B"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hint="eastAsia"/>
                <w:color w:val="000000" w:themeColor="text1"/>
                <w:sz w:val="24"/>
                <w:szCs w:val="24"/>
              </w:rPr>
              <w:t>C</w:t>
            </w:r>
            <w:r w:rsidRPr="002657D1">
              <w:rPr>
                <w:rFonts w:ascii="Times New Roman" w:hAnsi="Times New Roman" w:cs="Times New Roman"/>
                <w:color w:val="000000" w:themeColor="text1"/>
                <w:sz w:val="24"/>
                <w:szCs w:val="24"/>
              </w:rPr>
              <w:t>athode active material</w:t>
            </w:r>
            <w:r w:rsidR="006F5648" w:rsidRPr="002657D1">
              <w:rPr>
                <w:rFonts w:ascii="Times New Roman" w:hAnsi="Times New Roman" w:cs="Times New Roman"/>
                <w:color w:val="000000" w:themeColor="text1"/>
                <w:sz w:val="24"/>
                <w:szCs w:val="24"/>
              </w:rPr>
              <w:t xml:space="preserve"> loading (mg cm</w:t>
            </w:r>
            <w:r w:rsidR="006F5648" w:rsidRPr="002657D1">
              <w:rPr>
                <w:rFonts w:ascii="Times New Roman" w:hAnsi="Times New Roman" w:cs="Times New Roman"/>
                <w:color w:val="000000" w:themeColor="text1"/>
                <w:kern w:val="24"/>
                <w:sz w:val="24"/>
                <w:szCs w:val="24"/>
                <w:vertAlign w:val="superscript"/>
              </w:rPr>
              <w:t>−</w:t>
            </w:r>
            <w:r w:rsidR="006F5648" w:rsidRPr="002657D1">
              <w:rPr>
                <w:rFonts w:ascii="Times New Roman" w:hAnsi="Times New Roman" w:cs="Times New Roman"/>
                <w:color w:val="000000" w:themeColor="text1"/>
                <w:sz w:val="24"/>
                <w:szCs w:val="24"/>
                <w:vertAlign w:val="superscript"/>
              </w:rPr>
              <w:t>2</w:t>
            </w:r>
            <w:r w:rsidR="006F5648" w:rsidRPr="002657D1">
              <w:rPr>
                <w:rFonts w:ascii="Times New Roman" w:hAnsi="Times New Roman" w:cs="Times New Roman"/>
                <w:color w:val="000000" w:themeColor="text1"/>
                <w:sz w:val="24"/>
                <w:szCs w:val="24"/>
              </w:rPr>
              <w:t>)</w:t>
            </w:r>
          </w:p>
        </w:tc>
        <w:tc>
          <w:tcPr>
            <w:tcW w:w="1276" w:type="dxa"/>
            <w:tcBorders>
              <w:top w:val="single" w:sz="12" w:space="0" w:color="auto"/>
              <w:bottom w:val="single" w:sz="12" w:space="0" w:color="auto"/>
            </w:tcBorders>
            <w:vAlign w:val="center"/>
          </w:tcPr>
          <w:p w14:paraId="4BED5B36" w14:textId="6C8E0840"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hint="eastAsia"/>
                <w:color w:val="000000" w:themeColor="text1"/>
                <w:sz w:val="24"/>
                <w:szCs w:val="24"/>
              </w:rPr>
              <w:t>D</w:t>
            </w:r>
            <w:r w:rsidRPr="002657D1">
              <w:rPr>
                <w:rFonts w:ascii="Times New Roman" w:hAnsi="Times New Roman" w:cs="Times New Roman"/>
                <w:color w:val="000000" w:themeColor="text1"/>
                <w:sz w:val="24"/>
                <w:szCs w:val="24"/>
              </w:rPr>
              <w:t>ischarge capacity (mAh g</w:t>
            </w:r>
            <w:r w:rsidRPr="002657D1">
              <w:rPr>
                <w:rFonts w:ascii="Times New Roman" w:hAnsi="Times New Roman" w:cs="Times New Roman"/>
                <w:color w:val="000000" w:themeColor="text1"/>
                <w:kern w:val="24"/>
                <w:sz w:val="24"/>
                <w:szCs w:val="24"/>
                <w:vertAlign w:val="superscript"/>
              </w:rPr>
              <w:t>−</w:t>
            </w:r>
            <w:r w:rsidRPr="002657D1">
              <w:rPr>
                <w:rFonts w:ascii="Times New Roman" w:hAnsi="Times New Roman" w:cs="Times New Roman"/>
                <w:color w:val="000000" w:themeColor="text1"/>
                <w:sz w:val="24"/>
                <w:szCs w:val="24"/>
                <w:vertAlign w:val="superscript"/>
              </w:rPr>
              <w:t>1</w:t>
            </w:r>
            <w:r w:rsidRPr="002657D1">
              <w:rPr>
                <w:rFonts w:ascii="Times New Roman" w:hAnsi="Times New Roman" w:cs="Times New Roman"/>
                <w:color w:val="000000" w:themeColor="text1"/>
                <w:sz w:val="24"/>
                <w:szCs w:val="24"/>
              </w:rPr>
              <w:t>)</w:t>
            </w:r>
          </w:p>
        </w:tc>
        <w:tc>
          <w:tcPr>
            <w:tcW w:w="1418" w:type="dxa"/>
            <w:tcBorders>
              <w:top w:val="single" w:sz="12" w:space="0" w:color="auto"/>
              <w:bottom w:val="single" w:sz="12" w:space="0" w:color="auto"/>
            </w:tcBorders>
            <w:vAlign w:val="center"/>
          </w:tcPr>
          <w:p w14:paraId="6BD110DD" w14:textId="0276B182"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Areal capacity (mAh cm</w:t>
            </w:r>
            <w:r w:rsidRPr="002657D1">
              <w:rPr>
                <w:rFonts w:ascii="Times New Roman" w:hAnsi="Times New Roman" w:cs="Times New Roman"/>
                <w:color w:val="000000" w:themeColor="text1"/>
                <w:kern w:val="24"/>
                <w:sz w:val="24"/>
                <w:szCs w:val="24"/>
                <w:vertAlign w:val="superscript"/>
              </w:rPr>
              <w:t>−</w:t>
            </w:r>
            <w:r w:rsidRPr="002657D1">
              <w:rPr>
                <w:rFonts w:ascii="Times New Roman" w:hAnsi="Times New Roman" w:cs="Times New Roman"/>
                <w:color w:val="000000" w:themeColor="text1"/>
                <w:sz w:val="24"/>
                <w:szCs w:val="24"/>
                <w:vertAlign w:val="superscript"/>
              </w:rPr>
              <w:t>2</w:t>
            </w:r>
            <w:r w:rsidRPr="002657D1">
              <w:rPr>
                <w:rFonts w:ascii="Times New Roman" w:hAnsi="Times New Roman" w:cs="Times New Roman"/>
                <w:color w:val="000000" w:themeColor="text1"/>
                <w:sz w:val="24"/>
                <w:szCs w:val="24"/>
              </w:rPr>
              <w:t>)</w:t>
            </w:r>
          </w:p>
        </w:tc>
        <w:tc>
          <w:tcPr>
            <w:tcW w:w="1417" w:type="dxa"/>
            <w:tcBorders>
              <w:bottom w:val="single" w:sz="12" w:space="0" w:color="auto"/>
            </w:tcBorders>
            <w:vAlign w:val="center"/>
          </w:tcPr>
          <w:p w14:paraId="3C7A1B48" w14:textId="7FA72C73"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Total cycles (n)@current</w:t>
            </w:r>
          </w:p>
        </w:tc>
        <w:tc>
          <w:tcPr>
            <w:tcW w:w="1559" w:type="dxa"/>
            <w:tcBorders>
              <w:bottom w:val="single" w:sz="12" w:space="0" w:color="auto"/>
            </w:tcBorders>
            <w:vAlign w:val="center"/>
          </w:tcPr>
          <w:p w14:paraId="33756AC1" w14:textId="4B614731"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Capacity decay rate per cycle (%)</w:t>
            </w:r>
          </w:p>
        </w:tc>
        <w:tc>
          <w:tcPr>
            <w:tcW w:w="1560" w:type="dxa"/>
            <w:tcBorders>
              <w:top w:val="single" w:sz="12" w:space="0" w:color="auto"/>
              <w:bottom w:val="single" w:sz="12" w:space="0" w:color="auto"/>
            </w:tcBorders>
            <w:vAlign w:val="center"/>
          </w:tcPr>
          <w:p w14:paraId="4E80DDDA" w14:textId="53353D36"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Test temperature (℃)</w:t>
            </w:r>
          </w:p>
        </w:tc>
        <w:tc>
          <w:tcPr>
            <w:tcW w:w="1275" w:type="dxa"/>
            <w:tcBorders>
              <w:top w:val="single" w:sz="12" w:space="0" w:color="auto"/>
              <w:bottom w:val="single" w:sz="12" w:space="0" w:color="auto"/>
            </w:tcBorders>
            <w:vAlign w:val="center"/>
          </w:tcPr>
          <w:p w14:paraId="40CBDFDE" w14:textId="77777777"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Reference</w:t>
            </w:r>
          </w:p>
        </w:tc>
      </w:tr>
      <w:tr w:rsidR="002657D1" w:rsidRPr="002657D1" w14:paraId="028D93F9" w14:textId="77777777" w:rsidTr="001A7EE6">
        <w:trPr>
          <w:jc w:val="center"/>
        </w:trPr>
        <w:tc>
          <w:tcPr>
            <w:tcW w:w="2694" w:type="dxa"/>
            <w:tcBorders>
              <w:top w:val="single" w:sz="12" w:space="0" w:color="auto"/>
              <w:bottom w:val="nil"/>
            </w:tcBorders>
            <w:vAlign w:val="center"/>
          </w:tcPr>
          <w:p w14:paraId="182368EC" w14:textId="0D3E109C"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NCM83/Li</w:t>
            </w:r>
            <w:r w:rsidRPr="002657D1">
              <w:rPr>
                <w:rFonts w:ascii="Times New Roman" w:hAnsi="Times New Roman" w:cs="Times New Roman"/>
                <w:color w:val="000000" w:themeColor="text1"/>
                <w:sz w:val="24"/>
                <w:szCs w:val="24"/>
                <w:vertAlign w:val="subscript"/>
              </w:rPr>
              <w:t>5.3</w:t>
            </w:r>
            <w:r w:rsidRPr="002657D1">
              <w:rPr>
                <w:rFonts w:ascii="Times New Roman" w:hAnsi="Times New Roman" w:cs="Times New Roman"/>
                <w:color w:val="000000" w:themeColor="text1"/>
                <w:sz w:val="24"/>
                <w:szCs w:val="24"/>
              </w:rPr>
              <w:t>PS</w:t>
            </w:r>
            <w:r w:rsidRPr="002657D1">
              <w:rPr>
                <w:rFonts w:ascii="Times New Roman" w:hAnsi="Times New Roman" w:cs="Times New Roman"/>
                <w:color w:val="000000" w:themeColor="text1"/>
                <w:sz w:val="24"/>
                <w:szCs w:val="24"/>
                <w:vertAlign w:val="subscript"/>
              </w:rPr>
              <w:t>4.3</w:t>
            </w:r>
            <w:r w:rsidRPr="002657D1">
              <w:rPr>
                <w:rFonts w:ascii="Times New Roman" w:hAnsi="Times New Roman" w:cs="Times New Roman"/>
                <w:color w:val="000000" w:themeColor="text1"/>
                <w:sz w:val="24"/>
                <w:szCs w:val="24"/>
              </w:rPr>
              <w:t>ClBr</w:t>
            </w:r>
            <w:r w:rsidRPr="002657D1">
              <w:rPr>
                <w:rFonts w:ascii="Times New Roman" w:hAnsi="Times New Roman" w:cs="Times New Roman"/>
                <w:color w:val="000000" w:themeColor="text1"/>
                <w:sz w:val="24"/>
                <w:szCs w:val="24"/>
                <w:vertAlign w:val="subscript"/>
              </w:rPr>
              <w:t>0.7</w:t>
            </w:r>
            <w:r w:rsidRPr="002657D1">
              <w:rPr>
                <w:rFonts w:ascii="Times New Roman" w:hAnsi="Times New Roman" w:cs="Times New Roman"/>
                <w:color w:val="000000" w:themeColor="text1"/>
                <w:sz w:val="24"/>
                <w:szCs w:val="24"/>
              </w:rPr>
              <w:t>/Li</w:t>
            </w:r>
          </w:p>
        </w:tc>
        <w:tc>
          <w:tcPr>
            <w:tcW w:w="1842" w:type="dxa"/>
            <w:tcBorders>
              <w:top w:val="single" w:sz="12" w:space="0" w:color="auto"/>
              <w:bottom w:val="nil"/>
            </w:tcBorders>
            <w:vAlign w:val="center"/>
          </w:tcPr>
          <w:p w14:paraId="217CDA09" w14:textId="543793B0"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8.92</w:t>
            </w:r>
          </w:p>
        </w:tc>
        <w:tc>
          <w:tcPr>
            <w:tcW w:w="1276" w:type="dxa"/>
            <w:tcBorders>
              <w:top w:val="single" w:sz="12" w:space="0" w:color="auto"/>
              <w:bottom w:val="nil"/>
            </w:tcBorders>
            <w:vAlign w:val="center"/>
          </w:tcPr>
          <w:p w14:paraId="4DC55CDE" w14:textId="1FDF79AF"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152</w:t>
            </w:r>
          </w:p>
        </w:tc>
        <w:tc>
          <w:tcPr>
            <w:tcW w:w="1418" w:type="dxa"/>
            <w:tcBorders>
              <w:top w:val="single" w:sz="12" w:space="0" w:color="auto"/>
              <w:bottom w:val="nil"/>
            </w:tcBorders>
            <w:vAlign w:val="center"/>
          </w:tcPr>
          <w:p w14:paraId="27888312" w14:textId="5B4C00EB"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1.36</w:t>
            </w:r>
          </w:p>
        </w:tc>
        <w:tc>
          <w:tcPr>
            <w:tcW w:w="1417" w:type="dxa"/>
            <w:tcBorders>
              <w:top w:val="single" w:sz="12" w:space="0" w:color="auto"/>
              <w:bottom w:val="nil"/>
            </w:tcBorders>
            <w:vAlign w:val="center"/>
          </w:tcPr>
          <w:p w14:paraId="57F19A1D" w14:textId="67FF3BAC"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300@0.2 C</w:t>
            </w:r>
          </w:p>
        </w:tc>
        <w:tc>
          <w:tcPr>
            <w:tcW w:w="1559" w:type="dxa"/>
            <w:tcBorders>
              <w:top w:val="single" w:sz="12" w:space="0" w:color="auto"/>
              <w:bottom w:val="nil"/>
            </w:tcBorders>
            <w:vAlign w:val="center"/>
          </w:tcPr>
          <w:p w14:paraId="6AB23C46" w14:textId="45A124D4"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0.047</w:t>
            </w:r>
          </w:p>
        </w:tc>
        <w:tc>
          <w:tcPr>
            <w:tcW w:w="1560" w:type="dxa"/>
            <w:tcBorders>
              <w:top w:val="single" w:sz="12" w:space="0" w:color="auto"/>
              <w:bottom w:val="nil"/>
            </w:tcBorders>
            <w:vAlign w:val="center"/>
          </w:tcPr>
          <w:p w14:paraId="3B191BE3" w14:textId="3A8D4089"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tcBorders>
              <w:top w:val="single" w:sz="12" w:space="0" w:color="auto"/>
              <w:bottom w:val="nil"/>
            </w:tcBorders>
            <w:vAlign w:val="center"/>
          </w:tcPr>
          <w:p w14:paraId="4D4F9ED8" w14:textId="59E6341A"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{"citationID":"rHBkaw3j","properties":{"formattedCitation":"\\super 81\\nosupersub{}","plainCitation":"81","noteIndex":0},"citationItems":[{"id":"IXaoCdHi/BRwQSRnn","uris":["http://zotero.org/users/local/As3BANDe/items/262M</w:instrText>
            </w:r>
            <w:r w:rsidR="00E725CF" w:rsidRPr="002657D1">
              <w:rPr>
                <w:rFonts w:ascii="Times New Roman" w:hAnsi="Times New Roman" w:cs="Times New Roman" w:hint="eastAsia"/>
                <w:color w:val="000000" w:themeColor="text1"/>
                <w:sz w:val="24"/>
                <w:szCs w:val="24"/>
              </w:rPr>
              <w:instrText>GXK3"],"itemData":{"id":4873,"type":"article-journal","abstract":"Abstract\n            \n              The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lithium metal battery is considered the next</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generation energy storage device with the potential to double the energy density of state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of</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the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art 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ion batteries and eliminate safety hazards. Achieving stable Li plating/stripping without dendrite propagation within the solid electrolyte is crucial for delivering the promised high energy density. In this study, through the comparison of various synthesis routes, a novel cube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shaped microstructure in the Li\n              5.3\n              PS\n              4.3\n              ClBr\n              0.7\n              argyrodite electrolyte, synthesized using the high</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speed mechanical milling followed by annealing method (BMAN</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LPSCB) is identified. The uniform microstructure allows for the production of an electrolyte pellet with significantly reduced porosity through cold pressing. The removal of defects has significantly enhanced the e</w:instrText>
            </w:r>
            <w:r w:rsidR="00E725CF" w:rsidRPr="002657D1">
              <w:rPr>
                <w:rFonts w:ascii="Times New Roman" w:hAnsi="Times New Roman" w:cs="Times New Roman"/>
                <w:color w:val="000000" w:themeColor="text1"/>
                <w:sz w:val="24"/>
                <w:szCs w:val="24"/>
              </w:rPr>
              <w:instrText>lectrolyte's ability to inhibit dendrite formation, with a critical current density reaching 3.8 mA cm\n              −2\n              . The lithium symmetric cell with BMAN</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LPSCB electrolyte exhibits stable Li plating/stripping for over 150 h at a high current density and cutoff capacity of 3 mA cm\n              −2\n              / 3 mAh cm\n              −2\n              . The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state Li/NCM battery utilizing the BMAN</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LPSCB electrolyte also demonstrates excellent durability, with a capacity r</w:instrText>
            </w:r>
            <w:r w:rsidR="00E725CF" w:rsidRPr="002657D1">
              <w:rPr>
                <w:rFonts w:ascii="Times New Roman" w:hAnsi="Times New Roman" w:cs="Times New Roman" w:hint="eastAsia"/>
                <w:color w:val="000000" w:themeColor="text1"/>
                <w:sz w:val="24"/>
                <w:szCs w:val="24"/>
              </w:rPr>
              <w:instrText>etention of 96% over 1000 cycles at a 1C rate. This study emphasizes that the microstructure of the sulfide electrolyte is a critical factor influencing mechanically</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driven Li dendrite propagation in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batteries.","container-title":"Advanced</w:instrText>
            </w:r>
            <w:r w:rsidR="00E725CF" w:rsidRPr="002657D1">
              <w:rPr>
                <w:rFonts w:ascii="Times New Roman" w:hAnsi="Times New Roman" w:cs="Times New Roman"/>
                <w:color w:val="000000" w:themeColor="text1"/>
                <w:sz w:val="24"/>
                <w:szCs w:val="24"/>
              </w:rPr>
              <w:instrText xml:space="preserve"> Energy Materials","DOI":"10.1002/aenm.202400783","ISSN":"1614-6832, 1614-6840","issue":"31","journalAbbreviation":"Advanced Energy Materials","language":"en","page":"2400783","source":"DOI.org (Crossref)","title":"Inhibiting Dendrites by Uniformizing Mic</w:instrText>
            </w:r>
            <w:r w:rsidR="00E725CF" w:rsidRPr="002657D1">
              <w:rPr>
                <w:rFonts w:ascii="Times New Roman" w:hAnsi="Times New Roman" w:cs="Times New Roman" w:hint="eastAsia"/>
                <w:color w:val="000000" w:themeColor="text1"/>
                <w:sz w:val="24"/>
                <w:szCs w:val="24"/>
              </w:rPr>
              <w:instrText>rostructure of Superionic Lithium Argyrodites for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Lithium Metal Batteries","volume":"14","author":[{"family":"Liu","given":"Yu"},{"family":"Su","given":"Han"},{"family":"Zhong","given":"Yu"},{"family":"Zheng","given":"Matthew"},{"family":"</w:instrText>
            </w:r>
            <w:r w:rsidR="00E725CF" w:rsidRPr="002657D1">
              <w:rPr>
                <w:rFonts w:ascii="Times New Roman" w:hAnsi="Times New Roman" w:cs="Times New Roman"/>
                <w:color w:val="000000" w:themeColor="text1"/>
                <w:sz w:val="24"/>
                <w:szCs w:val="24"/>
              </w:rPr>
              <w:instrText xml:space="preserve">Hu","given":"Yang"},{"family":"Zhao","given":"Feipeng"},{"family":"Kim","given":"Jung Tae"},{"family":"Gao","given":"Yingjie"},{"family":"Luo","given":"Jing"},{"family":"Lin","given":"Xiaoting"},{"family":"Tu","given":"Jiangping"},{"family":"Sun","given":"Xueliang"}],"issued":{"date-parts":[["2024",8]]}}}],"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81</w:t>
            </w:r>
            <w:r w:rsidRPr="002657D1">
              <w:rPr>
                <w:rFonts w:ascii="Times New Roman" w:hAnsi="Times New Roman" w:cs="Times New Roman"/>
                <w:color w:val="000000" w:themeColor="text1"/>
                <w:sz w:val="24"/>
                <w:szCs w:val="24"/>
              </w:rPr>
              <w:fldChar w:fldCharType="end"/>
            </w:r>
          </w:p>
        </w:tc>
      </w:tr>
      <w:tr w:rsidR="002657D1" w:rsidRPr="002657D1" w14:paraId="23598798" w14:textId="77777777" w:rsidTr="001A7EE6">
        <w:trPr>
          <w:jc w:val="center"/>
        </w:trPr>
        <w:tc>
          <w:tcPr>
            <w:tcW w:w="2694" w:type="dxa"/>
            <w:tcBorders>
              <w:top w:val="nil"/>
              <w:bottom w:val="nil"/>
            </w:tcBorders>
            <w:vAlign w:val="center"/>
          </w:tcPr>
          <w:p w14:paraId="0C726039" w14:textId="7B2C78C4"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LCO/Li</w:t>
            </w:r>
            <w:r w:rsidRPr="002657D1">
              <w:rPr>
                <w:rFonts w:ascii="Times New Roman" w:hAnsi="Times New Roman" w:cs="Times New Roman"/>
                <w:color w:val="000000" w:themeColor="text1"/>
                <w:sz w:val="24"/>
                <w:szCs w:val="24"/>
                <w:vertAlign w:val="subscript"/>
              </w:rPr>
              <w:t>7</w:t>
            </w:r>
            <w:r w:rsidRPr="002657D1">
              <w:rPr>
                <w:rFonts w:ascii="Times New Roman" w:hAnsi="Times New Roman" w:cs="Times New Roman"/>
                <w:color w:val="000000" w:themeColor="text1"/>
                <w:sz w:val="24"/>
                <w:szCs w:val="24"/>
              </w:rPr>
              <w:t>P</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S</w:t>
            </w:r>
            <w:r w:rsidRPr="002657D1">
              <w:rPr>
                <w:rFonts w:ascii="Times New Roman" w:hAnsi="Times New Roman" w:cs="Times New Roman"/>
                <w:color w:val="000000" w:themeColor="text1"/>
                <w:sz w:val="24"/>
                <w:szCs w:val="24"/>
                <w:vertAlign w:val="subscript"/>
              </w:rPr>
              <w:t>11</w:t>
            </w:r>
            <w:r w:rsidRPr="002657D1">
              <w:rPr>
                <w:rFonts w:ascii="Times New Roman" w:hAnsi="Times New Roman" w:cs="Times New Roman"/>
                <w:color w:val="000000" w:themeColor="text1"/>
                <w:sz w:val="24"/>
                <w:szCs w:val="24"/>
              </w:rPr>
              <w:t>/</w:t>
            </w:r>
            <w:proofErr w:type="spellStart"/>
            <w:r w:rsidRPr="002657D1">
              <w:rPr>
                <w:rFonts w:ascii="Times New Roman" w:hAnsi="Times New Roman" w:cs="Times New Roman"/>
                <w:color w:val="000000" w:themeColor="text1"/>
                <w:sz w:val="24"/>
                <w:szCs w:val="24"/>
              </w:rPr>
              <w:t>Li-Ga+LiCl@Li</w:t>
            </w:r>
            <w:proofErr w:type="spellEnd"/>
          </w:p>
        </w:tc>
        <w:tc>
          <w:tcPr>
            <w:tcW w:w="1842" w:type="dxa"/>
            <w:tcBorders>
              <w:top w:val="nil"/>
              <w:bottom w:val="nil"/>
            </w:tcBorders>
            <w:vAlign w:val="center"/>
          </w:tcPr>
          <w:p w14:paraId="1AE216FF" w14:textId="2B90365A"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3.82</w:t>
            </w:r>
          </w:p>
        </w:tc>
        <w:tc>
          <w:tcPr>
            <w:tcW w:w="1276" w:type="dxa"/>
            <w:tcBorders>
              <w:top w:val="nil"/>
              <w:bottom w:val="nil"/>
            </w:tcBorders>
            <w:vAlign w:val="center"/>
          </w:tcPr>
          <w:p w14:paraId="6E98E627" w14:textId="67FF5B63"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116.4</w:t>
            </w:r>
          </w:p>
        </w:tc>
        <w:tc>
          <w:tcPr>
            <w:tcW w:w="1418" w:type="dxa"/>
            <w:tcBorders>
              <w:top w:val="nil"/>
              <w:bottom w:val="nil"/>
            </w:tcBorders>
            <w:vAlign w:val="center"/>
          </w:tcPr>
          <w:p w14:paraId="7AC25997" w14:textId="41DFF18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0.44</w:t>
            </w:r>
          </w:p>
        </w:tc>
        <w:tc>
          <w:tcPr>
            <w:tcW w:w="1417" w:type="dxa"/>
            <w:tcBorders>
              <w:top w:val="nil"/>
              <w:bottom w:val="nil"/>
            </w:tcBorders>
            <w:vAlign w:val="center"/>
          </w:tcPr>
          <w:p w14:paraId="0DEBEF60" w14:textId="520EAFB5"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100@0.1 C</w:t>
            </w:r>
          </w:p>
        </w:tc>
        <w:tc>
          <w:tcPr>
            <w:tcW w:w="1559" w:type="dxa"/>
            <w:tcBorders>
              <w:top w:val="nil"/>
              <w:bottom w:val="nil"/>
            </w:tcBorders>
            <w:vAlign w:val="center"/>
          </w:tcPr>
          <w:p w14:paraId="2F4AE229" w14:textId="187792AA"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0.153</w:t>
            </w:r>
          </w:p>
        </w:tc>
        <w:tc>
          <w:tcPr>
            <w:tcW w:w="1560" w:type="dxa"/>
            <w:tcBorders>
              <w:top w:val="nil"/>
              <w:bottom w:val="nil"/>
            </w:tcBorders>
            <w:vAlign w:val="center"/>
          </w:tcPr>
          <w:p w14:paraId="0CF40259" w14:textId="52BF3F4B"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tcBorders>
              <w:top w:val="nil"/>
              <w:bottom w:val="nil"/>
            </w:tcBorders>
            <w:vAlign w:val="center"/>
          </w:tcPr>
          <w:p w14:paraId="080AD9FE" w14:textId="3E9815C4"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{"citationID":"K8vgNqKK","properties":{"formattedCitation":"\\super 82\\nosupersub{}","plainCitation":"82","noteIndex":0},"citationItems":[{"id":"IXaoCdHi/3MIokkYv","uris":["http://zotero.org/users/local/As3BANDe/items/RP59KJ4M"],"itemData":{"id":1695,"type":"article-journal","abstract":"Sulfide-based all-solid-state lithium metal batteries are received tremendous focus due to the potential to deliver high energy density. Nevertheless, extremely unstable lithium/sulfide interface reaction and growth of unfa­ vorable Li dendrites upon cycling remain challenging aspects and not yet fully settled. In this work, a lithophilic and high interfacial-energy hybrid interphase rich in chloride and Li-Ga alloy was in-situ constructed at Li/ Li7P3S11 interface to tackle the vexing issue. Benefiting from the high interfacial energy and electronic insulation of LiCl in the hybrid interphase, lithium dendrites were effectively inhibited. In addition, the Li-Ga alloy-rich layer possesses excellent lithiophilicity and low diffusion energy, which can provide a uniform electric field distribution and induce rapid conduction of Li-ions. Consequently, the densification of Li/Li7P3S11 interface is achieved, which contributes to the decrease of interfacial impedance, uniform Li-ion flux and inhibition of continuous side reactions. Exalting, the Li symmetric cells with the Li-Ga alloy/LiCl (LGC) interlayer display high critical current density of 1.5 mA cm− 2 and steady cycle for 1000 h at 0.3 mA cm− 2 (0.3 mAh cm− 2) at room temperature. Furthermore, the modified all-solid-state lithium battery also demonstrates an ultra-stable cycling. This work provides a reasonable design approach for the selection of interface layers in the all-solid-state lithium metal batteries (ASSLMBs) based on theoretical calculations, with the objective of attaining a stable Li/sulfide solid electrolyte interface.","container-title":"Energy Storage Materials","DOI":"10.1016/j.ensm.2023.103009","ISSN":"24058297","journalAbbreviation":"Energy Storage Materials","language":"en","page":"103009","source":"DOI.org (Crossref)","title":"An optimizing hybrid interface architecture for unleashing the potential of sulfide-based all-solid-state battery","volume":"63","author":[{"family":"Shi","given":"Yaru"},{"family":"Hu","given":"Libin"},{"family":"Li","given":"Qiuhong"},{"family":"Sun","given":"Yi"},{"family":"Duan","given":"Qiming"},{"family":"Jiang","given":"Yong"},{"family":"Xu","given":"Yi"},{"family":"Yi","given":"Jin"},{"family":"Zhao","given":"Bing"},{"family":"Zhang","given":"Jiujun"}],"issued":{"date-parts":[["2023",11]]}}}],"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82</w:t>
            </w:r>
            <w:r w:rsidRPr="002657D1">
              <w:rPr>
                <w:rFonts w:ascii="Times New Roman" w:hAnsi="Times New Roman" w:cs="Times New Roman"/>
                <w:color w:val="000000" w:themeColor="text1"/>
                <w:sz w:val="24"/>
                <w:szCs w:val="24"/>
              </w:rPr>
              <w:fldChar w:fldCharType="end"/>
            </w:r>
          </w:p>
        </w:tc>
      </w:tr>
      <w:tr w:rsidR="002657D1" w:rsidRPr="002657D1" w14:paraId="3DF4198C" w14:textId="77777777" w:rsidTr="001A7EE6">
        <w:trPr>
          <w:jc w:val="center"/>
        </w:trPr>
        <w:tc>
          <w:tcPr>
            <w:tcW w:w="2694" w:type="dxa"/>
            <w:tcBorders>
              <w:top w:val="nil"/>
              <w:bottom w:val="nil"/>
            </w:tcBorders>
            <w:vAlign w:val="center"/>
          </w:tcPr>
          <w:p w14:paraId="3CB38D0A" w14:textId="0954FD5F"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LCO/Li</w:t>
            </w:r>
            <w:r w:rsidRPr="002657D1">
              <w:rPr>
                <w:rFonts w:ascii="Times New Roman" w:hAnsi="Times New Roman" w:cs="Times New Roman"/>
                <w:color w:val="000000" w:themeColor="text1"/>
                <w:sz w:val="24"/>
                <w:szCs w:val="24"/>
                <w:vertAlign w:val="subscript"/>
              </w:rPr>
              <w:t>6</w:t>
            </w:r>
            <w:r w:rsidRPr="002657D1">
              <w:rPr>
                <w:rFonts w:ascii="Times New Roman" w:hAnsi="Times New Roman" w:cs="Times New Roman"/>
                <w:color w:val="000000" w:themeColor="text1"/>
                <w:sz w:val="24"/>
                <w:szCs w:val="24"/>
              </w:rPr>
              <w:t>PS</w:t>
            </w:r>
            <w:r w:rsidRPr="002657D1">
              <w:rPr>
                <w:rFonts w:ascii="Times New Roman" w:hAnsi="Times New Roman" w:cs="Times New Roman"/>
                <w:color w:val="000000" w:themeColor="text1"/>
                <w:sz w:val="24"/>
                <w:szCs w:val="24"/>
                <w:vertAlign w:val="subscript"/>
              </w:rPr>
              <w:t>5</w:t>
            </w:r>
            <w:r w:rsidRPr="002657D1">
              <w:rPr>
                <w:rFonts w:ascii="Times New Roman" w:hAnsi="Times New Roman" w:cs="Times New Roman"/>
                <w:color w:val="000000" w:themeColor="text1"/>
                <w:sz w:val="24"/>
                <w:szCs w:val="24"/>
              </w:rPr>
              <w:t>Cl/</w:t>
            </w:r>
            <w:proofErr w:type="spellStart"/>
            <w:r w:rsidRPr="002657D1">
              <w:rPr>
                <w:rFonts w:ascii="Times New Roman" w:hAnsi="Times New Roman" w:cs="Times New Roman"/>
                <w:color w:val="000000" w:themeColor="text1"/>
                <w:sz w:val="24"/>
                <w:szCs w:val="24"/>
              </w:rPr>
              <w:t>DES@Li</w:t>
            </w:r>
            <w:proofErr w:type="spellEnd"/>
          </w:p>
        </w:tc>
        <w:tc>
          <w:tcPr>
            <w:tcW w:w="1842" w:type="dxa"/>
            <w:tcBorders>
              <w:top w:val="nil"/>
              <w:bottom w:val="nil"/>
            </w:tcBorders>
            <w:vAlign w:val="center"/>
          </w:tcPr>
          <w:p w14:paraId="4F3682A9" w14:textId="07380218"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5.73</w:t>
            </w:r>
          </w:p>
        </w:tc>
        <w:tc>
          <w:tcPr>
            <w:tcW w:w="1276" w:type="dxa"/>
            <w:tcBorders>
              <w:top w:val="nil"/>
              <w:bottom w:val="nil"/>
            </w:tcBorders>
            <w:vAlign w:val="center"/>
          </w:tcPr>
          <w:p w14:paraId="793F78EA" w14:textId="643DE165"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107.14</w:t>
            </w:r>
          </w:p>
        </w:tc>
        <w:tc>
          <w:tcPr>
            <w:tcW w:w="1418" w:type="dxa"/>
            <w:tcBorders>
              <w:top w:val="nil"/>
              <w:bottom w:val="nil"/>
            </w:tcBorders>
            <w:vAlign w:val="center"/>
          </w:tcPr>
          <w:p w14:paraId="130E9BF3" w14:textId="24411914"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0.61</w:t>
            </w:r>
          </w:p>
        </w:tc>
        <w:tc>
          <w:tcPr>
            <w:tcW w:w="1417" w:type="dxa"/>
            <w:tcBorders>
              <w:top w:val="nil"/>
              <w:bottom w:val="nil"/>
            </w:tcBorders>
            <w:vAlign w:val="center"/>
          </w:tcPr>
          <w:p w14:paraId="47AB8109" w14:textId="3E424A6A"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100@0.5 C</w:t>
            </w:r>
          </w:p>
        </w:tc>
        <w:tc>
          <w:tcPr>
            <w:tcW w:w="1559" w:type="dxa"/>
            <w:tcBorders>
              <w:top w:val="nil"/>
              <w:bottom w:val="nil"/>
            </w:tcBorders>
            <w:vAlign w:val="center"/>
          </w:tcPr>
          <w:p w14:paraId="198206E5" w14:textId="102DA95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0.243</w:t>
            </w:r>
          </w:p>
        </w:tc>
        <w:tc>
          <w:tcPr>
            <w:tcW w:w="1560" w:type="dxa"/>
            <w:tcBorders>
              <w:top w:val="nil"/>
              <w:bottom w:val="nil"/>
            </w:tcBorders>
            <w:vAlign w:val="center"/>
          </w:tcPr>
          <w:p w14:paraId="32818555" w14:textId="66D2FFC8"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tcBorders>
              <w:top w:val="nil"/>
              <w:bottom w:val="nil"/>
            </w:tcBorders>
            <w:vAlign w:val="center"/>
          </w:tcPr>
          <w:p w14:paraId="2DE4CF5E" w14:textId="4F5F1721"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{"citationID":"Rjiif3NT","properties":{"formattedCitation":"\\super 83\\nosupersub{}","plainCitation":"83","noteIndex":0},"citationItems":[{"id":"IXaoCdHi/BH8N7cYZ","uris":["http://zotero.org/users/local/As3BANDe/items/US7437LJ"],"itemData":{"id":4877,"type":"article-journal","abstract":"All-solid-state lithium metal batteries (ASSLMBs) have emerged as promising energy storage devices due to their high energy density and enhanced safety features. However, challenges related to Li/electrolyte interface sta­ bility and ion transport efficiency hinder the practical implementation of sulfide-based ASSLMBs. In this study, we tailored the Li anode interface from the conventional mosaic structure to dual-layer gradient structure through a simple conversion reaction with an organic fluoride. The dual-layer multifunctional interface consists of a highly flexible and wettable upper layer enriched with organic LiBASF3 compounds and an LiF-rich lower layer with high interfacial energy. Eventually, the glittering integration of targeted surface smoothness, excellent interfacial wettability, and high interfacial energy is verified by experimental and theoretical calculation results. The insulating property of the dual-layer interface can impede electronic tunneling and minimize current leakage into the sulfide solid-state electrolytes. Ultimately, the implementation of interface engineering has shown sig­ nificant improvements in enhancing the critical current density (CCD, 1.9 mA cm− 2) of symmetric batteries, as well as enhancing the long-term cycling stability and capacity retention rate of the FeS2 and LiCoO2 cathodes based full cells.","container-title":"Nano Energy","language":"en","source":"Zotero","title":"A tailored dual-layer electronic shielding interface enables highly stable and dendrite-free solid-state lithium metal batteries","author":[{"family":"Shi","given":"Yaru"}],"issued":{"date-parts":[["2024"]]}}}],"schema":"https://github.com/citation-style-language/schema/raw/master/csl-citation.json"}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83</w:t>
            </w:r>
            <w:r w:rsidRPr="002657D1">
              <w:rPr>
                <w:rFonts w:ascii="Times New Roman" w:hAnsi="Times New Roman" w:cs="Times New Roman"/>
                <w:color w:val="000000" w:themeColor="text1"/>
                <w:sz w:val="24"/>
                <w:szCs w:val="24"/>
              </w:rPr>
              <w:fldChar w:fldCharType="end"/>
            </w:r>
          </w:p>
        </w:tc>
      </w:tr>
      <w:tr w:rsidR="002657D1" w:rsidRPr="002657D1" w14:paraId="5E24A341" w14:textId="77777777" w:rsidTr="001A7EE6">
        <w:trPr>
          <w:jc w:val="center"/>
        </w:trPr>
        <w:tc>
          <w:tcPr>
            <w:tcW w:w="2694" w:type="dxa"/>
            <w:tcBorders>
              <w:top w:val="nil"/>
              <w:bottom w:val="nil"/>
            </w:tcBorders>
            <w:vAlign w:val="center"/>
          </w:tcPr>
          <w:p w14:paraId="5884E5E0" w14:textId="1CCD865E"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NCM811/Li</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TCA+Li</w:t>
            </w:r>
            <w:r w:rsidRPr="002657D1">
              <w:rPr>
                <w:rFonts w:ascii="Times New Roman" w:hAnsi="Times New Roman" w:cs="Times New Roman"/>
                <w:color w:val="000000" w:themeColor="text1"/>
                <w:sz w:val="24"/>
                <w:szCs w:val="24"/>
                <w:vertAlign w:val="subscript"/>
              </w:rPr>
              <w:t>6</w:t>
            </w:r>
            <w:r w:rsidRPr="002657D1">
              <w:rPr>
                <w:rFonts w:ascii="Times New Roman" w:hAnsi="Times New Roman" w:cs="Times New Roman"/>
                <w:color w:val="000000" w:themeColor="text1"/>
                <w:sz w:val="24"/>
                <w:szCs w:val="24"/>
              </w:rPr>
              <w:t>PS</w:t>
            </w:r>
            <w:r w:rsidRPr="002657D1">
              <w:rPr>
                <w:rFonts w:ascii="Times New Roman" w:hAnsi="Times New Roman" w:cs="Times New Roman"/>
                <w:color w:val="000000" w:themeColor="text1"/>
                <w:sz w:val="24"/>
                <w:szCs w:val="24"/>
                <w:vertAlign w:val="subscript"/>
              </w:rPr>
              <w:t>5</w:t>
            </w:r>
            <w:r w:rsidRPr="002657D1">
              <w:rPr>
                <w:rFonts w:ascii="Times New Roman" w:hAnsi="Times New Roman" w:cs="Times New Roman"/>
                <w:color w:val="000000" w:themeColor="text1"/>
                <w:sz w:val="24"/>
                <w:szCs w:val="24"/>
              </w:rPr>
              <w:t>Cl/Li</w:t>
            </w:r>
          </w:p>
        </w:tc>
        <w:tc>
          <w:tcPr>
            <w:tcW w:w="1842" w:type="dxa"/>
            <w:tcBorders>
              <w:top w:val="nil"/>
              <w:bottom w:val="nil"/>
            </w:tcBorders>
            <w:vAlign w:val="center"/>
          </w:tcPr>
          <w:p w14:paraId="7D73B04B" w14:textId="37224532"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15</w:t>
            </w:r>
          </w:p>
        </w:tc>
        <w:tc>
          <w:tcPr>
            <w:tcW w:w="1276" w:type="dxa"/>
            <w:tcBorders>
              <w:top w:val="nil"/>
              <w:bottom w:val="nil"/>
            </w:tcBorders>
            <w:vAlign w:val="center"/>
          </w:tcPr>
          <w:p w14:paraId="5A3F18FE" w14:textId="1D1F751E"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109.3</w:t>
            </w:r>
          </w:p>
        </w:tc>
        <w:tc>
          <w:tcPr>
            <w:tcW w:w="1418" w:type="dxa"/>
            <w:tcBorders>
              <w:top w:val="nil"/>
              <w:bottom w:val="nil"/>
            </w:tcBorders>
            <w:vAlign w:val="center"/>
          </w:tcPr>
          <w:p w14:paraId="41AEA9E8" w14:textId="61B4F3BF"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 xml:space="preserve">1.64 </w:t>
            </w:r>
          </w:p>
        </w:tc>
        <w:tc>
          <w:tcPr>
            <w:tcW w:w="1417" w:type="dxa"/>
            <w:tcBorders>
              <w:top w:val="nil"/>
              <w:bottom w:val="nil"/>
            </w:tcBorders>
            <w:vAlign w:val="center"/>
          </w:tcPr>
          <w:p w14:paraId="77E6FE4E" w14:textId="42C71AFE"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500@0.3 C</w:t>
            </w:r>
          </w:p>
        </w:tc>
        <w:tc>
          <w:tcPr>
            <w:tcW w:w="1559" w:type="dxa"/>
            <w:tcBorders>
              <w:top w:val="nil"/>
              <w:bottom w:val="nil"/>
            </w:tcBorders>
            <w:vAlign w:val="center"/>
          </w:tcPr>
          <w:p w14:paraId="73B6E334" w14:textId="6B6363AE"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0.106</w:t>
            </w:r>
          </w:p>
        </w:tc>
        <w:tc>
          <w:tcPr>
            <w:tcW w:w="1560" w:type="dxa"/>
            <w:tcBorders>
              <w:top w:val="nil"/>
              <w:bottom w:val="nil"/>
            </w:tcBorders>
            <w:vAlign w:val="center"/>
          </w:tcPr>
          <w:p w14:paraId="64B8F6C1" w14:textId="2C4F43C1"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tcBorders>
              <w:top w:val="nil"/>
              <w:bottom w:val="nil"/>
            </w:tcBorders>
            <w:vAlign w:val="center"/>
          </w:tcPr>
          <w:p w14:paraId="26DF4346" w14:textId="5BBFC13A"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{"citationID":"kz2ZO06i","properties":{"formattedCitation":"\\super 84\\nosupersub{}","plainCitation":"84","noteIndex":0},"citationItems":[{"id":"IXaoCdHi/1nnKP8VN","uris":["http://zotero.org/users/local/As3BANDe/items/C99FLAC6"],"itemData":{"id":4879,"type":"article-journal","abstract":"Sulfide-based all-solid-state battery (ASSB) with a lithium metal anode (LMA) is a promising candidate to surpass conventional Li-ion batteries owing to their inherent safety against fire hazards and potential to achieve a higher energy density. However, the narrow electrochemical stability window and chemical reactivity of the sulfide solid electrolyte towards the LMA results in interfacial degradation and poor electrochemical performance. In this direction, we introduce an organic additive approach, that is the mixing of prelithiated trithiocyanuric acid, Li3TCA, with Li6PS5Cl, to establish a stable interface while preserving high ionic conductivity. Including 2.5 wt % Li3TCA alleviates the decomposition of the electrolyte on the lithium metal interface, decreasing the Li2S content in the solid-electrolyte interface (SEI) thus forming a more stable interface. In Li j Li symmetric cells, this strategy enables a rise in the critical current density from 1.0 to 1.9 mA cmÀ 2 and stable cycling for over 750 hours at a high current density of 1.0 mA cmÀ 2. This approach also enables Li j NbO-NCM811 full cell to operate more than 500 cycles at 0.3 C.","language":"en","source":"Zotero","title":"I</w:instrText>
            </w:r>
            <w:r w:rsidR="00E725CF" w:rsidRPr="002657D1">
              <w:rPr>
                <w:rFonts w:ascii="Times New Roman" w:hAnsi="Times New Roman" w:cs="Times New Roman" w:hint="eastAsia"/>
                <w:color w:val="000000" w:themeColor="text1"/>
                <w:sz w:val="24"/>
                <w:szCs w:val="24"/>
              </w:rPr>
              <w:instrText>nterfacial Stabilization by Prelithiated Trithiocyanuric Acid as an Organic Additive in Sulfide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Based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Lithium Metal Batteries","author":[{"family":"Braks","given":"Leonie"},{"family":"Zhang","given":"Jinsong"},{"family":"Forster","given":"</w:instrText>
            </w:r>
            <w:r w:rsidR="00E725CF" w:rsidRPr="002657D1">
              <w:rPr>
                <w:rFonts w:ascii="Times New Roman" w:hAnsi="Times New Roman" w:cs="Times New Roman"/>
                <w:color w:val="000000" w:themeColor="text1"/>
                <w:sz w:val="24"/>
                <w:szCs w:val="24"/>
              </w:rPr>
              <w:instrText xml:space="preserve">Alexander"},{"family":"Fritz","given":"Patrick"},{"family":"Oh","given":"Jihoon"},{"family":"Kazzi","given":"Mario El"},{"family":"Choi","given":"Jang Wook"},{"family":"Coskun","given":"Ali"}],"issued":{"date-parts":[["2024"]]}}}],"schema":"https://github.com/citation-style-language/schema/raw/master/csl-citation.json"}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84</w:t>
            </w:r>
            <w:r w:rsidRPr="002657D1">
              <w:rPr>
                <w:rFonts w:ascii="Times New Roman" w:hAnsi="Times New Roman" w:cs="Times New Roman"/>
                <w:color w:val="000000" w:themeColor="text1"/>
                <w:sz w:val="24"/>
                <w:szCs w:val="24"/>
              </w:rPr>
              <w:fldChar w:fldCharType="end"/>
            </w:r>
          </w:p>
        </w:tc>
      </w:tr>
      <w:tr w:rsidR="002657D1" w:rsidRPr="002657D1" w14:paraId="7A39785E" w14:textId="77777777" w:rsidTr="001A7EE6">
        <w:trPr>
          <w:jc w:val="center"/>
        </w:trPr>
        <w:tc>
          <w:tcPr>
            <w:tcW w:w="2694" w:type="dxa"/>
            <w:tcBorders>
              <w:top w:val="nil"/>
              <w:bottom w:val="nil"/>
            </w:tcBorders>
            <w:vAlign w:val="center"/>
          </w:tcPr>
          <w:p w14:paraId="3E97D1C0" w14:textId="0FEBF107"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NCM622/Li</w:t>
            </w:r>
            <w:r w:rsidRPr="002657D1">
              <w:rPr>
                <w:rFonts w:ascii="Times New Roman" w:hAnsi="Times New Roman" w:cs="Times New Roman"/>
                <w:color w:val="000000" w:themeColor="text1"/>
                <w:sz w:val="24"/>
                <w:szCs w:val="24"/>
                <w:vertAlign w:val="subscript"/>
              </w:rPr>
              <w:t>6</w:t>
            </w:r>
            <w:r w:rsidRPr="002657D1">
              <w:rPr>
                <w:rFonts w:ascii="Times New Roman" w:hAnsi="Times New Roman" w:cs="Times New Roman"/>
                <w:color w:val="000000" w:themeColor="text1"/>
                <w:sz w:val="24"/>
                <w:szCs w:val="24"/>
              </w:rPr>
              <w:t>PS</w:t>
            </w:r>
            <w:r w:rsidRPr="002657D1">
              <w:rPr>
                <w:rFonts w:ascii="Times New Roman" w:hAnsi="Times New Roman" w:cs="Times New Roman"/>
                <w:color w:val="000000" w:themeColor="text1"/>
                <w:sz w:val="24"/>
                <w:szCs w:val="24"/>
                <w:vertAlign w:val="subscript"/>
              </w:rPr>
              <w:t>5</w:t>
            </w:r>
            <w:r w:rsidRPr="002657D1">
              <w:rPr>
                <w:rFonts w:ascii="Times New Roman" w:hAnsi="Times New Roman" w:cs="Times New Roman"/>
                <w:color w:val="000000" w:themeColor="text1"/>
                <w:sz w:val="24"/>
                <w:szCs w:val="24"/>
              </w:rPr>
              <w:t>Cl/</w:t>
            </w:r>
            <w:proofErr w:type="spellStart"/>
            <w:r w:rsidRPr="002657D1">
              <w:rPr>
                <w:rFonts w:ascii="Times New Roman" w:hAnsi="Times New Roman" w:cs="Times New Roman"/>
                <w:color w:val="000000" w:themeColor="text1"/>
                <w:sz w:val="24"/>
                <w:szCs w:val="24"/>
              </w:rPr>
              <w:t>CRI-alloy@Li</w:t>
            </w:r>
            <w:proofErr w:type="spellEnd"/>
          </w:p>
        </w:tc>
        <w:tc>
          <w:tcPr>
            <w:tcW w:w="1842" w:type="dxa"/>
            <w:tcBorders>
              <w:top w:val="nil"/>
              <w:bottom w:val="nil"/>
            </w:tcBorders>
            <w:vAlign w:val="center"/>
          </w:tcPr>
          <w:p w14:paraId="6156841F" w14:textId="3F5A13D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13.93</w:t>
            </w:r>
          </w:p>
        </w:tc>
        <w:tc>
          <w:tcPr>
            <w:tcW w:w="1276" w:type="dxa"/>
            <w:tcBorders>
              <w:top w:val="nil"/>
              <w:bottom w:val="nil"/>
            </w:tcBorders>
            <w:vAlign w:val="center"/>
          </w:tcPr>
          <w:p w14:paraId="4F177D24" w14:textId="3B51E4E4"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142.37</w:t>
            </w:r>
          </w:p>
        </w:tc>
        <w:tc>
          <w:tcPr>
            <w:tcW w:w="1418" w:type="dxa"/>
            <w:tcBorders>
              <w:top w:val="nil"/>
              <w:bottom w:val="nil"/>
            </w:tcBorders>
            <w:vAlign w:val="center"/>
          </w:tcPr>
          <w:p w14:paraId="5328ACC9" w14:textId="4EE8FA93"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1.98</w:t>
            </w:r>
          </w:p>
        </w:tc>
        <w:tc>
          <w:tcPr>
            <w:tcW w:w="1417" w:type="dxa"/>
            <w:tcBorders>
              <w:top w:val="nil"/>
              <w:bottom w:val="nil"/>
            </w:tcBorders>
            <w:vAlign w:val="center"/>
          </w:tcPr>
          <w:p w14:paraId="44822961" w14:textId="5EF3E925"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300@0.3 C</w:t>
            </w:r>
          </w:p>
        </w:tc>
        <w:tc>
          <w:tcPr>
            <w:tcW w:w="1559" w:type="dxa"/>
            <w:tcBorders>
              <w:top w:val="nil"/>
              <w:bottom w:val="nil"/>
            </w:tcBorders>
            <w:vAlign w:val="center"/>
          </w:tcPr>
          <w:p w14:paraId="507A51BE" w14:textId="4E440FA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0.058</w:t>
            </w:r>
          </w:p>
        </w:tc>
        <w:tc>
          <w:tcPr>
            <w:tcW w:w="1560" w:type="dxa"/>
            <w:tcBorders>
              <w:top w:val="nil"/>
              <w:bottom w:val="nil"/>
            </w:tcBorders>
            <w:vAlign w:val="center"/>
          </w:tcPr>
          <w:p w14:paraId="5A798BA3" w14:textId="4A373F3F"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tcBorders>
              <w:top w:val="nil"/>
              <w:bottom w:val="nil"/>
            </w:tcBorders>
            <w:vAlign w:val="center"/>
          </w:tcPr>
          <w:p w14:paraId="03EEC648" w14:textId="783F8D28"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{"citationID":"mDrOgSel","properties":{"formattedCitation":"\\super 85\\nosupersub{}","plainCitation":"85","noteIndex":0},"citationItems":[{"id":"IXaoCdHi/hgoUXXbE","uris":["http://zotero.org/users/local/As3BANDe/items/GZDN</w:instrText>
            </w:r>
            <w:r w:rsidR="00E725CF" w:rsidRPr="002657D1">
              <w:rPr>
                <w:rFonts w:ascii="Times New Roman" w:hAnsi="Times New Roman" w:cs="Times New Roman" w:hint="eastAsia"/>
                <w:color w:val="000000" w:themeColor="text1"/>
                <w:sz w:val="24"/>
                <w:szCs w:val="24"/>
              </w:rPr>
              <w:instrText>QWGW"],"itemData":{"id":3434,"type":"article-journal","abstract":"Abstract\n            Utilization of lithium (Li) metal anodes in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batteries employing sulfide solid electrolytes is hindered by diffusion</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related dendrite growth at high rates of charge. Engineering ex</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situ 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intermetallic interlayers derived from a facile solution</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based conversion</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alloy reaction is attractive for bypassing the Li0 self</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diffusion restriction. However, no correlation is established between the properties of conversion</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reaction</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induced (CRI) interlayers and the deposition behavior of Li0 in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lithium</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metal batteries (ASSLBs). Herein, using a control set of electrochemical characterization experiments with LixAgy as the interlayer in different battery chemistries, this work identifies that dendritic tolerance in ASSLBs is susceptible to the surface roughness and electronic conductivity of the CRI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alloy interlayer. This work thereby tailors the CRI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alloy interlayer from the typical mosaic structure to a hierarchical gradient structure by adjusting the pit corrosion kinetics from the (de)solvation mechanism to an adsorption model, yielding a smooth organic</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rich outer layer and a composition</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regulated inorganic</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rich inner layer composed mainly of lithiophilic LixAgy and electron</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insulating LiF. Ultimately, desirable roughness, conductivity, and diffusivity are integrated simultaneously into the tailored CRI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alloy interlayer, resulting in dendrite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free and dense Li deposition beneath the interlayer capable of improving battery cycling stability. This work provides a rational protocol for the CRI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alloy interlayer specialized for ASSLBs.","container-title":"Advanced Science","DOI":"10.1002/advs.202300985","ISSN":"2198-3844, 2198-3844","issue":"19","journalAbbreviation":"Advanced Science","language":"en","page":"2300985","source":"DOI.org (Crossref)","title":"Tailoring Conversion</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Reaction</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Induced Alloy Interlayer for Dendrite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Free Sulfide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Based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Lithium</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Metal Battery","volume":"10","author":[{"family":"Liang","given":"Yuhao"},{"family":"Shen","given":"Chen"},{"family":"Liu","given":"Hong"},{"family":"Wang","given":"Chao"},{"family":"Li","given":"Dabing"},{"family":"Zhao","given":"Xiaoxue"},{"family":"Fan","given":"Li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Zhen"}],"issued":{"da</w:instrText>
            </w:r>
            <w:r w:rsidR="00E725CF" w:rsidRPr="002657D1">
              <w:rPr>
                <w:rFonts w:ascii="Times New Roman" w:hAnsi="Times New Roman" w:cs="Times New Roman"/>
                <w:color w:val="000000" w:themeColor="text1"/>
                <w:sz w:val="24"/>
                <w:szCs w:val="24"/>
              </w:rPr>
              <w:instrText xml:space="preserve">te-parts":[["2023",7]]}}}],"schema":"https://github.com/citation-style-language/schema/raw/master/csl-citation.json"}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85</w:t>
            </w:r>
            <w:r w:rsidRPr="002657D1">
              <w:rPr>
                <w:rFonts w:ascii="Times New Roman" w:hAnsi="Times New Roman" w:cs="Times New Roman"/>
                <w:color w:val="000000" w:themeColor="text1"/>
                <w:sz w:val="24"/>
                <w:szCs w:val="24"/>
              </w:rPr>
              <w:fldChar w:fldCharType="end"/>
            </w:r>
          </w:p>
        </w:tc>
      </w:tr>
      <w:tr w:rsidR="002657D1" w:rsidRPr="002657D1" w14:paraId="3445D4A0" w14:textId="77777777" w:rsidTr="001A7EE6">
        <w:trPr>
          <w:jc w:val="center"/>
        </w:trPr>
        <w:tc>
          <w:tcPr>
            <w:tcW w:w="2694" w:type="dxa"/>
            <w:tcBorders>
              <w:top w:val="nil"/>
              <w:bottom w:val="nil"/>
            </w:tcBorders>
            <w:vAlign w:val="center"/>
          </w:tcPr>
          <w:p w14:paraId="09CBA18B" w14:textId="0F3ACC6E"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NCM622/Li</w:t>
            </w:r>
            <w:r w:rsidRPr="002657D1">
              <w:rPr>
                <w:rFonts w:ascii="Times New Roman" w:hAnsi="Times New Roman" w:cs="Times New Roman"/>
                <w:color w:val="000000" w:themeColor="text1"/>
                <w:sz w:val="24"/>
                <w:szCs w:val="24"/>
                <w:vertAlign w:val="subscript"/>
              </w:rPr>
              <w:t>6</w:t>
            </w:r>
            <w:r w:rsidRPr="002657D1">
              <w:rPr>
                <w:rFonts w:ascii="Times New Roman" w:hAnsi="Times New Roman" w:cs="Times New Roman"/>
                <w:color w:val="000000" w:themeColor="text1"/>
                <w:sz w:val="24"/>
                <w:szCs w:val="24"/>
              </w:rPr>
              <w:t>PS</w:t>
            </w:r>
            <w:r w:rsidRPr="002657D1">
              <w:rPr>
                <w:rFonts w:ascii="Times New Roman" w:hAnsi="Times New Roman" w:cs="Times New Roman"/>
                <w:color w:val="000000" w:themeColor="text1"/>
                <w:sz w:val="24"/>
                <w:szCs w:val="24"/>
                <w:vertAlign w:val="subscript"/>
              </w:rPr>
              <w:t>5</w:t>
            </w:r>
            <w:r w:rsidRPr="002657D1">
              <w:rPr>
                <w:rFonts w:ascii="Times New Roman" w:hAnsi="Times New Roman" w:cs="Times New Roman"/>
                <w:color w:val="000000" w:themeColor="text1"/>
                <w:sz w:val="24"/>
                <w:szCs w:val="24"/>
              </w:rPr>
              <w:t>Cl/</w:t>
            </w:r>
            <w:proofErr w:type="spellStart"/>
            <w:r w:rsidRPr="002657D1">
              <w:rPr>
                <w:rFonts w:ascii="Times New Roman" w:hAnsi="Times New Roman" w:cs="Times New Roman"/>
                <w:color w:val="000000" w:themeColor="text1"/>
                <w:sz w:val="24"/>
                <w:szCs w:val="24"/>
              </w:rPr>
              <w:t>MCl@Li</w:t>
            </w:r>
            <w:proofErr w:type="spellEnd"/>
          </w:p>
        </w:tc>
        <w:tc>
          <w:tcPr>
            <w:tcW w:w="1842" w:type="dxa"/>
            <w:tcBorders>
              <w:top w:val="nil"/>
              <w:bottom w:val="nil"/>
            </w:tcBorders>
            <w:vAlign w:val="center"/>
          </w:tcPr>
          <w:p w14:paraId="6400FA7B" w14:textId="2D323A54"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8.91</w:t>
            </w:r>
          </w:p>
        </w:tc>
        <w:tc>
          <w:tcPr>
            <w:tcW w:w="1276" w:type="dxa"/>
            <w:tcBorders>
              <w:top w:val="nil"/>
              <w:bottom w:val="nil"/>
            </w:tcBorders>
            <w:vAlign w:val="center"/>
          </w:tcPr>
          <w:p w14:paraId="1496283D" w14:textId="300A80E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111</w:t>
            </w:r>
          </w:p>
        </w:tc>
        <w:tc>
          <w:tcPr>
            <w:tcW w:w="1418" w:type="dxa"/>
            <w:tcBorders>
              <w:top w:val="nil"/>
              <w:bottom w:val="nil"/>
            </w:tcBorders>
            <w:vAlign w:val="center"/>
          </w:tcPr>
          <w:p w14:paraId="5F9260AF" w14:textId="5C4166CC"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0.99</w:t>
            </w:r>
          </w:p>
        </w:tc>
        <w:tc>
          <w:tcPr>
            <w:tcW w:w="1417" w:type="dxa"/>
            <w:tcBorders>
              <w:top w:val="nil"/>
              <w:bottom w:val="nil"/>
            </w:tcBorders>
            <w:vAlign w:val="center"/>
          </w:tcPr>
          <w:p w14:paraId="0975447A" w14:textId="241A3485"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100@0.1 C</w:t>
            </w:r>
          </w:p>
        </w:tc>
        <w:tc>
          <w:tcPr>
            <w:tcW w:w="1559" w:type="dxa"/>
            <w:tcBorders>
              <w:top w:val="nil"/>
              <w:bottom w:val="nil"/>
            </w:tcBorders>
            <w:vAlign w:val="center"/>
          </w:tcPr>
          <w:p w14:paraId="72D0AE4B" w14:textId="1C5D8F89"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0.063</w:t>
            </w:r>
          </w:p>
        </w:tc>
        <w:tc>
          <w:tcPr>
            <w:tcW w:w="1560" w:type="dxa"/>
            <w:tcBorders>
              <w:top w:val="nil"/>
              <w:bottom w:val="nil"/>
            </w:tcBorders>
            <w:vAlign w:val="center"/>
          </w:tcPr>
          <w:p w14:paraId="0D940014" w14:textId="7F9EC840"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tcBorders>
              <w:top w:val="nil"/>
              <w:bottom w:val="nil"/>
            </w:tcBorders>
            <w:vAlign w:val="center"/>
          </w:tcPr>
          <w:p w14:paraId="01D3C554" w14:textId="71CC7CFF"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{"citationID":"0GvQEOuN","properties":{"formattedCitation":"\\super 86\\nosupersub{}","plainCitation":"86","noteIndex":0},"citationItems":[{"id":"IXaoCdHi/ennJV6Nu","uris":["http://zotero.org/users/local/As3BANDe/items/G35L</w:instrText>
            </w:r>
            <w:r w:rsidR="00E725CF" w:rsidRPr="002657D1">
              <w:rPr>
                <w:rFonts w:ascii="Times New Roman" w:hAnsi="Times New Roman" w:cs="Times New Roman" w:hint="eastAsia"/>
                <w:color w:val="000000" w:themeColor="text1"/>
                <w:sz w:val="24"/>
                <w:szCs w:val="24"/>
              </w:rPr>
              <w:instrText>3CNE"],"itemData":{"id":4883,"type":"article-journal","abstract":"Abstract\n            \n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lithium (Li) metal batteries (ASSLMBs) employing sulfide solid electrolytes have attracted increasing attention owing to superior safet</w:instrText>
            </w:r>
            <w:r w:rsidR="00E725CF" w:rsidRPr="002657D1">
              <w:rPr>
                <w:rFonts w:ascii="Times New Roman" w:hAnsi="Times New Roman" w:cs="Times New Roman"/>
                <w:color w:val="000000" w:themeColor="text1"/>
                <w:sz w:val="24"/>
                <w:szCs w:val="24"/>
              </w:rPr>
              <w:instrText>y and high energy density. However, the instability of sulfide electrolytes against Li metal induces the formation of two types of incompetent interphases, solid electrolyte interphase (SEI) and mixed conducting interphase (MCI), which significantly block</w:instrText>
            </w:r>
            <w:r w:rsidR="00E725CF" w:rsidRPr="002657D1">
              <w:rPr>
                <w:rFonts w:ascii="Times New Roman" w:hAnsi="Times New Roman" w:cs="Times New Roman" w:hint="eastAsia"/>
                <w:color w:val="000000" w:themeColor="text1"/>
                <w:sz w:val="24"/>
                <w:szCs w:val="24"/>
              </w:rPr>
              <w:instrText>s rapid 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ion transport and induces uneven Li deposition and continuous interface degradation. In this contribution, a dynamically stable mixed conducting interphase (S</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MCI) is proposed by in situ stress self</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limiting reaction to achieve the compatibilit</w:instrText>
            </w:r>
            <w:r w:rsidR="00E725CF" w:rsidRPr="002657D1">
              <w:rPr>
                <w:rFonts w:ascii="Times New Roman" w:hAnsi="Times New Roman" w:cs="Times New Roman"/>
                <w:color w:val="000000" w:themeColor="text1"/>
                <w:sz w:val="24"/>
                <w:szCs w:val="24"/>
              </w:rPr>
              <w:instrText>y of Li metal with composite sulfide electrolytes (Li\n              6\n              PS\n              5\n              Cl (LPSCl) and Li\n              10\n              GeP\n              2\n              S\n              12\n              (LGPS)). The</w:instrText>
            </w:r>
            <w:r w:rsidR="00E725CF" w:rsidRPr="002657D1">
              <w:rPr>
                <w:rFonts w:ascii="Times New Roman" w:hAnsi="Times New Roman" w:cs="Times New Roman" w:hint="eastAsia"/>
                <w:color w:val="000000" w:themeColor="text1"/>
                <w:sz w:val="24"/>
                <w:szCs w:val="24"/>
              </w:rPr>
              <w:instrText xml:space="preserve"> rational design of composite electrolytes utilizes the expansion stress induced by the electrolyte decomposition to in turn constrain the further decomposition of LGPS. Consequently, the S</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MCI inherits the high dynamical stability of LPSCl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derived SEI an</w:instrText>
            </w:r>
            <w:r w:rsidR="00E725CF" w:rsidRPr="002657D1">
              <w:rPr>
                <w:rFonts w:ascii="Times New Roman" w:hAnsi="Times New Roman" w:cs="Times New Roman"/>
                <w:color w:val="000000" w:themeColor="text1"/>
                <w:sz w:val="24"/>
                <w:szCs w:val="24"/>
              </w:rPr>
              <w:instrText>d the lithiophilic affinity of Li–Ge alloy in LGPS</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derived MCI. The Li||Li symmetric cells with the protection of S</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MCI can operate stably for 1500 h at 0.5 mA cm\n              −2\n              and 0.5 mAh cm\n              −2\n              . The Li||N</w:instrText>
            </w:r>
            <w:r w:rsidR="00E725CF" w:rsidRPr="002657D1">
              <w:rPr>
                <w:rFonts w:ascii="Times New Roman" w:hAnsi="Times New Roman" w:cs="Times New Roman" w:hint="eastAsia"/>
                <w:color w:val="000000" w:themeColor="text1"/>
                <w:sz w:val="24"/>
                <w:szCs w:val="24"/>
              </w:rPr>
              <w:instrText>CM622 full cells present stable cycling for 100 cycles at 0.1 C with a high</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capacity retention of 93.7%. This work sheds fresh insight into constructing electrochemically stable interphase for high</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performance ASSLMBs.","container-title":"Advanced Materials","DOI":"10.1002/adma.202307768","ISSN":"0935-9648, 1521-4095","issue":"3","journalAbbreviation":"Advanced Materials","language":"en","page":"2307768","source":"DOI.org (Crossref)","title":"A Dynamically Stable Mixed Conducting Interphase for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Lithium Metal Batteries","volume":"36","author":[{"family":"Li","given":"Shuai"},{"family":"Yang","given":"Shi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Jie"},{"family":"Liu","given":"Gui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Xian"},{"family":"Hu","given":"Jiang</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Kui"},{"family":"Liao","given":"Yu</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Long"},{"family":"Wang","given":"Xi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Long"},{"family":"Wen","given":"Rui"},{"family":"Yuan","given":"Hong"},{"family":"Huang","given":"Jia</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Qi"},{"family":"Zhang","given":"Qiang"}],"issued":{"date-parts":[["2024",1]]}}}],"schema":"https://github.com/citation-style-language/schema/raw/mas</w:instrText>
            </w:r>
            <w:r w:rsidR="00E725CF" w:rsidRPr="002657D1">
              <w:rPr>
                <w:rFonts w:ascii="Times New Roman" w:hAnsi="Times New Roman" w:cs="Times New Roman"/>
                <w:color w:val="000000" w:themeColor="text1"/>
                <w:sz w:val="24"/>
                <w:szCs w:val="24"/>
              </w:rPr>
              <w:instrText xml:space="preserve">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86</w:t>
            </w:r>
            <w:r w:rsidRPr="002657D1">
              <w:rPr>
                <w:rFonts w:ascii="Times New Roman" w:hAnsi="Times New Roman" w:cs="Times New Roman"/>
                <w:color w:val="000000" w:themeColor="text1"/>
                <w:sz w:val="24"/>
                <w:szCs w:val="24"/>
              </w:rPr>
              <w:fldChar w:fldCharType="end"/>
            </w:r>
          </w:p>
        </w:tc>
      </w:tr>
      <w:tr w:rsidR="002657D1" w:rsidRPr="002657D1" w14:paraId="4C4E2F6D" w14:textId="77777777" w:rsidTr="001A7EE6">
        <w:trPr>
          <w:jc w:val="center"/>
        </w:trPr>
        <w:tc>
          <w:tcPr>
            <w:tcW w:w="2694" w:type="dxa"/>
            <w:tcBorders>
              <w:top w:val="nil"/>
              <w:bottom w:val="nil"/>
            </w:tcBorders>
            <w:vAlign w:val="center"/>
          </w:tcPr>
          <w:p w14:paraId="75FABEF0" w14:textId="43BE0861" w:rsidR="006F5648" w:rsidRPr="002657D1" w:rsidRDefault="006F5648" w:rsidP="006F5648">
            <w:pPr>
              <w:widowControl/>
              <w:spacing w:line="360" w:lineRule="auto"/>
              <w:jc w:val="center"/>
              <w:rPr>
                <w:rFonts w:ascii="Times New Roman" w:hAnsi="Times New Roman" w:cs="Times New Roman"/>
                <w:color w:val="000000" w:themeColor="text1"/>
                <w:sz w:val="24"/>
                <w:szCs w:val="24"/>
                <w:lang w:val="de-DE"/>
              </w:rPr>
            </w:pPr>
            <w:r w:rsidRPr="002657D1">
              <w:rPr>
                <w:rFonts w:ascii="Times New Roman" w:hAnsi="Times New Roman" w:cs="Times New Roman"/>
                <w:color w:val="000000" w:themeColor="text1"/>
                <w:sz w:val="24"/>
                <w:szCs w:val="24"/>
                <w:lang w:val="de-DE"/>
              </w:rPr>
              <w:t>NCM712/Li</w:t>
            </w:r>
            <w:r w:rsidRPr="002657D1">
              <w:rPr>
                <w:rFonts w:ascii="Times New Roman" w:hAnsi="Times New Roman" w:cs="Times New Roman"/>
                <w:color w:val="000000" w:themeColor="text1"/>
                <w:sz w:val="24"/>
                <w:szCs w:val="24"/>
                <w:vertAlign w:val="subscript"/>
                <w:lang w:val="de-DE"/>
              </w:rPr>
              <w:t>5.5</w:t>
            </w:r>
            <w:r w:rsidRPr="002657D1">
              <w:rPr>
                <w:rFonts w:ascii="Times New Roman" w:hAnsi="Times New Roman" w:cs="Times New Roman"/>
                <w:color w:val="000000" w:themeColor="text1"/>
                <w:sz w:val="24"/>
                <w:szCs w:val="24"/>
                <w:lang w:val="de-DE"/>
              </w:rPr>
              <w:t>PS</w:t>
            </w:r>
            <w:r w:rsidRPr="002657D1">
              <w:rPr>
                <w:rFonts w:ascii="Times New Roman" w:hAnsi="Times New Roman" w:cs="Times New Roman"/>
                <w:color w:val="000000" w:themeColor="text1"/>
                <w:sz w:val="24"/>
                <w:szCs w:val="24"/>
                <w:vertAlign w:val="subscript"/>
                <w:lang w:val="de-DE"/>
              </w:rPr>
              <w:t>4.5</w:t>
            </w:r>
            <w:r w:rsidRPr="002657D1">
              <w:rPr>
                <w:rFonts w:ascii="Times New Roman" w:hAnsi="Times New Roman" w:cs="Times New Roman"/>
                <w:color w:val="000000" w:themeColor="text1"/>
                <w:sz w:val="24"/>
                <w:szCs w:val="24"/>
                <w:lang w:val="de-DE"/>
              </w:rPr>
              <w:t>Cl</w:t>
            </w:r>
            <w:r w:rsidRPr="002657D1">
              <w:rPr>
                <w:rFonts w:ascii="Times New Roman" w:hAnsi="Times New Roman" w:cs="Times New Roman"/>
                <w:color w:val="000000" w:themeColor="text1"/>
                <w:sz w:val="24"/>
                <w:szCs w:val="24"/>
                <w:vertAlign w:val="subscript"/>
                <w:lang w:val="de-DE"/>
              </w:rPr>
              <w:t>1.5</w:t>
            </w:r>
            <w:r w:rsidRPr="002657D1">
              <w:rPr>
                <w:rFonts w:ascii="Times New Roman" w:hAnsi="Times New Roman" w:cs="Times New Roman"/>
                <w:color w:val="000000" w:themeColor="text1"/>
                <w:sz w:val="24"/>
                <w:szCs w:val="24"/>
                <w:lang w:val="de-DE"/>
              </w:rPr>
              <w:t>/SnF</w:t>
            </w:r>
            <w:r w:rsidRPr="002657D1">
              <w:rPr>
                <w:rFonts w:ascii="Times New Roman" w:hAnsi="Times New Roman" w:cs="Times New Roman"/>
                <w:color w:val="000000" w:themeColor="text1"/>
                <w:sz w:val="24"/>
                <w:szCs w:val="24"/>
                <w:vertAlign w:val="subscript"/>
                <w:lang w:val="de-DE"/>
              </w:rPr>
              <w:t>2</w:t>
            </w:r>
            <w:r w:rsidRPr="002657D1">
              <w:rPr>
                <w:rFonts w:ascii="Times New Roman" w:hAnsi="Times New Roman" w:cs="Times New Roman"/>
                <w:color w:val="000000" w:themeColor="text1"/>
                <w:sz w:val="24"/>
                <w:szCs w:val="24"/>
                <w:lang w:val="de-DE"/>
              </w:rPr>
              <w:t>-Li</w:t>
            </w:r>
          </w:p>
        </w:tc>
        <w:tc>
          <w:tcPr>
            <w:tcW w:w="1842" w:type="dxa"/>
            <w:tcBorders>
              <w:top w:val="nil"/>
              <w:bottom w:val="nil"/>
            </w:tcBorders>
            <w:vAlign w:val="center"/>
          </w:tcPr>
          <w:p w14:paraId="2F7BF29A" w14:textId="27657AFE"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1.78</w:t>
            </w:r>
          </w:p>
        </w:tc>
        <w:tc>
          <w:tcPr>
            <w:tcW w:w="1276" w:type="dxa"/>
            <w:tcBorders>
              <w:top w:val="nil"/>
              <w:bottom w:val="nil"/>
            </w:tcBorders>
            <w:vAlign w:val="center"/>
          </w:tcPr>
          <w:p w14:paraId="4116C9B3" w14:textId="518F6B08"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113.1</w:t>
            </w:r>
          </w:p>
        </w:tc>
        <w:tc>
          <w:tcPr>
            <w:tcW w:w="1418" w:type="dxa"/>
            <w:tcBorders>
              <w:top w:val="nil"/>
              <w:bottom w:val="nil"/>
            </w:tcBorders>
            <w:vAlign w:val="center"/>
          </w:tcPr>
          <w:p w14:paraId="2244A402" w14:textId="5DCB9762"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0.2</w:t>
            </w:r>
          </w:p>
        </w:tc>
        <w:tc>
          <w:tcPr>
            <w:tcW w:w="1417" w:type="dxa"/>
            <w:tcBorders>
              <w:top w:val="nil"/>
              <w:bottom w:val="nil"/>
            </w:tcBorders>
            <w:vAlign w:val="center"/>
          </w:tcPr>
          <w:p w14:paraId="152BEA63" w14:textId="4C583D9B"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500@0.5 C</w:t>
            </w:r>
          </w:p>
        </w:tc>
        <w:tc>
          <w:tcPr>
            <w:tcW w:w="1559" w:type="dxa"/>
            <w:tcBorders>
              <w:top w:val="nil"/>
              <w:bottom w:val="nil"/>
            </w:tcBorders>
            <w:vAlign w:val="center"/>
          </w:tcPr>
          <w:p w14:paraId="50CB8645" w14:textId="70403E0B"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0.054</w:t>
            </w:r>
          </w:p>
        </w:tc>
        <w:tc>
          <w:tcPr>
            <w:tcW w:w="1560" w:type="dxa"/>
            <w:tcBorders>
              <w:top w:val="nil"/>
              <w:bottom w:val="nil"/>
            </w:tcBorders>
            <w:vAlign w:val="center"/>
          </w:tcPr>
          <w:p w14:paraId="3E549B3F" w14:textId="4ABB795E"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tcBorders>
              <w:top w:val="nil"/>
              <w:bottom w:val="nil"/>
            </w:tcBorders>
            <w:vAlign w:val="center"/>
          </w:tcPr>
          <w:p w14:paraId="4ED49468" w14:textId="1A9FCC61"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{"citationID":"4qXkv2WG","properties":{"formattedCitation":"\\super 87\\nosupersub{}","plainCitation":"87","noteIndex":0},"citationItems":[{"id":"IXaoCdHi/BlVTmynE","uris":["http://zotero.org/users/local/As3BANDe/items/BSU2</w:instrText>
            </w:r>
            <w:r w:rsidR="00E725CF" w:rsidRPr="002657D1">
              <w:rPr>
                <w:rFonts w:ascii="Times New Roman" w:hAnsi="Times New Roman" w:cs="Times New Roman" w:hint="eastAsia"/>
                <w:color w:val="000000" w:themeColor="text1"/>
                <w:sz w:val="24"/>
                <w:szCs w:val="24"/>
              </w:rPr>
              <w:instrText>4LEN"],"itemData":{"id":4885,"type":"article-journal","abstract":"Abstract\n            \n              Compared to traditional lithium</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ion batteries with liquid electrolytes,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lithium batteries have attracted extensive attention due to the</w:instrText>
            </w:r>
            <w:r w:rsidR="00E725CF" w:rsidRPr="002657D1">
              <w:rPr>
                <w:rFonts w:ascii="Times New Roman" w:hAnsi="Times New Roman" w:cs="Times New Roman"/>
                <w:color w:val="000000" w:themeColor="text1"/>
                <w:sz w:val="24"/>
                <w:szCs w:val="24"/>
              </w:rPr>
              <w:instrText>ir heightened safety and energy density. Lithium argyrodite materials are promising solid electrolytes (SE) due to their high ionic conductivity, low grain boundary resistance, and favorable mechanical properties. However, the poor chemical/electrochemica</w:instrText>
            </w:r>
            <w:r w:rsidR="00E725CF" w:rsidRPr="002657D1">
              <w:rPr>
                <w:rFonts w:ascii="Times New Roman" w:hAnsi="Times New Roman" w:cs="Times New Roman" w:hint="eastAsia"/>
                <w:color w:val="000000" w:themeColor="text1"/>
                <w:sz w:val="24"/>
                <w:szCs w:val="24"/>
              </w:rPr>
              <w:instrText>l stability of lithium argyrodite electrolytes toward the bare lithium metal anode inhibits their applications in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lithium metal batteries (ASSLMBs). Here, 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SnF\n              2\n              composite anodeswas used to induce the format</w:instrText>
            </w:r>
            <w:r w:rsidR="00E725CF" w:rsidRPr="002657D1">
              <w:rPr>
                <w:rFonts w:ascii="Times New Roman" w:hAnsi="Times New Roman" w:cs="Times New Roman"/>
                <w:color w:val="000000" w:themeColor="text1"/>
                <w:sz w:val="24"/>
                <w:szCs w:val="24"/>
              </w:rPr>
              <w:instrText>ion of solid electrolyte interphase (SEI) composed of LiCl, LiF, and Li\n              22\n              Sn\n              5\n              at the Li/SE interface.  The high interface energy barriers for LiF and LiCl induces the uniform deposition of lith</w:instrText>
            </w:r>
            <w:r w:rsidR="00E725CF" w:rsidRPr="002657D1">
              <w:rPr>
                <w:rFonts w:ascii="Times New Roman" w:hAnsi="Times New Roman" w:cs="Times New Roman" w:hint="eastAsia"/>
                <w:color w:val="000000" w:themeColor="text1"/>
                <w:sz w:val="24"/>
                <w:szCs w:val="24"/>
              </w:rPr>
              <w:instrText>ium ions, thus hindering the growth of lithium dendrites. Meanwhile, the fast 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ion diffusion coefficient of the Li\n              22\n              Sn\n              5\n              alloy accelerates 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ion migration across the interface section. The s</w:instrText>
            </w:r>
            <w:r w:rsidR="00E725CF" w:rsidRPr="002657D1">
              <w:rPr>
                <w:rFonts w:ascii="Times New Roman" w:hAnsi="Times New Roman" w:cs="Times New Roman"/>
                <w:color w:val="000000" w:themeColor="text1"/>
                <w:sz w:val="24"/>
                <w:szCs w:val="24"/>
              </w:rPr>
              <w:instrText>ymmetrical cell exhibits stable cycling performance over long durations over 300 h at 0.5 mA cm\n              −2\n              . Moreover, the LiNbO\n              3\n              @NCM712/Li\n              5.5\n              PS\n              4.5\n              Cl\n              1.5\n              /Li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10%SnF\n              2\n              battery delivers a high initial discharge capacity of 170.9 mAh g\n              −1\n              at 0.1C and retains 72.9% of its original capacity after 500 cycle</w:instrText>
            </w:r>
            <w:r w:rsidR="00E725CF" w:rsidRPr="002657D1">
              <w:rPr>
                <w:rFonts w:ascii="Times New Roman" w:hAnsi="Times New Roman" w:cs="Times New Roman" w:hint="eastAsia"/>
                <w:color w:val="000000" w:themeColor="text1"/>
                <w:sz w:val="24"/>
                <w:szCs w:val="24"/>
              </w:rPr>
              <w:instrText>s at 0.5C. The facial approach for 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 xml:space="preserve">SnF\n              2\n              composite anode enables the production of ASSLMBs with superior electrochemical performance.","container-title":"Advanced Functional Materials","DOI":"10.1002/adfm.202314306","ISSN":"1616-301X, 1616-3028","issue":"18","journalAbbreviation":"Adv Funct Materials","language":"en","page":"2314306","source":"DOI.org (Crossref)","title":"SnF&lt;sub&gt;2&lt;/sub&gt; </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Induced Multifunctional Interface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 xml:space="preserve">Stabilized Li&lt;sub&gt;5.5&lt;/sub&gt; PS&lt;sub&gt;4.5&lt;/sub&gt; Cl&lt;sub&gt;1.5&lt;/sub&gt; </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Based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Lithium Metal Batteries","volume":"34","author":[{"family":"Wei","given":"Chaochao"},{"family":"Liu","given":"Chen"},{"family":"Xiao","given":"Yujie"},{"family":"Wu","given":"Zhongkai"},{"family":"Luo","given":"Qiyue"},{"</w:instrText>
            </w:r>
            <w:r w:rsidR="00E725CF" w:rsidRPr="002657D1">
              <w:rPr>
                <w:rFonts w:ascii="Times New Roman" w:hAnsi="Times New Roman" w:cs="Times New Roman"/>
                <w:color w:val="000000" w:themeColor="text1"/>
                <w:sz w:val="24"/>
                <w:szCs w:val="24"/>
              </w:rPr>
              <w:instrText xml:space="preserve">family":"Jiang","given":"Ziling"},{"family":"Wang","given":"Zhenyu"},{"family":"Zhang","given":"Long"},{"family":"Cheng","given":"Shijie"},{"family":"Yu","given":"Chuang"}],"issued":{"date-parts":[["2024",5]]}}}],"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87</w:t>
            </w:r>
            <w:r w:rsidRPr="002657D1">
              <w:rPr>
                <w:rFonts w:ascii="Times New Roman" w:hAnsi="Times New Roman" w:cs="Times New Roman"/>
                <w:color w:val="000000" w:themeColor="text1"/>
                <w:sz w:val="24"/>
                <w:szCs w:val="24"/>
              </w:rPr>
              <w:fldChar w:fldCharType="end"/>
            </w:r>
          </w:p>
        </w:tc>
      </w:tr>
      <w:tr w:rsidR="002657D1" w:rsidRPr="002657D1" w14:paraId="53E351F5" w14:textId="77777777" w:rsidTr="001A7EE6">
        <w:trPr>
          <w:jc w:val="center"/>
        </w:trPr>
        <w:tc>
          <w:tcPr>
            <w:tcW w:w="2694" w:type="dxa"/>
            <w:tcBorders>
              <w:top w:val="nil"/>
              <w:bottom w:val="nil"/>
            </w:tcBorders>
            <w:vAlign w:val="center"/>
          </w:tcPr>
          <w:p w14:paraId="2DB911F6" w14:textId="70C39547"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NCM811/Li</w:t>
            </w:r>
            <w:r w:rsidRPr="002657D1">
              <w:rPr>
                <w:rFonts w:ascii="Times New Roman" w:hAnsi="Times New Roman" w:cs="Times New Roman"/>
                <w:color w:val="000000" w:themeColor="text1"/>
                <w:sz w:val="24"/>
                <w:szCs w:val="24"/>
                <w:vertAlign w:val="subscript"/>
              </w:rPr>
              <w:t>6</w:t>
            </w:r>
            <w:r w:rsidRPr="002657D1">
              <w:rPr>
                <w:rFonts w:ascii="Times New Roman" w:hAnsi="Times New Roman" w:cs="Times New Roman"/>
                <w:color w:val="000000" w:themeColor="text1"/>
                <w:sz w:val="24"/>
                <w:szCs w:val="24"/>
              </w:rPr>
              <w:t>PS</w:t>
            </w:r>
            <w:r w:rsidRPr="002657D1">
              <w:rPr>
                <w:rFonts w:ascii="Times New Roman" w:hAnsi="Times New Roman" w:cs="Times New Roman"/>
                <w:color w:val="000000" w:themeColor="text1"/>
                <w:sz w:val="24"/>
                <w:szCs w:val="24"/>
                <w:vertAlign w:val="subscript"/>
              </w:rPr>
              <w:t>5</w:t>
            </w:r>
            <w:r w:rsidRPr="002657D1">
              <w:rPr>
                <w:rFonts w:ascii="Times New Roman" w:hAnsi="Times New Roman" w:cs="Times New Roman"/>
                <w:color w:val="000000" w:themeColor="text1"/>
                <w:sz w:val="24"/>
                <w:szCs w:val="24"/>
              </w:rPr>
              <w:t>Cl/Li</w:t>
            </w:r>
            <w:r w:rsidRPr="002657D1">
              <w:rPr>
                <w:rFonts w:ascii="Times New Roman" w:hAnsi="Times New Roman" w:cs="Times New Roman"/>
                <w:color w:val="000000" w:themeColor="text1"/>
                <w:sz w:val="24"/>
                <w:szCs w:val="24"/>
                <w:vertAlign w:val="subscript"/>
              </w:rPr>
              <w:t>7</w:t>
            </w:r>
            <w:r w:rsidRPr="002657D1">
              <w:rPr>
                <w:rFonts w:ascii="Times New Roman" w:hAnsi="Times New Roman" w:cs="Times New Roman"/>
                <w:color w:val="000000" w:themeColor="text1"/>
                <w:sz w:val="24"/>
                <w:szCs w:val="24"/>
              </w:rPr>
              <w:t>N</w:t>
            </w:r>
            <w:r w:rsidRPr="002657D1">
              <w:rPr>
                <w:rFonts w:ascii="Times New Roman" w:hAnsi="Times New Roman" w:cs="Times New Roman"/>
                <w:color w:val="000000" w:themeColor="text1"/>
                <w:sz w:val="24"/>
                <w:szCs w:val="24"/>
                <w:vertAlign w:val="subscript"/>
              </w:rPr>
              <w:t>2</w:t>
            </w:r>
            <w:r w:rsidRPr="002657D1">
              <w:rPr>
                <w:rFonts w:ascii="Times New Roman" w:hAnsi="Times New Roman" w:cs="Times New Roman"/>
                <w:color w:val="000000" w:themeColor="text1"/>
                <w:sz w:val="24"/>
                <w:szCs w:val="24"/>
              </w:rPr>
              <w:t>I–Mg/Li</w:t>
            </w:r>
          </w:p>
        </w:tc>
        <w:tc>
          <w:tcPr>
            <w:tcW w:w="1842" w:type="dxa"/>
            <w:tcBorders>
              <w:top w:val="nil"/>
              <w:bottom w:val="nil"/>
            </w:tcBorders>
            <w:vAlign w:val="center"/>
          </w:tcPr>
          <w:p w14:paraId="2FF2DD17" w14:textId="13BAF8CF"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11.5</w:t>
            </w:r>
          </w:p>
        </w:tc>
        <w:tc>
          <w:tcPr>
            <w:tcW w:w="1276" w:type="dxa"/>
            <w:tcBorders>
              <w:top w:val="nil"/>
              <w:bottom w:val="nil"/>
            </w:tcBorders>
            <w:vAlign w:val="center"/>
          </w:tcPr>
          <w:p w14:paraId="13188337" w14:textId="4D5F5A3C"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191.6 </w:t>
            </w:r>
          </w:p>
        </w:tc>
        <w:tc>
          <w:tcPr>
            <w:tcW w:w="1418" w:type="dxa"/>
            <w:tcBorders>
              <w:top w:val="nil"/>
              <w:bottom w:val="nil"/>
            </w:tcBorders>
            <w:vAlign w:val="center"/>
          </w:tcPr>
          <w:p w14:paraId="2E6E8FE0" w14:textId="37B73A12"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2.2</w:t>
            </w:r>
          </w:p>
        </w:tc>
        <w:tc>
          <w:tcPr>
            <w:tcW w:w="1417" w:type="dxa"/>
            <w:tcBorders>
              <w:top w:val="nil"/>
              <w:bottom w:val="nil"/>
            </w:tcBorders>
            <w:vAlign w:val="center"/>
          </w:tcPr>
          <w:p w14:paraId="10EBEB25" w14:textId="6B992AEC"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350@0.5 C</w:t>
            </w:r>
          </w:p>
        </w:tc>
        <w:tc>
          <w:tcPr>
            <w:tcW w:w="1559" w:type="dxa"/>
            <w:tcBorders>
              <w:top w:val="nil"/>
              <w:bottom w:val="nil"/>
            </w:tcBorders>
            <w:vAlign w:val="center"/>
          </w:tcPr>
          <w:p w14:paraId="45A89ED1" w14:textId="6E10948C"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0.050</w:t>
            </w:r>
          </w:p>
        </w:tc>
        <w:tc>
          <w:tcPr>
            <w:tcW w:w="1560" w:type="dxa"/>
            <w:tcBorders>
              <w:top w:val="nil"/>
              <w:bottom w:val="nil"/>
            </w:tcBorders>
            <w:vAlign w:val="center"/>
          </w:tcPr>
          <w:p w14:paraId="6292555F" w14:textId="2AEAE8A6"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tcBorders>
              <w:top w:val="nil"/>
              <w:bottom w:val="nil"/>
            </w:tcBorders>
            <w:vAlign w:val="center"/>
          </w:tcPr>
          <w:p w14:paraId="22E204EA" w14:textId="464A0340"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{"citationID":"NOB2JLGR","properties":{"formattedCitation":"\\super 88\\nosupersub{}","plainCitation":"88","noteIndex":0},"citationItems":[{"id":"IXaoCdHi/Tee08JpX","uris":["http://zotero.org/users/local/As3BANDe/items/7GTPWDQX"],"itemData":{"id":1701,"type":"article-journal","container-title":"Nature Energy","DOI":"10.1038/s41560-023-01426-1","ISSN":"2058-7546","issue":"3","journalAbbreviation":"Nat Energy","language":"en","page":"251-262","source":"DOI.org (Crossref)","title":"Lithium anode interlayer design for all-solid-state lithium-metal batteries","volume":"9","author":[{"family":"Wang","given":"Zeyi"},{"family":"Xia","given":"Jiale"},{"family":"Ji","given":"Xiao"},{"family":"Liu","given":"Yijie"},{"family":"Zhang","given":"Jiaxun"},{"family":"He","given":"Xinzi"},{"family":"Zhang","given":"Weiran"},{"family":"Wan","given":"Hongli"},{"family":"Wang","given":"Chunsheng"}],"issued":{"date-parts":[["2024",1,8]]}}}],"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88</w:t>
            </w:r>
            <w:r w:rsidRPr="002657D1">
              <w:rPr>
                <w:rFonts w:ascii="Times New Roman" w:hAnsi="Times New Roman" w:cs="Times New Roman"/>
                <w:color w:val="000000" w:themeColor="text1"/>
                <w:sz w:val="24"/>
                <w:szCs w:val="24"/>
              </w:rPr>
              <w:fldChar w:fldCharType="end"/>
            </w:r>
          </w:p>
        </w:tc>
      </w:tr>
      <w:tr w:rsidR="002657D1" w:rsidRPr="002657D1" w14:paraId="24D3BD82" w14:textId="77777777" w:rsidTr="001A7EE6">
        <w:trPr>
          <w:jc w:val="center"/>
        </w:trPr>
        <w:tc>
          <w:tcPr>
            <w:tcW w:w="2694" w:type="dxa"/>
            <w:tcBorders>
              <w:top w:val="nil"/>
              <w:bottom w:val="nil"/>
            </w:tcBorders>
            <w:vAlign w:val="center"/>
          </w:tcPr>
          <w:p w14:paraId="52CC12BF" w14:textId="7887BE03"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LCO/Li</w:t>
            </w:r>
            <w:r w:rsidRPr="002657D1">
              <w:rPr>
                <w:rFonts w:ascii="Times New Roman" w:hAnsi="Times New Roman" w:cs="Times New Roman"/>
                <w:color w:val="000000" w:themeColor="text1"/>
                <w:sz w:val="24"/>
                <w:szCs w:val="24"/>
                <w:vertAlign w:val="subscript"/>
              </w:rPr>
              <w:t>6.3</w:t>
            </w:r>
            <w:r w:rsidRPr="002657D1">
              <w:rPr>
                <w:rFonts w:ascii="Times New Roman" w:hAnsi="Times New Roman" w:cs="Times New Roman"/>
                <w:color w:val="000000" w:themeColor="text1"/>
                <w:sz w:val="24"/>
                <w:szCs w:val="24"/>
              </w:rPr>
              <w:t>P</w:t>
            </w:r>
            <w:r w:rsidRPr="002657D1">
              <w:rPr>
                <w:rFonts w:ascii="Times New Roman" w:hAnsi="Times New Roman" w:cs="Times New Roman"/>
                <w:color w:val="000000" w:themeColor="text1"/>
                <w:sz w:val="24"/>
                <w:szCs w:val="24"/>
                <w:vertAlign w:val="subscript"/>
              </w:rPr>
              <w:t>0.9</w:t>
            </w:r>
            <w:r w:rsidRPr="002657D1">
              <w:rPr>
                <w:rFonts w:ascii="Times New Roman" w:hAnsi="Times New Roman" w:cs="Times New Roman"/>
                <w:color w:val="000000" w:themeColor="text1"/>
                <w:sz w:val="24"/>
                <w:szCs w:val="24"/>
              </w:rPr>
              <w:t>Mg</w:t>
            </w:r>
            <w:r w:rsidRPr="002657D1">
              <w:rPr>
                <w:rFonts w:ascii="Times New Roman" w:hAnsi="Times New Roman" w:cs="Times New Roman"/>
                <w:color w:val="000000" w:themeColor="text1"/>
                <w:sz w:val="24"/>
                <w:szCs w:val="24"/>
                <w:vertAlign w:val="subscript"/>
              </w:rPr>
              <w:t>0.1</w:t>
            </w:r>
            <w:r w:rsidRPr="002657D1">
              <w:rPr>
                <w:rFonts w:ascii="Times New Roman" w:hAnsi="Times New Roman" w:cs="Times New Roman"/>
                <w:color w:val="000000" w:themeColor="text1"/>
                <w:sz w:val="24"/>
                <w:szCs w:val="24"/>
              </w:rPr>
              <w:t>S</w:t>
            </w:r>
            <w:r w:rsidRPr="002657D1">
              <w:rPr>
                <w:rFonts w:ascii="Times New Roman" w:hAnsi="Times New Roman" w:cs="Times New Roman"/>
                <w:color w:val="000000" w:themeColor="text1"/>
                <w:sz w:val="24"/>
                <w:szCs w:val="24"/>
                <w:vertAlign w:val="subscript"/>
              </w:rPr>
              <w:t>5</w:t>
            </w:r>
            <w:r w:rsidRPr="002657D1">
              <w:rPr>
                <w:rFonts w:ascii="Times New Roman" w:hAnsi="Times New Roman" w:cs="Times New Roman"/>
                <w:color w:val="000000" w:themeColor="text1"/>
                <w:sz w:val="24"/>
                <w:szCs w:val="24"/>
              </w:rPr>
              <w:t>Cl</w:t>
            </w:r>
            <w:r w:rsidRPr="002657D1">
              <w:rPr>
                <w:rFonts w:ascii="Times New Roman" w:hAnsi="Times New Roman" w:cs="Times New Roman"/>
                <w:color w:val="000000" w:themeColor="text1"/>
                <w:sz w:val="24"/>
                <w:szCs w:val="24"/>
                <w:vertAlign w:val="subscript"/>
              </w:rPr>
              <w:t>0.8</w:t>
            </w:r>
            <w:r w:rsidRPr="002657D1">
              <w:rPr>
                <w:rFonts w:ascii="Times New Roman" w:hAnsi="Times New Roman" w:cs="Times New Roman"/>
                <w:color w:val="000000" w:themeColor="text1"/>
                <w:sz w:val="24"/>
                <w:szCs w:val="24"/>
              </w:rPr>
              <w:t>F</w:t>
            </w:r>
            <w:r w:rsidRPr="002657D1">
              <w:rPr>
                <w:rFonts w:ascii="Times New Roman" w:hAnsi="Times New Roman" w:cs="Times New Roman"/>
                <w:color w:val="000000" w:themeColor="text1"/>
                <w:sz w:val="24"/>
                <w:szCs w:val="24"/>
                <w:vertAlign w:val="subscript"/>
              </w:rPr>
              <w:t>0.2</w:t>
            </w:r>
            <w:r w:rsidRPr="002657D1">
              <w:rPr>
                <w:rFonts w:ascii="Times New Roman" w:hAnsi="Times New Roman" w:cs="Times New Roman"/>
                <w:color w:val="000000" w:themeColor="text1"/>
                <w:sz w:val="24"/>
                <w:szCs w:val="24"/>
              </w:rPr>
              <w:t>/Li</w:t>
            </w:r>
          </w:p>
        </w:tc>
        <w:tc>
          <w:tcPr>
            <w:tcW w:w="1842" w:type="dxa"/>
            <w:tcBorders>
              <w:top w:val="nil"/>
              <w:bottom w:val="nil"/>
            </w:tcBorders>
            <w:vAlign w:val="center"/>
          </w:tcPr>
          <w:p w14:paraId="79F8150E" w14:textId="1220E6E5"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w:t>
            </w:r>
          </w:p>
        </w:tc>
        <w:tc>
          <w:tcPr>
            <w:tcW w:w="1276" w:type="dxa"/>
            <w:tcBorders>
              <w:top w:val="nil"/>
              <w:bottom w:val="nil"/>
            </w:tcBorders>
            <w:vAlign w:val="center"/>
          </w:tcPr>
          <w:p w14:paraId="3D4CBAF7" w14:textId="52EFD4B0"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113</w:t>
            </w:r>
          </w:p>
        </w:tc>
        <w:tc>
          <w:tcPr>
            <w:tcW w:w="1418" w:type="dxa"/>
            <w:tcBorders>
              <w:top w:val="nil"/>
              <w:bottom w:val="nil"/>
            </w:tcBorders>
            <w:vAlign w:val="center"/>
          </w:tcPr>
          <w:p w14:paraId="43AD5964" w14:textId="7EB19DF1"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0.23</w:t>
            </w:r>
          </w:p>
        </w:tc>
        <w:tc>
          <w:tcPr>
            <w:tcW w:w="1417" w:type="dxa"/>
            <w:tcBorders>
              <w:top w:val="nil"/>
              <w:bottom w:val="nil"/>
            </w:tcBorders>
            <w:vAlign w:val="center"/>
          </w:tcPr>
          <w:p w14:paraId="18710014" w14:textId="0D1F9F98"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100@0.1 C</w:t>
            </w:r>
          </w:p>
        </w:tc>
        <w:tc>
          <w:tcPr>
            <w:tcW w:w="1559" w:type="dxa"/>
            <w:tcBorders>
              <w:top w:val="nil"/>
              <w:bottom w:val="nil"/>
            </w:tcBorders>
            <w:vAlign w:val="center"/>
          </w:tcPr>
          <w:p w14:paraId="421CABB3" w14:textId="113A50E1"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0.078</w:t>
            </w:r>
          </w:p>
        </w:tc>
        <w:tc>
          <w:tcPr>
            <w:tcW w:w="1560" w:type="dxa"/>
            <w:tcBorders>
              <w:top w:val="nil"/>
              <w:bottom w:val="nil"/>
            </w:tcBorders>
            <w:vAlign w:val="center"/>
          </w:tcPr>
          <w:p w14:paraId="6C4B2BFD" w14:textId="70E1907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tcBorders>
              <w:top w:val="nil"/>
              <w:bottom w:val="nil"/>
            </w:tcBorders>
            <w:vAlign w:val="center"/>
          </w:tcPr>
          <w:p w14:paraId="1AE380DF" w14:textId="02C41C7A"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{"citationID":"j1UplVvo","properties":{"formattedCitation":"\\super 89\\nosupersub{}","plainCitation":"89","noteIndex":0},"citationItems":[{"id":"IXaoCdHi/vCD04rSe","uris":["http://zotero.org/users/local/As3BANDe/items/THYRE57E"],"itemData":{"id":4889,"type":"article-journal","abstract":"Sulfide electrolytes with high ionic conductivity hold great promise for all-solid-state lithium batteries. However, the parasitic redox reactions between sulfide electrolyte and Li metal result in interfacial instability and rapid decline of the battery performance. Herein, a redox-resistible Li6PS5Cl (LPSC) electrolyte is created by regulating the electron distribution in LPSC with Mg and F incorporation. The introduction of Mg triggers the electron agglomeration around S atom, inhibiting the electron acceptance from Li, and F generates the self-limiting interface, which hinders the redox reactions between LPSC and Li metal. This redox-resistible Li6PS5Cl-MgF2 electrolyte therefore presents a high critical current density (2.3 times that of pristine electrolyte). The LiCoO2/Li6PS5Cl-MgF2/Li cell shows an outstanding cycling stability (93.3 % @100 cycles at 0.2 C). This study highlights the electronic structure modulation to address redox </w:instrText>
            </w:r>
            <w:r w:rsidR="00E725CF" w:rsidRPr="002657D1">
              <w:rPr>
                <w:rFonts w:ascii="Times New Roman" w:hAnsi="Times New Roman" w:cs="Times New Roman" w:hint="eastAsia"/>
                <w:color w:val="000000" w:themeColor="text1"/>
                <w:sz w:val="24"/>
                <w:szCs w:val="24"/>
              </w:rPr>
              <w:instrText>issues on sulfide-based lithium batteries.","language":"en","source":"Zotero","title":"Electron Redistribution Enables Redox</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Resistible Li6PS5Cl towards High</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Performance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Lithium Batteries","author":[{"family":"Liu","given":"Chong"},{"famil</w:instrText>
            </w:r>
            <w:r w:rsidR="00E725CF" w:rsidRPr="002657D1">
              <w:rPr>
                <w:rFonts w:ascii="Times New Roman" w:hAnsi="Times New Roman" w:cs="Times New Roman"/>
                <w:color w:val="000000" w:themeColor="text1"/>
                <w:sz w:val="24"/>
                <w:szCs w:val="24"/>
              </w:rPr>
              <w:instrText xml:space="preserve">y":"Chen","given":"Butian"},{"family":"Zhang","given":"Tianran"},{"family":"Zhang","given":"Jicheng"},{"family":"Wang","given":"Ruoyu"},{"family":"Zheng","given":"Jian"},{"family":"Mao","given":"Qianjiang"},{"family":"Liu","given":"Xiangfeng"}],"issued":{"date-parts":[["2023"]]}}}],"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89</w:t>
            </w:r>
            <w:r w:rsidRPr="002657D1">
              <w:rPr>
                <w:rFonts w:ascii="Times New Roman" w:hAnsi="Times New Roman" w:cs="Times New Roman"/>
                <w:color w:val="000000" w:themeColor="text1"/>
                <w:sz w:val="24"/>
                <w:szCs w:val="24"/>
              </w:rPr>
              <w:fldChar w:fldCharType="end"/>
            </w:r>
          </w:p>
        </w:tc>
      </w:tr>
      <w:tr w:rsidR="002657D1" w:rsidRPr="002657D1" w14:paraId="11C31124" w14:textId="77777777" w:rsidTr="001A7EE6">
        <w:trPr>
          <w:jc w:val="center"/>
        </w:trPr>
        <w:tc>
          <w:tcPr>
            <w:tcW w:w="2694" w:type="dxa"/>
            <w:tcBorders>
              <w:top w:val="nil"/>
              <w:bottom w:val="nil"/>
            </w:tcBorders>
            <w:vAlign w:val="center"/>
          </w:tcPr>
          <w:p w14:paraId="4AB8477A" w14:textId="65284620"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NCM811/Li</w:t>
            </w:r>
            <w:r w:rsidRPr="002657D1">
              <w:rPr>
                <w:rFonts w:ascii="Times New Roman" w:hAnsi="Times New Roman" w:cs="Times New Roman"/>
                <w:color w:val="000000" w:themeColor="text1"/>
                <w:sz w:val="24"/>
                <w:szCs w:val="24"/>
                <w:vertAlign w:val="subscript"/>
              </w:rPr>
              <w:t>6</w:t>
            </w:r>
            <w:r w:rsidRPr="002657D1">
              <w:rPr>
                <w:rFonts w:ascii="Times New Roman" w:hAnsi="Times New Roman" w:cs="Times New Roman"/>
                <w:color w:val="000000" w:themeColor="text1"/>
                <w:sz w:val="24"/>
                <w:szCs w:val="24"/>
              </w:rPr>
              <w:t>PSC</w:t>
            </w:r>
            <w:r w:rsidRPr="002657D1">
              <w:rPr>
                <w:rFonts w:ascii="Times New Roman" w:hAnsi="Times New Roman" w:cs="Times New Roman"/>
                <w:color w:val="000000" w:themeColor="text1"/>
                <w:sz w:val="24"/>
                <w:szCs w:val="24"/>
                <w:vertAlign w:val="subscript"/>
              </w:rPr>
              <w:t>5</w:t>
            </w:r>
            <w:r w:rsidRPr="002657D1">
              <w:rPr>
                <w:rFonts w:ascii="Times New Roman" w:hAnsi="Times New Roman" w:cs="Times New Roman"/>
                <w:color w:val="000000" w:themeColor="text1"/>
                <w:sz w:val="24"/>
                <w:szCs w:val="24"/>
              </w:rPr>
              <w:t>Cl+Li</w:t>
            </w:r>
            <w:r w:rsidRPr="002657D1">
              <w:rPr>
                <w:rFonts w:ascii="Times New Roman" w:hAnsi="Times New Roman" w:cs="Times New Roman"/>
                <w:color w:val="000000" w:themeColor="text1"/>
                <w:sz w:val="24"/>
                <w:szCs w:val="24"/>
                <w:vertAlign w:val="subscript"/>
              </w:rPr>
              <w:t>6.4</w:t>
            </w:r>
            <w:r w:rsidRPr="002657D1">
              <w:rPr>
                <w:rFonts w:ascii="Times New Roman" w:hAnsi="Times New Roman" w:cs="Times New Roman"/>
                <w:color w:val="000000" w:themeColor="text1"/>
                <w:sz w:val="24"/>
                <w:szCs w:val="24"/>
              </w:rPr>
              <w:t>La</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Zr</w:t>
            </w:r>
            <w:r w:rsidRPr="002657D1">
              <w:rPr>
                <w:rFonts w:ascii="Times New Roman" w:hAnsi="Times New Roman" w:cs="Times New Roman"/>
                <w:color w:val="000000" w:themeColor="text1"/>
                <w:sz w:val="24"/>
                <w:szCs w:val="24"/>
                <w:vertAlign w:val="subscript"/>
              </w:rPr>
              <w:t>1.4</w:t>
            </w:r>
            <w:r w:rsidRPr="002657D1">
              <w:rPr>
                <w:rFonts w:ascii="Times New Roman" w:hAnsi="Times New Roman" w:cs="Times New Roman"/>
                <w:color w:val="000000" w:themeColor="text1"/>
                <w:sz w:val="24"/>
                <w:szCs w:val="24"/>
              </w:rPr>
              <w:t>Ta</w:t>
            </w:r>
            <w:r w:rsidRPr="002657D1">
              <w:rPr>
                <w:rFonts w:ascii="Times New Roman" w:hAnsi="Times New Roman" w:cs="Times New Roman"/>
                <w:color w:val="000000" w:themeColor="text1"/>
                <w:sz w:val="24"/>
                <w:szCs w:val="24"/>
                <w:vertAlign w:val="subscript"/>
              </w:rPr>
              <w:t>0.6</w:t>
            </w:r>
            <w:r w:rsidRPr="002657D1">
              <w:rPr>
                <w:rFonts w:ascii="Times New Roman" w:hAnsi="Times New Roman" w:cs="Times New Roman"/>
                <w:color w:val="000000" w:themeColor="text1"/>
                <w:sz w:val="24"/>
                <w:szCs w:val="24"/>
              </w:rPr>
              <w:t>O</w:t>
            </w:r>
            <w:r w:rsidRPr="002657D1">
              <w:rPr>
                <w:rFonts w:ascii="Times New Roman" w:hAnsi="Times New Roman" w:cs="Times New Roman"/>
                <w:color w:val="000000" w:themeColor="text1"/>
                <w:sz w:val="24"/>
                <w:szCs w:val="24"/>
                <w:vertAlign w:val="subscript"/>
              </w:rPr>
              <w:t>12</w:t>
            </w:r>
            <w:r w:rsidRPr="002657D1">
              <w:rPr>
                <w:rFonts w:ascii="Times New Roman" w:hAnsi="Times New Roman" w:cs="Times New Roman"/>
                <w:color w:val="000000" w:themeColor="text1"/>
                <w:sz w:val="24"/>
                <w:szCs w:val="24"/>
              </w:rPr>
              <w:t>/Li</w:t>
            </w:r>
          </w:p>
        </w:tc>
        <w:tc>
          <w:tcPr>
            <w:tcW w:w="1842" w:type="dxa"/>
            <w:tcBorders>
              <w:top w:val="nil"/>
              <w:bottom w:val="nil"/>
            </w:tcBorders>
            <w:vAlign w:val="center"/>
          </w:tcPr>
          <w:p w14:paraId="1A9AF508" w14:textId="3B62DC8F"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7.5</w:t>
            </w:r>
          </w:p>
        </w:tc>
        <w:tc>
          <w:tcPr>
            <w:tcW w:w="1276" w:type="dxa"/>
            <w:tcBorders>
              <w:top w:val="nil"/>
              <w:bottom w:val="nil"/>
            </w:tcBorders>
            <w:vAlign w:val="center"/>
          </w:tcPr>
          <w:p w14:paraId="45B6E1FD" w14:textId="1FDAC447"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81.9</w:t>
            </w:r>
          </w:p>
        </w:tc>
        <w:tc>
          <w:tcPr>
            <w:tcW w:w="1418" w:type="dxa"/>
            <w:tcBorders>
              <w:top w:val="nil"/>
              <w:bottom w:val="nil"/>
            </w:tcBorders>
            <w:vAlign w:val="center"/>
          </w:tcPr>
          <w:p w14:paraId="14087596" w14:textId="75944ECC"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 xml:space="preserve">0.61 </w:t>
            </w:r>
          </w:p>
        </w:tc>
        <w:tc>
          <w:tcPr>
            <w:tcW w:w="1417" w:type="dxa"/>
            <w:tcBorders>
              <w:top w:val="nil"/>
              <w:bottom w:val="nil"/>
            </w:tcBorders>
            <w:vAlign w:val="center"/>
          </w:tcPr>
          <w:p w14:paraId="615D4B2B" w14:textId="1CD4B2D8"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200@1.0 C</w:t>
            </w:r>
          </w:p>
        </w:tc>
        <w:tc>
          <w:tcPr>
            <w:tcW w:w="1559" w:type="dxa"/>
            <w:tcBorders>
              <w:top w:val="nil"/>
              <w:bottom w:val="nil"/>
            </w:tcBorders>
            <w:vAlign w:val="center"/>
          </w:tcPr>
          <w:p w14:paraId="53199D0B" w14:textId="26DDD652"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0.093</w:t>
            </w:r>
          </w:p>
        </w:tc>
        <w:tc>
          <w:tcPr>
            <w:tcW w:w="1560" w:type="dxa"/>
            <w:tcBorders>
              <w:top w:val="nil"/>
              <w:bottom w:val="nil"/>
            </w:tcBorders>
            <w:vAlign w:val="center"/>
          </w:tcPr>
          <w:p w14:paraId="2393CAB2" w14:textId="1D22F6A8"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tcBorders>
              <w:top w:val="nil"/>
              <w:bottom w:val="nil"/>
            </w:tcBorders>
            <w:vAlign w:val="center"/>
          </w:tcPr>
          <w:p w14:paraId="77D3C1E9" w14:textId="0BA5FDE8"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{"citationID":"xO28wq8H","properties":{"formattedCitation":"\\super 90\\nosupersub{}","plainCitation":"90","noteIndex":0},"citationItems":[{"id":"IXaoCdHi/clpFAYtE","uris":["http://zotero.org/users/local/As3BANDe/items/7U5TQL89"],"itemData":{"id":4895,"type":"article-journal","abstract":"Garnet Li7La3Zr2O12 (LLZO)-based solid-state electrolytes (SSEs) hold promise for realizing nextgeneration lithium metal batteries with high energy density. However, the high stiffness of high-temperature sintered LLZO makes it brittle and susceptible to strain during the fabrication of solid-state batteries. Coldpressed LLZO exhibits improved ductility but suffers from insufficient Li+ conductivity. Here, we report coldpressed Ta-doped LLZO (TaÀ LZ) particles integrated with ductile Li6PS5Cl (LPSC) via a Li+ conductive Licontaining TaÀ Cl structure. This configuration creates a continuous Li+ conduction network by enhancing the Li+ exchange at the TaÀ LZ/LPSC interface. The resulting TaÀ LZ/LPSC SSE exhibits Li+ conductivity of 4.42×10À 4 S cmÀ 1 and a low activation energy of 0.31 eV. Li symmetric cells with TaÀ LZ/LPSC SSE demonstrate excellent Li dendrite suppression ability, with an improved critical current density of 5.0 mA cmÀ 2 and a prolonged cycle life exceeding 600 h at 1 mA cmÀ 2. Our finding provides valuable insights into developing coldpressed ceramic powder electrolytes for high-performance all-solid-state batteries.","container-title":"Angewandte Chemie International Editi</w:instrText>
            </w:r>
            <w:r w:rsidR="00E725CF" w:rsidRPr="002657D1">
              <w:rPr>
                <w:rFonts w:ascii="Times New Roman" w:hAnsi="Times New Roman" w:cs="Times New Roman" w:hint="eastAsia"/>
                <w:color w:val="000000" w:themeColor="text1"/>
                <w:sz w:val="24"/>
                <w:szCs w:val="24"/>
              </w:rPr>
              <w:instrText>on","DOI":"10.1002/anie.202413502","ISSN":"1433-7851, 1521-3773","journalAbbreviation":"Angew Chem Int Ed","language":"en","page":"e202413502","source":"DOI.org (Crossref)","title":"Long</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Life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Batteries Enabled by Cold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Pressed Garnet Composite Electrolytes with Enhanced Li&lt;sup&gt;+&lt;/sup&gt; Conduction","author":[{"family":"Xiong","given":"Bing</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Qing"},{"family":"Zhang","given":"Jianwei"},{"family":"Nian","given":"Qingshun"},{"family":"Liu","given":"Xiaoye"},{"family":"Jiang","given":"Jinyu"},{"fam</w:instrText>
            </w:r>
            <w:r w:rsidR="00E725CF" w:rsidRPr="002657D1">
              <w:rPr>
                <w:rFonts w:ascii="Times New Roman" w:hAnsi="Times New Roman" w:cs="Times New Roman"/>
                <w:color w:val="000000" w:themeColor="text1"/>
                <w:sz w:val="24"/>
                <w:szCs w:val="24"/>
              </w:rPr>
              <w:instrText xml:space="preserve">ily":"Wang","given":"Zihong"},{"family":"Yang","given":"Zhenzhong"},{"family":"Ren","given":"Xiaodi"}],"issued":{"date-parts":[["2024",10,29]]}}}],"schema":"https://github.com/citation-style-language/schema/raw/master/csl-citation.json"}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90</w:t>
            </w:r>
            <w:r w:rsidRPr="002657D1">
              <w:rPr>
                <w:rFonts w:ascii="Times New Roman" w:hAnsi="Times New Roman" w:cs="Times New Roman"/>
                <w:color w:val="000000" w:themeColor="text1"/>
                <w:sz w:val="24"/>
                <w:szCs w:val="24"/>
              </w:rPr>
              <w:fldChar w:fldCharType="end"/>
            </w:r>
          </w:p>
        </w:tc>
      </w:tr>
      <w:tr w:rsidR="002657D1" w:rsidRPr="002657D1" w14:paraId="02884BD4" w14:textId="77777777" w:rsidTr="001A7EE6">
        <w:trPr>
          <w:jc w:val="center"/>
        </w:trPr>
        <w:tc>
          <w:tcPr>
            <w:tcW w:w="2694" w:type="dxa"/>
            <w:tcBorders>
              <w:top w:val="nil"/>
              <w:bottom w:val="nil"/>
            </w:tcBorders>
            <w:vAlign w:val="center"/>
          </w:tcPr>
          <w:p w14:paraId="0375518C" w14:textId="408FF464"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NCM811/Li</w:t>
            </w:r>
            <w:r w:rsidRPr="002657D1">
              <w:rPr>
                <w:rFonts w:ascii="Times New Roman" w:hAnsi="Times New Roman" w:cs="Times New Roman"/>
                <w:color w:val="000000" w:themeColor="text1"/>
                <w:sz w:val="24"/>
                <w:szCs w:val="24"/>
                <w:vertAlign w:val="subscript"/>
              </w:rPr>
              <w:t>10</w:t>
            </w:r>
            <w:r w:rsidRPr="002657D1">
              <w:rPr>
                <w:rFonts w:ascii="Times New Roman" w:hAnsi="Times New Roman" w:cs="Times New Roman"/>
                <w:color w:val="000000" w:themeColor="text1"/>
                <w:sz w:val="24"/>
                <w:szCs w:val="24"/>
              </w:rPr>
              <w:t>GeP</w:t>
            </w:r>
            <w:r w:rsidRPr="002657D1">
              <w:rPr>
                <w:rFonts w:ascii="Times New Roman" w:hAnsi="Times New Roman" w:cs="Times New Roman"/>
                <w:color w:val="000000" w:themeColor="text1"/>
                <w:sz w:val="24"/>
                <w:szCs w:val="24"/>
                <w:vertAlign w:val="subscript"/>
              </w:rPr>
              <w:t>2</w:t>
            </w:r>
            <w:r w:rsidRPr="002657D1">
              <w:rPr>
                <w:rFonts w:ascii="Times New Roman" w:hAnsi="Times New Roman" w:cs="Times New Roman"/>
                <w:color w:val="000000" w:themeColor="text1"/>
                <w:sz w:val="24"/>
                <w:szCs w:val="24"/>
              </w:rPr>
              <w:t>S</w:t>
            </w:r>
            <w:r w:rsidRPr="002657D1">
              <w:rPr>
                <w:rFonts w:ascii="Times New Roman" w:hAnsi="Times New Roman" w:cs="Times New Roman"/>
                <w:color w:val="000000" w:themeColor="text1"/>
                <w:sz w:val="24"/>
                <w:szCs w:val="24"/>
                <w:vertAlign w:val="subscript"/>
              </w:rPr>
              <w:t>12</w:t>
            </w:r>
            <w:r w:rsidRPr="002657D1">
              <w:rPr>
                <w:rFonts w:ascii="Times New Roman" w:hAnsi="Times New Roman" w:cs="Times New Roman"/>
                <w:color w:val="000000" w:themeColor="text1"/>
                <w:sz w:val="24"/>
                <w:szCs w:val="24"/>
              </w:rPr>
              <w:t>/</w:t>
            </w:r>
            <w:proofErr w:type="spellStart"/>
            <w:r w:rsidRPr="002657D1">
              <w:rPr>
                <w:rFonts w:ascii="Times New Roman" w:hAnsi="Times New Roman" w:cs="Times New Roman"/>
                <w:color w:val="000000" w:themeColor="text1"/>
                <w:sz w:val="24"/>
                <w:szCs w:val="24"/>
              </w:rPr>
              <w:t>LFN@Li</w:t>
            </w:r>
            <w:proofErr w:type="spellEnd"/>
          </w:p>
        </w:tc>
        <w:tc>
          <w:tcPr>
            <w:tcW w:w="1842" w:type="dxa"/>
            <w:tcBorders>
              <w:top w:val="nil"/>
              <w:bottom w:val="nil"/>
            </w:tcBorders>
            <w:vAlign w:val="center"/>
          </w:tcPr>
          <w:p w14:paraId="46C61591" w14:textId="14175940"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8.79</w:t>
            </w:r>
          </w:p>
        </w:tc>
        <w:tc>
          <w:tcPr>
            <w:tcW w:w="1276" w:type="dxa"/>
            <w:tcBorders>
              <w:top w:val="nil"/>
              <w:bottom w:val="nil"/>
            </w:tcBorders>
            <w:vAlign w:val="center"/>
          </w:tcPr>
          <w:p w14:paraId="38362DDF" w14:textId="582A610A"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182.3</w:t>
            </w:r>
          </w:p>
        </w:tc>
        <w:tc>
          <w:tcPr>
            <w:tcW w:w="1418" w:type="dxa"/>
            <w:tcBorders>
              <w:top w:val="nil"/>
              <w:bottom w:val="nil"/>
            </w:tcBorders>
            <w:vAlign w:val="center"/>
          </w:tcPr>
          <w:p w14:paraId="118AA7D2" w14:textId="038EF723"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1.6</w:t>
            </w:r>
          </w:p>
        </w:tc>
        <w:tc>
          <w:tcPr>
            <w:tcW w:w="1417" w:type="dxa"/>
            <w:tcBorders>
              <w:top w:val="nil"/>
              <w:bottom w:val="nil"/>
            </w:tcBorders>
            <w:vAlign w:val="center"/>
          </w:tcPr>
          <w:p w14:paraId="605BF668" w14:textId="2773D711"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200@0.1 C</w:t>
            </w:r>
          </w:p>
        </w:tc>
        <w:tc>
          <w:tcPr>
            <w:tcW w:w="1559" w:type="dxa"/>
            <w:tcBorders>
              <w:top w:val="nil"/>
              <w:bottom w:val="nil"/>
            </w:tcBorders>
            <w:vAlign w:val="center"/>
          </w:tcPr>
          <w:p w14:paraId="4308D231" w14:textId="220E6166"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0.087</w:t>
            </w:r>
          </w:p>
        </w:tc>
        <w:tc>
          <w:tcPr>
            <w:tcW w:w="1560" w:type="dxa"/>
            <w:tcBorders>
              <w:top w:val="nil"/>
              <w:bottom w:val="nil"/>
            </w:tcBorders>
            <w:vAlign w:val="center"/>
          </w:tcPr>
          <w:p w14:paraId="0F54D4AC" w14:textId="18AA8278"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tcBorders>
              <w:top w:val="nil"/>
              <w:bottom w:val="nil"/>
            </w:tcBorders>
            <w:vAlign w:val="center"/>
          </w:tcPr>
          <w:p w14:paraId="446F727F" w14:textId="5C489605"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{"citationID":"P6GIWUYa","properties":{"formattedCitation":"\\super 91\\nosupersub{}","plainCitation":"91","noteIndex":0},"citationItems":[{"id":"IXaoCdHi/fFhkvWFe","uris":["http://zotero.org/users/local/As3BANDe/items/VLRV</w:instrText>
            </w:r>
            <w:r w:rsidR="00E725CF" w:rsidRPr="002657D1">
              <w:rPr>
                <w:rFonts w:ascii="Times New Roman" w:hAnsi="Times New Roman" w:cs="Times New Roman" w:hint="eastAsia"/>
                <w:color w:val="000000" w:themeColor="text1"/>
                <w:sz w:val="24"/>
                <w:szCs w:val="24"/>
              </w:rPr>
              <w:instrText>C4I3"],"itemData":{"id":4451,"type":"article-journal","abstract":"Abstract\n            \n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Li metal batteries (ASSLMBs) using inorganic 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electrolytes (ISEs) are considered promising energy storage technologies owing</w:instrText>
            </w:r>
            <w:r w:rsidR="00E725CF" w:rsidRPr="002657D1">
              <w:rPr>
                <w:rFonts w:ascii="Times New Roman" w:hAnsi="Times New Roman" w:cs="Times New Roman"/>
                <w:color w:val="000000" w:themeColor="text1"/>
                <w:sz w:val="24"/>
                <w:szCs w:val="24"/>
              </w:rPr>
              <w:instrText xml:space="preserve"> to their intrinsic safety and high energy density. Nevertheless, one critical challenge confronting ASSLMBs is the inability of the ISEs to prevent Li dendrite growth, which has not yet been fully addressed. Herein, general design principles of artificia</w:instrText>
            </w:r>
            <w:r w:rsidR="00E725CF" w:rsidRPr="002657D1">
              <w:rPr>
                <w:rFonts w:ascii="Times New Roman" w:hAnsi="Times New Roman" w:cs="Times New Roman" w:hint="eastAsia"/>
                <w:color w:val="000000" w:themeColor="text1"/>
                <w:sz w:val="24"/>
                <w:szCs w:val="24"/>
              </w:rPr>
              <w:instrText>l solid electrolyte interphases (ASEI) for suppressing Li dendrites in ASSLMBs are proposed by systematically exploring the formation mechanism of Li dendrites. Subsequently, a tailored LiF</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Li\n              3\n              N ASEI is constructed to inspect the 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dendrite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free design principles. The LiF</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Li\n              3\n              N modified Li (LFN</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 xml:space="preserve">Li) can effectively inhibit the side reactions and suppress the growth of Li dendrites, thus boosting the critical current densities of Li\n          </w:instrText>
            </w:r>
            <w:r w:rsidR="00E725CF" w:rsidRPr="002657D1">
              <w:rPr>
                <w:rFonts w:ascii="Times New Roman" w:hAnsi="Times New Roman" w:cs="Times New Roman"/>
                <w:color w:val="000000" w:themeColor="text1"/>
                <w:sz w:val="24"/>
                <w:szCs w:val="24"/>
              </w:rPr>
              <w:instrText xml:space="preserve">    10\n              GeP\n              2\n              S\n              12\n              (LGPS) to a record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high value of 3.4 mA cm\n              −2\n              . Furthermore, the LFN</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Li/LGPS/LFN</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Li can cycle stably for over 5000 h at 0.2 mA cm\n              −2\n              . Crucially, the versatility of the designed ASEI is highlighted as it ensures outstanding long</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 xml:space="preserve">term stability in symmetric cells featuring oxide Li\n              1.3\n              Al\n              0.3\n              Ti\n              1.7\n              (PO)\n              3\n              or halide Li\n              2\n              ZrCl\n              6\n              ISEs. As a result, the ASEI enables LiNi\n              0.8\n              Mn\n              0.1\n     </w:instrText>
            </w:r>
            <w:r w:rsidR="00E725CF" w:rsidRPr="002657D1">
              <w:rPr>
                <w:rFonts w:ascii="Times New Roman" w:hAnsi="Times New Roman" w:cs="Times New Roman" w:hint="eastAsia"/>
                <w:color w:val="000000" w:themeColor="text1"/>
                <w:sz w:val="24"/>
                <w:szCs w:val="24"/>
              </w:rPr>
              <w:instrText xml:space="preserve">         Co\n              0.1\n              O\n              2\n              /LGPS/LFN</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Li and FeS\n              2\n              /LGPS/LFN</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Li cells to achieve high discharge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specific capacities and desirable cyclic stability at room temperature. The generalized ASEI design principles rationalize the development of high</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energy ASSLBMs.","container-title":"Advanced Energy Materials","DOI":"10.1002/aenm.202402064","ISSN":"1614-6832, 1614-6840","issue":"38","journalAbbreviation":"Advanced Energy Materials</w:instrText>
            </w:r>
            <w:r w:rsidR="00E725CF" w:rsidRPr="002657D1">
              <w:rPr>
                <w:rFonts w:ascii="Times New Roman" w:hAnsi="Times New Roman" w:cs="Times New Roman"/>
                <w:color w:val="000000" w:themeColor="text1"/>
                <w:sz w:val="24"/>
                <w:szCs w:val="24"/>
              </w:rPr>
              <w:instrText>","language":"en","page":"2402064","source":"DOI.org (Crossref)","title":"Generalized Interphase Design for Stabilized Li/Inorganic Electrolyte Interfaces","volume":"14","author":[{"family":"Liu","given":"Hong"},{"family":"Li","given":"Dabing"},{"family":"Dong","given":"Chenxin"},{"family":"Li","given":"Yang"},{"family":"Yuan","given":"Haocheng"},{"family":"Yu","given":"Dengfeng"},{"family":"Gao","given":"Lei"},{"family":"Ding","given":"Peipei"},{"family":"Li","given":"Yue"},{"family":"Qin","given":"Zuoyu</w:instrText>
            </w:r>
            <w:r w:rsidR="00E725CF" w:rsidRPr="002657D1">
              <w:rPr>
                <w:rFonts w:ascii="Times New Roman" w:hAnsi="Times New Roman" w:cs="Times New Roman" w:hint="eastAsia"/>
                <w:color w:val="000000" w:themeColor="text1"/>
                <w:sz w:val="24"/>
                <w:szCs w:val="24"/>
              </w:rPr>
              <w:instrText>"},{"family":"Liang","given":"Ying"},{"family":"Luo","given":"HanLin"},{"family":"Li","given":"Liangliang"},{"family":"Ren","given":"Yaoyu"},{"family":"Fan","given":"Li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Zhen"},{"family":"Nan","given":"Ce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Wen"}],"issued":{"date-parts":[["2024",10]]}}}],"sc</w:instrText>
            </w:r>
            <w:r w:rsidR="00E725CF" w:rsidRPr="002657D1">
              <w:rPr>
                <w:rFonts w:ascii="Times New Roman" w:hAnsi="Times New Roman" w:cs="Times New Roman"/>
                <w:color w:val="000000" w:themeColor="text1"/>
                <w:sz w:val="24"/>
                <w:szCs w:val="24"/>
              </w:rPr>
              <w:instrText xml:space="preserve">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91</w:t>
            </w:r>
            <w:r w:rsidRPr="002657D1">
              <w:rPr>
                <w:rFonts w:ascii="Times New Roman" w:hAnsi="Times New Roman" w:cs="Times New Roman"/>
                <w:color w:val="000000" w:themeColor="text1"/>
                <w:sz w:val="24"/>
                <w:szCs w:val="24"/>
              </w:rPr>
              <w:fldChar w:fldCharType="end"/>
            </w:r>
          </w:p>
        </w:tc>
      </w:tr>
      <w:tr w:rsidR="002657D1" w:rsidRPr="002657D1" w14:paraId="33A60109" w14:textId="77777777" w:rsidTr="001A7EE6">
        <w:trPr>
          <w:jc w:val="center"/>
        </w:trPr>
        <w:tc>
          <w:tcPr>
            <w:tcW w:w="2694" w:type="dxa"/>
            <w:tcBorders>
              <w:top w:val="nil"/>
              <w:bottom w:val="nil"/>
            </w:tcBorders>
            <w:vAlign w:val="center"/>
          </w:tcPr>
          <w:p w14:paraId="7B73B41E" w14:textId="39A761F2"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LCO/Li</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InCl</w:t>
            </w:r>
            <w:r w:rsidRPr="002657D1">
              <w:rPr>
                <w:rFonts w:ascii="Times New Roman" w:hAnsi="Times New Roman" w:cs="Times New Roman"/>
                <w:color w:val="000000" w:themeColor="text1"/>
                <w:sz w:val="24"/>
                <w:szCs w:val="24"/>
                <w:vertAlign w:val="subscript"/>
              </w:rPr>
              <w:t>6</w:t>
            </w:r>
            <w:r w:rsidRPr="002657D1">
              <w:rPr>
                <w:rFonts w:ascii="Times New Roman" w:hAnsi="Times New Roman" w:cs="Times New Roman"/>
                <w:color w:val="000000" w:themeColor="text1"/>
                <w:sz w:val="24"/>
                <w:szCs w:val="24"/>
              </w:rPr>
              <w:t>/Li</w:t>
            </w:r>
            <w:r w:rsidRPr="002657D1">
              <w:rPr>
                <w:rFonts w:ascii="Times New Roman" w:hAnsi="Times New Roman" w:cs="Times New Roman"/>
                <w:color w:val="000000" w:themeColor="text1"/>
                <w:sz w:val="24"/>
                <w:szCs w:val="24"/>
                <w:vertAlign w:val="subscript"/>
              </w:rPr>
              <w:t>6</w:t>
            </w:r>
            <w:r w:rsidRPr="002657D1">
              <w:rPr>
                <w:rFonts w:ascii="Times New Roman" w:hAnsi="Times New Roman" w:cs="Times New Roman"/>
                <w:color w:val="000000" w:themeColor="text1"/>
                <w:sz w:val="24"/>
                <w:szCs w:val="24"/>
              </w:rPr>
              <w:t>PS</w:t>
            </w:r>
            <w:r w:rsidRPr="002657D1">
              <w:rPr>
                <w:rFonts w:ascii="Times New Roman" w:hAnsi="Times New Roman" w:cs="Times New Roman"/>
                <w:color w:val="000000" w:themeColor="text1"/>
                <w:sz w:val="24"/>
                <w:szCs w:val="24"/>
                <w:vertAlign w:val="subscript"/>
              </w:rPr>
              <w:t>5</w:t>
            </w:r>
            <w:r w:rsidRPr="002657D1">
              <w:rPr>
                <w:rFonts w:ascii="Times New Roman" w:hAnsi="Times New Roman" w:cs="Times New Roman"/>
                <w:color w:val="000000" w:themeColor="text1"/>
                <w:sz w:val="24"/>
                <w:szCs w:val="24"/>
              </w:rPr>
              <w:t>Cl/SL/Li</w:t>
            </w:r>
          </w:p>
        </w:tc>
        <w:tc>
          <w:tcPr>
            <w:tcW w:w="1842" w:type="dxa"/>
            <w:tcBorders>
              <w:top w:val="nil"/>
              <w:bottom w:val="nil"/>
            </w:tcBorders>
            <w:vAlign w:val="center"/>
          </w:tcPr>
          <w:p w14:paraId="20D1D504" w14:textId="378FC7F7"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8.91</w:t>
            </w:r>
          </w:p>
        </w:tc>
        <w:tc>
          <w:tcPr>
            <w:tcW w:w="1276" w:type="dxa"/>
            <w:tcBorders>
              <w:top w:val="nil"/>
              <w:bottom w:val="nil"/>
            </w:tcBorders>
            <w:vAlign w:val="center"/>
          </w:tcPr>
          <w:p w14:paraId="2CE5C682" w14:textId="5E28A6C8"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137.5</w:t>
            </w:r>
          </w:p>
        </w:tc>
        <w:tc>
          <w:tcPr>
            <w:tcW w:w="1418" w:type="dxa"/>
            <w:tcBorders>
              <w:top w:val="nil"/>
              <w:bottom w:val="nil"/>
            </w:tcBorders>
            <w:vAlign w:val="center"/>
          </w:tcPr>
          <w:p w14:paraId="05FD2AB8" w14:textId="27ECE4E4"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 xml:space="preserve">1.23 </w:t>
            </w:r>
          </w:p>
        </w:tc>
        <w:tc>
          <w:tcPr>
            <w:tcW w:w="1417" w:type="dxa"/>
            <w:tcBorders>
              <w:top w:val="nil"/>
              <w:bottom w:val="nil"/>
            </w:tcBorders>
            <w:vAlign w:val="center"/>
          </w:tcPr>
          <w:p w14:paraId="44F3067F" w14:textId="6BC0AB1C"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100@0.3 C</w:t>
            </w:r>
          </w:p>
        </w:tc>
        <w:tc>
          <w:tcPr>
            <w:tcW w:w="1559" w:type="dxa"/>
            <w:tcBorders>
              <w:top w:val="nil"/>
              <w:bottom w:val="nil"/>
            </w:tcBorders>
            <w:vAlign w:val="center"/>
          </w:tcPr>
          <w:p w14:paraId="3A4D1632" w14:textId="5971393F"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0.290</w:t>
            </w:r>
          </w:p>
        </w:tc>
        <w:tc>
          <w:tcPr>
            <w:tcW w:w="1560" w:type="dxa"/>
            <w:tcBorders>
              <w:top w:val="nil"/>
              <w:bottom w:val="nil"/>
            </w:tcBorders>
            <w:vAlign w:val="center"/>
          </w:tcPr>
          <w:p w14:paraId="5C5C7EE1" w14:textId="64F27803"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w:t>
            </w:r>
          </w:p>
        </w:tc>
        <w:tc>
          <w:tcPr>
            <w:tcW w:w="1275" w:type="dxa"/>
            <w:tcBorders>
              <w:top w:val="nil"/>
              <w:bottom w:val="nil"/>
            </w:tcBorders>
            <w:vAlign w:val="center"/>
          </w:tcPr>
          <w:p w14:paraId="637C53C1" w14:textId="310064EA"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{"citationID":"tyKQcQKz","properties":{"formattedCitation":"\\super 92\\nosupersub{}","plainCitation":"92","noteIndex":0},"citationItems":[{"id":"IXaoCdHi/ZMQbi87x","uris":["http://zotero.org/users/local/As3BANDe/items/29P4</w:instrText>
            </w:r>
            <w:r w:rsidR="00E725CF" w:rsidRPr="002657D1">
              <w:rPr>
                <w:rFonts w:ascii="Times New Roman" w:hAnsi="Times New Roman" w:cs="Times New Roman" w:hint="eastAsia"/>
                <w:color w:val="000000" w:themeColor="text1"/>
                <w:sz w:val="24"/>
                <w:szCs w:val="24"/>
              </w:rPr>
              <w:instrText>C3VS"],"itemData":{"id":4849,"type":"article-journal","container-title":"Adv. Energy Mater.","language":"en","source":"Zotero","title":"In Situ Constructed 3D Lithium Anodes for Long</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Cycling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Batteries","author":[{"family":"Duan","given":"H</w:instrText>
            </w:r>
            <w:r w:rsidR="00E725CF" w:rsidRPr="002657D1">
              <w:rPr>
                <w:rFonts w:ascii="Times New Roman" w:hAnsi="Times New Roman" w:cs="Times New Roman"/>
                <w:color w:val="000000" w:themeColor="text1"/>
                <w:sz w:val="24"/>
                <w:szCs w:val="24"/>
              </w:rPr>
              <w:instrText xml:space="preserve">ui"},{"family":"Wang","given":"Changhong"},{"family":"Yu","given":"Ruizhi"},{"family":"Li","given":"Weihan"},{"family":"Fu","given":"Jiamin"},{"family":"Yang","given":"Xiaofei"},{"family":"Lin","given":"Xiaoting"},{"family":"Zheng","given":"Matthew"},{"family":"Li","given":"Xiaona"},{"family":"Deng","given":"Sixu"},{"family":"Hao","given":"Xiaoge"},{"family":"Li","given":"Ruying"},{"family":"Wang","given":"Jiantao"},{"family":"Huang","given":"Huan"},{"family":"Sun","given":"Xueliang"}],"issued":{"date-parts":[["2023"]]}}}],"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92</w:t>
            </w:r>
            <w:r w:rsidRPr="002657D1">
              <w:rPr>
                <w:rFonts w:ascii="Times New Roman" w:hAnsi="Times New Roman" w:cs="Times New Roman"/>
                <w:color w:val="000000" w:themeColor="text1"/>
                <w:sz w:val="24"/>
                <w:szCs w:val="24"/>
              </w:rPr>
              <w:fldChar w:fldCharType="end"/>
            </w:r>
          </w:p>
        </w:tc>
      </w:tr>
      <w:tr w:rsidR="002657D1" w:rsidRPr="002657D1" w14:paraId="608D9EF6" w14:textId="77777777" w:rsidTr="001A7EE6">
        <w:trPr>
          <w:jc w:val="center"/>
        </w:trPr>
        <w:tc>
          <w:tcPr>
            <w:tcW w:w="2694" w:type="dxa"/>
            <w:tcBorders>
              <w:top w:val="nil"/>
              <w:bottom w:val="nil"/>
            </w:tcBorders>
            <w:vAlign w:val="center"/>
          </w:tcPr>
          <w:p w14:paraId="388FEBDE" w14:textId="25CE75E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LCO/Li</w:t>
            </w:r>
            <w:r w:rsidRPr="002657D1">
              <w:rPr>
                <w:rFonts w:ascii="Times New Roman" w:hAnsi="Times New Roman" w:cs="Times New Roman"/>
                <w:color w:val="000000" w:themeColor="text1"/>
                <w:sz w:val="24"/>
                <w:szCs w:val="24"/>
                <w:vertAlign w:val="subscript"/>
              </w:rPr>
              <w:t>5.54</w:t>
            </w:r>
            <w:r w:rsidRPr="002657D1">
              <w:rPr>
                <w:rFonts w:ascii="Times New Roman" w:hAnsi="Times New Roman" w:cs="Times New Roman"/>
                <w:color w:val="000000" w:themeColor="text1"/>
                <w:sz w:val="24"/>
                <w:szCs w:val="24"/>
              </w:rPr>
              <w:t>P</w:t>
            </w:r>
            <w:r w:rsidRPr="002657D1">
              <w:rPr>
                <w:rFonts w:ascii="Times New Roman" w:hAnsi="Times New Roman" w:cs="Times New Roman"/>
                <w:color w:val="000000" w:themeColor="text1"/>
                <w:sz w:val="24"/>
                <w:szCs w:val="24"/>
                <w:vertAlign w:val="subscript"/>
              </w:rPr>
              <w:t>0.98</w:t>
            </w:r>
            <w:r w:rsidRPr="002657D1">
              <w:rPr>
                <w:rFonts w:ascii="Times New Roman" w:hAnsi="Times New Roman" w:cs="Times New Roman"/>
                <w:color w:val="000000" w:themeColor="text1"/>
                <w:sz w:val="24"/>
                <w:szCs w:val="24"/>
              </w:rPr>
              <w:t>Bi</w:t>
            </w:r>
            <w:r w:rsidRPr="002657D1">
              <w:rPr>
                <w:rFonts w:ascii="Times New Roman" w:hAnsi="Times New Roman" w:cs="Times New Roman"/>
                <w:color w:val="000000" w:themeColor="text1"/>
                <w:sz w:val="24"/>
                <w:szCs w:val="24"/>
                <w:vertAlign w:val="subscript"/>
              </w:rPr>
              <w:t>0.02</w:t>
            </w:r>
            <w:r w:rsidRPr="002657D1">
              <w:rPr>
                <w:rFonts w:ascii="Times New Roman" w:hAnsi="Times New Roman" w:cs="Times New Roman"/>
                <w:color w:val="000000" w:themeColor="text1"/>
                <w:sz w:val="24"/>
                <w:szCs w:val="24"/>
              </w:rPr>
              <w:t>S</w:t>
            </w:r>
            <w:r w:rsidRPr="002657D1">
              <w:rPr>
                <w:rFonts w:ascii="Times New Roman" w:hAnsi="Times New Roman" w:cs="Times New Roman"/>
                <w:color w:val="000000" w:themeColor="text1"/>
                <w:sz w:val="24"/>
                <w:szCs w:val="24"/>
                <w:vertAlign w:val="subscript"/>
              </w:rPr>
              <w:t>4.47</w:t>
            </w:r>
            <w:r w:rsidRPr="002657D1">
              <w:rPr>
                <w:rFonts w:ascii="Times New Roman" w:hAnsi="Times New Roman" w:cs="Times New Roman"/>
                <w:color w:val="000000" w:themeColor="text1"/>
                <w:sz w:val="24"/>
                <w:szCs w:val="24"/>
              </w:rPr>
              <w:t>O</w:t>
            </w:r>
            <w:r w:rsidRPr="002657D1">
              <w:rPr>
                <w:rFonts w:ascii="Times New Roman" w:hAnsi="Times New Roman" w:cs="Times New Roman"/>
                <w:color w:val="000000" w:themeColor="text1"/>
                <w:sz w:val="24"/>
                <w:szCs w:val="24"/>
                <w:vertAlign w:val="subscript"/>
              </w:rPr>
              <w:t>0.03</w:t>
            </w:r>
            <w:r w:rsidRPr="002657D1">
              <w:rPr>
                <w:rFonts w:ascii="Times New Roman" w:hAnsi="Times New Roman" w:cs="Times New Roman"/>
                <w:color w:val="000000" w:themeColor="text1"/>
                <w:sz w:val="24"/>
                <w:szCs w:val="24"/>
              </w:rPr>
              <w:t>Cl</w:t>
            </w:r>
            <w:r w:rsidRPr="002657D1">
              <w:rPr>
                <w:rFonts w:ascii="Times New Roman" w:hAnsi="Times New Roman" w:cs="Times New Roman"/>
                <w:color w:val="000000" w:themeColor="text1"/>
                <w:sz w:val="24"/>
                <w:szCs w:val="24"/>
                <w:vertAlign w:val="subscript"/>
              </w:rPr>
              <w:t>1.5</w:t>
            </w:r>
            <w:r w:rsidRPr="002657D1">
              <w:rPr>
                <w:rFonts w:ascii="Times New Roman" w:hAnsi="Times New Roman" w:cs="Times New Roman"/>
                <w:color w:val="000000" w:themeColor="text1"/>
                <w:sz w:val="24"/>
                <w:szCs w:val="24"/>
              </w:rPr>
              <w:t>/Li</w:t>
            </w:r>
          </w:p>
        </w:tc>
        <w:tc>
          <w:tcPr>
            <w:tcW w:w="1842" w:type="dxa"/>
            <w:tcBorders>
              <w:top w:val="nil"/>
              <w:bottom w:val="nil"/>
            </w:tcBorders>
            <w:vAlign w:val="center"/>
          </w:tcPr>
          <w:p w14:paraId="045883B6" w14:textId="7DE2E7B3"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1.78</w:t>
            </w:r>
          </w:p>
        </w:tc>
        <w:tc>
          <w:tcPr>
            <w:tcW w:w="1276" w:type="dxa"/>
            <w:tcBorders>
              <w:top w:val="nil"/>
              <w:bottom w:val="nil"/>
            </w:tcBorders>
            <w:vAlign w:val="center"/>
          </w:tcPr>
          <w:p w14:paraId="52C18B59" w14:textId="6B649FFB"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156.6</w:t>
            </w:r>
          </w:p>
        </w:tc>
        <w:tc>
          <w:tcPr>
            <w:tcW w:w="1418" w:type="dxa"/>
            <w:tcBorders>
              <w:top w:val="nil"/>
              <w:bottom w:val="nil"/>
            </w:tcBorders>
            <w:vAlign w:val="center"/>
          </w:tcPr>
          <w:p w14:paraId="660BB1F1" w14:textId="0F17244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 xml:space="preserve">0.28 </w:t>
            </w:r>
          </w:p>
        </w:tc>
        <w:tc>
          <w:tcPr>
            <w:tcW w:w="1417" w:type="dxa"/>
            <w:tcBorders>
              <w:top w:val="nil"/>
              <w:bottom w:val="nil"/>
            </w:tcBorders>
            <w:vAlign w:val="center"/>
          </w:tcPr>
          <w:p w14:paraId="3D8308AF" w14:textId="3F7B6DF5"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150@0.2 C</w:t>
            </w:r>
          </w:p>
        </w:tc>
        <w:tc>
          <w:tcPr>
            <w:tcW w:w="1559" w:type="dxa"/>
            <w:tcBorders>
              <w:top w:val="nil"/>
              <w:bottom w:val="nil"/>
            </w:tcBorders>
            <w:vAlign w:val="center"/>
          </w:tcPr>
          <w:p w14:paraId="66F1047A" w14:textId="7D361CF4"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0.135</w:t>
            </w:r>
          </w:p>
        </w:tc>
        <w:tc>
          <w:tcPr>
            <w:tcW w:w="1560" w:type="dxa"/>
            <w:tcBorders>
              <w:top w:val="nil"/>
              <w:bottom w:val="nil"/>
            </w:tcBorders>
            <w:vAlign w:val="center"/>
          </w:tcPr>
          <w:p w14:paraId="69B657DE" w14:textId="4D11C36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tcBorders>
              <w:top w:val="nil"/>
              <w:bottom w:val="nil"/>
            </w:tcBorders>
            <w:vAlign w:val="center"/>
          </w:tcPr>
          <w:p w14:paraId="1355E061" w14:textId="5461CD31"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{"citationID":"DgoJyH7K","properties":{"formattedCitation":"\\super 93\\nosupersub{}","plainCitation":"93","noteIndex":0},"citationItems":[{"id":"IXaoCdHi/WfdkpUMf","uris":["http://zotero.org/users/local/As3BANDe/items/IYZRS9RR"],"itemData":{"id":4924,"type":"article-journal","abstract":"Sulfide-based all-solid-state lithium metal batteries (ASSLMBs) are viable options for electric vehicles due to their promising high energy densities. However, the poor stability of sulfide towards air/moisture and lithium metal anode inhibits their development. Herein, we tailored the Bi-O dual-doping amount to enhance the chemical/ electrochemical stability of Li5.5PS4.5Cl1.5 electrolyte for ASSLMBs. The optimized Li5.54P0.98Bi0.02S4.47O0.03Cl1.5 demonstrates improved air/moisture stability in various environments with different dew points due to the formation of oxysulfide units PS3O and LiBiS2 phases. Incorporating Bi-O into the structure leads to enhanced Li dendrites suppression and accelerated the transport rate of Li-ion at the interface. This improvement arises from the uniform current distribution and the formation of the of the composite SEI, which includes phases such as LiCl, Li2O, and Li-Bi alloy. The Li5.54P0.98Bi0.02S4.47O0.03Cl1.5 exhibits enhanced compatibility with Li metal and yields superior cycling performance when applied the Li metal anode in both lithium symmetric cells and ASSLMBs combined with LiCoO2 and high-nickel LiNi0.9Mn0.05Co0.05O2 at various operating temperatures (-20 </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 xml:space="preserve">, 25 </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 xml:space="preserve">, and 60 </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 xml:space="preserve">). When cycled at 0.2 C at 25 </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 xml:space="preserve">, LiCoO2-based electrode delivers a notable initial discharge capacity of 156.6 mAh g− 1. Even after 150 cycles, the battery maintains a significant portion of this capacity, retaining 79.7 %. This dual-doping strategy provides a guideline for designing solid electrolytes for highperformance ASSLMBs.","container-title":"Nano Energy","DOI":"10.1016/j.nanoen.2024.109926","ISSN":"22112855","journalAbbreviation":"Nano Energy","language":"en","page":"109926","source":"DOI.org (Crossref)","title":"Insights on Bi-O dual-doped Li5.5PS4.5Cl1.5 electrolyte with enhanced electrochemical properties for all-solid-state lithium metal batteries","volume":"128","author":[{"family":"Jiang","given":"Ziling"},{"family":"Yang","given":"Jie"},{"family":"Liu","given":"Chen"},{"family":"Wei","given":"Chaochao"},{"family":"Wu","given":"Zhongkai"},{"family":"Luo","given":"Qiyue"},{"family":"Zhang","given":"Long"},{"family":"Chen","given":"Xia"},{"family":"Li","given":"Liping"},{"family":"Li","given":"Guangshe"},{"family":"Cheng","given":"Shijie"},{"family":"Yu","given":"Chuang"}],"issued":{"date-parts":[["2024",9]]}}}],"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93</w:t>
            </w:r>
            <w:r w:rsidRPr="002657D1">
              <w:rPr>
                <w:rFonts w:ascii="Times New Roman" w:hAnsi="Times New Roman" w:cs="Times New Roman"/>
                <w:color w:val="000000" w:themeColor="text1"/>
                <w:sz w:val="24"/>
                <w:szCs w:val="24"/>
              </w:rPr>
              <w:fldChar w:fldCharType="end"/>
            </w:r>
          </w:p>
        </w:tc>
      </w:tr>
      <w:tr w:rsidR="002657D1" w:rsidRPr="002657D1" w14:paraId="5D872F00" w14:textId="77777777" w:rsidTr="001A7EE6">
        <w:trPr>
          <w:jc w:val="center"/>
        </w:trPr>
        <w:tc>
          <w:tcPr>
            <w:tcW w:w="2694" w:type="dxa"/>
            <w:tcBorders>
              <w:top w:val="nil"/>
              <w:bottom w:val="nil"/>
            </w:tcBorders>
            <w:vAlign w:val="center"/>
          </w:tcPr>
          <w:p w14:paraId="34182646" w14:textId="4C90D30E"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LCO/5Li</w:t>
            </w:r>
            <w:r w:rsidRPr="002657D1">
              <w:rPr>
                <w:rFonts w:ascii="Times New Roman" w:hAnsi="Times New Roman" w:cs="Times New Roman"/>
                <w:color w:val="000000" w:themeColor="text1"/>
                <w:sz w:val="24"/>
                <w:szCs w:val="24"/>
                <w:vertAlign w:val="subscript"/>
              </w:rPr>
              <w:t>2</w:t>
            </w:r>
            <w:r w:rsidRPr="002657D1">
              <w:rPr>
                <w:rFonts w:ascii="Times New Roman" w:hAnsi="Times New Roman" w:cs="Times New Roman"/>
                <w:color w:val="000000" w:themeColor="text1"/>
                <w:sz w:val="24"/>
                <w:szCs w:val="24"/>
              </w:rPr>
              <w:t>S-3SiS</w:t>
            </w:r>
            <w:r w:rsidRPr="002657D1">
              <w:rPr>
                <w:rFonts w:ascii="Times New Roman" w:hAnsi="Times New Roman" w:cs="Times New Roman"/>
                <w:color w:val="000000" w:themeColor="text1"/>
                <w:sz w:val="24"/>
                <w:szCs w:val="24"/>
                <w:vertAlign w:val="subscript"/>
              </w:rPr>
              <w:t>2</w:t>
            </w:r>
            <w:r w:rsidRPr="002657D1">
              <w:rPr>
                <w:rFonts w:ascii="Times New Roman" w:hAnsi="Times New Roman" w:cs="Times New Roman"/>
                <w:color w:val="000000" w:themeColor="text1"/>
                <w:sz w:val="24"/>
                <w:szCs w:val="24"/>
              </w:rPr>
              <w:t>/Li</w:t>
            </w:r>
          </w:p>
        </w:tc>
        <w:tc>
          <w:tcPr>
            <w:tcW w:w="1842" w:type="dxa"/>
            <w:tcBorders>
              <w:top w:val="nil"/>
              <w:bottom w:val="nil"/>
            </w:tcBorders>
            <w:vAlign w:val="center"/>
          </w:tcPr>
          <w:p w14:paraId="1D811C48" w14:textId="5581D1C1"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5</w:t>
            </w:r>
          </w:p>
        </w:tc>
        <w:tc>
          <w:tcPr>
            <w:tcW w:w="1276" w:type="dxa"/>
            <w:tcBorders>
              <w:top w:val="nil"/>
              <w:bottom w:val="nil"/>
            </w:tcBorders>
            <w:vAlign w:val="center"/>
          </w:tcPr>
          <w:p w14:paraId="7D26A941" w14:textId="5178A8D3"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107.8</w:t>
            </w:r>
          </w:p>
        </w:tc>
        <w:tc>
          <w:tcPr>
            <w:tcW w:w="1418" w:type="dxa"/>
            <w:tcBorders>
              <w:top w:val="nil"/>
              <w:bottom w:val="nil"/>
            </w:tcBorders>
            <w:vAlign w:val="center"/>
          </w:tcPr>
          <w:p w14:paraId="4F381E2B" w14:textId="46A67F76"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 xml:space="preserve">0.54 </w:t>
            </w:r>
          </w:p>
        </w:tc>
        <w:tc>
          <w:tcPr>
            <w:tcW w:w="1417" w:type="dxa"/>
            <w:tcBorders>
              <w:top w:val="nil"/>
              <w:bottom w:val="nil"/>
            </w:tcBorders>
            <w:vAlign w:val="center"/>
          </w:tcPr>
          <w:p w14:paraId="580541DF" w14:textId="2001AB63"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100@0.1 C</w:t>
            </w:r>
          </w:p>
        </w:tc>
        <w:tc>
          <w:tcPr>
            <w:tcW w:w="1559" w:type="dxa"/>
            <w:tcBorders>
              <w:top w:val="nil"/>
              <w:bottom w:val="nil"/>
            </w:tcBorders>
            <w:vAlign w:val="center"/>
          </w:tcPr>
          <w:p w14:paraId="5CBCDD34" w14:textId="7B18BA6C"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0.300</w:t>
            </w:r>
          </w:p>
        </w:tc>
        <w:tc>
          <w:tcPr>
            <w:tcW w:w="1560" w:type="dxa"/>
            <w:tcBorders>
              <w:top w:val="nil"/>
              <w:bottom w:val="nil"/>
            </w:tcBorders>
            <w:vAlign w:val="center"/>
          </w:tcPr>
          <w:p w14:paraId="36EA45B1" w14:textId="4745B388"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tcBorders>
              <w:top w:val="nil"/>
              <w:bottom w:val="nil"/>
            </w:tcBorders>
            <w:vAlign w:val="center"/>
          </w:tcPr>
          <w:p w14:paraId="54806A9F" w14:textId="7467C260"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{"citationID":"lFB63jTy","properties":{"formattedCitation":"\\super 94\\nosupersub{}","plainCitation":"94","noteIndex":0},"citationItems":[{"id":"IXaoCdHi/Z2xsFxWa","uris":["http://zotero.org/users/local/As3BANDe/items/RXYX</w:instrText>
            </w:r>
            <w:r w:rsidR="00E725CF" w:rsidRPr="002657D1">
              <w:rPr>
                <w:rFonts w:ascii="Times New Roman" w:hAnsi="Times New Roman" w:cs="Times New Roman" w:hint="eastAsia"/>
                <w:color w:val="000000" w:themeColor="text1"/>
                <w:sz w:val="24"/>
                <w:szCs w:val="24"/>
              </w:rPr>
              <w:instrText>JTVD"],"itemData":{"id":4926,"type":"article-journal","abstract":"Abstract\n            \n              Amorphous 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electrolytes (SSEs) play a pivotal role as fundamental components within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lithium batteries, yet their understandi</w:instrText>
            </w:r>
            <w:r w:rsidR="00E725CF" w:rsidRPr="002657D1">
              <w:rPr>
                <w:rFonts w:ascii="Times New Roman" w:hAnsi="Times New Roman" w:cs="Times New Roman"/>
                <w:color w:val="000000" w:themeColor="text1"/>
                <w:sz w:val="24"/>
                <w:szCs w:val="24"/>
              </w:rPr>
              <w:instrText>ng lags behind that of crystalline materials. In this work, a novel amorphous SSE 5Li\n              2\n              S</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3SiS\n              2\n              (mol %) with a high ionic conductivity of 1.2 mS cm\n              −1\n              is first reported. The silicon and sulfur atoms in the edge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 xml:space="preserve">sharing Si\n              2\n              S\n              6\n              4−\n              are less attracted to lithium compared to the SiS\n              4\n              4−\n              anion, which </w:instrText>
            </w:r>
            <w:r w:rsidR="00E725CF" w:rsidRPr="002657D1">
              <w:rPr>
                <w:rFonts w:ascii="Times New Roman" w:hAnsi="Times New Roman" w:cs="Times New Roman" w:hint="eastAsia"/>
                <w:color w:val="000000" w:themeColor="text1"/>
                <w:sz w:val="24"/>
                <w:szCs w:val="24"/>
              </w:rPr>
              <w:instrText>is expected to facilitate the lithium ions conduction in SSEs. More importantly, the relationship between the material properties and local structure in the amorphous thiosilicate SSEs is revealed, particularly highlighting the desirable edge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sharing loca</w:instrText>
            </w:r>
            <w:r w:rsidR="00E725CF" w:rsidRPr="002657D1">
              <w:rPr>
                <w:rFonts w:ascii="Times New Roman" w:hAnsi="Times New Roman" w:cs="Times New Roman"/>
                <w:color w:val="000000" w:themeColor="text1"/>
                <w:sz w:val="24"/>
                <w:szCs w:val="24"/>
              </w:rPr>
              <w:instrText>l structure. The Si\n              2\n              S\n              6\n              4−\n              presents better stability with Li metal. This work offers an important guideline in the development of anion frameworks in amorphous sulfide SSEs for h</w:instrText>
            </w:r>
            <w:r w:rsidR="00E725CF" w:rsidRPr="002657D1">
              <w:rPr>
                <w:rFonts w:ascii="Times New Roman" w:hAnsi="Times New Roman" w:cs="Times New Roman" w:hint="eastAsia"/>
                <w:color w:val="000000" w:themeColor="text1"/>
                <w:sz w:val="24"/>
                <w:szCs w:val="24"/>
              </w:rPr>
              <w:instrText>igh</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performance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lithium metal batteries.","container-title":"Advanced Energy Materials","DOI":"10.1002/aenm.202304556","ISSN":"1614-6832, 1614-6840","issue":"35","journalAbbreviation":"Advanced Energy Materials","language":"en","page":"2304556","source":"DOI.org (Crossref)","title":"Regulating Ion Diffusion and Stability in Amorphous Thiosilicate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Based Solid Electrolytes Through Edge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Sharing Local Structures","volume":"14","author":[{"family":"Hao","given":"Xiaoge"},{"family":"Quirk","give</w:instrText>
            </w:r>
            <w:r w:rsidR="00E725CF" w:rsidRPr="002657D1">
              <w:rPr>
                <w:rFonts w:ascii="Times New Roman" w:hAnsi="Times New Roman" w:cs="Times New Roman"/>
                <w:color w:val="000000" w:themeColor="text1"/>
                <w:sz w:val="24"/>
                <w:szCs w:val="24"/>
              </w:rPr>
              <w:instrText xml:space="preserve">n":"James A."},{"family":"Zhao","given":"Feipeng"},{"family":"Alahakoon","given":"Sandamini H"},{"family":"Ma","given":"Jiabin"},{"family":"Fu","given":"Jiamin"},{"family":"Kim","given":"Jung Tae"},{"family":"Li","given":"Weihan"},{"family":"Li","given":"Minsi"},{"family":"Zhang","given":"Shumin"},{"family":"Duan","given":"Hui"},{"family":"Huang","given":"Yining"},{"family":"Dawson","given":"James A."},{"family":"Sun","given":"Xueliang"}],"issued":{"date-parts":[["2024",9]]}}}],"schema":"https://github.com/citation-style-language/schema/raw/master/csl-citation.json"}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94</w:t>
            </w:r>
            <w:r w:rsidRPr="002657D1">
              <w:rPr>
                <w:rFonts w:ascii="Times New Roman" w:hAnsi="Times New Roman" w:cs="Times New Roman"/>
                <w:color w:val="000000" w:themeColor="text1"/>
                <w:sz w:val="24"/>
                <w:szCs w:val="24"/>
              </w:rPr>
              <w:fldChar w:fldCharType="end"/>
            </w:r>
          </w:p>
        </w:tc>
      </w:tr>
      <w:tr w:rsidR="002657D1" w:rsidRPr="002657D1" w14:paraId="5C3A33BA" w14:textId="77777777" w:rsidTr="001A7EE6">
        <w:trPr>
          <w:jc w:val="center"/>
        </w:trPr>
        <w:tc>
          <w:tcPr>
            <w:tcW w:w="2694" w:type="dxa"/>
            <w:tcBorders>
              <w:top w:val="nil"/>
              <w:bottom w:val="nil"/>
            </w:tcBorders>
            <w:vAlign w:val="center"/>
          </w:tcPr>
          <w:p w14:paraId="2622F9A7" w14:textId="3FFB1B2C"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lastRenderedPageBreak/>
              <w:t>NCM811/Li</w:t>
            </w:r>
            <w:r w:rsidRPr="002657D1">
              <w:rPr>
                <w:rFonts w:ascii="Times New Roman" w:hAnsi="Times New Roman" w:cs="Times New Roman"/>
                <w:color w:val="000000" w:themeColor="text1"/>
                <w:sz w:val="24"/>
                <w:szCs w:val="24"/>
                <w:vertAlign w:val="subscript"/>
              </w:rPr>
              <w:t>6.16</w:t>
            </w:r>
            <w:r w:rsidRPr="002657D1">
              <w:rPr>
                <w:rFonts w:ascii="Times New Roman" w:hAnsi="Times New Roman" w:cs="Times New Roman"/>
                <w:color w:val="000000" w:themeColor="text1"/>
                <w:sz w:val="24"/>
                <w:szCs w:val="24"/>
              </w:rPr>
              <w:t>P</w:t>
            </w:r>
            <w:r w:rsidRPr="002657D1">
              <w:rPr>
                <w:rFonts w:ascii="Times New Roman" w:hAnsi="Times New Roman" w:cs="Times New Roman"/>
                <w:color w:val="000000" w:themeColor="text1"/>
                <w:sz w:val="24"/>
                <w:szCs w:val="24"/>
                <w:vertAlign w:val="subscript"/>
              </w:rPr>
              <w:t>0.92</w:t>
            </w:r>
            <w:r w:rsidRPr="002657D1">
              <w:rPr>
                <w:rFonts w:ascii="Times New Roman" w:hAnsi="Times New Roman" w:cs="Times New Roman"/>
                <w:color w:val="000000" w:themeColor="text1"/>
                <w:sz w:val="24"/>
                <w:szCs w:val="24"/>
              </w:rPr>
              <w:t>In0.08S</w:t>
            </w:r>
            <w:r w:rsidRPr="002657D1">
              <w:rPr>
                <w:rFonts w:ascii="Times New Roman" w:hAnsi="Times New Roman" w:cs="Times New Roman"/>
                <w:color w:val="000000" w:themeColor="text1"/>
                <w:sz w:val="24"/>
                <w:szCs w:val="24"/>
                <w:vertAlign w:val="subscript"/>
              </w:rPr>
              <w:t>4.88</w:t>
            </w:r>
            <w:r w:rsidRPr="002657D1">
              <w:rPr>
                <w:rFonts w:ascii="Times New Roman" w:hAnsi="Times New Roman" w:cs="Times New Roman"/>
                <w:color w:val="000000" w:themeColor="text1"/>
                <w:sz w:val="24"/>
                <w:szCs w:val="24"/>
              </w:rPr>
              <w:t>O</w:t>
            </w:r>
            <w:r w:rsidRPr="002657D1">
              <w:rPr>
                <w:rFonts w:ascii="Times New Roman" w:hAnsi="Times New Roman" w:cs="Times New Roman"/>
                <w:color w:val="000000" w:themeColor="text1"/>
                <w:sz w:val="24"/>
                <w:szCs w:val="24"/>
                <w:vertAlign w:val="subscript"/>
              </w:rPr>
              <w:t>0.12</w:t>
            </w:r>
            <w:r w:rsidRPr="002657D1">
              <w:rPr>
                <w:rFonts w:ascii="Times New Roman" w:hAnsi="Times New Roman" w:cs="Times New Roman"/>
                <w:color w:val="000000" w:themeColor="text1"/>
                <w:sz w:val="24"/>
                <w:szCs w:val="24"/>
              </w:rPr>
              <w:t>Cl/</w:t>
            </w:r>
            <w:r w:rsidRPr="002657D1">
              <w:rPr>
                <w:rFonts w:ascii="Times New Roman" w:hAnsi="Times New Roman" w:cs="Times New Roman" w:hint="eastAsia"/>
                <w:color w:val="000000" w:themeColor="text1"/>
                <w:sz w:val="24"/>
                <w:szCs w:val="24"/>
              </w:rPr>
              <w:t>Li</w:t>
            </w:r>
          </w:p>
        </w:tc>
        <w:tc>
          <w:tcPr>
            <w:tcW w:w="1842" w:type="dxa"/>
            <w:tcBorders>
              <w:top w:val="nil"/>
              <w:bottom w:val="nil"/>
            </w:tcBorders>
            <w:vAlign w:val="center"/>
          </w:tcPr>
          <w:p w14:paraId="26D04FAA" w14:textId="676342BB"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8.91</w:t>
            </w:r>
          </w:p>
        </w:tc>
        <w:tc>
          <w:tcPr>
            <w:tcW w:w="1276" w:type="dxa"/>
            <w:tcBorders>
              <w:top w:val="nil"/>
              <w:bottom w:val="nil"/>
            </w:tcBorders>
            <w:vAlign w:val="center"/>
          </w:tcPr>
          <w:p w14:paraId="208CF7FD" w14:textId="66E08707"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161.6</w:t>
            </w:r>
          </w:p>
        </w:tc>
        <w:tc>
          <w:tcPr>
            <w:tcW w:w="1418" w:type="dxa"/>
            <w:tcBorders>
              <w:top w:val="nil"/>
              <w:bottom w:val="nil"/>
            </w:tcBorders>
            <w:vAlign w:val="center"/>
          </w:tcPr>
          <w:p w14:paraId="5B126679" w14:textId="043AF317"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 xml:space="preserve">1.44 </w:t>
            </w:r>
          </w:p>
        </w:tc>
        <w:tc>
          <w:tcPr>
            <w:tcW w:w="1417" w:type="dxa"/>
            <w:tcBorders>
              <w:top w:val="nil"/>
              <w:bottom w:val="nil"/>
            </w:tcBorders>
            <w:vAlign w:val="center"/>
          </w:tcPr>
          <w:p w14:paraId="27782DD2" w14:textId="7EB4A9AE"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100@0.1 C</w:t>
            </w:r>
          </w:p>
        </w:tc>
        <w:tc>
          <w:tcPr>
            <w:tcW w:w="1559" w:type="dxa"/>
            <w:tcBorders>
              <w:top w:val="nil"/>
              <w:bottom w:val="nil"/>
            </w:tcBorders>
            <w:vAlign w:val="center"/>
          </w:tcPr>
          <w:p w14:paraId="48828849" w14:textId="73DE8081"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0.171</w:t>
            </w:r>
          </w:p>
        </w:tc>
        <w:tc>
          <w:tcPr>
            <w:tcW w:w="1560" w:type="dxa"/>
            <w:tcBorders>
              <w:top w:val="nil"/>
              <w:bottom w:val="nil"/>
            </w:tcBorders>
            <w:vAlign w:val="center"/>
          </w:tcPr>
          <w:p w14:paraId="6BF20752" w14:textId="547F01E2"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tcBorders>
              <w:top w:val="nil"/>
              <w:bottom w:val="nil"/>
            </w:tcBorders>
            <w:vAlign w:val="center"/>
          </w:tcPr>
          <w:p w14:paraId="3F0FCD0D" w14:textId="76EBEE28"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{"citationID":"Q4EGA7Ii","properties":{"formattedCitation":"\\super 95\\nosupersub{}","plainCitation":"95","noteIndex":0},"citationItems":[{"id":"IXaoCdHi/jNHT3p2B","uris":["http://zotero.org/users/local/As3BANDe/items/UI32</w:instrText>
            </w:r>
            <w:r w:rsidR="00E725CF" w:rsidRPr="002657D1">
              <w:rPr>
                <w:rFonts w:ascii="Times New Roman" w:hAnsi="Times New Roman" w:cs="Times New Roman" w:hint="eastAsia"/>
                <w:color w:val="000000" w:themeColor="text1"/>
                <w:sz w:val="24"/>
                <w:szCs w:val="24"/>
              </w:rPr>
              <w:instrText>A537"],"itemData":{"id":4928,"type":"article-journal","abstract":"Abstract\n            \n              Sulfide solid electrolytes (SSEs) have become an ideal candidate material for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 xml:space="preserve">state Li metal batteries (ASSLMBs) because of their high ionic </w:instrText>
            </w:r>
            <w:r w:rsidR="00E725CF" w:rsidRPr="002657D1">
              <w:rPr>
                <w:rFonts w:ascii="Times New Roman" w:hAnsi="Times New Roman" w:cs="Times New Roman"/>
                <w:color w:val="000000" w:themeColor="text1"/>
                <w:sz w:val="24"/>
                <w:szCs w:val="24"/>
              </w:rPr>
              <w:instrText xml:space="preserve">conductivity. However, the vile Li incompatibility and poor air stability of SSEs barriers their commercial application. Herein, novel Li\n              6+2x\n              P\n              1−x\n              In\n              x\n              S\n              5−1.5x\n              O\n              1.5x\n              Cl (0 </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 xml:space="preserve"> x </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 xml:space="preserve"> 0.1) SSEs are synthesized via In and O co</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doped Li\n              6\n              PS\n              5\n              Cl. By regulating the substitution concentration, the prepared Li\n              6.12\n              P\n              0.92\n              In\n              0.08\n              S\n              4.88\n              O\n              0.12\n              Cl exhibits considerable ionic conductivity (2.67 × 10\n              −3\n               S cm\n              −1\n              ) and enhanced air stability. Based on the first</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 xml:space="preserve">principles density functional theory (DFT) calculation, it is predicted that In\n              3+\n              replaces P\n              5+\n              to form InS\n              4\n              5−\n              tetrahedron and O\n              2−\n              replaces S\n              2−\n              to form PS\n              3\n              O\n              4−\n              group. </w:instrText>
            </w:r>
            <w:r w:rsidR="00E725CF" w:rsidRPr="002657D1">
              <w:rPr>
                <w:rFonts w:ascii="Times New Roman" w:hAnsi="Times New Roman" w:cs="Times New Roman" w:hint="eastAsia"/>
                <w:color w:val="000000" w:themeColor="text1"/>
                <w:sz w:val="24"/>
                <w:szCs w:val="24"/>
              </w:rPr>
              <w:instrText>The mechanism of enhancing air stability by In, O co</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substituting Li\n              6\n              PS\n              5\n              Cl is clarified. More remarkably, the formation of 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In alloys induced by Li\n              6.16\n              P\n              0.92\n              In\n              0.08\n              S\n              4.88\n              O\n              0.12\n              Cl electrolyte at the anode interface is beneficial to reducing the migration barrier of 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ions, promoting thei</w:instrText>
            </w:r>
            <w:r w:rsidR="00E725CF" w:rsidRPr="002657D1">
              <w:rPr>
                <w:rFonts w:ascii="Times New Roman" w:hAnsi="Times New Roman" w:cs="Times New Roman"/>
                <w:color w:val="000000" w:themeColor="text1"/>
                <w:sz w:val="24"/>
                <w:szCs w:val="24"/>
              </w:rPr>
              <w:instrText>r remote migration, and enhancing the stability of the Li/SSEs interface. The optimized electrolyte shows superior critical current density (1.4 mA cm\n              −2\n              ) and satisfactory Li dendrite inhibition (stable cycle at 0.1 mA cm\n              −2\n              over 3000 h). The ASSLMBs with Li\n              6.16\n              P\n              0.92\n              In\n              0.08\n              S\n              4.88\n              O\n              0.12\n              Cl ele</w:instrText>
            </w:r>
            <w:r w:rsidR="00E725CF" w:rsidRPr="002657D1">
              <w:rPr>
                <w:rFonts w:ascii="Times New Roman" w:hAnsi="Times New Roman" w:cs="Times New Roman" w:hint="eastAsia"/>
                <w:color w:val="000000" w:themeColor="text1"/>
                <w:sz w:val="24"/>
                <w:szCs w:val="24"/>
              </w:rPr>
              <w:instrText>ctrolyte reveal considerable cycle stability. This work emphasizes In, O co</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doping to address redox issues of sulfide electrolytes.","container-title":"Advanced Functional Materials","DOI":"10.1002/adfm.202313308","ISSN":"1616-301X, 1616-3028","issue":"18","journalAbbreviation":"Adv Funct Materials","language":"en","page":"2313308","source":"DOI.org (Crossref)","title":"Enhanced Air Stability and Li Metal Compatibility of 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Argyrodite Electrolytes Triggered by In&lt;sub&gt;2&lt;/sub&gt; O&lt;sub&gt;3&lt;/sub&gt; Co</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Doping for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Li Metal Batteries","volume":"34","author":[{"family":"Wang","given":"Chengdeng"},{"family":"Hao","given":"Jiamao"},{"family":"Wu","given":"Jun"},{"family":"Shi","given":"Haofeng"},{"family":"Fan","given":"Liubing"},{"family":"Wang","given"</w:instrText>
            </w:r>
            <w:r w:rsidR="00E725CF" w:rsidRPr="002657D1">
              <w:rPr>
                <w:rFonts w:ascii="Times New Roman" w:hAnsi="Times New Roman" w:cs="Times New Roman"/>
                <w:color w:val="000000" w:themeColor="text1"/>
                <w:sz w:val="24"/>
                <w:szCs w:val="24"/>
              </w:rPr>
              <w:instrText xml:space="preserve">:"Jiashuai"},{"family":"Wang","given":"Zhaokun"},{"family":"Wang","given":"Zhi"},{"family":"Yang","given":"Lu"},{"family":"Gao","given":"Yan"},{"family":"Yan","given":"Xiaoqin"},{"family":"Gu","given":"Yousong"}],"issued":{"date-parts":[["2024",5]]}}}],"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95</w:t>
            </w:r>
            <w:r w:rsidRPr="002657D1">
              <w:rPr>
                <w:rFonts w:ascii="Times New Roman" w:hAnsi="Times New Roman" w:cs="Times New Roman"/>
                <w:color w:val="000000" w:themeColor="text1"/>
                <w:sz w:val="24"/>
                <w:szCs w:val="24"/>
              </w:rPr>
              <w:fldChar w:fldCharType="end"/>
            </w:r>
          </w:p>
        </w:tc>
      </w:tr>
      <w:tr w:rsidR="002657D1" w:rsidRPr="002657D1" w14:paraId="5E013316" w14:textId="77777777" w:rsidTr="001A7EE6">
        <w:trPr>
          <w:jc w:val="center"/>
        </w:trPr>
        <w:tc>
          <w:tcPr>
            <w:tcW w:w="2694" w:type="dxa"/>
            <w:tcBorders>
              <w:top w:val="nil"/>
              <w:bottom w:val="nil"/>
            </w:tcBorders>
            <w:vAlign w:val="center"/>
          </w:tcPr>
          <w:p w14:paraId="1F560ED8" w14:textId="132BC4D4"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NCM811/LPSDBM7/</w:t>
            </w:r>
            <w:r w:rsidRPr="002657D1">
              <w:rPr>
                <w:rFonts w:ascii="Times New Roman" w:hAnsi="Times New Roman" w:cs="Times New Roman" w:hint="eastAsia"/>
                <w:color w:val="000000" w:themeColor="text1"/>
                <w:sz w:val="24"/>
                <w:szCs w:val="24"/>
              </w:rPr>
              <w:t>Li</w:t>
            </w:r>
          </w:p>
        </w:tc>
        <w:tc>
          <w:tcPr>
            <w:tcW w:w="1842" w:type="dxa"/>
            <w:tcBorders>
              <w:top w:val="nil"/>
              <w:bottom w:val="nil"/>
            </w:tcBorders>
            <w:vAlign w:val="center"/>
          </w:tcPr>
          <w:p w14:paraId="438438BB" w14:textId="2424D468"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10.39</w:t>
            </w:r>
          </w:p>
        </w:tc>
        <w:tc>
          <w:tcPr>
            <w:tcW w:w="1276" w:type="dxa"/>
            <w:tcBorders>
              <w:top w:val="nil"/>
              <w:bottom w:val="nil"/>
            </w:tcBorders>
            <w:vAlign w:val="center"/>
          </w:tcPr>
          <w:p w14:paraId="4281239E" w14:textId="6C7ABCBF"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148.1</w:t>
            </w:r>
          </w:p>
        </w:tc>
        <w:tc>
          <w:tcPr>
            <w:tcW w:w="1418" w:type="dxa"/>
            <w:tcBorders>
              <w:top w:val="nil"/>
              <w:bottom w:val="nil"/>
            </w:tcBorders>
            <w:vAlign w:val="center"/>
          </w:tcPr>
          <w:p w14:paraId="6F403B63" w14:textId="21A2B146"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 xml:space="preserve">1.54 </w:t>
            </w:r>
          </w:p>
        </w:tc>
        <w:tc>
          <w:tcPr>
            <w:tcW w:w="1417" w:type="dxa"/>
            <w:tcBorders>
              <w:top w:val="nil"/>
              <w:bottom w:val="nil"/>
            </w:tcBorders>
            <w:vAlign w:val="center"/>
          </w:tcPr>
          <w:p w14:paraId="23AF1736" w14:textId="71718554"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100@0.2 C</w:t>
            </w:r>
          </w:p>
        </w:tc>
        <w:tc>
          <w:tcPr>
            <w:tcW w:w="1559" w:type="dxa"/>
            <w:tcBorders>
              <w:top w:val="nil"/>
              <w:bottom w:val="nil"/>
            </w:tcBorders>
            <w:vAlign w:val="center"/>
          </w:tcPr>
          <w:p w14:paraId="0F1A4664" w14:textId="2B14D955"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0.170</w:t>
            </w:r>
          </w:p>
        </w:tc>
        <w:tc>
          <w:tcPr>
            <w:tcW w:w="1560" w:type="dxa"/>
            <w:tcBorders>
              <w:top w:val="nil"/>
              <w:bottom w:val="nil"/>
            </w:tcBorders>
            <w:vAlign w:val="center"/>
          </w:tcPr>
          <w:p w14:paraId="0E3340C0" w14:textId="6855190E"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60</w:t>
            </w:r>
          </w:p>
        </w:tc>
        <w:tc>
          <w:tcPr>
            <w:tcW w:w="1275" w:type="dxa"/>
            <w:tcBorders>
              <w:top w:val="nil"/>
              <w:bottom w:val="nil"/>
            </w:tcBorders>
            <w:vAlign w:val="center"/>
          </w:tcPr>
          <w:p w14:paraId="5F47BBEC" w14:textId="7B06B26F"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{"citationID":"c6KaG5Ij","properties":{"formattedCitation":"\\super 96\\nosupersub{}","plainCitation":"96","noteIndex":0},"citationItems":[{"id":"IXaoCdHi/yva4jzpq","uris":["http://zotero.org/users/local/As3BANDe/items/S2646VH7"],"itemData":{"id":4932,"type":"article-journal","abstract":"Increasing conductivity and stability is one of the essential and ultimate goals for electrolyte research. For sulfide solid-state electrolytes (SSEs), elemental doping is often suggested for this purpose. A typical doping method for sulfide SSE is an energy intensive and non-uniform solid-state reaction, because most solvents react with sulfide SSEs. Here, we have demonstrated that highly efficient Br-doping into lithium thiophosphate Li3PS4 (LPS) can be achieved through a solution-based strategy using dibromomethane (DBM) as Br-source and solvent in a ballmilling process. In this “mechano-chemical” process, simultaneous pulverization of large LPS particles and Brdoping occur, achieving remarkably improved Li+ ion conductivity (1.3 mS cm− 1) which is eight times higher than that of the pristine LPS at only 1.14 at. % Br doping. This conductivity is one of the highest for LPS SSE, especially at this low doping level. The LPS to DBM ratio critically affects the efficiency of these chemical and physical modifications. In all-solid-state lithium-metal-batteries, the modified LPS exhibited exceptional cycling stability with reduced overpotential. The Li-Li symmetric cell demonstrated extremely stable Li deposition and stripping for over 1350 h, and the full cell with the Li anode and Li[Ni0.8Co0.1Mn0.1]O2 cathode retained 83 % of its initial capacity after 100 cycles. With possible application toward the slurry fabrication of LPS SSEs, the proposed approach provides a new and effective strategy for fabricating high-performance sulfide SSEs for largescale applications.","container-title":"Energy Storage Materials","DOI":"10.1016/j.ensm.2023.102985","ISSN":"24058297","journalAbbreviation":"Energy Storage Materials","language":"en","page":"102985","source":"DOI.org (Crossref)","title":"Mechano-chemical solution process for Li3PS4 solid electrolyte using dibromomethane for enhanced conductivity and cyclability in all-solid-state batteries","volume":"63","author":[{"family":"Park","given":"Sol Hui"},{"family":"Hwang","given":"Ye Yeong"},{"family":"Park","given":"Inho"},{"family":"Park","given":"Ho Bum"},{"family":"Lee","given":"Yun Jung"}],"issued":{"date-parts":[["2023",11]]}}}],"schema":"https://github.com/citation-style-language/schema/raw/master/csl-citation.json"}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96</w:t>
            </w:r>
            <w:r w:rsidRPr="002657D1">
              <w:rPr>
                <w:rFonts w:ascii="Times New Roman" w:hAnsi="Times New Roman" w:cs="Times New Roman"/>
                <w:color w:val="000000" w:themeColor="text1"/>
                <w:sz w:val="24"/>
                <w:szCs w:val="24"/>
              </w:rPr>
              <w:fldChar w:fldCharType="end"/>
            </w:r>
          </w:p>
        </w:tc>
      </w:tr>
      <w:tr w:rsidR="002657D1" w:rsidRPr="002657D1" w14:paraId="039F5FF0" w14:textId="77777777" w:rsidTr="001A7EE6">
        <w:trPr>
          <w:jc w:val="center"/>
        </w:trPr>
        <w:tc>
          <w:tcPr>
            <w:tcW w:w="2694" w:type="dxa"/>
            <w:tcBorders>
              <w:top w:val="nil"/>
              <w:bottom w:val="nil"/>
            </w:tcBorders>
            <w:vAlign w:val="center"/>
          </w:tcPr>
          <w:p w14:paraId="1F0B924F" w14:textId="3AAB5BDE"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NCM523/Li</w:t>
            </w:r>
            <w:r w:rsidRPr="002657D1">
              <w:rPr>
                <w:rFonts w:ascii="Times New Roman" w:hAnsi="Times New Roman" w:cs="Times New Roman"/>
                <w:color w:val="000000" w:themeColor="text1"/>
                <w:sz w:val="24"/>
                <w:szCs w:val="24"/>
                <w:vertAlign w:val="subscript"/>
              </w:rPr>
              <w:t>3.12</w:t>
            </w:r>
            <w:r w:rsidRPr="002657D1">
              <w:rPr>
                <w:rFonts w:ascii="Times New Roman" w:hAnsi="Times New Roman" w:cs="Times New Roman"/>
                <w:color w:val="000000" w:themeColor="text1"/>
                <w:sz w:val="24"/>
                <w:szCs w:val="24"/>
              </w:rPr>
              <w:t>P</w:t>
            </w:r>
            <w:r w:rsidRPr="002657D1">
              <w:rPr>
                <w:rFonts w:ascii="Times New Roman" w:hAnsi="Times New Roman" w:cs="Times New Roman"/>
                <w:color w:val="000000" w:themeColor="text1"/>
                <w:sz w:val="24"/>
                <w:szCs w:val="24"/>
                <w:vertAlign w:val="subscript"/>
              </w:rPr>
              <w:t>0.94</w:t>
            </w:r>
            <w:r w:rsidRPr="002657D1">
              <w:rPr>
                <w:rFonts w:ascii="Times New Roman" w:hAnsi="Times New Roman" w:cs="Times New Roman"/>
                <w:color w:val="000000" w:themeColor="text1"/>
                <w:sz w:val="24"/>
                <w:szCs w:val="24"/>
              </w:rPr>
              <w:t>Bi</w:t>
            </w:r>
            <w:r w:rsidRPr="002657D1">
              <w:rPr>
                <w:rFonts w:ascii="Times New Roman" w:hAnsi="Times New Roman" w:cs="Times New Roman"/>
                <w:color w:val="000000" w:themeColor="text1"/>
                <w:sz w:val="24"/>
                <w:szCs w:val="24"/>
                <w:vertAlign w:val="subscript"/>
              </w:rPr>
              <w:t>0.06</w:t>
            </w:r>
            <w:r w:rsidRPr="002657D1">
              <w:rPr>
                <w:rFonts w:ascii="Times New Roman" w:hAnsi="Times New Roman" w:cs="Times New Roman"/>
                <w:color w:val="000000" w:themeColor="text1"/>
                <w:sz w:val="24"/>
                <w:szCs w:val="24"/>
              </w:rPr>
              <w:t>S</w:t>
            </w:r>
            <w:r w:rsidRPr="002657D1">
              <w:rPr>
                <w:rFonts w:ascii="Times New Roman" w:hAnsi="Times New Roman" w:cs="Times New Roman"/>
                <w:color w:val="000000" w:themeColor="text1"/>
                <w:sz w:val="24"/>
                <w:szCs w:val="24"/>
                <w:vertAlign w:val="subscript"/>
              </w:rPr>
              <w:t>3.91</w:t>
            </w:r>
            <w:r w:rsidRPr="002657D1">
              <w:rPr>
                <w:rFonts w:ascii="Times New Roman" w:hAnsi="Times New Roman" w:cs="Times New Roman"/>
                <w:color w:val="000000" w:themeColor="text1"/>
                <w:sz w:val="24"/>
                <w:szCs w:val="24"/>
              </w:rPr>
              <w:t>O</w:t>
            </w:r>
            <w:r w:rsidRPr="002657D1">
              <w:rPr>
                <w:rFonts w:ascii="Times New Roman" w:hAnsi="Times New Roman" w:cs="Times New Roman"/>
                <w:color w:val="000000" w:themeColor="text1"/>
                <w:sz w:val="24"/>
                <w:szCs w:val="24"/>
                <w:vertAlign w:val="subscript"/>
              </w:rPr>
              <w:t>0.09</w:t>
            </w:r>
            <w:r w:rsidRPr="002657D1">
              <w:rPr>
                <w:rFonts w:ascii="Times New Roman" w:hAnsi="Times New Roman" w:cs="Times New Roman"/>
                <w:color w:val="000000" w:themeColor="text1"/>
                <w:sz w:val="24"/>
                <w:szCs w:val="24"/>
              </w:rPr>
              <w:t>/Li</w:t>
            </w:r>
          </w:p>
        </w:tc>
        <w:tc>
          <w:tcPr>
            <w:tcW w:w="1842" w:type="dxa"/>
            <w:tcBorders>
              <w:top w:val="nil"/>
              <w:bottom w:val="nil"/>
            </w:tcBorders>
            <w:vAlign w:val="center"/>
          </w:tcPr>
          <w:p w14:paraId="19F89DB2" w14:textId="6B71DB57"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4.41</w:t>
            </w:r>
          </w:p>
        </w:tc>
        <w:tc>
          <w:tcPr>
            <w:tcW w:w="1276" w:type="dxa"/>
            <w:tcBorders>
              <w:top w:val="nil"/>
              <w:bottom w:val="nil"/>
            </w:tcBorders>
            <w:vAlign w:val="center"/>
          </w:tcPr>
          <w:p w14:paraId="71C66398" w14:textId="76AF56A9"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127.5</w:t>
            </w:r>
          </w:p>
        </w:tc>
        <w:tc>
          <w:tcPr>
            <w:tcW w:w="1418" w:type="dxa"/>
            <w:tcBorders>
              <w:top w:val="nil"/>
              <w:bottom w:val="nil"/>
            </w:tcBorders>
            <w:vAlign w:val="center"/>
          </w:tcPr>
          <w:p w14:paraId="62E7A551" w14:textId="4DF2A79B"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0.56</w:t>
            </w:r>
          </w:p>
        </w:tc>
        <w:tc>
          <w:tcPr>
            <w:tcW w:w="1417" w:type="dxa"/>
            <w:tcBorders>
              <w:top w:val="nil"/>
              <w:bottom w:val="nil"/>
            </w:tcBorders>
            <w:vAlign w:val="center"/>
          </w:tcPr>
          <w:p w14:paraId="0BF07499" w14:textId="59E2686B"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50@0.1 C</w:t>
            </w:r>
          </w:p>
        </w:tc>
        <w:tc>
          <w:tcPr>
            <w:tcW w:w="1559" w:type="dxa"/>
            <w:tcBorders>
              <w:top w:val="nil"/>
              <w:bottom w:val="nil"/>
            </w:tcBorders>
            <w:vAlign w:val="center"/>
          </w:tcPr>
          <w:p w14:paraId="22B5C177" w14:textId="5DCCC934"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0.336</w:t>
            </w:r>
          </w:p>
        </w:tc>
        <w:tc>
          <w:tcPr>
            <w:tcW w:w="1560" w:type="dxa"/>
            <w:tcBorders>
              <w:top w:val="nil"/>
              <w:bottom w:val="nil"/>
            </w:tcBorders>
            <w:vAlign w:val="center"/>
          </w:tcPr>
          <w:p w14:paraId="6BBE123A" w14:textId="7E0B20A6"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tcBorders>
              <w:top w:val="nil"/>
              <w:bottom w:val="nil"/>
            </w:tcBorders>
            <w:vAlign w:val="center"/>
          </w:tcPr>
          <w:p w14:paraId="75CE3A4C" w14:textId="1243ECAC"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{"citationID":"MdUQoVKM","properties":{"formattedCitation":"\\super 97\\nosupersub{}","plainCitation":"97","noteIndex":0},"citationItems":[{"id":"IXaoCdHi/XMbro7P5","uris":["http://zotero.org/users/local/As3BANDe/items/RQHP</w:instrText>
            </w:r>
            <w:r w:rsidR="00E725CF" w:rsidRPr="002657D1">
              <w:rPr>
                <w:rFonts w:ascii="Times New Roman" w:hAnsi="Times New Roman" w:cs="Times New Roman" w:hint="eastAsia"/>
                <w:color w:val="000000" w:themeColor="text1"/>
                <w:sz w:val="24"/>
                <w:szCs w:val="24"/>
              </w:rPr>
              <w:instrText>SMQR"],"itemData":{"id":1353,"type":"article-journal","abstract":"Abstract\n            \n              Sulfide solid electrolytes (SSEs) for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Li metal batteries (ASSLMBs) are attracting increasing attention due to their ultrahigh ionic conductivity and good machinability. However, current SSEs generally suffer from inferior Li metal compatibility and poor air</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stability, which severely impede their practical applications for ASSLMBs. Herein, novel argyrodite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 xml:space="preserve">based SSEs of Li\n              </w:instrText>
            </w:r>
            <w:r w:rsidR="00E725CF" w:rsidRPr="002657D1">
              <w:rPr>
                <w:rFonts w:ascii="Times New Roman" w:hAnsi="Times New Roman" w:cs="Times New Roman"/>
                <w:color w:val="000000" w:themeColor="text1"/>
                <w:sz w:val="24"/>
                <w:szCs w:val="24"/>
              </w:rPr>
              <w:instrText xml:space="preserve">6+2\n              \n                x\n              \n              P\n              1−\n              \n                x\n              \n              Bi\n              \n                x\n              \n              S\n              5−1.5\n      </w:instrText>
            </w:r>
            <w:r w:rsidR="00E725CF" w:rsidRPr="002657D1">
              <w:rPr>
                <w:rFonts w:ascii="Times New Roman" w:hAnsi="Times New Roman" w:cs="Times New Roman" w:hint="eastAsia"/>
                <w:color w:val="000000" w:themeColor="text1"/>
                <w:sz w:val="24"/>
                <w:szCs w:val="24"/>
              </w:rPr>
              <w:instrText xml:space="preserve">        \n                x\n              \n              O\n              1.5\n              \n                x\n              \n              Cl are synthesized via the Bi, O co</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 xml:space="preserve">doping the Li\n              6\n              PS\n              5\n      </w:instrText>
            </w:r>
            <w:r w:rsidR="00E725CF" w:rsidRPr="002657D1">
              <w:rPr>
                <w:rFonts w:ascii="Times New Roman" w:hAnsi="Times New Roman" w:cs="Times New Roman"/>
                <w:color w:val="000000" w:themeColor="text1"/>
                <w:sz w:val="24"/>
                <w:szCs w:val="24"/>
              </w:rPr>
              <w:instrText xml:space="preserve">        Cl for the first time. By adjusting the concentrations of dopant, the optimized Li\n              6.04\n              P\n              0.98\n              Bi\n              0.02\n              S\n              4.97\n              O\n              0.03\n              Cl presents an ultrahigh ionic conductivity (3.4 × 10\n              −3\n              S cm\n              −1\n              ). Moreover, such electrolyte displays splendid structural stability after exposure to humid air and chloroben</w:instrText>
            </w:r>
            <w:r w:rsidR="00E725CF" w:rsidRPr="002657D1">
              <w:rPr>
                <w:rFonts w:ascii="Times New Roman" w:hAnsi="Times New Roman" w:cs="Times New Roman" w:hint="eastAsia"/>
                <w:color w:val="000000" w:themeColor="text1"/>
                <w:sz w:val="24"/>
                <w:szCs w:val="24"/>
              </w:rPr>
              <w:instrText>zene, demonstrating admirable air</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stability and solvent</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stability. The mechanism of the enhanced air</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stability of oxide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doped SSEs is profoundly understood by conducting first</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 xml:space="preserve">principles density functional theory calculations. In addition, the Li\n       </w:instrText>
            </w:r>
            <w:r w:rsidR="00E725CF" w:rsidRPr="002657D1">
              <w:rPr>
                <w:rFonts w:ascii="Times New Roman" w:hAnsi="Times New Roman" w:cs="Times New Roman"/>
                <w:color w:val="000000" w:themeColor="text1"/>
                <w:sz w:val="24"/>
                <w:szCs w:val="24"/>
              </w:rPr>
              <w:instrText xml:space="preserve">       6.04\n              P\n              0.98\n              Bi\n              0.02\n              S\n              4.97\n              O\n              0.03\n              Cl electrolyte triggers the generation of LiBi alloy at the anode interface, which plays a crucial role in reducing Li\n              +\n              diffusion energy barriers and improving interfacial compatibility, leading to an ultrahigh critical current density of 1.1 mA cm\n              −2\n              and splendid cyclic </w:instrText>
            </w:r>
            <w:r w:rsidR="00E725CF" w:rsidRPr="002657D1">
              <w:rPr>
                <w:rFonts w:ascii="Times New Roman" w:hAnsi="Times New Roman" w:cs="Times New Roman" w:hint="eastAsia"/>
                <w:color w:val="000000" w:themeColor="text1"/>
                <w:sz w:val="24"/>
                <w:szCs w:val="24"/>
              </w:rPr>
              <w:instrText>stability in Li symmetric cell. As a result, ASSLMBs equipped with either pristine or air</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 xml:space="preserve">exposed Li\n              6.04\n              P\n              0.98\n              Bi\n              0.02\n              S\n              4.97\n              O\n    </w:instrText>
            </w:r>
            <w:r w:rsidR="00E725CF" w:rsidRPr="002657D1">
              <w:rPr>
                <w:rFonts w:ascii="Times New Roman" w:hAnsi="Times New Roman" w:cs="Times New Roman"/>
                <w:color w:val="000000" w:themeColor="text1"/>
                <w:sz w:val="24"/>
                <w:szCs w:val="24"/>
              </w:rPr>
              <w:instrText xml:space="preserve">          0.03\n              Cl can deliver satisfying discharge specific capacity at room temperature.","container-title":"Advanced Functional Materials","DOI":"10.1002/adfm.202203858","ISSN":"1616-301X, 1616-3028","issue":"32","journalAbbreviation":"Ad</w:instrText>
            </w:r>
            <w:r w:rsidR="00E725CF" w:rsidRPr="002657D1">
              <w:rPr>
                <w:rFonts w:ascii="Times New Roman" w:hAnsi="Times New Roman" w:cs="Times New Roman" w:hint="eastAsia"/>
                <w:color w:val="000000" w:themeColor="text1"/>
                <w:sz w:val="24"/>
                <w:szCs w:val="24"/>
              </w:rPr>
              <w:instrText>v Funct Materials","language":"en","page":"2203858","source":"DOI.org (Crossref)","title":"High Air Stability and Excellent Li Metal Compatibility of Argyrodite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Based Electrolyte Enabling Superior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Li Metal Batteries","volume":"32","author"</w:instrText>
            </w:r>
            <w:r w:rsidR="00E725CF" w:rsidRPr="002657D1">
              <w:rPr>
                <w:rFonts w:ascii="Times New Roman" w:hAnsi="Times New Roman" w:cs="Times New Roman"/>
                <w:color w:val="000000" w:themeColor="text1"/>
                <w:sz w:val="24"/>
                <w:szCs w:val="24"/>
              </w:rPr>
              <w:instrText>:[{"family":"Liu","given":"Hong"},{"family":"Zhu","given":"Qisi"},{"family":"Wang","given":"Chao"},{"family":"Wang","given":"Guoxu"},{"family":"Liang","given":"Yuhao"},{"family":"Li","given":"Dabing"},{"family":"Gao","given":"Lei"},{"family":"Fan","given"</w:instrText>
            </w:r>
            <w:r w:rsidR="00E725CF" w:rsidRPr="002657D1">
              <w:rPr>
                <w:rFonts w:ascii="Times New Roman" w:hAnsi="Times New Roman" w:cs="Times New Roman" w:hint="eastAsia"/>
                <w:color w:val="000000" w:themeColor="text1"/>
                <w:sz w:val="24"/>
                <w:szCs w:val="24"/>
              </w:rPr>
              <w:instrText>:"Li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 xml:space="preserve">Zhen"}],"issued":{"date-parts":[["2022",8]]}}}],"schema":"https://github.com/citation-style-language/schema/raw/master/csl-citation.json"}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97</w:t>
            </w:r>
            <w:r w:rsidRPr="002657D1">
              <w:rPr>
                <w:rFonts w:ascii="Times New Roman" w:hAnsi="Times New Roman" w:cs="Times New Roman"/>
                <w:color w:val="000000" w:themeColor="text1"/>
                <w:sz w:val="24"/>
                <w:szCs w:val="24"/>
              </w:rPr>
              <w:fldChar w:fldCharType="end"/>
            </w:r>
          </w:p>
        </w:tc>
      </w:tr>
      <w:tr w:rsidR="002657D1" w:rsidRPr="002657D1" w14:paraId="7406025F" w14:textId="77777777" w:rsidTr="001A7EE6">
        <w:trPr>
          <w:jc w:val="center"/>
        </w:trPr>
        <w:tc>
          <w:tcPr>
            <w:tcW w:w="2694" w:type="dxa"/>
            <w:tcBorders>
              <w:top w:val="nil"/>
              <w:bottom w:val="nil"/>
            </w:tcBorders>
            <w:vAlign w:val="center"/>
          </w:tcPr>
          <w:p w14:paraId="14302413" w14:textId="1751E9E1"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NCM523/Li</w:t>
            </w:r>
            <w:r w:rsidRPr="002657D1">
              <w:rPr>
                <w:rFonts w:ascii="Times New Roman" w:hAnsi="Times New Roman" w:cs="Times New Roman"/>
                <w:color w:val="000000" w:themeColor="text1"/>
                <w:sz w:val="24"/>
                <w:szCs w:val="24"/>
                <w:vertAlign w:val="subscript"/>
              </w:rPr>
              <w:t>3.12</w:t>
            </w:r>
            <w:r w:rsidRPr="002657D1">
              <w:rPr>
                <w:rFonts w:ascii="Times New Roman" w:hAnsi="Times New Roman" w:cs="Times New Roman"/>
                <w:color w:val="000000" w:themeColor="text1"/>
                <w:sz w:val="24"/>
                <w:szCs w:val="24"/>
              </w:rPr>
              <w:t>P</w:t>
            </w:r>
            <w:r w:rsidRPr="002657D1">
              <w:rPr>
                <w:rFonts w:ascii="Times New Roman" w:hAnsi="Times New Roman" w:cs="Times New Roman"/>
                <w:color w:val="000000" w:themeColor="text1"/>
                <w:sz w:val="24"/>
                <w:szCs w:val="24"/>
                <w:vertAlign w:val="subscript"/>
              </w:rPr>
              <w:t>0.94</w:t>
            </w:r>
            <w:r w:rsidRPr="002657D1">
              <w:rPr>
                <w:rFonts w:ascii="Times New Roman" w:hAnsi="Times New Roman" w:cs="Times New Roman"/>
                <w:color w:val="000000" w:themeColor="text1"/>
                <w:sz w:val="24"/>
                <w:szCs w:val="24"/>
              </w:rPr>
              <w:t>Bi0</w:t>
            </w:r>
            <w:r w:rsidRPr="002657D1">
              <w:rPr>
                <w:rFonts w:ascii="Times New Roman" w:hAnsi="Times New Roman" w:cs="Times New Roman"/>
                <w:color w:val="000000" w:themeColor="text1"/>
                <w:sz w:val="24"/>
                <w:szCs w:val="24"/>
                <w:vertAlign w:val="subscript"/>
              </w:rPr>
              <w:t>.06</w:t>
            </w:r>
            <w:r w:rsidRPr="002657D1">
              <w:rPr>
                <w:rFonts w:ascii="Times New Roman" w:hAnsi="Times New Roman" w:cs="Times New Roman"/>
                <w:color w:val="000000" w:themeColor="text1"/>
                <w:sz w:val="24"/>
                <w:szCs w:val="24"/>
              </w:rPr>
              <w:t>S</w:t>
            </w:r>
            <w:r w:rsidRPr="002657D1">
              <w:rPr>
                <w:rFonts w:ascii="Times New Roman" w:hAnsi="Times New Roman" w:cs="Times New Roman"/>
                <w:color w:val="000000" w:themeColor="text1"/>
                <w:sz w:val="24"/>
                <w:szCs w:val="24"/>
                <w:vertAlign w:val="subscript"/>
              </w:rPr>
              <w:t>3.91</w:t>
            </w:r>
            <w:r w:rsidRPr="002657D1">
              <w:rPr>
                <w:rFonts w:ascii="Times New Roman" w:hAnsi="Times New Roman" w:cs="Times New Roman"/>
                <w:color w:val="000000" w:themeColor="text1"/>
                <w:sz w:val="24"/>
                <w:szCs w:val="24"/>
              </w:rPr>
              <w:t>O</w:t>
            </w:r>
            <w:r w:rsidRPr="002657D1">
              <w:rPr>
                <w:rFonts w:ascii="Times New Roman" w:hAnsi="Times New Roman" w:cs="Times New Roman"/>
                <w:color w:val="000000" w:themeColor="text1"/>
                <w:sz w:val="24"/>
                <w:szCs w:val="24"/>
                <w:vertAlign w:val="subscript"/>
              </w:rPr>
              <w:t>0.09</w:t>
            </w:r>
            <w:r w:rsidRPr="002657D1">
              <w:rPr>
                <w:rFonts w:ascii="Times New Roman" w:hAnsi="Times New Roman" w:cs="Times New Roman"/>
                <w:color w:val="000000" w:themeColor="text1"/>
                <w:sz w:val="24"/>
                <w:szCs w:val="24"/>
              </w:rPr>
              <w:t>/Li</w:t>
            </w:r>
          </w:p>
        </w:tc>
        <w:tc>
          <w:tcPr>
            <w:tcW w:w="1842" w:type="dxa"/>
            <w:tcBorders>
              <w:top w:val="nil"/>
              <w:bottom w:val="nil"/>
            </w:tcBorders>
            <w:vAlign w:val="center"/>
          </w:tcPr>
          <w:p w14:paraId="15E4B4FC" w14:textId="0717FA15"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8.79</w:t>
            </w:r>
          </w:p>
        </w:tc>
        <w:tc>
          <w:tcPr>
            <w:tcW w:w="1276" w:type="dxa"/>
            <w:tcBorders>
              <w:top w:val="nil"/>
              <w:bottom w:val="nil"/>
            </w:tcBorders>
            <w:vAlign w:val="center"/>
          </w:tcPr>
          <w:p w14:paraId="01FFF75A" w14:textId="144FE8F0"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139.4</w:t>
            </w:r>
          </w:p>
        </w:tc>
        <w:tc>
          <w:tcPr>
            <w:tcW w:w="1418" w:type="dxa"/>
            <w:tcBorders>
              <w:top w:val="nil"/>
              <w:bottom w:val="nil"/>
            </w:tcBorders>
            <w:vAlign w:val="center"/>
          </w:tcPr>
          <w:p w14:paraId="53C0D5F7" w14:textId="7CFB36DA"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 xml:space="preserve">1.23 </w:t>
            </w:r>
          </w:p>
        </w:tc>
        <w:tc>
          <w:tcPr>
            <w:tcW w:w="1417" w:type="dxa"/>
            <w:tcBorders>
              <w:top w:val="nil"/>
              <w:bottom w:val="nil"/>
            </w:tcBorders>
            <w:vAlign w:val="center"/>
          </w:tcPr>
          <w:p w14:paraId="6D057DE6" w14:textId="144FC528"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60@0.1 C</w:t>
            </w:r>
          </w:p>
        </w:tc>
        <w:tc>
          <w:tcPr>
            <w:tcW w:w="1559" w:type="dxa"/>
            <w:tcBorders>
              <w:top w:val="nil"/>
              <w:bottom w:val="nil"/>
            </w:tcBorders>
            <w:vAlign w:val="center"/>
          </w:tcPr>
          <w:p w14:paraId="06BBC32A" w14:textId="534B4D45"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0.190</w:t>
            </w:r>
          </w:p>
        </w:tc>
        <w:tc>
          <w:tcPr>
            <w:tcW w:w="1560" w:type="dxa"/>
            <w:tcBorders>
              <w:top w:val="nil"/>
              <w:bottom w:val="nil"/>
            </w:tcBorders>
            <w:vAlign w:val="center"/>
          </w:tcPr>
          <w:p w14:paraId="27DD4D42" w14:textId="31CBA854"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tcBorders>
              <w:top w:val="nil"/>
              <w:bottom w:val="nil"/>
            </w:tcBorders>
            <w:vAlign w:val="center"/>
          </w:tcPr>
          <w:p w14:paraId="6FE9B65D" w14:textId="7A509987"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{"citationID":"10ExNUlN","properties":{"formattedCitation":"\\super 98\\nosupersub{}","plainCitation":"98","noteIndex":0},"citationItems":[{"id":"IXaoCdHi/Ot0mD9Jo","uris":["http://zotero.org/users/local/As3BANDe/items/FMN7</w:instrText>
            </w:r>
            <w:r w:rsidR="00E725CF" w:rsidRPr="002657D1">
              <w:rPr>
                <w:rFonts w:ascii="Times New Roman" w:hAnsi="Times New Roman" w:cs="Times New Roman" w:hint="eastAsia"/>
                <w:color w:val="000000" w:themeColor="text1"/>
                <w:sz w:val="24"/>
                <w:szCs w:val="24"/>
              </w:rPr>
              <w:instrText>NZF4"],"itemData":{"id":972,"type":"article-journal","abstract":"Abstract\n            \n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batteries are one of the most promising lithium</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ion batteries as they are safe with high energy density and applicable to different occa</w:instrText>
            </w:r>
            <w:r w:rsidR="00E725CF" w:rsidRPr="002657D1">
              <w:rPr>
                <w:rFonts w:ascii="Times New Roman" w:hAnsi="Times New Roman" w:cs="Times New Roman"/>
                <w:color w:val="000000" w:themeColor="text1"/>
                <w:sz w:val="24"/>
                <w:szCs w:val="24"/>
              </w:rPr>
              <w:instrText>sions. Sulfide solid electrolytes (SSEs) are welcoming due to their good ionic conductivity and processability. However, as the SSE conductor is unstable when exposed to air, its development and application are limited. A series of new Li\n              3+2x\n              P\n              1−x\n              Bi\n              x\n              S\n              4−1.5x\n              O\n              1.5x\n              (X = 0.02, 0.04, 0.06, 0.08) solid electrolytes are synthesized by co</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 xml:space="preserve">doping Li\n        </w:instrText>
            </w:r>
            <w:r w:rsidR="00E725CF" w:rsidRPr="002657D1">
              <w:rPr>
                <w:rFonts w:ascii="Times New Roman" w:hAnsi="Times New Roman" w:cs="Times New Roman" w:hint="eastAsia"/>
                <w:color w:val="000000" w:themeColor="text1"/>
                <w:sz w:val="24"/>
                <w:szCs w:val="24"/>
              </w:rPr>
              <w:instrText xml:space="preserve">      3\n              PS\n              4\n              with Bi and O, and the new electrolytes have better ionic conductivity and air</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 xml:space="preserve">stability than Li\n              3\n              PS\n              4\n              . The lithium ionic conductivity </w:instrText>
            </w:r>
            <w:r w:rsidR="00E725CF" w:rsidRPr="002657D1">
              <w:rPr>
                <w:rFonts w:ascii="Times New Roman" w:hAnsi="Times New Roman" w:cs="Times New Roman"/>
                <w:color w:val="000000" w:themeColor="text1"/>
                <w:sz w:val="24"/>
                <w:szCs w:val="24"/>
              </w:rPr>
              <w:instrText>of Li\n              3.12\n              P\n              0.94\n              Bi\n              0.06\n              S\n              3.91\n              O\n              0.09\n              solid electrolytes reached up to 2.8 mS cm\n              –1\n              at room temperature, the highest and 9 times as high as that of Li\n              3\n              PS\n              4\n              . The doped solid electrolytes are compatible with lithium anode, and the cycling performance is improved. Importantly, the critical current density of Li\n              3.12\n              P\n              0.94\n              Bi\n              0.06\n              S\n              3.91\n              O\n              0.09\n              electrolytes can reach to 1.2 mA cm\n              –2\n              . In particular, the Li|Li\n              3.12\n              P\n              0.94\n              Bi\n              0.06\n              S\n              3.91\n              O\n              0.09\n              |</w:instrText>
            </w:r>
            <w:r w:rsidR="00E725CF" w:rsidRPr="002657D1">
              <w:rPr>
                <w:rFonts w:ascii="Times New Roman" w:hAnsi="Times New Roman" w:cs="Times New Roman" w:hint="eastAsia"/>
                <w:color w:val="000000" w:themeColor="text1"/>
                <w:sz w:val="24"/>
                <w:szCs w:val="24"/>
              </w:rPr>
              <w:instrText xml:space="preserve">Li symmetric cells are stable even after 400 h running at 1 mA cm\n              </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2\n              and 25 </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C. Bi\n              2\n              O\n              3\n              doping SSEs are expected to be the next generation of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state lithium batteries due to their good ionic conductivity and air</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stability.","container-title":"Advanced Functional Materials","DOI":"10.1002/adfm.202205998","ISSN":"1616-301X, 1616-3028","issue":"41","journalAbbreviation":"Adv Funct Materials","language":"en","p</w:instrText>
            </w:r>
            <w:r w:rsidR="00E725CF" w:rsidRPr="002657D1">
              <w:rPr>
                <w:rFonts w:ascii="Times New Roman" w:hAnsi="Times New Roman" w:cs="Times New Roman"/>
                <w:color w:val="000000" w:themeColor="text1"/>
                <w:sz w:val="24"/>
                <w:szCs w:val="24"/>
              </w:rPr>
              <w:instrText>age":"2205998","source":"DOI.org (Crossref)","title":"A High Air</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Stability and 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Metal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Compatible Li &lt;sub&gt;3+2x&lt;/sub&gt; P &lt;sub&gt;1−x&lt;/sub&gt; Bi &lt;sub&gt;x&lt;/sub&gt; S &lt;sub&gt;4−1.5x&lt;/sub&gt; O &lt;sub&gt;1.5x&lt;/sub&gt; Sulfide Electrolyte for All</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Solid</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State Li–Metal Batteries","volum</w:instrText>
            </w:r>
            <w:r w:rsidR="00E725CF" w:rsidRPr="002657D1">
              <w:rPr>
                <w:rFonts w:ascii="Times New Roman" w:hAnsi="Times New Roman" w:cs="Times New Roman" w:hint="eastAsia"/>
                <w:color w:val="000000" w:themeColor="text1"/>
                <w:sz w:val="24"/>
                <w:szCs w:val="24"/>
              </w:rPr>
              <w:instrText>e":"32","author":[{"family":"Ni","given":"Yu"},{"family":"Huang","given":"Chao"},{"family":"Liu","given":"Hong"},{"family":"Liang","given":"Yuhao"},{"family":"Fan","given":"Li</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Zhen"}],"issued":{"date-parts":[["2022",10]]}}}],"schema":"https://github.com/c</w:instrText>
            </w:r>
            <w:r w:rsidR="00E725CF" w:rsidRPr="002657D1">
              <w:rPr>
                <w:rFonts w:ascii="Times New Roman" w:hAnsi="Times New Roman" w:cs="Times New Roman"/>
                <w:color w:val="000000" w:themeColor="text1"/>
                <w:sz w:val="24"/>
                <w:szCs w:val="24"/>
              </w:rPr>
              <w:instrText xml:space="preserve">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98</w:t>
            </w:r>
            <w:r w:rsidRPr="002657D1">
              <w:rPr>
                <w:rFonts w:ascii="Times New Roman" w:hAnsi="Times New Roman" w:cs="Times New Roman"/>
                <w:color w:val="000000" w:themeColor="text1"/>
                <w:sz w:val="24"/>
                <w:szCs w:val="24"/>
              </w:rPr>
              <w:fldChar w:fldCharType="end"/>
            </w:r>
          </w:p>
        </w:tc>
      </w:tr>
      <w:tr w:rsidR="002657D1" w:rsidRPr="002657D1" w14:paraId="5499F26B" w14:textId="77777777" w:rsidTr="001A7EE6">
        <w:trPr>
          <w:jc w:val="center"/>
        </w:trPr>
        <w:tc>
          <w:tcPr>
            <w:tcW w:w="2694" w:type="dxa"/>
            <w:tcBorders>
              <w:top w:val="nil"/>
              <w:bottom w:val="nil"/>
            </w:tcBorders>
            <w:vAlign w:val="center"/>
          </w:tcPr>
          <w:p w14:paraId="2595E8A1" w14:textId="3308BE1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LCO/Li</w:t>
            </w:r>
            <w:r w:rsidRPr="002657D1">
              <w:rPr>
                <w:rFonts w:ascii="Times New Roman" w:hAnsi="Times New Roman" w:cs="Times New Roman"/>
                <w:color w:val="000000" w:themeColor="text1"/>
                <w:sz w:val="24"/>
                <w:szCs w:val="24"/>
                <w:vertAlign w:val="subscript"/>
              </w:rPr>
              <w:t>5.41</w:t>
            </w:r>
            <w:r w:rsidRPr="002657D1">
              <w:rPr>
                <w:rFonts w:ascii="Times New Roman" w:hAnsi="Times New Roman" w:cs="Times New Roman"/>
                <w:color w:val="000000" w:themeColor="text1"/>
                <w:sz w:val="24"/>
                <w:szCs w:val="24"/>
              </w:rPr>
              <w:t>PS</w:t>
            </w:r>
            <w:r w:rsidRPr="002657D1">
              <w:rPr>
                <w:rFonts w:ascii="Times New Roman" w:hAnsi="Times New Roman" w:cs="Times New Roman"/>
                <w:color w:val="000000" w:themeColor="text1"/>
                <w:sz w:val="24"/>
                <w:szCs w:val="24"/>
                <w:vertAlign w:val="subscript"/>
              </w:rPr>
              <w:t>4.41</w:t>
            </w:r>
            <w:r w:rsidRPr="002657D1">
              <w:rPr>
                <w:rFonts w:ascii="Times New Roman" w:hAnsi="Times New Roman" w:cs="Times New Roman"/>
                <w:color w:val="000000" w:themeColor="text1"/>
                <w:sz w:val="24"/>
                <w:szCs w:val="24"/>
              </w:rPr>
              <w:t>Cl</w:t>
            </w:r>
            <w:r w:rsidRPr="002657D1">
              <w:rPr>
                <w:rFonts w:ascii="Times New Roman" w:hAnsi="Times New Roman" w:cs="Times New Roman"/>
                <w:color w:val="000000" w:themeColor="text1"/>
                <w:sz w:val="24"/>
                <w:szCs w:val="24"/>
                <w:vertAlign w:val="subscript"/>
              </w:rPr>
              <w:t>1.59</w:t>
            </w:r>
            <w:r w:rsidRPr="002657D1">
              <w:rPr>
                <w:rFonts w:ascii="Times New Roman" w:hAnsi="Times New Roman" w:cs="Times New Roman"/>
                <w:color w:val="000000" w:themeColor="text1"/>
                <w:sz w:val="24"/>
                <w:szCs w:val="24"/>
              </w:rPr>
              <w:t>/Li</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PO</w:t>
            </w:r>
            <w:r w:rsidRPr="002657D1">
              <w:rPr>
                <w:rFonts w:ascii="Times New Roman" w:hAnsi="Times New Roman" w:cs="Times New Roman"/>
                <w:color w:val="000000" w:themeColor="text1"/>
                <w:sz w:val="24"/>
                <w:szCs w:val="24"/>
                <w:vertAlign w:val="subscript"/>
              </w:rPr>
              <w:t>4</w:t>
            </w:r>
            <w:r w:rsidRPr="002657D1">
              <w:rPr>
                <w:rFonts w:ascii="Times New Roman" w:hAnsi="Times New Roman" w:cs="Times New Roman"/>
                <w:color w:val="000000" w:themeColor="text1"/>
                <w:sz w:val="24"/>
                <w:szCs w:val="24"/>
              </w:rPr>
              <w:t>-Li</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N/Li</w:t>
            </w:r>
          </w:p>
        </w:tc>
        <w:tc>
          <w:tcPr>
            <w:tcW w:w="1842" w:type="dxa"/>
            <w:tcBorders>
              <w:top w:val="nil"/>
              <w:bottom w:val="nil"/>
            </w:tcBorders>
            <w:vAlign w:val="center"/>
          </w:tcPr>
          <w:p w14:paraId="030A348B" w14:textId="06A15A4F"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4.85</w:t>
            </w:r>
          </w:p>
        </w:tc>
        <w:tc>
          <w:tcPr>
            <w:tcW w:w="1276" w:type="dxa"/>
            <w:tcBorders>
              <w:top w:val="nil"/>
              <w:bottom w:val="nil"/>
            </w:tcBorders>
            <w:vAlign w:val="center"/>
          </w:tcPr>
          <w:p w14:paraId="398E79FC" w14:textId="08FF726A"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132.6</w:t>
            </w:r>
          </w:p>
        </w:tc>
        <w:tc>
          <w:tcPr>
            <w:tcW w:w="1418" w:type="dxa"/>
            <w:tcBorders>
              <w:top w:val="nil"/>
              <w:bottom w:val="nil"/>
            </w:tcBorders>
            <w:vAlign w:val="center"/>
          </w:tcPr>
          <w:p w14:paraId="29EA88F3" w14:textId="3252D81A"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0.64</w:t>
            </w:r>
          </w:p>
        </w:tc>
        <w:tc>
          <w:tcPr>
            <w:tcW w:w="1417" w:type="dxa"/>
            <w:tcBorders>
              <w:top w:val="nil"/>
              <w:bottom w:val="nil"/>
            </w:tcBorders>
            <w:vAlign w:val="center"/>
          </w:tcPr>
          <w:p w14:paraId="285FDC62" w14:textId="0AE043AF"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80@0.1 C</w:t>
            </w:r>
          </w:p>
        </w:tc>
        <w:tc>
          <w:tcPr>
            <w:tcW w:w="1559" w:type="dxa"/>
            <w:tcBorders>
              <w:top w:val="nil"/>
              <w:bottom w:val="nil"/>
            </w:tcBorders>
            <w:vAlign w:val="center"/>
          </w:tcPr>
          <w:p w14:paraId="00966F73" w14:textId="58914E77"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0.358</w:t>
            </w:r>
          </w:p>
        </w:tc>
        <w:tc>
          <w:tcPr>
            <w:tcW w:w="1560" w:type="dxa"/>
            <w:tcBorders>
              <w:top w:val="nil"/>
              <w:bottom w:val="nil"/>
            </w:tcBorders>
            <w:vAlign w:val="center"/>
          </w:tcPr>
          <w:p w14:paraId="259498F0" w14:textId="6C3AD73B"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tcBorders>
              <w:top w:val="nil"/>
              <w:bottom w:val="nil"/>
            </w:tcBorders>
            <w:vAlign w:val="center"/>
          </w:tcPr>
          <w:p w14:paraId="50BBEDAD" w14:textId="0F69097B"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{"citationID":"WslJWr6b","properties":{"formattedCitation":"\\super 99\\nosupersub{}","plainCitation":"99","noteIndex":0},"citationItems":[{"id":"IXaoCdHi/O6aPainO","uris":["http://zotero.org/users/local/As3BANDe/items/NWA5YE9F"],"itemData":{"id":1392,"type":"article-journal","abstract":"Among solid electrolytes, sulfides have been considered as one of the most promising candidates due to their soft nature and high ionic conductivity. However, the interphase problem between Li metal and sulfide electrolytes has been a concern. As indicated by the density functional theory (DFT) calculations, Li3PO4 and Li3N possess the highest interface energy and the highest interfacial adhesion energy towards Li metal, respectively. A two-step synergistic phosphating process involving the reaction of H3PO4 and LiNO3 on the Li surface generates a Li3PO4-Li3N hybrid interphase. The designed interphase with high ionic conductivity and low electronic con­ ductivity exhibits excellent stability against lithium metal. The symmetric cell incorporated with modified Li could cycle over 200 h at a current density of 1 mA cm− 2 and a cut-off capacity of 1 mAh cm− 2. The all-solid-state lithium batteries (ASSLBs) with the modified Li anodes shows good cycling and rate performances. This work provides a perspective of realizing practical modification of lithium metal in ASSLBs.","container-title":"Nano Energy","DOI":"10.1016/j.nanoen.2022.107104","ISSN":"22112855","journalAbbreviation":"Nano Energy","language":"en","page":"107104","source":"DOI.org (Crossref)","title":"Stabilizing the interphase between Li and Argyrodite electrolyte through synergistic phosphating process for all-solid-state lithium batteries","volume":"96","author":[{"family":"Su","given":"Han"},{"family":"Liu","given":"Yu"},{"family":"Zhong","given":"Yu"},{"family":"Li","given":"Jingru"},{"family":"Wang","given":"Xiuli"},{"family":"Xia","given":"Xinhui"},{"family":"Gu","given":"Changdong"},{"family":"Tu","given":"Jiangping"}],"issued":{"date-parts":[["2022",6]]}}}],"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99</w:t>
            </w:r>
            <w:r w:rsidRPr="002657D1">
              <w:rPr>
                <w:rFonts w:ascii="Times New Roman" w:hAnsi="Times New Roman" w:cs="Times New Roman"/>
                <w:color w:val="000000" w:themeColor="text1"/>
                <w:sz w:val="24"/>
                <w:szCs w:val="24"/>
              </w:rPr>
              <w:fldChar w:fldCharType="end"/>
            </w:r>
          </w:p>
        </w:tc>
      </w:tr>
      <w:tr w:rsidR="002657D1" w:rsidRPr="007930C4" w14:paraId="1BE5B59F" w14:textId="77777777" w:rsidTr="001A7EE6">
        <w:trPr>
          <w:jc w:val="center"/>
        </w:trPr>
        <w:tc>
          <w:tcPr>
            <w:tcW w:w="2694" w:type="dxa"/>
            <w:tcBorders>
              <w:top w:val="nil"/>
              <w:bottom w:val="nil"/>
            </w:tcBorders>
            <w:vAlign w:val="center"/>
          </w:tcPr>
          <w:p w14:paraId="30F5D447" w14:textId="0C4F024F"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LCO/Li</w:t>
            </w:r>
            <w:r w:rsidRPr="002657D1">
              <w:rPr>
                <w:rFonts w:ascii="Times New Roman" w:hAnsi="Times New Roman" w:cs="Times New Roman"/>
                <w:color w:val="000000" w:themeColor="text1"/>
                <w:sz w:val="24"/>
                <w:szCs w:val="24"/>
                <w:vertAlign w:val="subscript"/>
              </w:rPr>
              <w:t>5.6</w:t>
            </w:r>
            <w:r w:rsidRPr="002657D1">
              <w:rPr>
                <w:rFonts w:ascii="Times New Roman" w:hAnsi="Times New Roman" w:cs="Times New Roman"/>
                <w:color w:val="000000" w:themeColor="text1"/>
                <w:sz w:val="24"/>
                <w:szCs w:val="24"/>
              </w:rPr>
              <w:t>PS</w:t>
            </w:r>
            <w:r w:rsidRPr="002657D1">
              <w:rPr>
                <w:rFonts w:ascii="Times New Roman" w:hAnsi="Times New Roman" w:cs="Times New Roman"/>
                <w:color w:val="000000" w:themeColor="text1"/>
                <w:sz w:val="24"/>
                <w:szCs w:val="24"/>
                <w:vertAlign w:val="subscript"/>
              </w:rPr>
              <w:t>4.6</w:t>
            </w:r>
            <w:r w:rsidRPr="002657D1">
              <w:rPr>
                <w:rFonts w:ascii="Times New Roman" w:hAnsi="Times New Roman" w:cs="Times New Roman"/>
                <w:color w:val="000000" w:themeColor="text1"/>
                <w:sz w:val="24"/>
                <w:szCs w:val="24"/>
              </w:rPr>
              <w:t>I</w:t>
            </w:r>
            <w:r w:rsidRPr="002657D1">
              <w:rPr>
                <w:rFonts w:ascii="Times New Roman" w:hAnsi="Times New Roman" w:cs="Times New Roman"/>
                <w:color w:val="000000" w:themeColor="text1"/>
                <w:sz w:val="24"/>
                <w:szCs w:val="24"/>
                <w:vertAlign w:val="subscript"/>
              </w:rPr>
              <w:t>1.4</w:t>
            </w:r>
            <w:r w:rsidRPr="002657D1">
              <w:rPr>
                <w:rFonts w:ascii="Times New Roman" w:hAnsi="Times New Roman" w:cs="Times New Roman"/>
                <w:color w:val="000000" w:themeColor="text1"/>
                <w:sz w:val="24"/>
                <w:szCs w:val="24"/>
              </w:rPr>
              <w:t>/Li</w:t>
            </w:r>
          </w:p>
        </w:tc>
        <w:tc>
          <w:tcPr>
            <w:tcW w:w="1842" w:type="dxa"/>
            <w:tcBorders>
              <w:top w:val="nil"/>
              <w:bottom w:val="nil"/>
            </w:tcBorders>
            <w:vAlign w:val="center"/>
          </w:tcPr>
          <w:p w14:paraId="61DD86BA" w14:textId="2A65F925"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5.35</w:t>
            </w:r>
          </w:p>
        </w:tc>
        <w:tc>
          <w:tcPr>
            <w:tcW w:w="1276" w:type="dxa"/>
            <w:tcBorders>
              <w:top w:val="nil"/>
              <w:bottom w:val="nil"/>
            </w:tcBorders>
            <w:vAlign w:val="center"/>
          </w:tcPr>
          <w:p w14:paraId="0A866CBC" w14:textId="3A23BE96"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128.8</w:t>
            </w:r>
          </w:p>
        </w:tc>
        <w:tc>
          <w:tcPr>
            <w:tcW w:w="1418" w:type="dxa"/>
            <w:tcBorders>
              <w:top w:val="nil"/>
              <w:bottom w:val="nil"/>
            </w:tcBorders>
            <w:vAlign w:val="center"/>
          </w:tcPr>
          <w:p w14:paraId="62060FA2" w14:textId="57F4F51B"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0.69</w:t>
            </w:r>
          </w:p>
        </w:tc>
        <w:tc>
          <w:tcPr>
            <w:tcW w:w="1417" w:type="dxa"/>
            <w:tcBorders>
              <w:top w:val="nil"/>
              <w:bottom w:val="nil"/>
            </w:tcBorders>
            <w:vAlign w:val="center"/>
          </w:tcPr>
          <w:p w14:paraId="3EF91858" w14:textId="597C066B"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50@0.1 C</w:t>
            </w:r>
          </w:p>
        </w:tc>
        <w:tc>
          <w:tcPr>
            <w:tcW w:w="1559" w:type="dxa"/>
            <w:tcBorders>
              <w:top w:val="nil"/>
              <w:bottom w:val="nil"/>
            </w:tcBorders>
            <w:vAlign w:val="center"/>
          </w:tcPr>
          <w:p w14:paraId="7527CA16" w14:textId="060F12E3"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0.408</w:t>
            </w:r>
          </w:p>
        </w:tc>
        <w:tc>
          <w:tcPr>
            <w:tcW w:w="1560" w:type="dxa"/>
            <w:tcBorders>
              <w:top w:val="nil"/>
              <w:bottom w:val="nil"/>
            </w:tcBorders>
            <w:vAlign w:val="center"/>
          </w:tcPr>
          <w:p w14:paraId="1D92A18E" w14:textId="263E4C12"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tcBorders>
              <w:top w:val="nil"/>
              <w:bottom w:val="nil"/>
            </w:tcBorders>
            <w:vAlign w:val="center"/>
          </w:tcPr>
          <w:p w14:paraId="1D4C870D" w14:textId="41083013" w:rsidR="006F5648" w:rsidRPr="002657D1" w:rsidRDefault="006F5648" w:rsidP="006F5648">
            <w:pPr>
              <w:widowControl/>
              <w:spacing w:line="360" w:lineRule="auto"/>
              <w:jc w:val="center"/>
              <w:rPr>
                <w:rFonts w:ascii="Times New Roman" w:hAnsi="Times New Roman" w:cs="Times New Roman"/>
                <w:color w:val="000000" w:themeColor="text1"/>
                <w:sz w:val="24"/>
                <w:szCs w:val="24"/>
                <w:lang w:val="de-DE"/>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{"citationID":"rq6DqWRp","properties":{"formattedCitation":"\\super 100\\nosupersub{}","plainCitation":"100","noteIndex":0},"citationItems":[{"id":"IXaoCdHi/h6N1fmBX","uris":["http://zotero.org/users/local/As3BANDe/items/L54W8MKD"],"itemData":{"id":4934,"type":"article-journal","abstract":"Abstract\n            \n              Lithium argyrodites are one of the most promising sulfide electrolytes due to their high ionic conductivity and ductile feature. Among them, Li\n              6\n              PS\n              5\n              I (LPSI) exhibits better stability against Li metal but a rather low ionic conductivity (only </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10\n              −6\n              S cm\n              −1\n              ) because of the absence of S\n              2−\n              /I\n              −\n              disorder. Herein, argyrodite Li\n              6−\n              \n                x\n              \n              PS\n              5−\n              \n                x\n              \n              I\n              1+\n              \n                x\n              \n              glass–ceramic electrolytes with high iodine content are synthesized using ultimate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energy mechanical alloying method. S\n              2−\n              /I\n              −\n              disorder is successfully introduced into the system by doping LiI during this one</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color w:val="000000" w:themeColor="text1"/>
                <w:sz w:val="24"/>
                <w:szCs w:val="24"/>
              </w:rPr>
              <w:instrText>pot process. Determined by\n              6\n              Li magic angle spinning nuclear magnetic resonance and ab initio molecula</w:instrText>
            </w:r>
            <w:r w:rsidR="00E725CF" w:rsidRPr="002657D1">
              <w:rPr>
                <w:rFonts w:ascii="Times New Roman" w:hAnsi="Times New Roman" w:cs="Times New Roman" w:hint="eastAsia"/>
                <w:color w:val="000000" w:themeColor="text1"/>
                <w:sz w:val="24"/>
                <w:szCs w:val="24"/>
              </w:rPr>
              <w:instrText>r dynamics simulations, the introduction of iodine promotes Li\n              +\n              inter</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cage jumps, leading to an enhanced long</w:instrText>
            </w:r>
            <w:r w:rsidR="00E725CF" w:rsidRPr="002657D1">
              <w:rPr>
                <w:rFonts w:ascii="Times New Roman" w:hAnsi="Times New Roman" w:cs="Times New Roman" w:hint="eastAsia"/>
                <w:color w:val="000000" w:themeColor="text1"/>
                <w:sz w:val="24"/>
                <w:szCs w:val="24"/>
              </w:rPr>
              <w:instrText>‐</w:instrText>
            </w:r>
            <w:r w:rsidR="00E725CF" w:rsidRPr="002657D1">
              <w:rPr>
                <w:rFonts w:ascii="Times New Roman" w:hAnsi="Times New Roman" w:cs="Times New Roman" w:hint="eastAsia"/>
                <w:color w:val="000000" w:themeColor="text1"/>
                <w:sz w:val="24"/>
                <w:szCs w:val="24"/>
              </w:rPr>
              <w:instrText>range Li\n              +\n              conducting. The Li\n              5.6\n              PS\n              4.</w:instrText>
            </w:r>
            <w:r w:rsidR="00E725CF" w:rsidRPr="002657D1">
              <w:rPr>
                <w:rFonts w:ascii="Times New Roman" w:hAnsi="Times New Roman" w:cs="Times New Roman"/>
                <w:color w:val="000000" w:themeColor="text1"/>
                <w:sz w:val="24"/>
                <w:szCs w:val="24"/>
              </w:rPr>
              <w:instrText>6\n              I\n              1.4\n              glass–ceramic ele</w:instrText>
            </w:r>
            <w:r w:rsidR="00E725CF" w:rsidRPr="002657D1">
              <w:rPr>
                <w:rFonts w:ascii="Times New Roman" w:hAnsi="Times New Roman" w:cs="Times New Roman"/>
                <w:color w:val="000000" w:themeColor="text1"/>
                <w:sz w:val="24"/>
                <w:szCs w:val="24"/>
                <w:lang w:val="de-DE"/>
              </w:rPr>
              <w:instrText xml:space="preserve">ctrolyte (LPSI\n              1.4\n              </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color w:val="000000" w:themeColor="text1"/>
                <w:sz w:val="24"/>
                <w:szCs w:val="24"/>
                <w:lang w:val="de-DE"/>
              </w:rPr>
              <w:instrText xml:space="preserve">gc) possesses high ionic conductivity (2.04 mS cm\n              −1\n              ) and excellent stability against Li metal. The Li symmetric cell with the LPSI\n              1.4\n              </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color w:val="000000" w:themeColor="text1"/>
                <w:sz w:val="24"/>
                <w:szCs w:val="24"/>
                <w:lang w:val="de-DE"/>
              </w:rPr>
              <w:instrText>gc electrolyte demonstrates ultralong cycling stability over 3200 h at 0.2 mA cm\n              −2\n              . LiCoO\n              2\n              /Li\n              6\n              PS</w:instrText>
            </w:r>
            <w:r w:rsidR="00E725CF" w:rsidRPr="002657D1">
              <w:rPr>
                <w:rFonts w:ascii="Times New Roman" w:hAnsi="Times New Roman" w:cs="Times New Roman" w:hint="eastAsia"/>
                <w:color w:val="000000" w:themeColor="text1"/>
                <w:sz w:val="24"/>
                <w:szCs w:val="24"/>
                <w:lang w:val="de-DE"/>
              </w:rPr>
              <w:instrText>\n              5\n              Cl/Li all</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hint="eastAsia"/>
                <w:color w:val="000000" w:themeColor="text1"/>
                <w:sz w:val="24"/>
                <w:szCs w:val="24"/>
                <w:lang w:val="de-DE"/>
              </w:rPr>
              <w:instrText>solid</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hint="eastAsia"/>
                <w:color w:val="000000" w:themeColor="text1"/>
                <w:sz w:val="24"/>
                <w:szCs w:val="24"/>
                <w:lang w:val="de-DE"/>
              </w:rPr>
              <w:instrText xml:space="preserve">state battery applying LPSI\n              1.4\n              </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hint="eastAsia"/>
                <w:color w:val="000000" w:themeColor="text1"/>
                <w:sz w:val="24"/>
                <w:szCs w:val="24"/>
                <w:lang w:val="de-DE"/>
              </w:rPr>
              <w:instrText>gc as the anode interlayer also presents prominent cycling and rate performance. This work provides a novel type of electrolyte with high ionic</w:instrText>
            </w:r>
            <w:r w:rsidR="00E725CF" w:rsidRPr="002657D1">
              <w:rPr>
                <w:rFonts w:ascii="Times New Roman" w:hAnsi="Times New Roman" w:cs="Times New Roman"/>
                <w:color w:val="000000" w:themeColor="text1"/>
                <w:sz w:val="24"/>
                <w:szCs w:val="24"/>
                <w:lang w:val="de-DE"/>
              </w:rPr>
              <w:instrText xml:space="preserve"> conductivity and stability against Li metal.","container-title":"Advanced Materials","DOI":"10.1002/adma.202107346","ISSN":"0935-9648, 1521-4095","issue":"3","journalAbbreviation":"Advanced Materials","language":"en","page":"2107346","source":"DOI.org (C</w:instrText>
            </w:r>
            <w:r w:rsidR="00E725CF" w:rsidRPr="002657D1">
              <w:rPr>
                <w:rFonts w:ascii="Times New Roman" w:hAnsi="Times New Roman" w:cs="Times New Roman" w:hint="eastAsia"/>
                <w:color w:val="000000" w:themeColor="text1"/>
                <w:sz w:val="24"/>
                <w:szCs w:val="24"/>
                <w:lang w:val="de-DE"/>
              </w:rPr>
              <w:instrText>rossref)","title":"Ultrafast Synthesis of I</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hint="eastAsia"/>
                <w:color w:val="000000" w:themeColor="text1"/>
                <w:sz w:val="24"/>
                <w:szCs w:val="24"/>
                <w:lang w:val="de-DE"/>
              </w:rPr>
              <w:instrText>Rich Lithium Argyrodite Glass</w:instrText>
            </w:r>
            <w:r w:rsidR="00E725CF" w:rsidRPr="002657D1">
              <w:rPr>
                <w:rFonts w:ascii="Times New Roman" w:hAnsi="Times New Roman" w:cs="Times New Roman" w:hint="eastAsia"/>
                <w:color w:val="000000" w:themeColor="text1"/>
                <w:sz w:val="24"/>
                <w:szCs w:val="24"/>
                <w:lang w:val="de-DE"/>
              </w:rPr>
              <w:instrText>–</w:instrText>
            </w:r>
            <w:r w:rsidR="00E725CF" w:rsidRPr="002657D1">
              <w:rPr>
                <w:rFonts w:ascii="Times New Roman" w:hAnsi="Times New Roman" w:cs="Times New Roman" w:hint="eastAsia"/>
                <w:color w:val="000000" w:themeColor="text1"/>
                <w:sz w:val="24"/>
                <w:szCs w:val="24"/>
                <w:lang w:val="de-DE"/>
              </w:rPr>
              <w:instrText>Ceramic Electrolyte with High Ionic Conductivity","volume":"34","author":[{"family":"Liu","given":"Yu"},{"family":"Peng","given":"Hongling"},{"family":"Su","given":"Han"},{"family":</w:instrText>
            </w:r>
            <w:r w:rsidR="00E725CF" w:rsidRPr="002657D1">
              <w:rPr>
                <w:rFonts w:ascii="Times New Roman" w:hAnsi="Times New Roman" w:cs="Times New Roman"/>
                <w:color w:val="000000" w:themeColor="text1"/>
                <w:sz w:val="24"/>
                <w:szCs w:val="24"/>
                <w:lang w:val="de-DE"/>
              </w:rPr>
              <w:instrText xml:space="preserve">"Zhong","given":"Yu"},{"family":"Wang","given":"Xiuli"},{"family":"Xia","given":"Xinhui"},{"family":"Gu","given":"Changdong"},{"family":"Tu","given":"Jiangping"}],"issued":{"date-parts":[["2022",1]]}}}],"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lang w:val="de-DE"/>
              </w:rPr>
              <w:t>100</w:t>
            </w:r>
            <w:r w:rsidRPr="002657D1">
              <w:rPr>
                <w:rFonts w:ascii="Times New Roman" w:hAnsi="Times New Roman" w:cs="Times New Roman"/>
                <w:color w:val="000000" w:themeColor="text1"/>
                <w:sz w:val="24"/>
                <w:szCs w:val="24"/>
              </w:rPr>
              <w:fldChar w:fldCharType="end"/>
            </w:r>
          </w:p>
        </w:tc>
      </w:tr>
      <w:tr w:rsidR="002657D1" w:rsidRPr="007930C4" w14:paraId="23F7E890" w14:textId="77777777" w:rsidTr="001A7EE6">
        <w:trPr>
          <w:jc w:val="center"/>
        </w:trPr>
        <w:tc>
          <w:tcPr>
            <w:tcW w:w="2694" w:type="dxa"/>
            <w:tcBorders>
              <w:top w:val="nil"/>
              <w:bottom w:val="nil"/>
            </w:tcBorders>
            <w:vAlign w:val="center"/>
          </w:tcPr>
          <w:p w14:paraId="14C618E4" w14:textId="0B685DB5" w:rsidR="006F5648" w:rsidRPr="002657D1" w:rsidRDefault="006F5648" w:rsidP="006F5648">
            <w:pPr>
              <w:widowControl/>
              <w:spacing w:line="360" w:lineRule="auto"/>
              <w:jc w:val="center"/>
              <w:rPr>
                <w:rFonts w:ascii="Times New Roman" w:hAnsi="Times New Roman" w:cs="Times New Roman"/>
                <w:color w:val="000000" w:themeColor="text1"/>
                <w:sz w:val="24"/>
                <w:szCs w:val="24"/>
                <w:lang w:val="de-DE"/>
              </w:rPr>
            </w:pPr>
            <w:r w:rsidRPr="002657D1">
              <w:rPr>
                <w:rFonts w:ascii="Times New Roman" w:hAnsi="Times New Roman" w:cs="Times New Roman"/>
                <w:color w:val="000000" w:themeColor="text1"/>
                <w:sz w:val="24"/>
                <w:szCs w:val="24"/>
                <w:lang w:val="de-DE"/>
              </w:rPr>
              <w:t>NCM83/Li</w:t>
            </w:r>
            <w:r w:rsidRPr="002657D1">
              <w:rPr>
                <w:rFonts w:ascii="Times New Roman" w:hAnsi="Times New Roman" w:cs="Times New Roman"/>
                <w:color w:val="000000" w:themeColor="text1"/>
                <w:sz w:val="24"/>
                <w:szCs w:val="24"/>
                <w:vertAlign w:val="subscript"/>
                <w:lang w:val="de-DE"/>
              </w:rPr>
              <w:t>4.125</w:t>
            </w:r>
            <w:r w:rsidRPr="002657D1">
              <w:rPr>
                <w:rFonts w:ascii="Times New Roman" w:hAnsi="Times New Roman" w:cs="Times New Roman"/>
                <w:color w:val="000000" w:themeColor="text1"/>
                <w:sz w:val="24"/>
                <w:szCs w:val="24"/>
                <w:lang w:val="de-DE"/>
              </w:rPr>
              <w:t>Si</w:t>
            </w:r>
            <w:r w:rsidRPr="002657D1">
              <w:rPr>
                <w:rFonts w:ascii="Times New Roman" w:hAnsi="Times New Roman" w:cs="Times New Roman"/>
                <w:color w:val="000000" w:themeColor="text1"/>
                <w:sz w:val="24"/>
                <w:szCs w:val="24"/>
                <w:vertAlign w:val="subscript"/>
                <w:lang w:val="de-DE"/>
              </w:rPr>
              <w:t>0.125</w:t>
            </w:r>
            <w:r w:rsidRPr="002657D1">
              <w:rPr>
                <w:rFonts w:ascii="Times New Roman" w:hAnsi="Times New Roman" w:cs="Times New Roman"/>
                <w:color w:val="000000" w:themeColor="text1"/>
                <w:sz w:val="24"/>
                <w:szCs w:val="24"/>
                <w:lang w:val="de-DE"/>
              </w:rPr>
              <w:t>P</w:t>
            </w:r>
            <w:r w:rsidRPr="002657D1">
              <w:rPr>
                <w:rFonts w:ascii="Times New Roman" w:hAnsi="Times New Roman" w:cs="Times New Roman"/>
                <w:color w:val="000000" w:themeColor="text1"/>
                <w:sz w:val="24"/>
                <w:szCs w:val="24"/>
                <w:vertAlign w:val="subscript"/>
                <w:lang w:val="de-DE"/>
              </w:rPr>
              <w:t>0.875</w:t>
            </w:r>
            <w:r w:rsidRPr="002657D1">
              <w:rPr>
                <w:rFonts w:ascii="Times New Roman" w:hAnsi="Times New Roman" w:cs="Times New Roman"/>
                <w:color w:val="000000" w:themeColor="text1"/>
                <w:sz w:val="24"/>
                <w:szCs w:val="24"/>
                <w:lang w:val="de-DE"/>
              </w:rPr>
              <w:t>S</w:t>
            </w:r>
            <w:r w:rsidRPr="002657D1">
              <w:rPr>
                <w:rFonts w:ascii="Times New Roman" w:hAnsi="Times New Roman" w:cs="Times New Roman"/>
                <w:color w:val="000000" w:themeColor="text1"/>
                <w:sz w:val="24"/>
                <w:szCs w:val="24"/>
                <w:vertAlign w:val="subscript"/>
                <w:lang w:val="de-DE"/>
              </w:rPr>
              <w:t>4</w:t>
            </w:r>
            <w:r w:rsidRPr="002657D1">
              <w:rPr>
                <w:rFonts w:ascii="Times New Roman" w:hAnsi="Times New Roman" w:cs="Times New Roman"/>
                <w:color w:val="000000" w:themeColor="text1"/>
                <w:sz w:val="24"/>
                <w:szCs w:val="24"/>
                <w:lang w:val="de-DE"/>
              </w:rPr>
              <w:t>I+Li</w:t>
            </w:r>
            <w:r w:rsidRPr="002657D1">
              <w:rPr>
                <w:rFonts w:ascii="Times New Roman" w:hAnsi="Times New Roman" w:cs="Times New Roman"/>
                <w:color w:val="000000" w:themeColor="text1"/>
                <w:sz w:val="24"/>
                <w:szCs w:val="24"/>
                <w:vertAlign w:val="subscript"/>
                <w:lang w:val="de-DE"/>
              </w:rPr>
              <w:t>5.4</w:t>
            </w:r>
            <w:r w:rsidRPr="002657D1">
              <w:rPr>
                <w:rFonts w:ascii="Times New Roman" w:hAnsi="Times New Roman" w:cs="Times New Roman"/>
                <w:color w:val="000000" w:themeColor="text1"/>
                <w:sz w:val="24"/>
                <w:szCs w:val="24"/>
                <w:lang w:val="de-DE"/>
              </w:rPr>
              <w:t>PS</w:t>
            </w:r>
            <w:r w:rsidRPr="002657D1">
              <w:rPr>
                <w:rFonts w:ascii="Times New Roman" w:hAnsi="Times New Roman" w:cs="Times New Roman"/>
                <w:color w:val="000000" w:themeColor="text1"/>
                <w:sz w:val="24"/>
                <w:szCs w:val="24"/>
                <w:vertAlign w:val="subscript"/>
                <w:lang w:val="de-DE"/>
              </w:rPr>
              <w:t>4.4</w:t>
            </w:r>
            <w:r w:rsidRPr="002657D1">
              <w:rPr>
                <w:rFonts w:ascii="Times New Roman" w:hAnsi="Times New Roman" w:cs="Times New Roman"/>
                <w:color w:val="000000" w:themeColor="text1"/>
                <w:sz w:val="24"/>
                <w:szCs w:val="24"/>
                <w:lang w:val="de-DE"/>
              </w:rPr>
              <w:t>Cl</w:t>
            </w:r>
            <w:r w:rsidRPr="002657D1">
              <w:rPr>
                <w:rFonts w:ascii="Times New Roman" w:hAnsi="Times New Roman" w:cs="Times New Roman"/>
                <w:color w:val="000000" w:themeColor="text1"/>
                <w:sz w:val="24"/>
                <w:szCs w:val="24"/>
                <w:vertAlign w:val="subscript"/>
                <w:lang w:val="de-DE"/>
              </w:rPr>
              <w:t>1.6</w:t>
            </w:r>
            <w:r w:rsidRPr="002657D1">
              <w:rPr>
                <w:rFonts w:ascii="Times New Roman" w:hAnsi="Times New Roman" w:cs="Times New Roman"/>
                <w:color w:val="000000" w:themeColor="text1"/>
                <w:sz w:val="24"/>
                <w:szCs w:val="24"/>
                <w:lang w:val="de-DE"/>
              </w:rPr>
              <w:t>/Li</w:t>
            </w:r>
          </w:p>
        </w:tc>
        <w:tc>
          <w:tcPr>
            <w:tcW w:w="1842" w:type="dxa"/>
            <w:tcBorders>
              <w:top w:val="nil"/>
              <w:bottom w:val="nil"/>
            </w:tcBorders>
            <w:vAlign w:val="center"/>
          </w:tcPr>
          <w:p w14:paraId="0EB5A3A5" w14:textId="4E21EE68" w:rsidR="006F5648" w:rsidRPr="002657D1" w:rsidRDefault="006F5648" w:rsidP="006F5648">
            <w:pPr>
              <w:widowControl/>
              <w:spacing w:line="360" w:lineRule="auto"/>
              <w:jc w:val="center"/>
              <w:rPr>
                <w:rFonts w:ascii="Times New Roman" w:hAnsi="Times New Roman" w:cs="Times New Roman"/>
                <w:color w:val="000000" w:themeColor="text1"/>
                <w:sz w:val="24"/>
                <w:szCs w:val="24"/>
                <w:lang w:val="de-DE"/>
              </w:rPr>
            </w:pPr>
            <w:r w:rsidRPr="002657D1">
              <w:rPr>
                <w:rFonts w:ascii="Times New Roman" w:hAnsi="Times New Roman" w:cs="Times New Roman"/>
                <w:color w:val="000000" w:themeColor="text1"/>
                <w:sz w:val="24"/>
                <w:szCs w:val="24"/>
                <w:lang w:val="de-DE"/>
              </w:rPr>
              <w:t>6.24</w:t>
            </w:r>
          </w:p>
        </w:tc>
        <w:tc>
          <w:tcPr>
            <w:tcW w:w="1276" w:type="dxa"/>
            <w:tcBorders>
              <w:top w:val="nil"/>
              <w:bottom w:val="nil"/>
            </w:tcBorders>
            <w:vAlign w:val="center"/>
          </w:tcPr>
          <w:p w14:paraId="6953A8FC" w14:textId="32102918" w:rsidR="006F5648" w:rsidRPr="002657D1" w:rsidRDefault="006F5648" w:rsidP="006F5648">
            <w:pPr>
              <w:widowControl/>
              <w:spacing w:line="360" w:lineRule="auto"/>
              <w:jc w:val="center"/>
              <w:rPr>
                <w:rFonts w:ascii="Times New Roman" w:hAnsi="Times New Roman" w:cs="Times New Roman"/>
                <w:color w:val="000000" w:themeColor="text1"/>
                <w:sz w:val="24"/>
                <w:szCs w:val="24"/>
                <w:lang w:val="de-DE"/>
              </w:rPr>
            </w:pPr>
            <w:r w:rsidRPr="002657D1">
              <w:rPr>
                <w:rFonts w:ascii="Times New Roman" w:hAnsi="Times New Roman" w:cs="Times New Roman"/>
                <w:color w:val="000000" w:themeColor="text1"/>
                <w:sz w:val="24"/>
                <w:szCs w:val="24"/>
                <w:lang w:val="de-DE"/>
              </w:rPr>
              <w:t>172.12</w:t>
            </w:r>
          </w:p>
        </w:tc>
        <w:tc>
          <w:tcPr>
            <w:tcW w:w="1418" w:type="dxa"/>
            <w:tcBorders>
              <w:top w:val="nil"/>
              <w:bottom w:val="nil"/>
            </w:tcBorders>
            <w:vAlign w:val="center"/>
          </w:tcPr>
          <w:p w14:paraId="4986C6A7" w14:textId="0B786283" w:rsidR="006F5648" w:rsidRPr="002657D1" w:rsidRDefault="006F5648" w:rsidP="006F5648">
            <w:pPr>
              <w:widowControl/>
              <w:spacing w:line="360" w:lineRule="auto"/>
              <w:jc w:val="center"/>
              <w:rPr>
                <w:rFonts w:ascii="Times New Roman" w:hAnsi="Times New Roman" w:cs="Times New Roman"/>
                <w:color w:val="000000" w:themeColor="text1"/>
                <w:sz w:val="24"/>
                <w:szCs w:val="24"/>
                <w:lang w:val="de-DE"/>
              </w:rPr>
            </w:pPr>
            <w:r w:rsidRPr="002657D1">
              <w:rPr>
                <w:rFonts w:ascii="Times New Roman" w:hAnsi="Times New Roman" w:cs="Times New Roman"/>
                <w:color w:val="000000" w:themeColor="text1"/>
                <w:sz w:val="24"/>
                <w:szCs w:val="24"/>
                <w:lang w:val="de-DE"/>
              </w:rPr>
              <w:t>1.07</w:t>
            </w:r>
          </w:p>
        </w:tc>
        <w:tc>
          <w:tcPr>
            <w:tcW w:w="1417" w:type="dxa"/>
            <w:tcBorders>
              <w:top w:val="nil"/>
              <w:bottom w:val="nil"/>
            </w:tcBorders>
            <w:vAlign w:val="center"/>
          </w:tcPr>
          <w:p w14:paraId="69F5D088" w14:textId="0B54440B" w:rsidR="006F5648" w:rsidRPr="002657D1" w:rsidRDefault="006F5648" w:rsidP="006F5648">
            <w:pPr>
              <w:widowControl/>
              <w:spacing w:line="360" w:lineRule="auto"/>
              <w:jc w:val="center"/>
              <w:rPr>
                <w:rFonts w:ascii="Times New Roman" w:hAnsi="Times New Roman" w:cs="Times New Roman"/>
                <w:color w:val="000000" w:themeColor="text1"/>
                <w:sz w:val="24"/>
                <w:szCs w:val="24"/>
                <w:lang w:val="de-DE"/>
              </w:rPr>
            </w:pPr>
            <w:r w:rsidRPr="002657D1">
              <w:rPr>
                <w:rFonts w:ascii="Times New Roman" w:hAnsi="Times New Roman" w:cs="Times New Roman"/>
                <w:color w:val="000000" w:themeColor="text1"/>
                <w:sz w:val="24"/>
                <w:szCs w:val="24"/>
                <w:lang w:val="de-DE"/>
              </w:rPr>
              <w:t>500@0.25 mA cm</w:t>
            </w:r>
            <w:r w:rsidRPr="002657D1">
              <w:rPr>
                <w:rFonts w:ascii="Times New Roman" w:hAnsi="Times New Roman" w:cs="Times New Roman"/>
                <w:color w:val="000000" w:themeColor="text1"/>
                <w:kern w:val="24"/>
                <w:sz w:val="24"/>
                <w:szCs w:val="24"/>
                <w:vertAlign w:val="superscript"/>
                <w:lang w:val="de-DE"/>
              </w:rPr>
              <w:t>−</w:t>
            </w:r>
            <w:r w:rsidRPr="002657D1">
              <w:rPr>
                <w:rFonts w:ascii="Times New Roman" w:hAnsi="Times New Roman" w:cs="Times New Roman"/>
                <w:color w:val="000000" w:themeColor="text1"/>
                <w:sz w:val="24"/>
                <w:szCs w:val="24"/>
                <w:vertAlign w:val="superscript"/>
                <w:lang w:val="de-DE"/>
              </w:rPr>
              <w:t>2</w:t>
            </w:r>
          </w:p>
        </w:tc>
        <w:tc>
          <w:tcPr>
            <w:tcW w:w="1559" w:type="dxa"/>
            <w:tcBorders>
              <w:top w:val="nil"/>
              <w:bottom w:val="nil"/>
            </w:tcBorders>
            <w:vAlign w:val="center"/>
          </w:tcPr>
          <w:p w14:paraId="164DE5D9" w14:textId="3AC3089A" w:rsidR="006F5648" w:rsidRPr="002657D1" w:rsidRDefault="006F5648" w:rsidP="006F5648">
            <w:pPr>
              <w:widowControl/>
              <w:spacing w:line="360" w:lineRule="auto"/>
              <w:jc w:val="center"/>
              <w:rPr>
                <w:rFonts w:ascii="Times New Roman" w:hAnsi="Times New Roman" w:cs="Times New Roman"/>
                <w:color w:val="000000" w:themeColor="text1"/>
                <w:sz w:val="24"/>
                <w:szCs w:val="24"/>
                <w:lang w:val="de-DE"/>
              </w:rPr>
            </w:pPr>
            <w:r w:rsidRPr="002657D1">
              <w:rPr>
                <w:rFonts w:ascii="Times New Roman" w:hAnsi="Times New Roman" w:cs="Times New Roman"/>
                <w:color w:val="000000" w:themeColor="text1"/>
                <w:sz w:val="24"/>
                <w:szCs w:val="24"/>
                <w:lang w:val="de-DE"/>
              </w:rPr>
              <w:t>0.035</w:t>
            </w:r>
          </w:p>
        </w:tc>
        <w:tc>
          <w:tcPr>
            <w:tcW w:w="1560" w:type="dxa"/>
            <w:tcBorders>
              <w:top w:val="nil"/>
              <w:bottom w:val="nil"/>
            </w:tcBorders>
            <w:vAlign w:val="center"/>
          </w:tcPr>
          <w:p w14:paraId="527FDF37" w14:textId="1280958C" w:rsidR="006F5648" w:rsidRPr="002657D1" w:rsidRDefault="006F5648" w:rsidP="006F5648">
            <w:pPr>
              <w:widowControl/>
              <w:spacing w:line="360" w:lineRule="auto"/>
              <w:jc w:val="center"/>
              <w:rPr>
                <w:rFonts w:ascii="Times New Roman" w:hAnsi="Times New Roman" w:cs="Times New Roman"/>
                <w:color w:val="000000" w:themeColor="text1"/>
                <w:sz w:val="24"/>
                <w:szCs w:val="24"/>
                <w:lang w:val="de-DE"/>
              </w:rPr>
            </w:pPr>
            <w:r w:rsidRPr="002657D1">
              <w:rPr>
                <w:rFonts w:ascii="Times New Roman" w:hAnsi="Times New Roman" w:cs="Times New Roman"/>
                <w:color w:val="000000" w:themeColor="text1"/>
                <w:sz w:val="24"/>
                <w:szCs w:val="24"/>
                <w:lang w:val="de-DE"/>
              </w:rPr>
              <w:t>25</w:t>
            </w:r>
          </w:p>
        </w:tc>
        <w:tc>
          <w:tcPr>
            <w:tcW w:w="1275" w:type="dxa"/>
            <w:tcBorders>
              <w:top w:val="nil"/>
              <w:bottom w:val="nil"/>
            </w:tcBorders>
            <w:vAlign w:val="center"/>
          </w:tcPr>
          <w:p w14:paraId="0EA32610" w14:textId="22D43151" w:rsidR="006F5648" w:rsidRPr="002657D1" w:rsidRDefault="006F5648" w:rsidP="006F5648">
            <w:pPr>
              <w:widowControl/>
              <w:spacing w:line="360" w:lineRule="auto"/>
              <w:jc w:val="center"/>
              <w:rPr>
                <w:rFonts w:ascii="Times New Roman" w:hAnsi="Times New Roman" w:cs="Times New Roman"/>
                <w:color w:val="000000" w:themeColor="text1"/>
                <w:sz w:val="24"/>
                <w:szCs w:val="24"/>
                <w:lang w:val="de-DE"/>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lang w:val="de-DE"/>
              </w:rPr>
              <w:instrText xml:space="preserve"> ADDIN ZOTERO_ITEM CSL_CITATION {"citationID":"3WeGfnVk","properties":{"formattedCitation":"\\super 101\\nosupersub{}","plainCitation":"101","noteIndex":0},"citationItems":[{"id":"IXaoCdHi/XQHr8ghj","uris":["http://zotero.org/users/local/As3BANDe/items/CW6IF24V"],"itemData":{"id":4871,"type":"article-journal","container-title":"Nature Communications","language":"en","source":"Zotero","title":"Deciphering the critical role of interstitial volume in glassy sulfide superionic conductors","author":[{"family":"Su","given":"Han"}],"issued":{"date-parts":[["2024"]]}}}],"schema":"https://github.com/citation-style-language/schema/raw/master/csl-citation.json"}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lang w:val="de-DE"/>
              </w:rPr>
              <w:t>101</w:t>
            </w:r>
            <w:r w:rsidRPr="002657D1">
              <w:rPr>
                <w:rFonts w:ascii="Times New Roman" w:hAnsi="Times New Roman" w:cs="Times New Roman"/>
                <w:color w:val="000000" w:themeColor="text1"/>
                <w:sz w:val="24"/>
                <w:szCs w:val="24"/>
              </w:rPr>
              <w:fldChar w:fldCharType="end"/>
            </w:r>
          </w:p>
        </w:tc>
      </w:tr>
      <w:tr w:rsidR="00DA3A46" w:rsidRPr="002657D1" w14:paraId="4266DF10" w14:textId="77777777" w:rsidTr="001A7EE6">
        <w:trPr>
          <w:jc w:val="center"/>
        </w:trPr>
        <w:tc>
          <w:tcPr>
            <w:tcW w:w="2694" w:type="dxa"/>
            <w:tcBorders>
              <w:top w:val="nil"/>
              <w:bottom w:val="single" w:sz="12" w:space="0" w:color="auto"/>
            </w:tcBorders>
            <w:vAlign w:val="center"/>
          </w:tcPr>
          <w:p w14:paraId="7C7A5DBE" w14:textId="4588082B" w:rsidR="006F5648" w:rsidRPr="002657D1" w:rsidRDefault="006F5648" w:rsidP="006F5648">
            <w:pPr>
              <w:widowControl/>
              <w:spacing w:line="360" w:lineRule="auto"/>
              <w:jc w:val="center"/>
              <w:rPr>
                <w:rFonts w:ascii="Times New Roman" w:hAnsi="Times New Roman" w:cs="Times New Roman"/>
                <w:color w:val="000000" w:themeColor="text1"/>
                <w:sz w:val="24"/>
                <w:szCs w:val="24"/>
                <w:lang w:val="de-DE"/>
              </w:rPr>
            </w:pPr>
            <w:r w:rsidRPr="002657D1">
              <w:rPr>
                <w:rFonts w:ascii="Times New Roman" w:hAnsi="Times New Roman" w:cs="Times New Roman"/>
                <w:color w:val="000000" w:themeColor="text1"/>
                <w:sz w:val="24"/>
                <w:szCs w:val="24"/>
                <w:lang w:val="de-DE"/>
              </w:rPr>
              <w:t>LCO/Li</w:t>
            </w:r>
            <w:r w:rsidRPr="002657D1">
              <w:rPr>
                <w:rFonts w:ascii="Times New Roman" w:hAnsi="Times New Roman" w:cs="Times New Roman"/>
                <w:color w:val="000000" w:themeColor="text1"/>
                <w:sz w:val="24"/>
                <w:szCs w:val="24"/>
                <w:vertAlign w:val="subscript"/>
                <w:lang w:val="de-DE"/>
              </w:rPr>
              <w:t>5.8</w:t>
            </w:r>
            <w:r w:rsidRPr="002657D1">
              <w:rPr>
                <w:rFonts w:ascii="Times New Roman" w:hAnsi="Times New Roman" w:cs="Times New Roman"/>
                <w:color w:val="000000" w:themeColor="text1"/>
                <w:sz w:val="24"/>
                <w:szCs w:val="24"/>
                <w:lang w:val="de-DE"/>
              </w:rPr>
              <w:t>P</w:t>
            </w:r>
            <w:r w:rsidRPr="002657D1">
              <w:rPr>
                <w:rFonts w:ascii="Times New Roman" w:hAnsi="Times New Roman" w:cs="Times New Roman"/>
                <w:color w:val="000000" w:themeColor="text1"/>
                <w:sz w:val="24"/>
                <w:szCs w:val="24"/>
                <w:vertAlign w:val="subscript"/>
                <w:lang w:val="de-DE"/>
              </w:rPr>
              <w:t>0.9</w:t>
            </w:r>
            <w:r w:rsidRPr="002657D1">
              <w:rPr>
                <w:rFonts w:ascii="Times New Roman" w:hAnsi="Times New Roman" w:cs="Times New Roman"/>
                <w:color w:val="000000" w:themeColor="text1"/>
                <w:sz w:val="24"/>
                <w:szCs w:val="24"/>
                <w:lang w:val="de-DE"/>
              </w:rPr>
              <w:t>Cu</w:t>
            </w:r>
            <w:r w:rsidRPr="002657D1">
              <w:rPr>
                <w:rFonts w:ascii="Times New Roman" w:hAnsi="Times New Roman" w:cs="Times New Roman"/>
                <w:color w:val="000000" w:themeColor="text1"/>
                <w:sz w:val="24"/>
                <w:szCs w:val="24"/>
                <w:vertAlign w:val="subscript"/>
                <w:lang w:val="de-DE"/>
              </w:rPr>
              <w:t>0.1</w:t>
            </w:r>
            <w:r w:rsidRPr="002657D1">
              <w:rPr>
                <w:rFonts w:ascii="Times New Roman" w:hAnsi="Times New Roman" w:cs="Times New Roman"/>
                <w:color w:val="000000" w:themeColor="text1"/>
                <w:sz w:val="24"/>
                <w:szCs w:val="24"/>
                <w:lang w:val="de-DE"/>
              </w:rPr>
              <w:t>S</w:t>
            </w:r>
            <w:r w:rsidRPr="002657D1">
              <w:rPr>
                <w:rFonts w:ascii="Times New Roman" w:hAnsi="Times New Roman" w:cs="Times New Roman"/>
                <w:color w:val="000000" w:themeColor="text1"/>
                <w:sz w:val="24"/>
                <w:szCs w:val="24"/>
                <w:vertAlign w:val="subscript"/>
                <w:lang w:val="de-DE"/>
              </w:rPr>
              <w:t>4.5</w:t>
            </w:r>
            <w:r w:rsidRPr="002657D1">
              <w:rPr>
                <w:rFonts w:ascii="Times New Roman" w:hAnsi="Times New Roman" w:cs="Times New Roman"/>
                <w:color w:val="000000" w:themeColor="text1"/>
                <w:sz w:val="24"/>
                <w:szCs w:val="24"/>
                <w:lang w:val="de-DE"/>
              </w:rPr>
              <w:t>Cl</w:t>
            </w:r>
            <w:r w:rsidRPr="002657D1">
              <w:rPr>
                <w:rFonts w:ascii="Times New Roman" w:hAnsi="Times New Roman" w:cs="Times New Roman"/>
                <w:color w:val="000000" w:themeColor="text1"/>
                <w:sz w:val="24"/>
                <w:szCs w:val="24"/>
                <w:vertAlign w:val="subscript"/>
                <w:lang w:val="de-DE"/>
              </w:rPr>
              <w:t>1.3</w:t>
            </w:r>
            <w:r w:rsidRPr="002657D1">
              <w:rPr>
                <w:rFonts w:ascii="Times New Roman" w:hAnsi="Times New Roman" w:cs="Times New Roman"/>
                <w:color w:val="000000" w:themeColor="text1"/>
                <w:sz w:val="24"/>
                <w:szCs w:val="24"/>
                <w:lang w:val="de-DE"/>
              </w:rPr>
              <w:t>Br</w:t>
            </w:r>
            <w:r w:rsidRPr="002657D1">
              <w:rPr>
                <w:rFonts w:ascii="Times New Roman" w:hAnsi="Times New Roman" w:cs="Times New Roman"/>
                <w:color w:val="000000" w:themeColor="text1"/>
                <w:sz w:val="24"/>
                <w:szCs w:val="24"/>
                <w:vertAlign w:val="subscript"/>
                <w:lang w:val="de-DE"/>
              </w:rPr>
              <w:t>0.2</w:t>
            </w:r>
            <w:r w:rsidRPr="002657D1">
              <w:rPr>
                <w:rFonts w:ascii="Times New Roman" w:hAnsi="Times New Roman" w:cs="Times New Roman"/>
                <w:color w:val="000000" w:themeColor="text1"/>
                <w:sz w:val="24"/>
                <w:szCs w:val="24"/>
                <w:lang w:val="de-DE"/>
              </w:rPr>
              <w:t>/Li</w:t>
            </w:r>
          </w:p>
        </w:tc>
        <w:tc>
          <w:tcPr>
            <w:tcW w:w="1842" w:type="dxa"/>
            <w:tcBorders>
              <w:top w:val="nil"/>
              <w:bottom w:val="single" w:sz="12" w:space="0" w:color="auto"/>
            </w:tcBorders>
            <w:vAlign w:val="center"/>
          </w:tcPr>
          <w:p w14:paraId="7D6B2FDD" w14:textId="3265FD36" w:rsidR="006F5648" w:rsidRPr="002657D1" w:rsidRDefault="006F5648" w:rsidP="006F5648">
            <w:pPr>
              <w:widowControl/>
              <w:spacing w:line="360" w:lineRule="auto"/>
              <w:jc w:val="center"/>
              <w:rPr>
                <w:rFonts w:ascii="Times New Roman" w:hAnsi="Times New Roman" w:cs="Times New Roman"/>
                <w:color w:val="000000" w:themeColor="text1"/>
                <w:sz w:val="24"/>
                <w:szCs w:val="24"/>
                <w:lang w:val="de-DE"/>
              </w:rPr>
            </w:pPr>
            <w:r w:rsidRPr="002657D1">
              <w:rPr>
                <w:rFonts w:ascii="Times New Roman" w:hAnsi="Times New Roman" w:cs="Times New Roman"/>
                <w:color w:val="000000" w:themeColor="text1"/>
                <w:sz w:val="24"/>
                <w:szCs w:val="24"/>
                <w:lang w:val="de-DE"/>
              </w:rPr>
              <w:t>5.54</w:t>
            </w:r>
          </w:p>
        </w:tc>
        <w:tc>
          <w:tcPr>
            <w:tcW w:w="1276" w:type="dxa"/>
            <w:tcBorders>
              <w:top w:val="nil"/>
              <w:bottom w:val="single" w:sz="12" w:space="0" w:color="auto"/>
            </w:tcBorders>
            <w:vAlign w:val="center"/>
          </w:tcPr>
          <w:p w14:paraId="14183C94" w14:textId="545B596B" w:rsidR="006F5648" w:rsidRPr="002657D1" w:rsidRDefault="006F5648" w:rsidP="006F5648">
            <w:pPr>
              <w:widowControl/>
              <w:spacing w:line="360" w:lineRule="auto"/>
              <w:jc w:val="center"/>
              <w:rPr>
                <w:rFonts w:ascii="Times New Roman" w:hAnsi="Times New Roman" w:cs="Times New Roman"/>
                <w:color w:val="000000" w:themeColor="text1"/>
                <w:sz w:val="24"/>
                <w:szCs w:val="24"/>
                <w:lang w:val="de-DE"/>
              </w:rPr>
            </w:pPr>
            <w:r w:rsidRPr="002657D1">
              <w:rPr>
                <w:rFonts w:ascii="Times New Roman" w:hAnsi="Times New Roman" w:cs="Times New Roman"/>
                <w:color w:val="000000" w:themeColor="text1"/>
                <w:sz w:val="24"/>
                <w:szCs w:val="24"/>
                <w:lang w:val="de-DE"/>
              </w:rPr>
              <w:t>112.6</w:t>
            </w:r>
          </w:p>
        </w:tc>
        <w:tc>
          <w:tcPr>
            <w:tcW w:w="1418" w:type="dxa"/>
            <w:tcBorders>
              <w:top w:val="nil"/>
              <w:bottom w:val="single" w:sz="12" w:space="0" w:color="auto"/>
            </w:tcBorders>
            <w:vAlign w:val="center"/>
          </w:tcPr>
          <w:p w14:paraId="00D8C705" w14:textId="514AB27F" w:rsidR="006F5648" w:rsidRPr="002657D1" w:rsidRDefault="006F5648" w:rsidP="006F5648">
            <w:pPr>
              <w:widowControl/>
              <w:spacing w:line="360" w:lineRule="auto"/>
              <w:jc w:val="center"/>
              <w:rPr>
                <w:rFonts w:ascii="Times New Roman" w:hAnsi="Times New Roman" w:cs="Times New Roman"/>
                <w:color w:val="000000" w:themeColor="text1"/>
                <w:sz w:val="24"/>
                <w:szCs w:val="24"/>
                <w:lang w:val="de-DE"/>
              </w:rPr>
            </w:pPr>
            <w:r w:rsidRPr="002657D1">
              <w:rPr>
                <w:rFonts w:ascii="Times New Roman" w:hAnsi="Times New Roman" w:cs="Times New Roman"/>
                <w:color w:val="000000" w:themeColor="text1"/>
                <w:sz w:val="24"/>
                <w:szCs w:val="24"/>
                <w:lang w:val="de-DE"/>
              </w:rPr>
              <w:t>0.62</w:t>
            </w:r>
          </w:p>
        </w:tc>
        <w:tc>
          <w:tcPr>
            <w:tcW w:w="1417" w:type="dxa"/>
            <w:tcBorders>
              <w:top w:val="nil"/>
              <w:bottom w:val="single" w:sz="12" w:space="0" w:color="auto"/>
            </w:tcBorders>
            <w:vAlign w:val="center"/>
          </w:tcPr>
          <w:p w14:paraId="2E442A1E" w14:textId="4EDDA9C8" w:rsidR="006F5648" w:rsidRPr="002657D1" w:rsidRDefault="006F5648" w:rsidP="006F5648">
            <w:pPr>
              <w:widowControl/>
              <w:spacing w:line="360" w:lineRule="auto"/>
              <w:jc w:val="center"/>
              <w:rPr>
                <w:rFonts w:ascii="Times New Roman" w:hAnsi="Times New Roman" w:cs="Times New Roman"/>
                <w:color w:val="000000" w:themeColor="text1"/>
                <w:sz w:val="24"/>
                <w:szCs w:val="24"/>
                <w:lang w:val="de-DE"/>
              </w:rPr>
            </w:pPr>
            <w:r w:rsidRPr="002657D1">
              <w:rPr>
                <w:rFonts w:ascii="Times New Roman" w:hAnsi="Times New Roman" w:cs="Times New Roman"/>
                <w:color w:val="000000" w:themeColor="text1"/>
                <w:sz w:val="24"/>
                <w:szCs w:val="24"/>
                <w:lang w:val="de-DE"/>
              </w:rPr>
              <w:t>400@0.2 C</w:t>
            </w:r>
          </w:p>
        </w:tc>
        <w:tc>
          <w:tcPr>
            <w:tcW w:w="1559" w:type="dxa"/>
            <w:tcBorders>
              <w:top w:val="nil"/>
              <w:bottom w:val="single" w:sz="12" w:space="0" w:color="auto"/>
            </w:tcBorders>
            <w:vAlign w:val="center"/>
          </w:tcPr>
          <w:p w14:paraId="0810883C" w14:textId="28C74E80" w:rsidR="006F5648" w:rsidRPr="002657D1" w:rsidRDefault="006F5648" w:rsidP="006F5648">
            <w:pPr>
              <w:widowControl/>
              <w:spacing w:line="360" w:lineRule="auto"/>
              <w:jc w:val="center"/>
              <w:rPr>
                <w:rFonts w:ascii="Times New Roman" w:hAnsi="Times New Roman" w:cs="Times New Roman"/>
                <w:color w:val="000000" w:themeColor="text1"/>
                <w:sz w:val="24"/>
                <w:szCs w:val="24"/>
                <w:lang w:val="de-DE"/>
              </w:rPr>
            </w:pPr>
            <w:r w:rsidRPr="002657D1">
              <w:rPr>
                <w:rFonts w:ascii="Times New Roman" w:hAnsi="Times New Roman" w:cs="Times New Roman"/>
                <w:color w:val="000000" w:themeColor="text1"/>
                <w:sz w:val="24"/>
                <w:szCs w:val="24"/>
                <w:lang w:val="de-DE"/>
              </w:rPr>
              <w:t>0.033</w:t>
            </w:r>
          </w:p>
        </w:tc>
        <w:tc>
          <w:tcPr>
            <w:tcW w:w="1560" w:type="dxa"/>
            <w:tcBorders>
              <w:top w:val="nil"/>
              <w:bottom w:val="single" w:sz="12" w:space="0" w:color="auto"/>
            </w:tcBorders>
            <w:vAlign w:val="center"/>
          </w:tcPr>
          <w:p w14:paraId="1757C8B6" w14:textId="43083E20" w:rsidR="006F5648" w:rsidRPr="002657D1" w:rsidRDefault="006F5648" w:rsidP="006F5648">
            <w:pPr>
              <w:widowControl/>
              <w:spacing w:line="360" w:lineRule="auto"/>
              <w:jc w:val="center"/>
              <w:rPr>
                <w:rFonts w:ascii="Times New Roman" w:hAnsi="Times New Roman" w:cs="Times New Roman"/>
                <w:color w:val="000000" w:themeColor="text1"/>
                <w:sz w:val="24"/>
                <w:szCs w:val="24"/>
                <w:lang w:val="de-DE"/>
              </w:rPr>
            </w:pPr>
            <w:r w:rsidRPr="002657D1">
              <w:rPr>
                <w:rFonts w:ascii="Times New Roman" w:hAnsi="Times New Roman" w:cs="Times New Roman"/>
                <w:color w:val="000000" w:themeColor="text1"/>
                <w:sz w:val="24"/>
                <w:szCs w:val="24"/>
                <w:lang w:val="de-DE"/>
              </w:rPr>
              <w:t>25</w:t>
            </w:r>
          </w:p>
        </w:tc>
        <w:tc>
          <w:tcPr>
            <w:tcW w:w="1275" w:type="dxa"/>
            <w:tcBorders>
              <w:top w:val="nil"/>
              <w:bottom w:val="single" w:sz="12" w:space="0" w:color="auto"/>
            </w:tcBorders>
            <w:vAlign w:val="center"/>
          </w:tcPr>
          <w:p w14:paraId="1DBBA2F2" w14:textId="1C197880"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lang w:val="de-DE"/>
              </w:rPr>
              <w:instrText xml:space="preserve"> ADDIN ZOTERO_ITEM CSL_CITATION {"citationID":"a1vlf5g6h19","properties":{"formattedCitation":"\\super 102\\nosupersub{}","plainCitation":"102","noteIndex":0},"citationItems":[{"id":3076,"uris":["http://zotero.org/users/local/J1vikkcu/items/JACHV9ZW"],"itemData":{"id":3076,"type":"article-journal","abstract":"Solid-state electrolytes (SSEs) play a crucial role in the operation of all-solid-state lithium metal batteries (ASSLMBs). Among them, sulfide SSEs have attracted particular attention due to their high ionic conductivity. However, the incompatibility of sulfide SSEs with lithium anodes and the inherent air instability severely impact battery cycling</w:instrText>
            </w:r>
            <w:r w:rsidR="00E725CF" w:rsidRPr="002657D1">
              <w:rPr>
                <w:rFonts w:ascii="Times New Roman" w:hAnsi="Times New Roman" w:cs="Times New Roman"/>
                <w:color w:val="000000" w:themeColor="text1"/>
                <w:sz w:val="24"/>
                <w:szCs w:val="24"/>
              </w:rPr>
              <w:instrText xml:space="preserve"> performance. Here, we successfully synthesize halogen-rich lithium argyrodites with the general formula Li5.5 + 3xP1 xCuxS4.5Cl1.5 2xBr2x. The incorporation of Cu and Br alter the spatial arrangement and electronic distribution of structure. Given that the anion disorder positively affects Li-ion dynamics, the ultrahigh ionic conductivity of 10.3 mS cm 1 at room temperature has been achieved in Li5.8P0.9Cu0.1S4.5Cl1.3Br0.2 (LPSCCB). Importantly, benefiting from the robust and stable interlayer, the lithium symmetric batteries deliver prolonged plating/stripping over 3000 h at 0.2 mA cm 2. Furthermore, the density functional theory calculations were used to prove the mechanisms of high chemical stability. Notably, the LPSC-CB electrolyte has remarkable applicability in ASSLMBs. The full batteries of FeS2/LPSC-CB/Li deliver outstanding discharge-specific capacities of 788.9 mAh g 1 and robust cycling stability (&gt;4.02 mAh cm 2 after 200 cycles). The versatile CuBr2 substitution in the most promising argyrodite electrolytes is considered as a valid strategy to realize high ionic conductivity and air-stabilized sulfide SSEs for large-scale applications.","container-title":"Energy Storage Materials","DOI":"10.1016/j.ensm.2025.104221","ISSN":"24058297","journalAbbreviation":"Energy Storage Materials","language":"en","page":"104221","source":"DOI.org (Crossref)","title":"Engineering high-performance argyrodite sulfide electrolytes via metal halide doping for all-solid-state lithium metal batteries","volume":"77","author":[{"family":"Li","given":"Yang"},{"family":"Wu","given":"Gang"},{"family":"Fan","given":"Xiaomeng"},{"family":"Li","given":"Dabing"},{"family":"Liu","given":"Hong"},{"family":"Zhao","given":"Xiaoxue"},{"family":"Ren","given":"Wanqing"},{"family":"Lei","given":"Peng"},{"family":"Zhao","given":"Xianyi"},{"family":"Wang","given":"Xun"},{"family":"Wang","given":"Guoxu"},{"family":"Gao","given":"Lei"},{"family":"Nan","given":"Ce-Wen"},{"family":"Fan","given":"Li-Zhen"}],"issued":{"date-parts":[["2025",4]]}}}],"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102</w:t>
            </w:r>
            <w:r w:rsidRPr="002657D1">
              <w:rPr>
                <w:rFonts w:ascii="Times New Roman" w:hAnsi="Times New Roman" w:cs="Times New Roman"/>
                <w:color w:val="000000" w:themeColor="text1"/>
                <w:sz w:val="24"/>
                <w:szCs w:val="24"/>
              </w:rPr>
              <w:fldChar w:fldCharType="end"/>
            </w:r>
          </w:p>
        </w:tc>
      </w:tr>
    </w:tbl>
    <w:p w14:paraId="625F8985" w14:textId="77777777" w:rsidR="005219E0" w:rsidRPr="002657D1" w:rsidRDefault="005219E0" w:rsidP="00D718C8">
      <w:pPr>
        <w:widowControl/>
        <w:spacing w:before="120" w:afterLines="50" w:after="156" w:line="360" w:lineRule="auto"/>
        <w:rPr>
          <w:rFonts w:ascii="Times New Roman" w:hAnsi="Times New Roman" w:cs="Times New Roman"/>
          <w:b/>
          <w:bCs/>
          <w:color w:val="000000" w:themeColor="text1"/>
          <w:sz w:val="24"/>
          <w:szCs w:val="24"/>
        </w:rPr>
        <w:sectPr w:rsidR="005219E0" w:rsidRPr="002657D1" w:rsidSect="00685BB0">
          <w:pgSz w:w="14175" w:h="16840"/>
          <w:pgMar w:top="1440" w:right="1797" w:bottom="1440" w:left="1797" w:header="851" w:footer="992" w:gutter="0"/>
          <w:lnNumType w:countBy="1" w:restart="continuous"/>
          <w:cols w:space="425"/>
          <w:docGrid w:type="lines" w:linePitch="312"/>
        </w:sectPr>
      </w:pPr>
    </w:p>
    <w:p w14:paraId="66FCEFD2" w14:textId="12185944" w:rsidR="00D718C8" w:rsidRPr="002657D1" w:rsidRDefault="00D718C8" w:rsidP="00D718C8">
      <w:pPr>
        <w:widowControl/>
        <w:spacing w:before="120" w:afterLines="50" w:after="156" w:line="360" w:lineRule="auto"/>
        <w:rPr>
          <w:rFonts w:ascii="Times New Roman" w:hAnsi="Times New Roman" w:cs="Times New Roman"/>
          <w:color w:val="000000" w:themeColor="text1"/>
          <w:sz w:val="24"/>
          <w:szCs w:val="24"/>
        </w:rPr>
      </w:pPr>
      <w:r w:rsidRPr="002657D1">
        <w:rPr>
          <w:rFonts w:ascii="Times New Roman" w:hAnsi="Times New Roman" w:cs="Times New Roman"/>
          <w:b/>
          <w:bCs/>
          <w:color w:val="000000" w:themeColor="text1"/>
          <w:sz w:val="24"/>
          <w:szCs w:val="24"/>
        </w:rPr>
        <w:lastRenderedPageBreak/>
        <w:t>Supplementary Table 9.</w:t>
      </w:r>
      <w:r w:rsidRPr="002657D1">
        <w:rPr>
          <w:rFonts w:ascii="Times New Roman" w:hAnsi="Times New Roman" w:cs="Times New Roman"/>
          <w:color w:val="000000" w:themeColor="text1"/>
          <w:sz w:val="24"/>
          <w:szCs w:val="24"/>
        </w:rPr>
        <w:t xml:space="preserve"> Comparison of </w:t>
      </w:r>
      <w:r w:rsidR="009D049B" w:rsidRPr="002657D1">
        <w:rPr>
          <w:rFonts w:ascii="Times New Roman" w:hAnsi="Times New Roman" w:cs="Times New Roman" w:hint="eastAsia"/>
          <w:color w:val="000000" w:themeColor="text1"/>
          <w:sz w:val="24"/>
          <w:szCs w:val="24"/>
        </w:rPr>
        <w:t>cathode active material</w:t>
      </w:r>
      <w:r w:rsidRPr="002657D1">
        <w:rPr>
          <w:rFonts w:ascii="Times New Roman" w:hAnsi="Times New Roman" w:cs="Times New Roman"/>
          <w:color w:val="000000" w:themeColor="text1"/>
          <w:sz w:val="24"/>
          <w:szCs w:val="24"/>
        </w:rPr>
        <w:t xml:space="preserve"> loading and areal capacity in ASSLMBs using </w:t>
      </w:r>
      <w:r w:rsidR="001A459F" w:rsidRPr="002657D1">
        <w:rPr>
          <w:rFonts w:ascii="Times New Roman" w:hAnsi="Times New Roman" w:cs="Times New Roman"/>
          <w:color w:val="000000" w:themeColor="text1"/>
          <w:sz w:val="24"/>
          <w:szCs w:val="24"/>
        </w:rPr>
        <w:t xml:space="preserve">Li </w:t>
      </w:r>
      <w:r w:rsidRPr="002657D1">
        <w:rPr>
          <w:rFonts w:ascii="Times New Roman" w:hAnsi="Times New Roman" w:cs="Times New Roman"/>
          <w:color w:val="000000" w:themeColor="text1"/>
          <w:sz w:val="24"/>
          <w:szCs w:val="24"/>
        </w:rPr>
        <w:t>metal and oxide electrolyte.</w:t>
      </w:r>
    </w:p>
    <w:tbl>
      <w:tblPr>
        <w:tblStyle w:val="af7"/>
        <w:tblW w:w="13041"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02"/>
        <w:gridCol w:w="1876"/>
        <w:gridCol w:w="1276"/>
        <w:gridCol w:w="1417"/>
        <w:gridCol w:w="1418"/>
        <w:gridCol w:w="1559"/>
        <w:gridCol w:w="1418"/>
        <w:gridCol w:w="1275"/>
      </w:tblGrid>
      <w:tr w:rsidR="002657D1" w:rsidRPr="002657D1" w14:paraId="2BCF26DA" w14:textId="77777777" w:rsidTr="001A7EE6">
        <w:trPr>
          <w:trHeight w:val="794"/>
          <w:jc w:val="center"/>
        </w:trPr>
        <w:tc>
          <w:tcPr>
            <w:tcW w:w="2802" w:type="dxa"/>
            <w:tcBorders>
              <w:top w:val="single" w:sz="12" w:space="0" w:color="auto"/>
              <w:bottom w:val="single" w:sz="12" w:space="0" w:color="auto"/>
            </w:tcBorders>
            <w:vAlign w:val="center"/>
          </w:tcPr>
          <w:p w14:paraId="08DD9F76" w14:textId="77777777" w:rsidR="006F5648" w:rsidRPr="002657D1" w:rsidRDefault="006F5648" w:rsidP="006F5648">
            <w:pPr>
              <w:widowControl/>
              <w:spacing w:before="120" w:afterLines="50" w:after="156"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kern w:val="18"/>
                <w:sz w:val="24"/>
                <w:szCs w:val="24"/>
              </w:rPr>
              <w:t>Cell structure</w:t>
            </w:r>
          </w:p>
        </w:tc>
        <w:tc>
          <w:tcPr>
            <w:tcW w:w="1876" w:type="dxa"/>
            <w:tcBorders>
              <w:top w:val="single" w:sz="12" w:space="0" w:color="auto"/>
              <w:bottom w:val="single" w:sz="12" w:space="0" w:color="auto"/>
            </w:tcBorders>
            <w:vAlign w:val="center"/>
          </w:tcPr>
          <w:p w14:paraId="393B3920" w14:textId="5187FA70" w:rsidR="006F5648" w:rsidRPr="002657D1" w:rsidRDefault="009D049B" w:rsidP="006F5648">
            <w:pPr>
              <w:widowControl/>
              <w:spacing w:before="120" w:afterLines="50" w:after="156"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hint="eastAsia"/>
                <w:color w:val="000000" w:themeColor="text1"/>
                <w:sz w:val="24"/>
                <w:szCs w:val="24"/>
              </w:rPr>
              <w:t>C</w:t>
            </w:r>
            <w:r w:rsidRPr="002657D1">
              <w:rPr>
                <w:rFonts w:ascii="Times New Roman" w:hAnsi="Times New Roman" w:cs="Times New Roman"/>
                <w:color w:val="000000" w:themeColor="text1"/>
                <w:sz w:val="24"/>
                <w:szCs w:val="24"/>
              </w:rPr>
              <w:t>athode active material</w:t>
            </w:r>
            <w:r w:rsidR="006F5648" w:rsidRPr="002657D1">
              <w:rPr>
                <w:rFonts w:ascii="Times New Roman" w:hAnsi="Times New Roman" w:cs="Times New Roman"/>
                <w:color w:val="000000" w:themeColor="text1"/>
                <w:sz w:val="24"/>
                <w:szCs w:val="24"/>
              </w:rPr>
              <w:t xml:space="preserve"> loading (mg cm</w:t>
            </w:r>
            <w:r w:rsidR="006F5648" w:rsidRPr="002657D1">
              <w:rPr>
                <w:rFonts w:ascii="Times New Roman" w:hAnsi="Times New Roman" w:cs="Times New Roman"/>
                <w:color w:val="000000" w:themeColor="text1"/>
                <w:kern w:val="24"/>
                <w:sz w:val="24"/>
                <w:szCs w:val="24"/>
                <w:vertAlign w:val="superscript"/>
              </w:rPr>
              <w:t>−</w:t>
            </w:r>
            <w:r w:rsidR="006F5648" w:rsidRPr="002657D1">
              <w:rPr>
                <w:rFonts w:ascii="Times New Roman" w:hAnsi="Times New Roman" w:cs="Times New Roman"/>
                <w:color w:val="000000" w:themeColor="text1"/>
                <w:sz w:val="24"/>
                <w:szCs w:val="24"/>
                <w:vertAlign w:val="superscript"/>
              </w:rPr>
              <w:t>2</w:t>
            </w:r>
            <w:r w:rsidR="006F5648" w:rsidRPr="002657D1">
              <w:rPr>
                <w:rFonts w:ascii="Times New Roman" w:hAnsi="Times New Roman" w:cs="Times New Roman"/>
                <w:color w:val="000000" w:themeColor="text1"/>
                <w:sz w:val="24"/>
                <w:szCs w:val="24"/>
              </w:rPr>
              <w:t>)</w:t>
            </w:r>
          </w:p>
        </w:tc>
        <w:tc>
          <w:tcPr>
            <w:tcW w:w="1276" w:type="dxa"/>
            <w:tcBorders>
              <w:top w:val="single" w:sz="12" w:space="0" w:color="auto"/>
              <w:bottom w:val="single" w:sz="12" w:space="0" w:color="auto"/>
            </w:tcBorders>
            <w:vAlign w:val="center"/>
          </w:tcPr>
          <w:p w14:paraId="300B5080" w14:textId="0DCC291E" w:rsidR="006F5648" w:rsidRPr="002657D1" w:rsidRDefault="006F5648" w:rsidP="006F5648">
            <w:pPr>
              <w:widowControl/>
              <w:spacing w:before="120" w:afterLines="50" w:after="156"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Discharge capacity (mAh g</w:t>
            </w:r>
            <w:r w:rsidRPr="002657D1">
              <w:rPr>
                <w:rFonts w:ascii="Times New Roman" w:hAnsi="Times New Roman" w:cs="Times New Roman"/>
                <w:color w:val="000000" w:themeColor="text1"/>
                <w:kern w:val="24"/>
                <w:sz w:val="24"/>
                <w:szCs w:val="24"/>
                <w:vertAlign w:val="superscript"/>
              </w:rPr>
              <w:t>−</w:t>
            </w:r>
            <w:r w:rsidRPr="002657D1">
              <w:rPr>
                <w:rFonts w:ascii="Times New Roman" w:hAnsi="Times New Roman" w:cs="Times New Roman"/>
                <w:color w:val="000000" w:themeColor="text1"/>
                <w:sz w:val="24"/>
                <w:szCs w:val="24"/>
                <w:vertAlign w:val="superscript"/>
              </w:rPr>
              <w:t>1</w:t>
            </w:r>
            <w:r w:rsidRPr="002657D1">
              <w:rPr>
                <w:rFonts w:ascii="Times New Roman" w:hAnsi="Times New Roman" w:cs="Times New Roman"/>
                <w:color w:val="000000" w:themeColor="text1"/>
                <w:sz w:val="24"/>
                <w:szCs w:val="24"/>
              </w:rPr>
              <w:t>)</w:t>
            </w:r>
          </w:p>
        </w:tc>
        <w:tc>
          <w:tcPr>
            <w:tcW w:w="1417" w:type="dxa"/>
            <w:tcBorders>
              <w:top w:val="single" w:sz="12" w:space="0" w:color="auto"/>
              <w:bottom w:val="single" w:sz="12" w:space="0" w:color="auto"/>
            </w:tcBorders>
            <w:vAlign w:val="center"/>
          </w:tcPr>
          <w:p w14:paraId="3D1C0A1A" w14:textId="301633E9" w:rsidR="006F5648" w:rsidRPr="002657D1" w:rsidRDefault="006F5648" w:rsidP="006F5648">
            <w:pPr>
              <w:widowControl/>
              <w:spacing w:before="120" w:afterLines="50" w:after="156"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Areal capacity (mAh cm</w:t>
            </w:r>
            <w:r w:rsidRPr="002657D1">
              <w:rPr>
                <w:rFonts w:ascii="Times New Roman" w:hAnsi="Times New Roman" w:cs="Times New Roman"/>
                <w:color w:val="000000" w:themeColor="text1"/>
                <w:kern w:val="24"/>
                <w:sz w:val="24"/>
                <w:szCs w:val="24"/>
                <w:vertAlign w:val="superscript"/>
              </w:rPr>
              <w:t>−</w:t>
            </w:r>
            <w:r w:rsidRPr="002657D1">
              <w:rPr>
                <w:rFonts w:ascii="Times New Roman" w:hAnsi="Times New Roman" w:cs="Times New Roman"/>
                <w:color w:val="000000" w:themeColor="text1"/>
                <w:sz w:val="24"/>
                <w:szCs w:val="24"/>
                <w:vertAlign w:val="superscript"/>
              </w:rPr>
              <w:t>2</w:t>
            </w:r>
            <w:r w:rsidRPr="002657D1">
              <w:rPr>
                <w:rFonts w:ascii="Times New Roman" w:hAnsi="Times New Roman" w:cs="Times New Roman"/>
                <w:color w:val="000000" w:themeColor="text1"/>
                <w:sz w:val="24"/>
                <w:szCs w:val="24"/>
              </w:rPr>
              <w:t>)</w:t>
            </w:r>
          </w:p>
        </w:tc>
        <w:tc>
          <w:tcPr>
            <w:tcW w:w="1418" w:type="dxa"/>
            <w:tcBorders>
              <w:top w:val="single" w:sz="12" w:space="0" w:color="auto"/>
              <w:bottom w:val="single" w:sz="12" w:space="0" w:color="auto"/>
            </w:tcBorders>
            <w:vAlign w:val="center"/>
          </w:tcPr>
          <w:p w14:paraId="541CF983" w14:textId="75D1E1F7" w:rsidR="006F5648" w:rsidRPr="002657D1" w:rsidRDefault="006F5648" w:rsidP="006F5648">
            <w:pPr>
              <w:widowControl/>
              <w:spacing w:before="120" w:afterLines="50" w:after="156"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Total cycles (n)@current</w:t>
            </w:r>
          </w:p>
        </w:tc>
        <w:tc>
          <w:tcPr>
            <w:tcW w:w="1559" w:type="dxa"/>
            <w:tcBorders>
              <w:top w:val="single" w:sz="12" w:space="0" w:color="auto"/>
              <w:bottom w:val="single" w:sz="12" w:space="0" w:color="auto"/>
            </w:tcBorders>
            <w:vAlign w:val="center"/>
          </w:tcPr>
          <w:p w14:paraId="769D09E7" w14:textId="0FD6C847" w:rsidR="006F5648" w:rsidRPr="002657D1" w:rsidRDefault="006F5648" w:rsidP="006F5648">
            <w:pPr>
              <w:widowControl/>
              <w:spacing w:before="120" w:afterLines="50" w:after="156"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Capacity decay rate per cycle (%)</w:t>
            </w:r>
          </w:p>
        </w:tc>
        <w:tc>
          <w:tcPr>
            <w:tcW w:w="1418" w:type="dxa"/>
            <w:tcBorders>
              <w:top w:val="single" w:sz="12" w:space="0" w:color="auto"/>
              <w:bottom w:val="single" w:sz="12" w:space="0" w:color="auto"/>
            </w:tcBorders>
            <w:vAlign w:val="center"/>
          </w:tcPr>
          <w:p w14:paraId="77BC6BD9" w14:textId="4E815EC1" w:rsidR="006F5648" w:rsidRPr="002657D1" w:rsidRDefault="006F5648" w:rsidP="006F5648">
            <w:pPr>
              <w:widowControl/>
              <w:spacing w:before="120" w:afterLines="50" w:after="156"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Test temperature (℃)</w:t>
            </w:r>
          </w:p>
        </w:tc>
        <w:tc>
          <w:tcPr>
            <w:tcW w:w="1275" w:type="dxa"/>
            <w:tcBorders>
              <w:top w:val="single" w:sz="12" w:space="0" w:color="auto"/>
              <w:bottom w:val="single" w:sz="12" w:space="0" w:color="auto"/>
            </w:tcBorders>
            <w:vAlign w:val="center"/>
          </w:tcPr>
          <w:p w14:paraId="12824CF6" w14:textId="77777777" w:rsidR="006F5648" w:rsidRPr="002657D1" w:rsidRDefault="006F5648" w:rsidP="006F5648">
            <w:pPr>
              <w:widowControl/>
              <w:spacing w:before="120" w:afterLines="50" w:after="156"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Reference</w:t>
            </w:r>
          </w:p>
        </w:tc>
      </w:tr>
      <w:tr w:rsidR="002657D1" w:rsidRPr="002657D1" w14:paraId="6FE53904" w14:textId="77777777" w:rsidTr="001A7EE6">
        <w:trPr>
          <w:jc w:val="center"/>
        </w:trPr>
        <w:tc>
          <w:tcPr>
            <w:tcW w:w="2802" w:type="dxa"/>
            <w:tcBorders>
              <w:top w:val="single" w:sz="12" w:space="0" w:color="auto"/>
            </w:tcBorders>
            <w:vAlign w:val="center"/>
          </w:tcPr>
          <w:p w14:paraId="4512367D" w14:textId="6C520D08"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LFP/Li</w:t>
            </w:r>
            <w:r w:rsidRPr="002657D1">
              <w:rPr>
                <w:rFonts w:ascii="Times New Roman" w:hAnsi="Times New Roman" w:cs="Times New Roman"/>
                <w:color w:val="000000" w:themeColor="text1"/>
                <w:sz w:val="24"/>
                <w:szCs w:val="24"/>
                <w:vertAlign w:val="subscript"/>
              </w:rPr>
              <w:t>6.4</w:t>
            </w:r>
            <w:r w:rsidRPr="002657D1">
              <w:rPr>
                <w:rFonts w:ascii="Times New Roman" w:hAnsi="Times New Roman" w:cs="Times New Roman"/>
                <w:color w:val="000000" w:themeColor="text1"/>
                <w:sz w:val="24"/>
                <w:szCs w:val="24"/>
              </w:rPr>
              <w:t>La</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Zr</w:t>
            </w:r>
            <w:r w:rsidRPr="002657D1">
              <w:rPr>
                <w:rFonts w:ascii="Times New Roman" w:hAnsi="Times New Roman" w:cs="Times New Roman"/>
                <w:color w:val="000000" w:themeColor="text1"/>
                <w:sz w:val="24"/>
                <w:szCs w:val="24"/>
                <w:vertAlign w:val="subscript"/>
              </w:rPr>
              <w:t>1.4</w:t>
            </w:r>
            <w:r w:rsidRPr="002657D1">
              <w:rPr>
                <w:rFonts w:ascii="Times New Roman" w:hAnsi="Times New Roman" w:cs="Times New Roman"/>
                <w:color w:val="000000" w:themeColor="text1"/>
                <w:sz w:val="24"/>
                <w:szCs w:val="24"/>
              </w:rPr>
              <w:t>Ta</w:t>
            </w:r>
            <w:r w:rsidRPr="002657D1">
              <w:rPr>
                <w:rFonts w:ascii="Times New Roman" w:hAnsi="Times New Roman" w:cs="Times New Roman"/>
                <w:color w:val="000000" w:themeColor="text1"/>
                <w:sz w:val="24"/>
                <w:szCs w:val="24"/>
                <w:vertAlign w:val="subscript"/>
              </w:rPr>
              <w:t>0.6</w:t>
            </w:r>
            <w:r w:rsidRPr="002657D1">
              <w:rPr>
                <w:rFonts w:ascii="Times New Roman" w:hAnsi="Times New Roman" w:cs="Times New Roman"/>
                <w:color w:val="000000" w:themeColor="text1"/>
                <w:sz w:val="24"/>
                <w:szCs w:val="24"/>
              </w:rPr>
              <w:t>O</w:t>
            </w:r>
            <w:r w:rsidRPr="002657D1">
              <w:rPr>
                <w:rFonts w:ascii="Times New Roman" w:hAnsi="Times New Roman" w:cs="Times New Roman"/>
                <w:color w:val="000000" w:themeColor="text1"/>
                <w:sz w:val="24"/>
                <w:szCs w:val="24"/>
                <w:vertAlign w:val="subscript"/>
              </w:rPr>
              <w:t>12</w:t>
            </w:r>
            <w:r w:rsidRPr="002657D1">
              <w:rPr>
                <w:rFonts w:ascii="Times New Roman" w:hAnsi="Times New Roman" w:cs="Times New Roman"/>
                <w:color w:val="000000" w:themeColor="text1"/>
                <w:sz w:val="24"/>
                <w:szCs w:val="24"/>
              </w:rPr>
              <w:t>-MIS/Li</w:t>
            </w:r>
          </w:p>
        </w:tc>
        <w:tc>
          <w:tcPr>
            <w:tcW w:w="1876" w:type="dxa"/>
            <w:tcBorders>
              <w:top w:val="single" w:sz="12" w:space="0" w:color="auto"/>
            </w:tcBorders>
            <w:vAlign w:val="center"/>
          </w:tcPr>
          <w:p w14:paraId="66C12336" w14:textId="77777777"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6" w:type="dxa"/>
            <w:tcBorders>
              <w:top w:val="single" w:sz="12" w:space="0" w:color="auto"/>
            </w:tcBorders>
            <w:vAlign w:val="center"/>
          </w:tcPr>
          <w:p w14:paraId="1A70CB9A" w14:textId="77777777"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154.8</w:t>
            </w:r>
          </w:p>
        </w:tc>
        <w:tc>
          <w:tcPr>
            <w:tcW w:w="1417" w:type="dxa"/>
            <w:tcBorders>
              <w:top w:val="single" w:sz="12" w:space="0" w:color="auto"/>
            </w:tcBorders>
            <w:vAlign w:val="center"/>
          </w:tcPr>
          <w:p w14:paraId="743F8585" w14:textId="77777777"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~0.39</w:t>
            </w:r>
          </w:p>
        </w:tc>
        <w:tc>
          <w:tcPr>
            <w:tcW w:w="1418" w:type="dxa"/>
            <w:tcBorders>
              <w:top w:val="single" w:sz="12" w:space="0" w:color="auto"/>
            </w:tcBorders>
            <w:vAlign w:val="center"/>
          </w:tcPr>
          <w:p w14:paraId="52252C37" w14:textId="30268B04"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250@0.2 C</w:t>
            </w:r>
          </w:p>
        </w:tc>
        <w:tc>
          <w:tcPr>
            <w:tcW w:w="1559" w:type="dxa"/>
            <w:tcBorders>
              <w:top w:val="single" w:sz="12" w:space="0" w:color="auto"/>
            </w:tcBorders>
            <w:vAlign w:val="center"/>
          </w:tcPr>
          <w:p w14:paraId="771E226E" w14:textId="51AFED32"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0.044</w:t>
            </w:r>
          </w:p>
        </w:tc>
        <w:tc>
          <w:tcPr>
            <w:tcW w:w="1418" w:type="dxa"/>
            <w:tcBorders>
              <w:top w:val="single" w:sz="12" w:space="0" w:color="auto"/>
            </w:tcBorders>
            <w:vAlign w:val="center"/>
          </w:tcPr>
          <w:p w14:paraId="43F23075" w14:textId="0191D1AB"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tcBorders>
              <w:top w:val="single" w:sz="12" w:space="0" w:color="auto"/>
            </w:tcBorders>
            <w:vAlign w:val="center"/>
          </w:tcPr>
          <w:p w14:paraId="3D39DD22" w14:textId="3DC56200"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{"citationID":"3wa2YSBt","properties":{"formattedCitation":"\\super 103\\nosupersub{}","plainCitation":"103","noteIndex":0},"citationItems":[{"id":"IXaoCdHi/APVMKN1J","uris":["http://zotero.org/users/local/As3BANDe/items/EXUQGYWJ"],"itemData":{"id":4869,"type":"article-journal","abstract":"Abstract\n            \n              Lithium garnets are considered as promising solid‐state electrolytes for next‐generation solid‐state Li metal batteries (SSLBs). However, the Li intrusion driven by external stack pressure triggers premature of Li metal batteries. Herein, for the first time, an in situ constructed interfacial shield is reported to efficiently inhibit the pressure‐induced Li intrusion in SSLBs. Theoretical modeling and experimental investigations reveal that high‐hardness metallic Mo nanocrystals inside the shield effectively suppress Li dendrite growth without alloy hardening‐derived interfacial contact deterioration. Meanwhile the electrically insulated Li\n              2\n              S as a shield component considerably promotes interfacial wettability and hinders Li dendrite penetration into the bulk of garnet electrolyte. Interfacial shield‐protected Li\n              6.4\n              La\n              3\n              Zr\n              1.4\n              Ta\n              0.6\n              O\n              12\n              (LLZTO)‐based cells exhibit significantly enhanced cyclability without short circuits under conventional pressures of ≈0.2 MPa and even at high pressure of up to 70 MPa; which is the highest endurable stack pressure reported for SSLBs using garnet electrolytes. These key findings are expected to promote the wide‐pressure‐range applications of SSLBs.","container-title":"Advanced Materials","DOI":"10.1002/adma.202308275","ISSN":"0935-9648, 1521-4095","issue":"7","journalAbbreviation":"Advanced Materials","language":"en","page":"2308275","source":"DOI.org (Crossref)","title":"A Lithium Intrusion‐Blocking Interfacial Shield for Wide‐Pressure‐Range Solid‐State Lithium Metal Batteries","volume":"36","author":[{"family":"Hu","given":"Xia"},{"family":"Yu","given":"Jiahao"},{"family":"Wang","given":"Yao"},{"family":"Guo","given":"Weiqian"},{"family":"Zhang","given":"Xiang"},{"family":"Armand","given":"Michel"},{"family":"Kang","given":"Feiyu"},{"family":"Wang","given":"Guoxiu"},{"family":"Zhou","given":"Dong"},{"family":"Li","given":"Baohua"}],"issued":{"date-parts":[["2024",2]]}}}],"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103</w:t>
            </w:r>
            <w:r w:rsidRPr="002657D1">
              <w:rPr>
                <w:rFonts w:ascii="Times New Roman" w:hAnsi="Times New Roman" w:cs="Times New Roman"/>
                <w:color w:val="000000" w:themeColor="text1"/>
                <w:sz w:val="24"/>
                <w:szCs w:val="24"/>
              </w:rPr>
              <w:fldChar w:fldCharType="end"/>
            </w:r>
          </w:p>
        </w:tc>
      </w:tr>
      <w:tr w:rsidR="002657D1" w:rsidRPr="002657D1" w14:paraId="7E27934D" w14:textId="77777777" w:rsidTr="001A7EE6">
        <w:trPr>
          <w:jc w:val="center"/>
        </w:trPr>
        <w:tc>
          <w:tcPr>
            <w:tcW w:w="2802" w:type="dxa"/>
            <w:vAlign w:val="center"/>
          </w:tcPr>
          <w:p w14:paraId="47C93C39" w14:textId="09132289"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LCO/BaTiO</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-Li</w:t>
            </w:r>
            <w:r w:rsidRPr="002657D1">
              <w:rPr>
                <w:rFonts w:ascii="Times New Roman" w:hAnsi="Times New Roman" w:cs="Times New Roman"/>
                <w:color w:val="000000" w:themeColor="text1"/>
                <w:sz w:val="24"/>
                <w:szCs w:val="24"/>
                <w:vertAlign w:val="subscript"/>
              </w:rPr>
              <w:t>6.4</w:t>
            </w:r>
            <w:r w:rsidRPr="002657D1">
              <w:rPr>
                <w:rFonts w:ascii="Times New Roman" w:hAnsi="Times New Roman" w:cs="Times New Roman"/>
                <w:color w:val="000000" w:themeColor="text1"/>
                <w:sz w:val="24"/>
                <w:szCs w:val="24"/>
              </w:rPr>
              <w:t>La</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Zr</w:t>
            </w:r>
            <w:r w:rsidRPr="002657D1">
              <w:rPr>
                <w:rFonts w:ascii="Times New Roman" w:hAnsi="Times New Roman" w:cs="Times New Roman"/>
                <w:color w:val="000000" w:themeColor="text1"/>
                <w:sz w:val="24"/>
                <w:szCs w:val="24"/>
                <w:vertAlign w:val="subscript"/>
              </w:rPr>
              <w:t>1.4</w:t>
            </w:r>
            <w:r w:rsidRPr="002657D1">
              <w:rPr>
                <w:rFonts w:ascii="Times New Roman" w:hAnsi="Times New Roman" w:cs="Times New Roman"/>
                <w:color w:val="000000" w:themeColor="text1"/>
                <w:sz w:val="24"/>
                <w:szCs w:val="24"/>
              </w:rPr>
              <w:t>Ta</w:t>
            </w:r>
            <w:r w:rsidRPr="002657D1">
              <w:rPr>
                <w:rFonts w:ascii="Times New Roman" w:hAnsi="Times New Roman" w:cs="Times New Roman"/>
                <w:color w:val="000000" w:themeColor="text1"/>
                <w:sz w:val="24"/>
                <w:szCs w:val="24"/>
                <w:vertAlign w:val="subscript"/>
              </w:rPr>
              <w:t>0.6</w:t>
            </w:r>
            <w:r w:rsidRPr="002657D1">
              <w:rPr>
                <w:rFonts w:ascii="Times New Roman" w:hAnsi="Times New Roman" w:cs="Times New Roman"/>
                <w:color w:val="000000" w:themeColor="text1"/>
                <w:sz w:val="24"/>
                <w:szCs w:val="24"/>
              </w:rPr>
              <w:t>O</w:t>
            </w:r>
            <w:r w:rsidRPr="002657D1">
              <w:rPr>
                <w:rFonts w:ascii="Times New Roman" w:hAnsi="Times New Roman" w:cs="Times New Roman"/>
                <w:color w:val="000000" w:themeColor="text1"/>
                <w:sz w:val="24"/>
                <w:szCs w:val="24"/>
                <w:vertAlign w:val="subscript"/>
              </w:rPr>
              <w:t>12</w:t>
            </w:r>
            <w:r w:rsidRPr="002657D1">
              <w:rPr>
                <w:rFonts w:ascii="Times New Roman" w:hAnsi="Times New Roman" w:cs="Times New Roman"/>
                <w:color w:val="000000" w:themeColor="text1"/>
                <w:sz w:val="24"/>
                <w:szCs w:val="24"/>
              </w:rPr>
              <w:t>/Li</w:t>
            </w:r>
          </w:p>
        </w:tc>
        <w:tc>
          <w:tcPr>
            <w:tcW w:w="1876" w:type="dxa"/>
            <w:vAlign w:val="center"/>
          </w:tcPr>
          <w:p w14:paraId="0E183498" w14:textId="6DBD3866"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1.2</w:t>
            </w:r>
          </w:p>
        </w:tc>
        <w:tc>
          <w:tcPr>
            <w:tcW w:w="1276" w:type="dxa"/>
            <w:vAlign w:val="center"/>
          </w:tcPr>
          <w:p w14:paraId="51A6758C" w14:textId="7D627922"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100.1</w:t>
            </w:r>
          </w:p>
        </w:tc>
        <w:tc>
          <w:tcPr>
            <w:tcW w:w="1417" w:type="dxa"/>
            <w:vAlign w:val="center"/>
          </w:tcPr>
          <w:p w14:paraId="79F85CE3" w14:textId="28D0CF57"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0.12</w:t>
            </w:r>
          </w:p>
        </w:tc>
        <w:tc>
          <w:tcPr>
            <w:tcW w:w="1418" w:type="dxa"/>
            <w:vAlign w:val="center"/>
          </w:tcPr>
          <w:p w14:paraId="761C9BCC" w14:textId="652B81B6"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200@1.0 C</w:t>
            </w:r>
          </w:p>
        </w:tc>
        <w:tc>
          <w:tcPr>
            <w:tcW w:w="1559" w:type="dxa"/>
            <w:vAlign w:val="center"/>
          </w:tcPr>
          <w:p w14:paraId="4291CF41" w14:textId="511C0832"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0.086</w:t>
            </w:r>
          </w:p>
        </w:tc>
        <w:tc>
          <w:tcPr>
            <w:tcW w:w="1418" w:type="dxa"/>
            <w:vAlign w:val="center"/>
          </w:tcPr>
          <w:p w14:paraId="48107949" w14:textId="5A1BC335"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65</w:t>
            </w:r>
          </w:p>
        </w:tc>
        <w:tc>
          <w:tcPr>
            <w:tcW w:w="1275" w:type="dxa"/>
            <w:vAlign w:val="center"/>
          </w:tcPr>
          <w:p w14:paraId="3B09B312" w14:textId="14C9FF61"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{"citationID":"A5MRNMnV","properties":{"formattedCitation":"\\super 104\\nosupersub{}","plainCitation":"104","noteIndex":0},"citationItems":[{"id":"IXaoCdHi/2SaV5zGA","uris":["http://zotero.org/users/local/As3BANDe/items/ENXZAGBJ"],"itemData":{"id":4936,"type":"article-journal","abstract":"Ferroelectric BaTiO\n              3\n              improves all-solid-state Li metal batteries with garnet-based solid electrolytes by reducing electric fields at grain boundary, preventing Li filament growth, and forming mixed-conducting interlayers.\n            \n          , \n            \n              All-solid-state-lithium-batteries (ASSLBs) using crystalline solid electrolytes (\n              e.g.\n              , garnet-type Li\n              7\n              La\n              3\n              Zr\n              2\n              O\n              12\n              , LLZO) are promising electrochemical energy storage systems. However, Li penetration within the solid-state electrolytes (SSEs) due to a large electric field gradient and local electronic conductivity at the crystal grain boundary (GB) causes quick cell failures. Here, we design a field-responsive GB with ferroelectric materials for crystalline SSEs to prevent Li nucleation\n              via\n              a weakened local electric field. Additionally, the mixed-conducting interlayer formed at the Li/BaTiO\n              3\n              -modified LLZO (BTO–LZ) interface is favorable for homogenizing the interfacial Li\n              +\n              flux. As a result, Li penetration through the bulk SSE can be effectively suppressed with an ultra-high critical current density of 6.1 mA cm\n              −2\n              . ASSLBs with a low interfacial resistance, high capacity and rate performance can be realized using the BTO–LZ electrolyte and thermally soldered LiCoO\n              2\n              . This study offers a generic strategy against dendrites in various solid-state batteries.","container-title":"Energy &amp; Environmental Science","DOI":"10.1039/D4EE02853H","ISSN":"1754-5692, 1754-5706","issue":"18","journalAbbreviation":"Energy Environ. Sci.","language":"en","page":"6707-6716","source":"DOI.org (Crossref)","title":"Field-responsive grain boundary against dendrite penetration for all-solid-state batteries","volume":"17","author":[{"family":"Xiong","given":"Bing-Qing"},{"family":"Liu","given":"Xiaoye"},{"family":"Nian","given":"Qingshun"},{"family":"Wang","given":"Zihong"},{"family":"Zhu","given":"Yuhong"},{"family":"Luo","given":"Xuan"},{"family":"Jiang","given":"Jinyu"},{"family":"Ruan","given":"Digen"},{"family":"Ma","given":"Jun"},{"family":"Jiang","given":"Junhao"},{"family":"Cheng","given":"Yi-Feng"},{"family":"Li","given":"Changhao"},{"family":"Ren","given":"Xiaodi"}],"issued":{"date-parts":[["2024"]]}}}],"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104</w:t>
            </w:r>
            <w:r w:rsidRPr="002657D1">
              <w:rPr>
                <w:rFonts w:ascii="Times New Roman" w:hAnsi="Times New Roman" w:cs="Times New Roman"/>
                <w:color w:val="000000" w:themeColor="text1"/>
                <w:sz w:val="24"/>
                <w:szCs w:val="24"/>
              </w:rPr>
              <w:fldChar w:fldCharType="end"/>
            </w:r>
          </w:p>
        </w:tc>
      </w:tr>
      <w:tr w:rsidR="002657D1" w:rsidRPr="002657D1" w14:paraId="2080C959" w14:textId="77777777" w:rsidTr="001A7EE6">
        <w:trPr>
          <w:jc w:val="center"/>
        </w:trPr>
        <w:tc>
          <w:tcPr>
            <w:tcW w:w="2802" w:type="dxa"/>
            <w:vAlign w:val="center"/>
          </w:tcPr>
          <w:p w14:paraId="4F4AE20A" w14:textId="145457A4"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NCM811/Li</w:t>
            </w:r>
            <w:r w:rsidRPr="002657D1">
              <w:rPr>
                <w:rFonts w:ascii="Times New Roman" w:hAnsi="Times New Roman" w:cs="Times New Roman"/>
                <w:color w:val="000000" w:themeColor="text1"/>
                <w:sz w:val="24"/>
                <w:szCs w:val="24"/>
                <w:vertAlign w:val="subscript"/>
              </w:rPr>
              <w:t>1.5</w:t>
            </w:r>
            <w:r w:rsidRPr="002657D1">
              <w:rPr>
                <w:rFonts w:ascii="Times New Roman" w:hAnsi="Times New Roman" w:cs="Times New Roman"/>
                <w:color w:val="000000" w:themeColor="text1"/>
                <w:sz w:val="24"/>
                <w:szCs w:val="24"/>
              </w:rPr>
              <w:t>Al</w:t>
            </w:r>
            <w:r w:rsidRPr="002657D1">
              <w:rPr>
                <w:rFonts w:ascii="Times New Roman" w:hAnsi="Times New Roman" w:cs="Times New Roman"/>
                <w:color w:val="000000" w:themeColor="text1"/>
                <w:sz w:val="24"/>
                <w:szCs w:val="24"/>
                <w:vertAlign w:val="subscript"/>
              </w:rPr>
              <w:t>0.5</w:t>
            </w:r>
            <w:r w:rsidRPr="002657D1">
              <w:rPr>
                <w:rFonts w:ascii="Times New Roman" w:hAnsi="Times New Roman" w:cs="Times New Roman"/>
                <w:color w:val="000000" w:themeColor="text1"/>
                <w:sz w:val="24"/>
                <w:szCs w:val="24"/>
              </w:rPr>
              <w:t>Ti</w:t>
            </w:r>
            <w:r w:rsidRPr="002657D1">
              <w:rPr>
                <w:rFonts w:ascii="Times New Roman" w:hAnsi="Times New Roman" w:cs="Times New Roman"/>
                <w:color w:val="000000" w:themeColor="text1"/>
                <w:sz w:val="24"/>
                <w:szCs w:val="24"/>
                <w:vertAlign w:val="subscript"/>
              </w:rPr>
              <w:t>1.5</w:t>
            </w:r>
            <w:r w:rsidRPr="002657D1">
              <w:rPr>
                <w:rFonts w:ascii="Times New Roman" w:hAnsi="Times New Roman" w:cs="Times New Roman"/>
                <w:color w:val="000000" w:themeColor="text1"/>
                <w:sz w:val="24"/>
                <w:szCs w:val="24"/>
              </w:rPr>
              <w:t>(PO</w:t>
            </w:r>
            <w:r w:rsidRPr="002657D1">
              <w:rPr>
                <w:rFonts w:ascii="Times New Roman" w:hAnsi="Times New Roman" w:cs="Times New Roman"/>
                <w:color w:val="000000" w:themeColor="text1"/>
                <w:sz w:val="24"/>
                <w:szCs w:val="24"/>
                <w:vertAlign w:val="subscript"/>
              </w:rPr>
              <w:t>4</w:t>
            </w:r>
            <w:r w:rsidRPr="002657D1">
              <w:rPr>
                <w:rFonts w:ascii="Times New Roman" w:hAnsi="Times New Roman" w:cs="Times New Roman"/>
                <w:color w:val="000000" w:themeColor="text1"/>
                <w:sz w:val="24"/>
                <w:szCs w:val="24"/>
              </w:rPr>
              <w:t>)</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/UVEA/Li</w:t>
            </w:r>
          </w:p>
        </w:tc>
        <w:tc>
          <w:tcPr>
            <w:tcW w:w="1876" w:type="dxa"/>
            <w:vAlign w:val="center"/>
          </w:tcPr>
          <w:p w14:paraId="06CE7739" w14:textId="3FDAF1D3"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7.4</w:t>
            </w:r>
          </w:p>
        </w:tc>
        <w:tc>
          <w:tcPr>
            <w:tcW w:w="1276" w:type="dxa"/>
            <w:vAlign w:val="center"/>
          </w:tcPr>
          <w:p w14:paraId="39C0742A" w14:textId="05E4C19A"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146.9</w:t>
            </w:r>
          </w:p>
        </w:tc>
        <w:tc>
          <w:tcPr>
            <w:tcW w:w="1417" w:type="dxa"/>
            <w:vAlign w:val="center"/>
          </w:tcPr>
          <w:p w14:paraId="27353A6A" w14:textId="22DA38A4"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1.09</w:t>
            </w:r>
          </w:p>
        </w:tc>
        <w:tc>
          <w:tcPr>
            <w:tcW w:w="1418" w:type="dxa"/>
            <w:vAlign w:val="center"/>
          </w:tcPr>
          <w:p w14:paraId="282294C8" w14:textId="3B734147"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400@0.2 C</w:t>
            </w:r>
          </w:p>
        </w:tc>
        <w:tc>
          <w:tcPr>
            <w:tcW w:w="1559" w:type="dxa"/>
            <w:vAlign w:val="center"/>
          </w:tcPr>
          <w:p w14:paraId="51B2753A" w14:textId="4F9C15D6"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0.033</w:t>
            </w:r>
          </w:p>
        </w:tc>
        <w:tc>
          <w:tcPr>
            <w:tcW w:w="1418" w:type="dxa"/>
            <w:vAlign w:val="center"/>
          </w:tcPr>
          <w:p w14:paraId="400EAF1A" w14:textId="6EC8CB0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vAlign w:val="center"/>
          </w:tcPr>
          <w:p w14:paraId="0E6053F0" w14:textId="380CC575"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{"citationID":"XueUC0rc","properties":{"formattedCitation":"\\super 105\\nosupersub{}","plainCitation":"105","noteIndex":0},"citationItems":[{"id":"IXaoCdHi/Z4p45Xnc","uris":["http://zotero.org/users/local/As3BANDe/items/8SD9DK2G"],"itemData":{"id":4938,"type":"article-journal","abstract":"We propose a universal solid electrolyte design that broadens the selection of ceramic LICs for solid-state lithium metal batteries, without requirements of electronic insulation or (electro)chemical stability.\n          , \n            \n              A challenging task in solid-state batteries is finding a solid ionic conductor that is simultaneously electronically insulative, stable at both low and high voltages, and sustainable. Current prevalent ceramic lithium-ion conductors (LICs) struggle to balance all these criteria, and their selection is limited for application in solid-state lithium metal batteries. Here, we report a universal solid electrolyte design paradigm,\n              i.e.\n              , an ceramic LIC sandwiched between two solid electronic separators, to allow a broad range of ceramic LICs including Li\n              1.5\n              Al\n              0.5\n              Ti\n              1.5\n              (PO\n              4\n              )\n              3\n              , LiV\n              3\n              O\n              8\n              , and Li\n              4\n              Ti\n              5\n              O\n              12\n              , to be deployed in solid-state lithium batteries. With the solid electrolyte design, the requirements of electronic insulation or (electro)chemical stability for ceramic LICs are no longer needed. A high critical current density of 14 mA cm\n              −2\n              (under a constant plating/stripping capacity of 0.5 mA h cm\n              −2\n              ) and long-life cycling (7000 hours at 0.2 mA cm\n              −2\n              and 2500 hours at 0.5 mA cm\n              −2\n              ) were realized in Li//Li symmetric cells at room temperature. Remarkably high capacity retentions (87% after 400 cycles) were also achieved in Li\n              0\n              full cells paired with LiNi\n              0.8\n              Mn\n              0.1\n              Co\n              0.1\n              O\n              2\n              cathodes (mass loading: 7.4 mg cm\n              −2\n              ). Our discoveries promise the implication of broader-ranging, more sustainable, yet previously unrecognized ionic conductors in practical solid-state batteries.","container-title":"Energy &amp; Environmental Science","DOI":"10.1039/D3EE02657D","ISSN":"1754-5692, 1754-5706","issue":"12","journalAbbreviation":"Energy Environ. Sci.","language":"en","page":"5871-5880","source":"DOI.org (Crossref)","title":"Broadening solid ionic conductor selection for sustainable and earth-abundant solid-state lithium metal batteries","volume":"16","author":[{"family":"Zou","given":"Peichao"},{"family":"Wang","given":"Chunyang"},{"family":"He","given":"Yubin"},{"family":"Xin","given":"Huolin L."}],"issued":{"date-parts":[["2023"]]}}}],"schema":"https://github.com/citation-style-language/schema/raw/master/csl-citation.json"}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105</w:t>
            </w:r>
            <w:r w:rsidRPr="002657D1">
              <w:rPr>
                <w:rFonts w:ascii="Times New Roman" w:hAnsi="Times New Roman" w:cs="Times New Roman"/>
                <w:color w:val="000000" w:themeColor="text1"/>
                <w:sz w:val="24"/>
                <w:szCs w:val="24"/>
              </w:rPr>
              <w:fldChar w:fldCharType="end"/>
            </w:r>
          </w:p>
        </w:tc>
      </w:tr>
      <w:tr w:rsidR="002657D1" w:rsidRPr="002657D1" w14:paraId="4451FCFD" w14:textId="77777777" w:rsidTr="001A7EE6">
        <w:trPr>
          <w:jc w:val="center"/>
        </w:trPr>
        <w:tc>
          <w:tcPr>
            <w:tcW w:w="2802" w:type="dxa"/>
            <w:vAlign w:val="center"/>
          </w:tcPr>
          <w:p w14:paraId="05F3C9B3" w14:textId="2CF0E97F"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NCM811/Li</w:t>
            </w:r>
            <w:r w:rsidRPr="002657D1">
              <w:rPr>
                <w:rFonts w:ascii="Times New Roman" w:hAnsi="Times New Roman" w:cs="Times New Roman"/>
                <w:color w:val="000000" w:themeColor="text1"/>
                <w:sz w:val="24"/>
                <w:szCs w:val="24"/>
                <w:vertAlign w:val="subscript"/>
              </w:rPr>
              <w:t>6.4</w:t>
            </w:r>
            <w:r w:rsidRPr="002657D1">
              <w:rPr>
                <w:rFonts w:ascii="Times New Roman" w:hAnsi="Times New Roman" w:cs="Times New Roman"/>
                <w:color w:val="000000" w:themeColor="text1"/>
                <w:sz w:val="24"/>
                <w:szCs w:val="24"/>
              </w:rPr>
              <w:t>La</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Zr</w:t>
            </w:r>
            <w:r w:rsidRPr="002657D1">
              <w:rPr>
                <w:rFonts w:ascii="Times New Roman" w:hAnsi="Times New Roman" w:cs="Times New Roman"/>
                <w:color w:val="000000" w:themeColor="text1"/>
                <w:sz w:val="24"/>
                <w:szCs w:val="24"/>
                <w:vertAlign w:val="subscript"/>
              </w:rPr>
              <w:t>1.4</w:t>
            </w:r>
            <w:r w:rsidRPr="002657D1">
              <w:rPr>
                <w:rFonts w:ascii="Times New Roman" w:hAnsi="Times New Roman" w:cs="Times New Roman"/>
                <w:color w:val="000000" w:themeColor="text1"/>
                <w:sz w:val="24"/>
                <w:szCs w:val="24"/>
              </w:rPr>
              <w:t>Ta</w:t>
            </w:r>
            <w:r w:rsidRPr="002657D1">
              <w:rPr>
                <w:rFonts w:ascii="Times New Roman" w:hAnsi="Times New Roman" w:cs="Times New Roman"/>
                <w:color w:val="000000" w:themeColor="text1"/>
                <w:sz w:val="24"/>
                <w:szCs w:val="24"/>
                <w:vertAlign w:val="subscript"/>
              </w:rPr>
              <w:t>0.6</w:t>
            </w:r>
            <w:r w:rsidRPr="002657D1">
              <w:rPr>
                <w:rFonts w:ascii="Times New Roman" w:hAnsi="Times New Roman" w:cs="Times New Roman"/>
                <w:color w:val="000000" w:themeColor="text1"/>
                <w:sz w:val="24"/>
                <w:szCs w:val="24"/>
              </w:rPr>
              <w:t>O</w:t>
            </w:r>
            <w:r w:rsidRPr="002657D1">
              <w:rPr>
                <w:rFonts w:ascii="Times New Roman" w:hAnsi="Times New Roman" w:cs="Times New Roman"/>
                <w:color w:val="000000" w:themeColor="text1"/>
                <w:sz w:val="24"/>
                <w:szCs w:val="24"/>
                <w:vertAlign w:val="subscript"/>
              </w:rPr>
              <w:t>12</w:t>
            </w:r>
            <w:r w:rsidRPr="002657D1">
              <w:rPr>
                <w:rFonts w:ascii="Times New Roman" w:hAnsi="Times New Roman" w:cs="Times New Roman"/>
                <w:color w:val="000000" w:themeColor="text1"/>
                <w:sz w:val="24"/>
                <w:szCs w:val="24"/>
              </w:rPr>
              <w:t>/KF-Li</w:t>
            </w:r>
          </w:p>
        </w:tc>
        <w:tc>
          <w:tcPr>
            <w:tcW w:w="1876" w:type="dxa"/>
            <w:vAlign w:val="center"/>
          </w:tcPr>
          <w:p w14:paraId="748D88BA" w14:textId="64F69F8F"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6" w:type="dxa"/>
            <w:vAlign w:val="center"/>
          </w:tcPr>
          <w:p w14:paraId="74C34A51" w14:textId="12934C12"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178.2</w:t>
            </w:r>
          </w:p>
        </w:tc>
        <w:tc>
          <w:tcPr>
            <w:tcW w:w="1417" w:type="dxa"/>
            <w:vAlign w:val="center"/>
          </w:tcPr>
          <w:p w14:paraId="03070449" w14:textId="0D336787"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0.45</w:t>
            </w:r>
          </w:p>
        </w:tc>
        <w:tc>
          <w:tcPr>
            <w:tcW w:w="1418" w:type="dxa"/>
            <w:vAlign w:val="center"/>
          </w:tcPr>
          <w:p w14:paraId="705F040F" w14:textId="56FADAF8"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300@0.2 C</w:t>
            </w:r>
          </w:p>
        </w:tc>
        <w:tc>
          <w:tcPr>
            <w:tcW w:w="1559" w:type="dxa"/>
            <w:vAlign w:val="center"/>
          </w:tcPr>
          <w:p w14:paraId="082B959C" w14:textId="70AF382E"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0.060</w:t>
            </w:r>
          </w:p>
        </w:tc>
        <w:tc>
          <w:tcPr>
            <w:tcW w:w="1418" w:type="dxa"/>
            <w:vAlign w:val="center"/>
          </w:tcPr>
          <w:p w14:paraId="3F3C0590" w14:textId="1157CCF8"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vAlign w:val="center"/>
          </w:tcPr>
          <w:p w14:paraId="7CAE431F" w14:textId="204F6B2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{"citationID":"i0U6MnRd","properties":{"formattedCitation":"\\super 106\\nosupersub{}","plainCitation":"106","noteIndex":0},"citationItems":[{"id":"IXaoCdHi/AxaV1Nsn","uris":["http://zotero.org/users/local/As3BANDe/items/E8RQ5LUI"],"itemData":{"id":4944,"type":"article-journal","abstract":"Abstract\n            \n              Garnet oxide is one of the most promising solid electrolytes for solid-state lithium metal batteries. However, the traditional interface modification layers cannot completely block electron migrating from the current collector to the interior of the solid-state electrolyte, which promotes the penetration of lithium dendrites. In this work, a highly electron-blocking interlayer composed of potassium fluoride (KF) is deposited on garnet oxide Li\n              6.4\n              La\n              3\n              Zr\n              1.4\n              Ta\n              0.6\n              O\n              12\n              (LLZTO). After reacting with melted lithium metal, KF in-situ transforms to KF/LiF interlayer, which can block the electron leakage and inhibit lithium dendrite growth. The Li symmetric cells using the interlayer show a long cycle life of ~3000 hours at 0.2 mA cm\n              −2\n              and over 350 hours at 0.5 mA cm\n              −2\n              respectively. Moreover, an ionic liquid of LiTFSI in C\n              4\n              mim-TFSI is screened to wet the LLZTO|LiNi\n              0.8\n              Co\n              0.1\n              Mn\n              0.1\n              O\n              2\n              (NCM) positive electrode interfaces. The Li|KF-LLZTO | NCM cells present a specific capacity of 109.3 mAh g\n              −1\n              , long lifespan of 3500 cycles and capacity retention of 72.5% at 25 °C and 2 C (380 mA g\n              −1\n              ) with an average coulombic efficiency of 99.99%. This work provides a simple and integrated strategy on high-performance quasi-solid-state lithium metal batteries.","container-title":"Nature Communications","DOI":"10.1038/s41467-024-49715-x","ISSN":"2041-1723","issue":"1","journalAbbreviation":"Nat Commun","language":"en","page":"5325","source":"DOI.org (Crossref)","title":"An electron-blocking interface for garnet-based quasi-solid-state lithium-metal batteries to improve lifespan","volume":"15","author":[{"family":"Zhang","given":"Chang"},{"family":"Yu","given":"Jiameng"},{"family":"Cui","given":"Yuanyuan"},{"family":"Lv","given":"Yinjie"},{"family":"Zhang","given":"Yue"},{"family":"Gao","given":"Tianyi"},{"family":"He","given":"Yuxi"},{"family":"Chen","given":"Xin"},{"family":"Li","given":"Tao"},{"family":"Lin","given":"Tianquan"},{"family":"Mi","given":"Qixi"},{"family":"Yu","given":"Yi"},{"family":"Liu","given":"Wei"}],"issued":{"date-parts":[["2024",6,22]]}}}],"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106</w:t>
            </w:r>
            <w:r w:rsidRPr="002657D1">
              <w:rPr>
                <w:rFonts w:ascii="Times New Roman" w:hAnsi="Times New Roman" w:cs="Times New Roman"/>
                <w:color w:val="000000" w:themeColor="text1"/>
                <w:sz w:val="24"/>
                <w:szCs w:val="24"/>
              </w:rPr>
              <w:fldChar w:fldCharType="end"/>
            </w:r>
          </w:p>
        </w:tc>
      </w:tr>
      <w:tr w:rsidR="002657D1" w:rsidRPr="002657D1" w14:paraId="0FA9D6F1" w14:textId="77777777" w:rsidTr="001A7EE6">
        <w:trPr>
          <w:jc w:val="center"/>
        </w:trPr>
        <w:tc>
          <w:tcPr>
            <w:tcW w:w="2802" w:type="dxa"/>
            <w:vAlign w:val="center"/>
          </w:tcPr>
          <w:p w14:paraId="18635226" w14:textId="4FF2F4D8"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LFP/Li</w:t>
            </w:r>
            <w:r w:rsidRPr="002657D1">
              <w:rPr>
                <w:rFonts w:ascii="Times New Roman" w:hAnsi="Times New Roman" w:cs="Times New Roman"/>
                <w:color w:val="000000" w:themeColor="text1"/>
                <w:sz w:val="24"/>
                <w:szCs w:val="24"/>
                <w:vertAlign w:val="subscript"/>
              </w:rPr>
              <w:t>6.5</w:t>
            </w:r>
            <w:r w:rsidRPr="002657D1">
              <w:rPr>
                <w:rFonts w:ascii="Times New Roman" w:hAnsi="Times New Roman" w:cs="Times New Roman"/>
                <w:color w:val="000000" w:themeColor="text1"/>
                <w:sz w:val="24"/>
                <w:szCs w:val="24"/>
              </w:rPr>
              <w:t>La</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Zr</w:t>
            </w:r>
            <w:r w:rsidRPr="002657D1">
              <w:rPr>
                <w:rFonts w:ascii="Times New Roman" w:hAnsi="Times New Roman" w:cs="Times New Roman"/>
                <w:color w:val="000000" w:themeColor="text1"/>
                <w:sz w:val="24"/>
                <w:szCs w:val="24"/>
                <w:vertAlign w:val="subscript"/>
              </w:rPr>
              <w:t>1.5</w:t>
            </w:r>
            <w:r w:rsidRPr="002657D1">
              <w:rPr>
                <w:rFonts w:ascii="Times New Roman" w:hAnsi="Times New Roman" w:cs="Times New Roman"/>
                <w:color w:val="000000" w:themeColor="text1"/>
                <w:sz w:val="24"/>
                <w:szCs w:val="24"/>
              </w:rPr>
              <w:t>Ta</w:t>
            </w:r>
            <w:r w:rsidRPr="002657D1">
              <w:rPr>
                <w:rFonts w:ascii="Times New Roman" w:hAnsi="Times New Roman" w:cs="Times New Roman"/>
                <w:color w:val="000000" w:themeColor="text1"/>
                <w:sz w:val="24"/>
                <w:szCs w:val="24"/>
                <w:vertAlign w:val="subscript"/>
              </w:rPr>
              <w:t>0.5</w:t>
            </w:r>
            <w:r w:rsidRPr="002657D1">
              <w:rPr>
                <w:rFonts w:ascii="Times New Roman" w:hAnsi="Times New Roman" w:cs="Times New Roman"/>
                <w:color w:val="000000" w:themeColor="text1"/>
                <w:sz w:val="24"/>
                <w:szCs w:val="24"/>
              </w:rPr>
              <w:t>O</w:t>
            </w:r>
            <w:r w:rsidRPr="002657D1">
              <w:rPr>
                <w:rFonts w:ascii="Times New Roman" w:hAnsi="Times New Roman" w:cs="Times New Roman"/>
                <w:color w:val="000000" w:themeColor="text1"/>
                <w:sz w:val="24"/>
                <w:szCs w:val="24"/>
                <w:vertAlign w:val="subscript"/>
              </w:rPr>
              <w:t>12</w:t>
            </w:r>
            <w:r w:rsidRPr="002657D1">
              <w:rPr>
                <w:rFonts w:ascii="Times New Roman" w:hAnsi="Times New Roman" w:cs="Times New Roman"/>
                <w:color w:val="000000" w:themeColor="text1"/>
                <w:sz w:val="24"/>
                <w:szCs w:val="24"/>
              </w:rPr>
              <w:t>/LSF-Li</w:t>
            </w:r>
          </w:p>
        </w:tc>
        <w:tc>
          <w:tcPr>
            <w:tcW w:w="1876" w:type="dxa"/>
            <w:vAlign w:val="center"/>
          </w:tcPr>
          <w:p w14:paraId="35534649" w14:textId="6E4511BA"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1.5</w:t>
            </w:r>
          </w:p>
        </w:tc>
        <w:tc>
          <w:tcPr>
            <w:tcW w:w="1276" w:type="dxa"/>
            <w:vAlign w:val="center"/>
          </w:tcPr>
          <w:p w14:paraId="56BC2720" w14:textId="6C23061C"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136.1</w:t>
            </w:r>
          </w:p>
        </w:tc>
        <w:tc>
          <w:tcPr>
            <w:tcW w:w="1417" w:type="dxa"/>
            <w:vAlign w:val="center"/>
          </w:tcPr>
          <w:p w14:paraId="0B35D0D8" w14:textId="55132905"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0.2</w:t>
            </w:r>
          </w:p>
        </w:tc>
        <w:tc>
          <w:tcPr>
            <w:tcW w:w="1418" w:type="dxa"/>
            <w:vAlign w:val="center"/>
          </w:tcPr>
          <w:p w14:paraId="1419C795" w14:textId="0D0B1F9F"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200@1.0 C</w:t>
            </w:r>
          </w:p>
        </w:tc>
        <w:tc>
          <w:tcPr>
            <w:tcW w:w="1559" w:type="dxa"/>
            <w:vAlign w:val="center"/>
          </w:tcPr>
          <w:p w14:paraId="3C0A6856" w14:textId="7EC8C13E"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0.035</w:t>
            </w:r>
          </w:p>
        </w:tc>
        <w:tc>
          <w:tcPr>
            <w:tcW w:w="1418" w:type="dxa"/>
            <w:vAlign w:val="center"/>
          </w:tcPr>
          <w:p w14:paraId="2A999642" w14:textId="0B17335A"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w:t>
            </w:r>
          </w:p>
        </w:tc>
        <w:tc>
          <w:tcPr>
            <w:tcW w:w="1275" w:type="dxa"/>
            <w:vAlign w:val="center"/>
          </w:tcPr>
          <w:p w14:paraId="612626C2" w14:textId="06FA2834"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{"citationID":"T9gg8VKw","properties":{"formattedCitation":"\\super 107\\nosupersub{}","plainCitation":"107","noteIndex":0},"citationItems":[{"id":"IXaoCdHi/QNNTIS1J","uris":["http://zotero.org/users/local/As3BANDe/items/4IUTQPAX"],"itemData":{"id":4946,"type":"article-journal","abstract":"Abstract\n            \n              Garnet electrolyte Li\n              6.5\n              La\n              3\n              Zr\n              1.5\n              Ta\n              0.5\n              O\n              12\n              (LLZTO) has been identified as a promising candidate for solid‐state batteries (SSBs). However, the implementation of garnet‐based SSBs is severely restricted owing to the Li dendrite originating from the uneven Li\n              +\n              deposition and the electron leakage. Herein, one high‐performance garnet‐based SSB is proposed through the enhancement of interfacial dynamics and the inhibition of electron penetration, induced by an artificial harmonized interphase (LSF). The formation of a tightly bonded LLZTO|Li interface is facilitated by the Li\n              3\n              Sb with lower interfacial energies against LLZTO and Li, elucidated by the density functional theory (DFT) calculations. Furthermore, electron leakage and dendrite infiltration are effectively suppressed by the LiF with the electron‐insulating nature and an exceptional γE value. Therefore, a low interfacial resistance of 4.8 Ω cm\n              2\n              is successfully achieved by the utilization of the functional LSF interphase layer, and the Li|LLZTO‐LSF|Li symmetric cell displayed prolonged Li plating/stripping stability over 1200 h at 0.3 mA cm\n              −\n              2\n              . Moreover, the LFP|LLZTO‐LSF|Li full cell also exhibited notable cycling performance (93.1% capacity retention after 200 cycles at 1 C). The utilization of a synergistic interlayer has been identified as an effective strategy for the advancement of garnet‐based solid‐state lithium batteries.","container-title":"Advanced Functional Materials","DOI":"10.1002/adfm.202411737","ISSN":"1616-301X, 1616-3028","journalAbbreviation":"Adv Funct Materials","language":"en","page":"2411737","source":"DOI.org (Crossref)","title":"Harmonized Interphase Refinement for Robust Garnet Solid‐State Batteries","author":[{"family":"Zhu","given":"Fangjun"},{"family":"Liu","given":"Huaxin"},{"family":"Huang","given":"Jiangnan"},{"family":"Zhang","given":"Baichao"},{"family":"Song","given":"Bai"},{"family":"Deng","given":"Wentao"},{"family":"Zou","given":"Guoqiang"},{"family":"Hou","given":"Hongshuai"},{"family":"Ji","given":"Xiaobo"}],"issued":{"date-parts":[["2024",8,7]]}}}],"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107</w:t>
            </w:r>
            <w:r w:rsidRPr="002657D1">
              <w:rPr>
                <w:rFonts w:ascii="Times New Roman" w:hAnsi="Times New Roman" w:cs="Times New Roman"/>
                <w:color w:val="000000" w:themeColor="text1"/>
                <w:sz w:val="24"/>
                <w:szCs w:val="24"/>
              </w:rPr>
              <w:fldChar w:fldCharType="end"/>
            </w:r>
          </w:p>
        </w:tc>
      </w:tr>
      <w:tr w:rsidR="002657D1" w:rsidRPr="002657D1" w14:paraId="608194D6" w14:textId="77777777" w:rsidTr="001A7EE6">
        <w:trPr>
          <w:jc w:val="center"/>
        </w:trPr>
        <w:tc>
          <w:tcPr>
            <w:tcW w:w="2802" w:type="dxa"/>
            <w:vAlign w:val="center"/>
          </w:tcPr>
          <w:p w14:paraId="01A795B3" w14:textId="616DA6A3"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NCM83/(LiCF</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SO</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w:t>
            </w:r>
            <w:proofErr w:type="gramStart"/>
            <w:r w:rsidRPr="002657D1">
              <w:rPr>
                <w:rFonts w:ascii="Times New Roman" w:hAnsi="Times New Roman" w:cs="Times New Roman"/>
                <w:color w:val="000000" w:themeColor="text1"/>
                <w:sz w:val="24"/>
                <w:szCs w:val="24"/>
              </w:rPr>
              <w:t>LiF)@</w:t>
            </w:r>
            <w:proofErr w:type="gramEnd"/>
            <w:r w:rsidRPr="002657D1">
              <w:rPr>
                <w:rFonts w:ascii="Times New Roman" w:hAnsi="Times New Roman" w:cs="Times New Roman"/>
                <w:color w:val="000000" w:themeColor="text1"/>
                <w:sz w:val="24"/>
                <w:szCs w:val="24"/>
              </w:rPr>
              <w:t>Li</w:t>
            </w:r>
            <w:r w:rsidRPr="002657D1">
              <w:rPr>
                <w:rFonts w:ascii="Times New Roman" w:hAnsi="Times New Roman" w:cs="Times New Roman"/>
                <w:color w:val="000000" w:themeColor="text1"/>
                <w:sz w:val="24"/>
                <w:szCs w:val="24"/>
                <w:vertAlign w:val="subscript"/>
              </w:rPr>
              <w:t>6.5</w:t>
            </w:r>
            <w:r w:rsidRPr="002657D1">
              <w:rPr>
                <w:rFonts w:ascii="Times New Roman" w:hAnsi="Times New Roman" w:cs="Times New Roman"/>
                <w:color w:val="000000" w:themeColor="text1"/>
                <w:sz w:val="24"/>
                <w:szCs w:val="24"/>
              </w:rPr>
              <w:t>La</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Zr</w:t>
            </w:r>
            <w:r w:rsidRPr="002657D1">
              <w:rPr>
                <w:rFonts w:ascii="Times New Roman" w:hAnsi="Times New Roman" w:cs="Times New Roman"/>
                <w:color w:val="000000" w:themeColor="text1"/>
                <w:sz w:val="24"/>
                <w:szCs w:val="24"/>
                <w:vertAlign w:val="subscript"/>
              </w:rPr>
              <w:t>1.5</w:t>
            </w:r>
            <w:r w:rsidRPr="002657D1">
              <w:rPr>
                <w:rFonts w:ascii="Times New Roman" w:hAnsi="Times New Roman" w:cs="Times New Roman"/>
                <w:color w:val="000000" w:themeColor="text1"/>
                <w:sz w:val="24"/>
                <w:szCs w:val="24"/>
              </w:rPr>
              <w:t>Ta</w:t>
            </w:r>
            <w:r w:rsidRPr="002657D1">
              <w:rPr>
                <w:rFonts w:ascii="Times New Roman" w:hAnsi="Times New Roman" w:cs="Times New Roman"/>
                <w:color w:val="000000" w:themeColor="text1"/>
                <w:sz w:val="24"/>
                <w:szCs w:val="24"/>
                <w:vertAlign w:val="subscript"/>
              </w:rPr>
              <w:t>0.5</w:t>
            </w:r>
            <w:r w:rsidRPr="002657D1">
              <w:rPr>
                <w:rFonts w:ascii="Times New Roman" w:hAnsi="Times New Roman" w:cs="Times New Roman"/>
                <w:color w:val="000000" w:themeColor="text1"/>
                <w:sz w:val="24"/>
                <w:szCs w:val="24"/>
              </w:rPr>
              <w:t>O</w:t>
            </w:r>
            <w:r w:rsidRPr="002657D1">
              <w:rPr>
                <w:rFonts w:ascii="Times New Roman" w:hAnsi="Times New Roman" w:cs="Times New Roman"/>
                <w:color w:val="000000" w:themeColor="text1"/>
                <w:sz w:val="24"/>
                <w:szCs w:val="24"/>
                <w:vertAlign w:val="subscript"/>
              </w:rPr>
              <w:t>12</w:t>
            </w:r>
            <w:r w:rsidRPr="002657D1">
              <w:rPr>
                <w:rFonts w:ascii="Times New Roman" w:hAnsi="Times New Roman" w:cs="Times New Roman"/>
                <w:color w:val="000000" w:themeColor="text1"/>
                <w:sz w:val="24"/>
                <w:szCs w:val="24"/>
              </w:rPr>
              <w:t>/Li</w:t>
            </w:r>
          </w:p>
        </w:tc>
        <w:tc>
          <w:tcPr>
            <w:tcW w:w="1876" w:type="dxa"/>
            <w:vAlign w:val="center"/>
          </w:tcPr>
          <w:p w14:paraId="1526A5B5" w14:textId="45A000EF"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5.88</w:t>
            </w:r>
          </w:p>
        </w:tc>
        <w:tc>
          <w:tcPr>
            <w:tcW w:w="1276" w:type="dxa"/>
            <w:vAlign w:val="center"/>
          </w:tcPr>
          <w:p w14:paraId="06AFD4A5" w14:textId="6B426918"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165.4</w:t>
            </w:r>
          </w:p>
        </w:tc>
        <w:tc>
          <w:tcPr>
            <w:tcW w:w="1417" w:type="dxa"/>
            <w:vAlign w:val="center"/>
          </w:tcPr>
          <w:p w14:paraId="227D6C49" w14:textId="748C3EF9"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0.97</w:t>
            </w:r>
          </w:p>
        </w:tc>
        <w:tc>
          <w:tcPr>
            <w:tcW w:w="1418" w:type="dxa"/>
            <w:vAlign w:val="center"/>
          </w:tcPr>
          <w:p w14:paraId="2D54CBDE" w14:textId="76AA6759"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300@2.35 mA cm</w:t>
            </w:r>
            <w:r w:rsidRPr="002657D1">
              <w:rPr>
                <w:rFonts w:ascii="Times New Roman" w:hAnsi="Times New Roman" w:cs="Times New Roman"/>
                <w:color w:val="000000" w:themeColor="text1"/>
                <w:kern w:val="24"/>
                <w:sz w:val="24"/>
                <w:szCs w:val="24"/>
                <w:vertAlign w:val="superscript"/>
              </w:rPr>
              <w:t>−</w:t>
            </w:r>
            <w:r w:rsidRPr="002657D1">
              <w:rPr>
                <w:rFonts w:ascii="Times New Roman" w:hAnsi="Times New Roman" w:cs="Times New Roman"/>
                <w:color w:val="000000" w:themeColor="text1"/>
                <w:sz w:val="24"/>
                <w:szCs w:val="24"/>
                <w:vertAlign w:val="superscript"/>
              </w:rPr>
              <w:t>2</w:t>
            </w:r>
          </w:p>
        </w:tc>
        <w:tc>
          <w:tcPr>
            <w:tcW w:w="1559" w:type="dxa"/>
            <w:vAlign w:val="center"/>
          </w:tcPr>
          <w:p w14:paraId="291DCB82" w14:textId="024BBD0B"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0.055</w:t>
            </w:r>
          </w:p>
        </w:tc>
        <w:tc>
          <w:tcPr>
            <w:tcW w:w="1418" w:type="dxa"/>
            <w:vAlign w:val="center"/>
          </w:tcPr>
          <w:p w14:paraId="40B00067" w14:textId="76517079"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vAlign w:val="center"/>
          </w:tcPr>
          <w:p w14:paraId="3B0C4360" w14:textId="24F14A8A"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{"citationID":"y8TJxSjO","properties":{"formattedCitation":"\\super 108\\nosupersub{}","plainCitation":"108","noteIndex":0},"citationItems":[{"id":"IXaoCdHi/rUhs85eF","uris":["http://zotero.org/users/local/As3BANDe/items/WQWH4HDQ"],"itemData":{"id":4948,"type":"article-journal","abstract":"Abstract\n            \n              Controllable engineering of thin lithium (Li) metal is essential for increasing the energy density of solid-state batteries and clarifying the interfacial evolution mechanisms of a lithium metal negative electrode. However, fabricating a thin lithium electrode faces significant challenges due to the fragility and high viscosity of Li metal. Herein, through facile treatment of Ta-doped Li\n              7\n              La\n              3\n              Zr\n              2\n              O\n              12\n              (LLZTO) with trifluoromethanesulfonic acid, its surface Li\n              2\n              CO\n              3\n              species is converted into a lithiophilic layer with LiCF\n              3\n              SO\n              3\n              and LiF components. It enables the thickness control of Li metal negative electrodes, ranging from 0.78 μm to 30 μm. Quasi-solid-state lithium-metal battery with an optimized 7.54 μm-thick lithium metal negative electrode, a commercial LiNi\n              0.83\n              Co\n              0.11\n              Mn\n              0.06\n              O\n              2\n              positive electrode, and a negative/positive electrode capacity ratio of 1.1 shows a 500 cycles lifespan with a final discharge specific capacity of 99 mAh g\n              −1\n              at 2.35 mA cm\n              −2\n              and 25 °C. Through multi-scale characterizations of the thin lithium negative electrode, we clarify the multi-dimensional compositional evolution and failure mechanisms of lithium-deficient and -rich regions (0.78 μm and 7.54 μm), on its surface, inside it, or at the Li/LLZTO interface.","container-title":"Nature Communications","DOI":"10.1038/s41467-024-54234-w","ISSN":"2041-1723","issue":"1","journalAbbreviation":"Nat Commun","language":"en","page":"9920","source":"DOI.org (Crossref)","title":"Interface engineering enabling thin lithium metal electrodes down to 0.78 μm for garnet-type solid-state batteries","volume":"15","author":[{"family":"Ji","given":"Weijie"},{"family":"Luo","given":"Bi"},{"family":"Wang","given":"Qi"},{"family":"Yu","given":"Guihui"},{"family":"Zhang","given":"Zixun"},{"family":"Tian","given":"Yi"},{"family":"Zhao","given":"Zaowen"},{"family":"Zhao","given":"Ruirui"},{"family":"Wang","given":"Shubin"},{"family":"Wang","given":"Xiaowei"},{"family":"Zhang","given":"Bao"},{"family":"Zhang","given":"Jiafeng"},{"family":"Sang","given":"Zhiyuan"},{"family":"Liang","given":"Ji"}],"issued":{"date-parts":[["2024",11,15]]}}}],"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108</w:t>
            </w:r>
            <w:r w:rsidRPr="002657D1">
              <w:rPr>
                <w:rFonts w:ascii="Times New Roman" w:hAnsi="Times New Roman" w:cs="Times New Roman"/>
                <w:color w:val="000000" w:themeColor="text1"/>
                <w:sz w:val="24"/>
                <w:szCs w:val="24"/>
              </w:rPr>
              <w:fldChar w:fldCharType="end"/>
            </w:r>
          </w:p>
        </w:tc>
      </w:tr>
      <w:tr w:rsidR="002657D1" w:rsidRPr="002657D1" w14:paraId="2E1EBA32" w14:textId="77777777" w:rsidTr="001A7EE6">
        <w:trPr>
          <w:jc w:val="center"/>
        </w:trPr>
        <w:tc>
          <w:tcPr>
            <w:tcW w:w="2802" w:type="dxa"/>
            <w:vAlign w:val="center"/>
          </w:tcPr>
          <w:p w14:paraId="6637C336" w14:textId="1179F4D0"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NCM83/Li</w:t>
            </w:r>
            <w:r w:rsidRPr="002657D1">
              <w:rPr>
                <w:rFonts w:ascii="Times New Roman" w:hAnsi="Times New Roman" w:cs="Times New Roman"/>
                <w:color w:val="000000" w:themeColor="text1"/>
                <w:sz w:val="24"/>
                <w:szCs w:val="24"/>
                <w:vertAlign w:val="subscript"/>
              </w:rPr>
              <w:t>6.5</w:t>
            </w:r>
            <w:r w:rsidRPr="002657D1">
              <w:rPr>
                <w:rFonts w:ascii="Times New Roman" w:hAnsi="Times New Roman" w:cs="Times New Roman"/>
                <w:color w:val="000000" w:themeColor="text1"/>
                <w:sz w:val="24"/>
                <w:szCs w:val="24"/>
              </w:rPr>
              <w:t>La</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Zr</w:t>
            </w:r>
            <w:r w:rsidRPr="002657D1">
              <w:rPr>
                <w:rFonts w:ascii="Times New Roman" w:hAnsi="Times New Roman" w:cs="Times New Roman"/>
                <w:color w:val="000000" w:themeColor="text1"/>
                <w:sz w:val="24"/>
                <w:szCs w:val="24"/>
                <w:vertAlign w:val="subscript"/>
              </w:rPr>
              <w:t>1.5</w:t>
            </w:r>
            <w:r w:rsidRPr="002657D1">
              <w:rPr>
                <w:rFonts w:ascii="Times New Roman" w:hAnsi="Times New Roman" w:cs="Times New Roman"/>
                <w:color w:val="000000" w:themeColor="text1"/>
                <w:sz w:val="24"/>
                <w:szCs w:val="24"/>
              </w:rPr>
              <w:t>Ta</w:t>
            </w:r>
            <w:r w:rsidRPr="002657D1">
              <w:rPr>
                <w:rFonts w:ascii="Times New Roman" w:hAnsi="Times New Roman" w:cs="Times New Roman"/>
                <w:color w:val="000000" w:themeColor="text1"/>
                <w:sz w:val="24"/>
                <w:szCs w:val="24"/>
                <w:vertAlign w:val="subscript"/>
              </w:rPr>
              <w:t>0.5</w:t>
            </w:r>
            <w:r w:rsidRPr="002657D1">
              <w:rPr>
                <w:rFonts w:ascii="Times New Roman" w:hAnsi="Times New Roman" w:cs="Times New Roman"/>
                <w:color w:val="000000" w:themeColor="text1"/>
                <w:sz w:val="24"/>
                <w:szCs w:val="24"/>
              </w:rPr>
              <w:t>O</w:t>
            </w:r>
            <w:r w:rsidRPr="002657D1">
              <w:rPr>
                <w:rFonts w:ascii="Times New Roman" w:hAnsi="Times New Roman" w:cs="Times New Roman"/>
                <w:color w:val="000000" w:themeColor="text1"/>
                <w:sz w:val="24"/>
                <w:szCs w:val="24"/>
                <w:vertAlign w:val="subscript"/>
              </w:rPr>
              <w:t>12</w:t>
            </w:r>
            <w:r w:rsidRPr="002657D1">
              <w:rPr>
                <w:rFonts w:ascii="Times New Roman" w:hAnsi="Times New Roman" w:cs="Times New Roman"/>
                <w:color w:val="000000" w:themeColor="text1"/>
                <w:sz w:val="24"/>
                <w:szCs w:val="24"/>
              </w:rPr>
              <w:t>/</w:t>
            </w:r>
            <w:proofErr w:type="spellStart"/>
            <w:r w:rsidRPr="002657D1">
              <w:rPr>
                <w:rFonts w:ascii="Times New Roman" w:hAnsi="Times New Roman" w:cs="Times New Roman"/>
                <w:color w:val="000000" w:themeColor="text1"/>
                <w:sz w:val="24"/>
                <w:szCs w:val="24"/>
              </w:rPr>
              <w:t>Ag@COOH-CNTs</w:t>
            </w:r>
            <w:proofErr w:type="spellEnd"/>
            <w:r w:rsidRPr="002657D1">
              <w:rPr>
                <w:rFonts w:ascii="Times New Roman" w:hAnsi="Times New Roman" w:cs="Times New Roman"/>
                <w:color w:val="000000" w:themeColor="text1"/>
                <w:sz w:val="24"/>
                <w:szCs w:val="24"/>
              </w:rPr>
              <w:t>/Li</w:t>
            </w:r>
          </w:p>
        </w:tc>
        <w:tc>
          <w:tcPr>
            <w:tcW w:w="1876" w:type="dxa"/>
            <w:vAlign w:val="center"/>
          </w:tcPr>
          <w:p w14:paraId="0448D6EC" w14:textId="555B6AB8"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~3.5</w:t>
            </w:r>
          </w:p>
        </w:tc>
        <w:tc>
          <w:tcPr>
            <w:tcW w:w="1276" w:type="dxa"/>
            <w:vAlign w:val="center"/>
          </w:tcPr>
          <w:p w14:paraId="7969C936" w14:textId="059BC74F"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190</w:t>
            </w:r>
          </w:p>
        </w:tc>
        <w:tc>
          <w:tcPr>
            <w:tcW w:w="1417" w:type="dxa"/>
            <w:vAlign w:val="center"/>
          </w:tcPr>
          <w:p w14:paraId="6A5926A2" w14:textId="0CCD4DCE"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~0.67</w:t>
            </w:r>
          </w:p>
        </w:tc>
        <w:tc>
          <w:tcPr>
            <w:tcW w:w="1418" w:type="dxa"/>
            <w:vAlign w:val="center"/>
          </w:tcPr>
          <w:p w14:paraId="7A0C7742" w14:textId="2E9FFE47"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500@0.2 C</w:t>
            </w:r>
          </w:p>
        </w:tc>
        <w:tc>
          <w:tcPr>
            <w:tcW w:w="1559" w:type="dxa"/>
            <w:vAlign w:val="center"/>
          </w:tcPr>
          <w:p w14:paraId="4B480674" w14:textId="4AEAB4E0"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0.040</w:t>
            </w:r>
          </w:p>
        </w:tc>
        <w:tc>
          <w:tcPr>
            <w:tcW w:w="1418" w:type="dxa"/>
            <w:vAlign w:val="center"/>
          </w:tcPr>
          <w:p w14:paraId="792C052A" w14:textId="7714F51E"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vAlign w:val="center"/>
          </w:tcPr>
          <w:p w14:paraId="28CF272D" w14:textId="5E166753"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{"citationID":"6p7Ru3zZ","properties":{"formattedCitation":"\\super 109\\nosupersub{}","plainCitation":"109","noteIndex":0},"citationItems":[{"id":"IXaoCdHi/fOZqCvwb","uris":["http://zotero.org/users/local/As3BANDe/items/FSCZY4QN"],"itemData":{"id":4950,"type":"article-journal","abstract":"Abstract\n            \n              The solid‐state batteries (SSBs) with Li anode present one of the most promising energy storage systems due to their enhanced energy density and safety. However, interfacial problems between Li anode and solid‐state electrolyte hinder the advancement of SSBs. Among them, insufficient solid‐solid interfacial contact is the main issue, which causes large resistance and hinders Li\n              +\n              diffusion, leading to current distribution unevenness and lithium dendrites growth. To meet these challenges, a silver/carbon interlayer composed of ultrafine Ag nanoparticles (≈5 nm) grown on COOH‐CNTs (nano‐Ag@COOH‐CNTs) is constructed. In which, nano‐Ag is designed to guide homogeneous Li deposition, while CNTs substrate bonds with Li\n              6.5\n              La\n              3\n              Zr\n              1.5\n              Ta\n              0.5\n              O\n              12\n              (LLZTO) electrolyte by reactions between ─COOH groups and LLZTO alkaline surface, thus transforming loose physical solid‐solid contact to chemical bonding contact. In addition, nano‐Ag is immobilized by CNTs, avoiding the migration of Li\n              +\n              implanted nano‐Ag during cycling. Therefore, nano‐Ag@COOH‐CNTs interlayer can boost Li\n              +\n              transport at LLZTO/Li interface and inhibit Li dendrites, achieving an ultra‐low interfacial resistance of 0.25 Ω cm\n              2\n              , a high critical current density of 1.7 mA cm\n              −2\n              and a long cycling over 2155 h at 0.5 mA cm\n              −2\n              . The modified SSBs with LiNi\n              0.83\n              Co\n              0.12\n              Mn\n              0.05\n              O\n              2\n              cathode cycles stably over 500 cycles. Moreover, high‐loading SSBs operate stably for 85 cycles.","container-title":"Advanced Functional Materials","DOI":"10.1002/adfm.202407619","ISSN":"1616-301X, 1616-3028","issue":"45","journalAbbreviation":"Adv Funct Materials","language":"en","page":"2407619","source":"DOI.org (Crossref)","title":"Bonded Interface Enabled Durable Solid‐state Lithium Metal Batteries with Ultra‐low Interfacial Resistance of 0.25 Ω cm&lt;sup&gt;2&lt;/sup&gt;","volume":"34","author":[{"family":"Huang","given":"Huayan"},{"family":"Jin","given":"Jun"},{"family":"Zheng","given":"Chujun"},{"family":"Wang","given":"Lingchen"},{"family":"Yuan","given":"Huihui"},{"family":"Xiu","given":"Tongping"},{"family":"Song","given":"Zhen"},{"family":"Badding","given":"Michael E."},{"family":"Yue","given":"Ke"},{"family":"Tao","given":"Xinyong"},{"family":"Lu","given":"Yan"},{"family":"Wen","given":"Zhaoyin"}],"issued":{"date-parts":[["2024",11]]}}}],"schema":"https://github.com/citation-style-language/schema/raw/master/csl-citation.json"}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109</w:t>
            </w:r>
            <w:r w:rsidRPr="002657D1">
              <w:rPr>
                <w:rFonts w:ascii="Times New Roman" w:hAnsi="Times New Roman" w:cs="Times New Roman"/>
                <w:color w:val="000000" w:themeColor="text1"/>
                <w:sz w:val="24"/>
                <w:szCs w:val="24"/>
              </w:rPr>
              <w:fldChar w:fldCharType="end"/>
            </w:r>
          </w:p>
        </w:tc>
      </w:tr>
      <w:tr w:rsidR="002657D1" w:rsidRPr="002657D1" w14:paraId="63C716CB" w14:textId="77777777" w:rsidTr="001A7EE6">
        <w:trPr>
          <w:jc w:val="center"/>
        </w:trPr>
        <w:tc>
          <w:tcPr>
            <w:tcW w:w="2802" w:type="dxa"/>
            <w:vAlign w:val="center"/>
          </w:tcPr>
          <w:p w14:paraId="5D5EEC9E" w14:textId="69139629"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NCM622/NBF-Li</w:t>
            </w:r>
            <w:r w:rsidRPr="002657D1">
              <w:rPr>
                <w:rFonts w:ascii="Times New Roman" w:hAnsi="Times New Roman" w:cs="Times New Roman"/>
                <w:color w:val="000000" w:themeColor="text1"/>
                <w:sz w:val="24"/>
                <w:szCs w:val="24"/>
                <w:vertAlign w:val="subscript"/>
              </w:rPr>
              <w:t>6.5</w:t>
            </w:r>
            <w:r w:rsidRPr="002657D1">
              <w:rPr>
                <w:rFonts w:ascii="Times New Roman" w:hAnsi="Times New Roman" w:cs="Times New Roman"/>
                <w:color w:val="000000" w:themeColor="text1"/>
                <w:sz w:val="24"/>
                <w:szCs w:val="24"/>
              </w:rPr>
              <w:t>La</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Zr</w:t>
            </w:r>
            <w:r w:rsidRPr="002657D1">
              <w:rPr>
                <w:rFonts w:ascii="Times New Roman" w:hAnsi="Times New Roman" w:cs="Times New Roman"/>
                <w:color w:val="000000" w:themeColor="text1"/>
                <w:sz w:val="24"/>
                <w:szCs w:val="24"/>
                <w:vertAlign w:val="subscript"/>
              </w:rPr>
              <w:t>1.5</w:t>
            </w:r>
            <w:r w:rsidRPr="002657D1">
              <w:rPr>
                <w:rFonts w:ascii="Times New Roman" w:hAnsi="Times New Roman" w:cs="Times New Roman"/>
                <w:color w:val="000000" w:themeColor="text1"/>
                <w:sz w:val="24"/>
                <w:szCs w:val="24"/>
              </w:rPr>
              <w:t>Ta</w:t>
            </w:r>
            <w:r w:rsidRPr="002657D1">
              <w:rPr>
                <w:rFonts w:ascii="Times New Roman" w:hAnsi="Times New Roman" w:cs="Times New Roman"/>
                <w:color w:val="000000" w:themeColor="text1"/>
                <w:sz w:val="24"/>
                <w:szCs w:val="24"/>
                <w:vertAlign w:val="subscript"/>
              </w:rPr>
              <w:t>0.5</w:t>
            </w:r>
            <w:r w:rsidRPr="002657D1">
              <w:rPr>
                <w:rFonts w:ascii="Times New Roman" w:hAnsi="Times New Roman" w:cs="Times New Roman"/>
                <w:color w:val="000000" w:themeColor="text1"/>
                <w:sz w:val="24"/>
                <w:szCs w:val="24"/>
              </w:rPr>
              <w:t>O</w:t>
            </w:r>
            <w:r w:rsidRPr="002657D1">
              <w:rPr>
                <w:rFonts w:ascii="Times New Roman" w:hAnsi="Times New Roman" w:cs="Times New Roman"/>
                <w:color w:val="000000" w:themeColor="text1"/>
                <w:sz w:val="24"/>
                <w:szCs w:val="24"/>
                <w:vertAlign w:val="subscript"/>
              </w:rPr>
              <w:t>12</w:t>
            </w:r>
            <w:r w:rsidRPr="002657D1">
              <w:rPr>
                <w:rFonts w:ascii="Times New Roman" w:hAnsi="Times New Roman" w:cs="Times New Roman"/>
                <w:color w:val="000000" w:themeColor="text1"/>
                <w:sz w:val="24"/>
                <w:szCs w:val="24"/>
              </w:rPr>
              <w:t>/Li</w:t>
            </w:r>
          </w:p>
        </w:tc>
        <w:tc>
          <w:tcPr>
            <w:tcW w:w="1876" w:type="dxa"/>
            <w:vAlign w:val="center"/>
          </w:tcPr>
          <w:p w14:paraId="1DA85E37" w14:textId="5C999654"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2.0</w:t>
            </w:r>
          </w:p>
        </w:tc>
        <w:tc>
          <w:tcPr>
            <w:tcW w:w="1276" w:type="dxa"/>
            <w:vAlign w:val="center"/>
          </w:tcPr>
          <w:p w14:paraId="5F331E46" w14:textId="73D95E24"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139.4</w:t>
            </w:r>
          </w:p>
        </w:tc>
        <w:tc>
          <w:tcPr>
            <w:tcW w:w="1417" w:type="dxa"/>
            <w:vAlign w:val="center"/>
          </w:tcPr>
          <w:p w14:paraId="471D4968" w14:textId="0ED6110E"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 xml:space="preserve">0.28 </w:t>
            </w:r>
          </w:p>
        </w:tc>
        <w:tc>
          <w:tcPr>
            <w:tcW w:w="1418" w:type="dxa"/>
            <w:vAlign w:val="center"/>
          </w:tcPr>
          <w:p w14:paraId="330A5DF2" w14:textId="2929C001"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100@0.5 C</w:t>
            </w:r>
          </w:p>
        </w:tc>
        <w:tc>
          <w:tcPr>
            <w:tcW w:w="1559" w:type="dxa"/>
            <w:vAlign w:val="center"/>
          </w:tcPr>
          <w:p w14:paraId="2FC2CE7A" w14:textId="41B7BCE8"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0.056</w:t>
            </w:r>
          </w:p>
        </w:tc>
        <w:tc>
          <w:tcPr>
            <w:tcW w:w="1418" w:type="dxa"/>
            <w:vAlign w:val="center"/>
          </w:tcPr>
          <w:p w14:paraId="4995FCCA" w14:textId="252C6423"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vAlign w:val="center"/>
          </w:tcPr>
          <w:p w14:paraId="1A0F9B57" w14:textId="75D44C51"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{"citationID":"O1rOl3Et","properties":{"formattedCitation":"\\super 110\\nosupersub{}","plainCitation":"110","noteIndex":0},"citationItems":[{"id":"IXaoCdHi/ehrlgq1z","uris":["http://zotero.org/users/local/As3BANDe/items/FZKU5L4A"],"itemData":{"id":4952,"type":"article-journal","abstract":"Abstract\n            \n              Adapting solid‐state Li‐metal batteries is an attractive way to pursue higher energy density and safety compared to liquid‐based ones. With high ionic conductivity and excellent stability with Li, Ta‐doped Li\n              7\n              La\n              3\n              Zr\n              2\n              O\n              12\n              (LLZTO) is an effective option. However, the poor solid–solid interface contact induced by the lithiophobic Li\n              2\n              CO\n              3\n              layer hinder its practical application. Herein, a versatile strategy is proposed based on the hydrolysis of sodium tetrafluoroborate (NaBF\n              4\n              ), aiming to convert the Li\n              2\n              CO\n              3\n              into multifunctional hybrid layer containing LiF, LiBO\n              2\n              , and NaF. Among them, LiF and LiBO\n              2\n              serve as the primary Li ion conductors, the introduction of NaF with high surface energy not only enhances the interface wettability, but also further elevates the critical dendrite strength against Li dendrites. All three components serve as excellent electronic insulators, suppressing electron invasion at the interface and preventing Li dendrite growth in the solid electrolyte. As expected, the interfacial impedance of the NaBF\n              4\n              treated symmetric cell is reduced to 6.0 Ω cm\n              2\n              , the critical current density (CCD) comes to 2.0 mA cm\n              −2\n              , and cycles over 3000 h at 0.3 mA cm\n              −2\n              and 1500 h at 0.5 mA cm\n              −2\n              respectively. Besides, the modified SSBs matched with LiFePO\n              4\n              or LiNi\n              0.6\n              Co\n              0.2\n              Mn\n              0.2\n              O\n              2\n              cathode show great long‐term cycling and rate performance.","container-title":"Advanced Functional Materials","DOI":"10.1002/adfm.202402971","ISSN":"1616-301X, 1616-3028","issue":"38","journalAbbreviation":"Adv Funct Materials","language":"en","page":"2402971","source":"DOI.org (Crossref)","title":"In Situ Construction of a Lithiophilic and Electronically Insulating Multifunctional Hybrid Layer Based on the Principle of Hydrolysis for a Stable Garnet/Li Interface","volume":"34","author":[{"family":"Wang","given":"Lingchen"},{"family":"Lu","given":"Yan"},{"family":"Zheng","given":"Chujun"},{"family":"Cai","given":"Mingli"},{"family":"Xu","given":"Fangfang"},{"family":"Wen","given":"Zhaoyin"}],"issued":{"date-parts":[["2024",9]]}}}],"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110</w:t>
            </w:r>
            <w:r w:rsidRPr="002657D1">
              <w:rPr>
                <w:rFonts w:ascii="Times New Roman" w:hAnsi="Times New Roman" w:cs="Times New Roman"/>
                <w:color w:val="000000" w:themeColor="text1"/>
                <w:sz w:val="24"/>
                <w:szCs w:val="24"/>
              </w:rPr>
              <w:fldChar w:fldCharType="end"/>
            </w:r>
          </w:p>
        </w:tc>
      </w:tr>
      <w:tr w:rsidR="002657D1" w:rsidRPr="002657D1" w14:paraId="4B403E22" w14:textId="77777777" w:rsidTr="001A7EE6">
        <w:trPr>
          <w:jc w:val="center"/>
        </w:trPr>
        <w:tc>
          <w:tcPr>
            <w:tcW w:w="2802" w:type="dxa"/>
            <w:vAlign w:val="center"/>
          </w:tcPr>
          <w:p w14:paraId="67C260CE" w14:textId="79F7DE18"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LFP/0.1Yb-Li</w:t>
            </w:r>
            <w:r w:rsidRPr="002657D1">
              <w:rPr>
                <w:rFonts w:ascii="Times New Roman" w:hAnsi="Times New Roman" w:cs="Times New Roman"/>
                <w:color w:val="000000" w:themeColor="text1"/>
                <w:sz w:val="24"/>
                <w:szCs w:val="24"/>
                <w:vertAlign w:val="subscript"/>
              </w:rPr>
              <w:t>6.5</w:t>
            </w:r>
            <w:r w:rsidRPr="002657D1">
              <w:rPr>
                <w:rFonts w:ascii="Times New Roman" w:hAnsi="Times New Roman" w:cs="Times New Roman"/>
                <w:color w:val="000000" w:themeColor="text1"/>
                <w:sz w:val="24"/>
                <w:szCs w:val="24"/>
              </w:rPr>
              <w:t>La</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Zr</w:t>
            </w:r>
            <w:r w:rsidRPr="002657D1">
              <w:rPr>
                <w:rFonts w:ascii="Times New Roman" w:hAnsi="Times New Roman" w:cs="Times New Roman"/>
                <w:color w:val="000000" w:themeColor="text1"/>
                <w:sz w:val="24"/>
                <w:szCs w:val="24"/>
                <w:vertAlign w:val="subscript"/>
              </w:rPr>
              <w:t>1.5</w:t>
            </w:r>
            <w:r w:rsidRPr="002657D1">
              <w:rPr>
                <w:rFonts w:ascii="Times New Roman" w:hAnsi="Times New Roman" w:cs="Times New Roman"/>
                <w:color w:val="000000" w:themeColor="text1"/>
                <w:sz w:val="24"/>
                <w:szCs w:val="24"/>
              </w:rPr>
              <w:t>Ta</w:t>
            </w:r>
            <w:r w:rsidRPr="002657D1">
              <w:rPr>
                <w:rFonts w:ascii="Times New Roman" w:hAnsi="Times New Roman" w:cs="Times New Roman"/>
                <w:color w:val="000000" w:themeColor="text1"/>
                <w:sz w:val="24"/>
                <w:szCs w:val="24"/>
                <w:vertAlign w:val="subscript"/>
              </w:rPr>
              <w:t>0.5</w:t>
            </w:r>
            <w:r w:rsidRPr="002657D1">
              <w:rPr>
                <w:rFonts w:ascii="Times New Roman" w:hAnsi="Times New Roman" w:cs="Times New Roman"/>
                <w:color w:val="000000" w:themeColor="text1"/>
                <w:sz w:val="24"/>
                <w:szCs w:val="24"/>
              </w:rPr>
              <w:t>O</w:t>
            </w:r>
            <w:r w:rsidRPr="002657D1">
              <w:rPr>
                <w:rFonts w:ascii="Times New Roman" w:hAnsi="Times New Roman" w:cs="Times New Roman"/>
                <w:color w:val="000000" w:themeColor="text1"/>
                <w:sz w:val="24"/>
                <w:szCs w:val="24"/>
                <w:vertAlign w:val="subscript"/>
              </w:rPr>
              <w:t>12</w:t>
            </w:r>
            <w:r w:rsidRPr="002657D1">
              <w:rPr>
                <w:rFonts w:ascii="Times New Roman" w:hAnsi="Times New Roman" w:cs="Times New Roman"/>
                <w:color w:val="000000" w:themeColor="text1"/>
                <w:sz w:val="24"/>
                <w:szCs w:val="24"/>
              </w:rPr>
              <w:t>/Li</w:t>
            </w:r>
          </w:p>
        </w:tc>
        <w:tc>
          <w:tcPr>
            <w:tcW w:w="1876" w:type="dxa"/>
            <w:vAlign w:val="center"/>
          </w:tcPr>
          <w:p w14:paraId="2708B0BB" w14:textId="63A43132"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2.0</w:t>
            </w:r>
          </w:p>
        </w:tc>
        <w:tc>
          <w:tcPr>
            <w:tcW w:w="1276" w:type="dxa"/>
            <w:vAlign w:val="center"/>
          </w:tcPr>
          <w:p w14:paraId="1370AD02" w14:textId="1D84F7E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150.7</w:t>
            </w:r>
          </w:p>
        </w:tc>
        <w:tc>
          <w:tcPr>
            <w:tcW w:w="1417" w:type="dxa"/>
            <w:vAlign w:val="center"/>
          </w:tcPr>
          <w:p w14:paraId="64A9EC9B" w14:textId="02FCE84F"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 xml:space="preserve">0.30 </w:t>
            </w:r>
          </w:p>
        </w:tc>
        <w:tc>
          <w:tcPr>
            <w:tcW w:w="1418" w:type="dxa"/>
            <w:vAlign w:val="center"/>
          </w:tcPr>
          <w:p w14:paraId="181932D6" w14:textId="40D6E241"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300@0.5 C</w:t>
            </w:r>
          </w:p>
        </w:tc>
        <w:tc>
          <w:tcPr>
            <w:tcW w:w="1559" w:type="dxa"/>
            <w:vAlign w:val="center"/>
          </w:tcPr>
          <w:p w14:paraId="19C003AD" w14:textId="0EB2A684"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0.056</w:t>
            </w:r>
          </w:p>
        </w:tc>
        <w:tc>
          <w:tcPr>
            <w:tcW w:w="1418" w:type="dxa"/>
            <w:vAlign w:val="center"/>
          </w:tcPr>
          <w:p w14:paraId="65E6F011" w14:textId="5F77F5AF"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vAlign w:val="center"/>
          </w:tcPr>
          <w:p w14:paraId="67949C62" w14:textId="5A9E89BA"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{"citationID":"IdQIzpus","properties":{"formattedCitation":"\\super 111\\nosupersub{}","plainCitation":"111","noteIndex":0},"citationItems":[{"id":"IXaoCdHi/LnYqbTul","uris":["http://zotero.org/users/local/As3BANDe/items/DEA5CZWK"],"itemData":{"id":4954,"type":"article-journal","abstract":"Solid-state lithium batteries (SSLBs) based on Li-garnet solid electrolytes have received tremendous attention owning to their strong safety and high energy density. However, poor ionic conductivity at room temperature and low relative density of Li-garnet solid electrolytes hinder their widespread applications. Herein, micro­ structural engineering enabled by further Yb-doping strategy is adopted to enhance the performance of Li-garnet solid electrolyte Li6.5La3Zr1.5Ta0.5O12 (LLZTO). The introduction of Yb exerts dual regulation of intragrain and grain boundary, enlarging the bottleneck size for Li+ migration and suppressing abnormal grain growth (AGG), which enhance ion conductivity and fabricate homogeneous dense electrolyte. First principles calculation demonstrates Yb into electrolyte can reduce Gibbs free energy change (ΔG) of electrolyte reaction, making sintering process easier to complete. A dense microstructure is obtained when 0.1 Yb is doped LLZTO, and the maximum ion conductivity achieves 7.67 × 10− 4 S</w:instrText>
            </w:r>
            <w:r w:rsidR="00E725CF" w:rsidRPr="002657D1">
              <w:rPr>
                <w:rFonts w:ascii="Cambria Math" w:hAnsi="Cambria Math" w:cs="Cambria Math"/>
                <w:color w:val="000000" w:themeColor="text1"/>
                <w:sz w:val="24"/>
                <w:szCs w:val="24"/>
              </w:rPr>
              <w:instrText>⋅</w:instrText>
            </w:r>
            <w:r w:rsidR="00E725CF" w:rsidRPr="002657D1">
              <w:rPr>
                <w:rFonts w:ascii="Times New Roman" w:hAnsi="Times New Roman" w:cs="Times New Roman"/>
                <w:color w:val="000000" w:themeColor="text1"/>
                <w:sz w:val="24"/>
                <w:szCs w:val="24"/>
              </w:rPr>
              <w:instrText xml:space="preserve">cm− 1 with relative density of 96.2 %. The critical current density (CCD) of Li symmetric cell composed of 0.1Yb-LLZTO reaches 1.30 mA cm− 2 and provides stable cycling performance for 4000 h at 0.1 mA cm− 2. Additionally, SSLB matched with 0.1Yb-LLZTO and LiFePO4 delivers a remarkable cycling performance with a discharge capacity of 125.4 mAh g− 1 and capacity retention of 83.2 % after 300 cycles (0.5 C). The findings of this study provide important implications for understanding micro­ structural engineering in electrolyte preparation and developing high-performance Li-garnet-based SSLBs.","container-title":"Energy Storage Materials","DOI":"10.1016/j.ensm.2023.103101","ISSN":"24058297","journalAbbreviation":"Energy Storage Materials","language":"en","page":"103101","source":"DOI.org (Crossref)","title":"Microstructural engineering for Ta-doped Li-garnet solid electrolyte toward enhancing performance","volume":"65","author":[{"family":"Lu","given":"Fugang"},{"family":"Xu","given":"Jiujie"},{"family":"Wang","given":"Ce"},{"family":"Liu","given":"Zhanguo"},{"family":"Yue","given":"Xin"},{"family":"Duan","given":"Xiaoming"},{"family":"Lin","given":"Jincheng"},{"family":"Li","given":"Xinyue"},{"family":"Zhang","given":"Xinfei"},{"family":"Lin","given":"Panpan"},{"family":"Lin","given":"Tiesong"},{"family":"He","given":"Peng"}],"issued":{"date-parts":[["2024",2]]}}}],"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111</w:t>
            </w:r>
            <w:r w:rsidRPr="002657D1">
              <w:rPr>
                <w:rFonts w:ascii="Times New Roman" w:hAnsi="Times New Roman" w:cs="Times New Roman"/>
                <w:color w:val="000000" w:themeColor="text1"/>
                <w:sz w:val="24"/>
                <w:szCs w:val="24"/>
              </w:rPr>
              <w:fldChar w:fldCharType="end"/>
            </w:r>
          </w:p>
        </w:tc>
      </w:tr>
      <w:tr w:rsidR="002657D1" w:rsidRPr="002657D1" w14:paraId="31EDA146" w14:textId="77777777" w:rsidTr="001A7EE6">
        <w:trPr>
          <w:jc w:val="center"/>
        </w:trPr>
        <w:tc>
          <w:tcPr>
            <w:tcW w:w="2802" w:type="dxa"/>
            <w:vAlign w:val="center"/>
          </w:tcPr>
          <w:p w14:paraId="7A9C72B8" w14:textId="497CEB5E"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NCM811/Li</w:t>
            </w:r>
            <w:r w:rsidRPr="002657D1">
              <w:rPr>
                <w:rFonts w:ascii="Times New Roman" w:hAnsi="Times New Roman" w:cs="Times New Roman"/>
                <w:color w:val="000000" w:themeColor="text1"/>
                <w:sz w:val="24"/>
                <w:szCs w:val="24"/>
                <w:vertAlign w:val="subscript"/>
              </w:rPr>
              <w:t>6.4</w:t>
            </w:r>
            <w:r w:rsidRPr="002657D1">
              <w:rPr>
                <w:rFonts w:ascii="Times New Roman" w:hAnsi="Times New Roman" w:cs="Times New Roman"/>
                <w:color w:val="000000" w:themeColor="text1"/>
                <w:sz w:val="24"/>
                <w:szCs w:val="24"/>
              </w:rPr>
              <w:t>La</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Zr</w:t>
            </w:r>
            <w:r w:rsidRPr="002657D1">
              <w:rPr>
                <w:rFonts w:ascii="Times New Roman" w:hAnsi="Times New Roman" w:cs="Times New Roman"/>
                <w:color w:val="000000" w:themeColor="text1"/>
                <w:sz w:val="24"/>
                <w:szCs w:val="24"/>
                <w:vertAlign w:val="subscript"/>
              </w:rPr>
              <w:t>2</w:t>
            </w:r>
            <w:r w:rsidRPr="002657D1">
              <w:rPr>
                <w:rFonts w:ascii="Times New Roman" w:hAnsi="Times New Roman" w:cs="Times New Roman"/>
                <w:color w:val="000000" w:themeColor="text1"/>
                <w:sz w:val="24"/>
                <w:szCs w:val="24"/>
              </w:rPr>
              <w:t>Al</w:t>
            </w:r>
            <w:r w:rsidRPr="002657D1">
              <w:rPr>
                <w:rFonts w:ascii="Times New Roman" w:hAnsi="Times New Roman" w:cs="Times New Roman"/>
                <w:color w:val="000000" w:themeColor="text1"/>
                <w:sz w:val="24"/>
                <w:szCs w:val="24"/>
                <w:vertAlign w:val="subscript"/>
              </w:rPr>
              <w:t>0.2</w:t>
            </w:r>
            <w:r w:rsidRPr="002657D1">
              <w:rPr>
                <w:rFonts w:ascii="Times New Roman" w:hAnsi="Times New Roman" w:cs="Times New Roman"/>
                <w:color w:val="000000" w:themeColor="text1"/>
                <w:sz w:val="24"/>
                <w:szCs w:val="24"/>
              </w:rPr>
              <w:t>O</w:t>
            </w:r>
            <w:r w:rsidRPr="002657D1">
              <w:rPr>
                <w:rFonts w:ascii="Times New Roman" w:hAnsi="Times New Roman" w:cs="Times New Roman"/>
                <w:color w:val="000000" w:themeColor="text1"/>
                <w:sz w:val="24"/>
                <w:szCs w:val="24"/>
                <w:vertAlign w:val="subscript"/>
              </w:rPr>
              <w:t>12</w:t>
            </w:r>
            <w:r w:rsidRPr="002657D1">
              <w:rPr>
                <w:rFonts w:ascii="Times New Roman" w:hAnsi="Times New Roman" w:cs="Times New Roman"/>
                <w:color w:val="000000" w:themeColor="text1"/>
                <w:sz w:val="24"/>
                <w:szCs w:val="24"/>
              </w:rPr>
              <w:t>/</w:t>
            </w:r>
            <w:proofErr w:type="spellStart"/>
            <w:r w:rsidRPr="002657D1">
              <w:rPr>
                <w:rFonts w:ascii="Times New Roman" w:hAnsi="Times New Roman" w:cs="Times New Roman"/>
                <w:color w:val="000000" w:themeColor="text1"/>
                <w:sz w:val="24"/>
                <w:szCs w:val="24"/>
              </w:rPr>
              <w:t>GaP</w:t>
            </w:r>
            <w:proofErr w:type="spellEnd"/>
            <w:r w:rsidRPr="002657D1">
              <w:rPr>
                <w:rFonts w:ascii="Times New Roman" w:hAnsi="Times New Roman" w:cs="Times New Roman"/>
                <w:color w:val="000000" w:themeColor="text1"/>
                <w:sz w:val="24"/>
                <w:szCs w:val="24"/>
              </w:rPr>
              <w:t>-Li</w:t>
            </w:r>
          </w:p>
        </w:tc>
        <w:tc>
          <w:tcPr>
            <w:tcW w:w="1876" w:type="dxa"/>
            <w:vAlign w:val="center"/>
          </w:tcPr>
          <w:p w14:paraId="5EE9EAE9" w14:textId="75348AE2"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2.0</w:t>
            </w:r>
          </w:p>
        </w:tc>
        <w:tc>
          <w:tcPr>
            <w:tcW w:w="1276" w:type="dxa"/>
            <w:vAlign w:val="center"/>
          </w:tcPr>
          <w:p w14:paraId="4EE5E667" w14:textId="65A463F9"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146.2</w:t>
            </w:r>
          </w:p>
        </w:tc>
        <w:tc>
          <w:tcPr>
            <w:tcW w:w="1417" w:type="dxa"/>
            <w:vAlign w:val="center"/>
          </w:tcPr>
          <w:p w14:paraId="64C4DDA0" w14:textId="1F9E93E4"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 xml:space="preserve">0.29 </w:t>
            </w:r>
          </w:p>
        </w:tc>
        <w:tc>
          <w:tcPr>
            <w:tcW w:w="1418" w:type="dxa"/>
            <w:vAlign w:val="center"/>
          </w:tcPr>
          <w:p w14:paraId="6D02A3FE" w14:textId="76AAD3B1"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100@0.5 C</w:t>
            </w:r>
          </w:p>
        </w:tc>
        <w:tc>
          <w:tcPr>
            <w:tcW w:w="1559" w:type="dxa"/>
            <w:vAlign w:val="center"/>
          </w:tcPr>
          <w:p w14:paraId="195A2F34" w14:textId="128820EB"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0.134</w:t>
            </w:r>
          </w:p>
        </w:tc>
        <w:tc>
          <w:tcPr>
            <w:tcW w:w="1418" w:type="dxa"/>
            <w:vAlign w:val="center"/>
          </w:tcPr>
          <w:p w14:paraId="6F7725A7" w14:textId="7659C5B5"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vAlign w:val="center"/>
          </w:tcPr>
          <w:p w14:paraId="48EC7266" w14:textId="798305C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{"citationID":"QrqFnl9T","properties":{"formattedCitation":"\\super 112\\nosupersub{}","plainCitation":"112","noteIndex":0},"citationItems":[{"id":"IXaoCdHi/ubiPk8A9","uris":["http://zotero.org/users/local/As3BANDe/items/DK7VDVUL"],"itemData":{"id":4956,"type":"article-journal","abstract":"Abstract\n            \n              The urgent demand for high energy and safety batteries has generated the rapid development of Li\n              6.4\n              La\n              3\n              Zr\n              1.4\n              Ta\n              0.6\n              O\n              12\n              (LLZTO) type solid‐state lithium metal batteries. However, severe dendritic lithium growth, which is caused by poor interfacial contact of the Li/LLZTO interface and loss of electrical contact during cycles due to low intrinsic Li\n              +\n              diffusion coefficient of lithium, greatly hampers its practical application. Here, from the point of view of reducing surface tension and improving ion diffusion of lithium, a composite lithium anode (CLA) with high wettability and ion diffusion coefficient is prepared by adding GaP into molten lithium, thus strengthening the CLA/LLZTO interface even in cycling. As envisioned, compared to pure lithium, CLA presents lower surface tension, larger adhesion work, and higher ion diffusion coefficient, ensuring close contact of the CLA/LLZTO interface. Therefore, the assembled symmetric cells exhibit a low area specific resistance of 4.5 Ω cm\n              2\n              , a large critical current density of 2.5 mA cm\n              −2\n              , and ultra‐long lifespan of 5700 h at 0.3 mA cm\n              −2\n              at 25 °C. Meanwhile, full cells coupled with LiFePO\n              4\n              cathode show a high‐capacity retention of 97.32% after 490 cycles at 1C. This work provides a new solution to the interfacial challenges of solid‐state lithium‐metal batteries.","container-title":"Advanced Functional Materials","DOI":"10.1002/adfm.202309751","ISSN":"1616-301X, 1616-3028","issue":"12","journalAbbreviation":"Adv Funct Materials","language":"en","page":"2309751","source":"DOI.org (Crossref)","title":"Superionic Conductor Enabled Composite Lithium with High Ionic Conductivity and Interfacial Wettability for Solid‐State Lithium Batteries","volume":"34","author":[{"family":"Li","given":"Zongyang"},{"family":"Zheng","given":"Weikang"},{"family":"Lu","given":"Guanjie"},{"family":"Li","given":"Menghong"},{"family":"Tang","given":"Desha"},{"family":"Zhao","given":"Qiannan"},{"family":"Wang","given":"Yumei"},{"family":"Xu","given":"Chaohe"},{"family":"Wang","given":"Ronghua"}],"issued":{"date-parts":[["2024",3]]}}}],"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112</w:t>
            </w:r>
            <w:r w:rsidRPr="002657D1">
              <w:rPr>
                <w:rFonts w:ascii="Times New Roman" w:hAnsi="Times New Roman" w:cs="Times New Roman"/>
                <w:color w:val="000000" w:themeColor="text1"/>
                <w:sz w:val="24"/>
                <w:szCs w:val="24"/>
              </w:rPr>
              <w:fldChar w:fldCharType="end"/>
            </w:r>
          </w:p>
        </w:tc>
      </w:tr>
      <w:tr w:rsidR="002657D1" w:rsidRPr="002657D1" w14:paraId="210F2247" w14:textId="77777777" w:rsidTr="001A7EE6">
        <w:trPr>
          <w:jc w:val="center"/>
        </w:trPr>
        <w:tc>
          <w:tcPr>
            <w:tcW w:w="2802" w:type="dxa"/>
            <w:vAlign w:val="center"/>
          </w:tcPr>
          <w:p w14:paraId="0450DBB1" w14:textId="5AC231EF"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LFP/Li</w:t>
            </w:r>
            <w:r w:rsidRPr="002657D1">
              <w:rPr>
                <w:rFonts w:ascii="Times New Roman" w:hAnsi="Times New Roman" w:cs="Times New Roman"/>
                <w:color w:val="000000" w:themeColor="text1"/>
                <w:sz w:val="24"/>
                <w:szCs w:val="24"/>
                <w:vertAlign w:val="subscript"/>
              </w:rPr>
              <w:t>6.4</w:t>
            </w:r>
            <w:r w:rsidRPr="002657D1">
              <w:rPr>
                <w:rFonts w:ascii="Times New Roman" w:hAnsi="Times New Roman" w:cs="Times New Roman"/>
                <w:color w:val="000000" w:themeColor="text1"/>
                <w:sz w:val="24"/>
                <w:szCs w:val="24"/>
              </w:rPr>
              <w:t>La</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Zr</w:t>
            </w:r>
            <w:r w:rsidRPr="002657D1">
              <w:rPr>
                <w:rFonts w:ascii="Times New Roman" w:hAnsi="Times New Roman" w:cs="Times New Roman"/>
                <w:color w:val="000000" w:themeColor="text1"/>
                <w:sz w:val="24"/>
                <w:szCs w:val="24"/>
                <w:vertAlign w:val="subscript"/>
              </w:rPr>
              <w:t>1.4</w:t>
            </w:r>
            <w:r w:rsidRPr="002657D1">
              <w:rPr>
                <w:rFonts w:ascii="Times New Roman" w:hAnsi="Times New Roman" w:cs="Times New Roman"/>
                <w:color w:val="000000" w:themeColor="text1"/>
                <w:sz w:val="24"/>
                <w:szCs w:val="24"/>
              </w:rPr>
              <w:t>Ta</w:t>
            </w:r>
            <w:r w:rsidRPr="002657D1">
              <w:rPr>
                <w:rFonts w:ascii="Times New Roman" w:hAnsi="Times New Roman" w:cs="Times New Roman"/>
                <w:color w:val="000000" w:themeColor="text1"/>
                <w:sz w:val="24"/>
                <w:szCs w:val="24"/>
                <w:vertAlign w:val="subscript"/>
              </w:rPr>
              <w:t>0.6</w:t>
            </w:r>
            <w:r w:rsidRPr="002657D1">
              <w:rPr>
                <w:rFonts w:ascii="Times New Roman" w:hAnsi="Times New Roman" w:cs="Times New Roman"/>
                <w:color w:val="000000" w:themeColor="text1"/>
                <w:sz w:val="24"/>
                <w:szCs w:val="24"/>
              </w:rPr>
              <w:t>O</w:t>
            </w:r>
            <w:r w:rsidRPr="002657D1">
              <w:rPr>
                <w:rFonts w:ascii="Times New Roman" w:hAnsi="Times New Roman" w:cs="Times New Roman"/>
                <w:color w:val="000000" w:themeColor="text1"/>
                <w:sz w:val="24"/>
                <w:szCs w:val="24"/>
                <w:vertAlign w:val="subscript"/>
              </w:rPr>
              <w:t>12</w:t>
            </w:r>
            <w:r w:rsidRPr="002657D1">
              <w:rPr>
                <w:rFonts w:ascii="Times New Roman" w:hAnsi="Times New Roman" w:cs="Times New Roman"/>
                <w:color w:val="000000" w:themeColor="text1"/>
                <w:sz w:val="24"/>
                <w:szCs w:val="24"/>
              </w:rPr>
              <w:t>/</w:t>
            </w:r>
            <w:proofErr w:type="spellStart"/>
            <w:r w:rsidRPr="002657D1">
              <w:rPr>
                <w:rFonts w:ascii="Times New Roman" w:hAnsi="Times New Roman" w:cs="Times New Roman"/>
                <w:color w:val="000000" w:themeColor="text1"/>
                <w:sz w:val="24"/>
                <w:szCs w:val="24"/>
              </w:rPr>
              <w:t>GaP</w:t>
            </w:r>
            <w:proofErr w:type="spellEnd"/>
            <w:r w:rsidRPr="002657D1">
              <w:rPr>
                <w:rFonts w:ascii="Times New Roman" w:hAnsi="Times New Roman" w:cs="Times New Roman"/>
                <w:color w:val="000000" w:themeColor="text1"/>
                <w:sz w:val="24"/>
                <w:szCs w:val="24"/>
              </w:rPr>
              <w:t>-Li</w:t>
            </w:r>
          </w:p>
        </w:tc>
        <w:tc>
          <w:tcPr>
            <w:tcW w:w="1876" w:type="dxa"/>
            <w:vAlign w:val="center"/>
          </w:tcPr>
          <w:p w14:paraId="2D08BFF0" w14:textId="1F22C78E"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3.7</w:t>
            </w:r>
          </w:p>
        </w:tc>
        <w:tc>
          <w:tcPr>
            <w:tcW w:w="1276" w:type="dxa"/>
            <w:vAlign w:val="center"/>
          </w:tcPr>
          <w:p w14:paraId="43B81B3A" w14:textId="2454F2FF"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143.1</w:t>
            </w:r>
          </w:p>
        </w:tc>
        <w:tc>
          <w:tcPr>
            <w:tcW w:w="1417" w:type="dxa"/>
            <w:vAlign w:val="center"/>
          </w:tcPr>
          <w:p w14:paraId="08F94D06" w14:textId="6A7C1216"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0.53</w:t>
            </w:r>
          </w:p>
        </w:tc>
        <w:tc>
          <w:tcPr>
            <w:tcW w:w="1418" w:type="dxa"/>
            <w:vAlign w:val="center"/>
          </w:tcPr>
          <w:p w14:paraId="096698F6" w14:textId="0B639557"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100@0.5 C</w:t>
            </w:r>
          </w:p>
        </w:tc>
        <w:tc>
          <w:tcPr>
            <w:tcW w:w="1559" w:type="dxa"/>
            <w:vAlign w:val="center"/>
          </w:tcPr>
          <w:p w14:paraId="4006D92D" w14:textId="0664E667"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0.025</w:t>
            </w:r>
          </w:p>
        </w:tc>
        <w:tc>
          <w:tcPr>
            <w:tcW w:w="1418" w:type="dxa"/>
            <w:vAlign w:val="center"/>
          </w:tcPr>
          <w:p w14:paraId="5F0CA78F" w14:textId="33D18EF8"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vAlign w:val="center"/>
          </w:tcPr>
          <w:p w14:paraId="038504A0" w14:textId="7531016C"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{"citationID":"5pbaVLoN","properties":{"formattedCitation":"\\super 112\\nosupersub{}","plainCitation":"112","noteIndex":0},"citationItems":[{"id":"IXaoCdHi/ubiPk8A9","uris":["http://zotero.org/users/local/As3BANDe/items/DK7VDVUL"],"itemData":{"id":4956,"type":"article-journal","abstract":"Abstract\n            \n              The urgent demand for high energy and safety batteries has generated the rapid development of Li\n              6.4\n              La\n              3\n              Zr\n              1.4\n              Ta\n              0.6\n              O\n              12\n              (LLZTO) type solid‐state lithium metal batteries. However, severe dendritic lithium growth, which is caused by poor interfacial contact of the Li/LLZTO interface and loss of electrical contact during cycles due to low intrinsic Li\n              +\n              diffusion coefficient of lithium, greatly hampers its practical application. Here, from the point of view of reducing surface tension and improving ion diffusion of lithium, a composite lithium anode (CLA) with high wettability and ion diffusion coefficient is prepared by adding GaP into molten lithium, thus strengthening the CLA/LLZTO interface even in cycling. As envisioned, compared to pure lithium, CLA presents lower surface tension, larger adhesion work, and higher ion diffusion coefficient, ensuring close contact of the CLA/LLZTO interface. Therefore, the assembled symmetric cells exhibit a low area specific resistance of 4.5 Ω cm\n              2\n              , a large critical current density of 2.5 mA cm\n              −2\n              , and ultra‐long lifespan of 5700 h at 0.3 mA cm\n              −2\n              at 25 °C. Meanwhile, full cells coupled with LiFePO\n              4\n              cathode show a high‐capacity retention of 97.32% after 490 cycles at 1C. This work provides a new solution to the interfacial challenges of solid‐state lithium‐metal batteries.","container-title":"Advanced Functional Materials","DOI":"10.1002/adfm.202309751","ISSN":"1616-301X, 1616-3028","issue":"12","journalAbbreviation":"Adv Funct Materials","language":"en","page":"2309751","source":"DOI.org (Crossref)","title":"Superionic Conductor Enabled Composite Lithium with High Ionic Conductivity and Interfacial Wettability for Solid‐State Lithium Batteries","volume":"34","author":[{"family":"Li","given":"Zongyang"},{"family":"Zheng","given":"Weikang"},{"family":"Lu","given":"Guanjie"},{"family":"Li","given":"Menghong"},{"family":"Tang","given":"Desha"},{"family":"Zhao","given":"Qiannan"},{"family":"Wang","given":"Yumei"},{"family":"Xu","given":"Chaohe"},{"family":"Wang","given":"Ronghua"}],"issued":{"date-parts":[["2024",3]]}}}],"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112</w:t>
            </w:r>
            <w:r w:rsidRPr="002657D1">
              <w:rPr>
                <w:rFonts w:ascii="Times New Roman" w:hAnsi="Times New Roman" w:cs="Times New Roman"/>
                <w:color w:val="000000" w:themeColor="text1"/>
                <w:sz w:val="24"/>
                <w:szCs w:val="24"/>
              </w:rPr>
              <w:fldChar w:fldCharType="end"/>
            </w:r>
          </w:p>
        </w:tc>
      </w:tr>
      <w:tr w:rsidR="002657D1" w:rsidRPr="002657D1" w14:paraId="5965D98C" w14:textId="77777777" w:rsidTr="001A7EE6">
        <w:trPr>
          <w:jc w:val="center"/>
        </w:trPr>
        <w:tc>
          <w:tcPr>
            <w:tcW w:w="2802" w:type="dxa"/>
            <w:tcBorders>
              <w:bottom w:val="nil"/>
            </w:tcBorders>
            <w:vAlign w:val="center"/>
          </w:tcPr>
          <w:p w14:paraId="5CA2C174" w14:textId="60ACF9E0"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LFP/Li</w:t>
            </w:r>
            <w:r w:rsidRPr="002657D1">
              <w:rPr>
                <w:rFonts w:ascii="Times New Roman" w:hAnsi="Times New Roman" w:cs="Times New Roman"/>
                <w:color w:val="000000" w:themeColor="text1"/>
                <w:sz w:val="24"/>
                <w:szCs w:val="24"/>
                <w:vertAlign w:val="subscript"/>
              </w:rPr>
              <w:t>6.4</w:t>
            </w:r>
            <w:r w:rsidRPr="002657D1">
              <w:rPr>
                <w:rFonts w:ascii="Times New Roman" w:hAnsi="Times New Roman" w:cs="Times New Roman"/>
                <w:color w:val="000000" w:themeColor="text1"/>
                <w:sz w:val="24"/>
                <w:szCs w:val="24"/>
              </w:rPr>
              <w:t>La</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Zr</w:t>
            </w:r>
            <w:r w:rsidRPr="002657D1">
              <w:rPr>
                <w:rFonts w:ascii="Times New Roman" w:hAnsi="Times New Roman" w:cs="Times New Roman"/>
                <w:color w:val="000000" w:themeColor="text1"/>
                <w:sz w:val="24"/>
                <w:szCs w:val="24"/>
                <w:vertAlign w:val="subscript"/>
              </w:rPr>
              <w:t>1.4</w:t>
            </w:r>
            <w:r w:rsidRPr="002657D1">
              <w:rPr>
                <w:rFonts w:ascii="Times New Roman" w:hAnsi="Times New Roman" w:cs="Times New Roman"/>
                <w:color w:val="000000" w:themeColor="text1"/>
                <w:sz w:val="24"/>
                <w:szCs w:val="24"/>
              </w:rPr>
              <w:t>Ta</w:t>
            </w:r>
            <w:r w:rsidRPr="002657D1">
              <w:rPr>
                <w:rFonts w:ascii="Times New Roman" w:hAnsi="Times New Roman" w:cs="Times New Roman"/>
                <w:color w:val="000000" w:themeColor="text1"/>
                <w:sz w:val="24"/>
                <w:szCs w:val="24"/>
                <w:vertAlign w:val="subscript"/>
              </w:rPr>
              <w:t>0.6</w:t>
            </w:r>
            <w:r w:rsidRPr="002657D1">
              <w:rPr>
                <w:rFonts w:ascii="Times New Roman" w:hAnsi="Times New Roman" w:cs="Times New Roman"/>
                <w:color w:val="000000" w:themeColor="text1"/>
                <w:sz w:val="24"/>
                <w:szCs w:val="24"/>
              </w:rPr>
              <w:t>O</w:t>
            </w:r>
            <w:r w:rsidRPr="002657D1">
              <w:rPr>
                <w:rFonts w:ascii="Times New Roman" w:hAnsi="Times New Roman" w:cs="Times New Roman"/>
                <w:color w:val="000000" w:themeColor="text1"/>
                <w:sz w:val="24"/>
                <w:szCs w:val="24"/>
                <w:vertAlign w:val="subscript"/>
              </w:rPr>
              <w:t>12</w:t>
            </w:r>
            <w:r w:rsidRPr="002657D1">
              <w:rPr>
                <w:rFonts w:ascii="Times New Roman" w:hAnsi="Times New Roman" w:cs="Times New Roman"/>
                <w:color w:val="000000" w:themeColor="text1"/>
                <w:sz w:val="24"/>
                <w:szCs w:val="24"/>
              </w:rPr>
              <w:t>/Li</w:t>
            </w:r>
            <w:r w:rsidRPr="002657D1">
              <w:rPr>
                <w:rFonts w:ascii="Times New Roman" w:hAnsi="Times New Roman" w:cs="Times New Roman"/>
                <w:color w:val="000000" w:themeColor="text1"/>
                <w:sz w:val="24"/>
                <w:szCs w:val="24"/>
                <w:vertAlign w:val="subscript"/>
              </w:rPr>
              <w:t>2</w:t>
            </w:r>
            <w:r w:rsidRPr="002657D1">
              <w:rPr>
                <w:rFonts w:ascii="Times New Roman" w:hAnsi="Times New Roman" w:cs="Times New Roman"/>
                <w:color w:val="000000" w:themeColor="text1"/>
                <w:sz w:val="24"/>
                <w:szCs w:val="24"/>
              </w:rPr>
              <w:t>O-rich@Li</w:t>
            </w:r>
          </w:p>
        </w:tc>
        <w:tc>
          <w:tcPr>
            <w:tcW w:w="1876" w:type="dxa"/>
            <w:tcBorders>
              <w:bottom w:val="nil"/>
            </w:tcBorders>
            <w:vAlign w:val="center"/>
          </w:tcPr>
          <w:p w14:paraId="6AE459CD" w14:textId="6E3400AE"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1.7</w:t>
            </w:r>
          </w:p>
        </w:tc>
        <w:tc>
          <w:tcPr>
            <w:tcW w:w="1276" w:type="dxa"/>
            <w:tcBorders>
              <w:bottom w:val="nil"/>
            </w:tcBorders>
            <w:vAlign w:val="center"/>
          </w:tcPr>
          <w:p w14:paraId="5556056F" w14:textId="2F548B61"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112.4</w:t>
            </w:r>
          </w:p>
        </w:tc>
        <w:tc>
          <w:tcPr>
            <w:tcW w:w="1417" w:type="dxa"/>
            <w:tcBorders>
              <w:bottom w:val="nil"/>
            </w:tcBorders>
            <w:vAlign w:val="center"/>
          </w:tcPr>
          <w:p w14:paraId="601B45D2" w14:textId="32735B0B"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0.19</w:t>
            </w:r>
          </w:p>
        </w:tc>
        <w:tc>
          <w:tcPr>
            <w:tcW w:w="1418" w:type="dxa"/>
            <w:tcBorders>
              <w:bottom w:val="nil"/>
            </w:tcBorders>
            <w:vAlign w:val="center"/>
          </w:tcPr>
          <w:p w14:paraId="168DE2A3" w14:textId="67E7AEF2"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600@1.0 C</w:t>
            </w:r>
          </w:p>
        </w:tc>
        <w:tc>
          <w:tcPr>
            <w:tcW w:w="1559" w:type="dxa"/>
            <w:tcBorders>
              <w:bottom w:val="nil"/>
            </w:tcBorders>
            <w:vAlign w:val="center"/>
          </w:tcPr>
          <w:p w14:paraId="5C3C3405" w14:textId="3E2F563A"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0.027</w:t>
            </w:r>
          </w:p>
        </w:tc>
        <w:tc>
          <w:tcPr>
            <w:tcW w:w="1418" w:type="dxa"/>
            <w:tcBorders>
              <w:bottom w:val="nil"/>
            </w:tcBorders>
            <w:vAlign w:val="center"/>
          </w:tcPr>
          <w:p w14:paraId="1152629B" w14:textId="61C67BF2"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30</w:t>
            </w:r>
          </w:p>
        </w:tc>
        <w:tc>
          <w:tcPr>
            <w:tcW w:w="1275" w:type="dxa"/>
            <w:tcBorders>
              <w:bottom w:val="nil"/>
            </w:tcBorders>
            <w:vAlign w:val="center"/>
          </w:tcPr>
          <w:p w14:paraId="209D9B91" w14:textId="5756EB28"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{"citationID":"YW1HNy6C","properties":{"formattedCitation":"\\super 113\\nosupersub{}","plainCitation":"113","noteIndex":0},"citationItems":[{"id":"IXaoCdHi/akZDicqI","uris":["http://zotero.org/users/local/As3BANDe/items/TE7KC8QY"],"itemData":{"id":4958,"type":"article-journal","abstract":"Abstract\n            \n              The practical implementation of garnet‐type solid electrolytes, such as Li\n              6.4\n              La\n              3\n              Zr\n              1.4\n              Ta\n              0.6\n              O\n              12\n              (LLZTO), faces the significant challenge of Li dendrites. Though artificial interfacial strategies are effective in dendrite suppression, further investigation is needed to understand the mechanism of homogeneous Li deposition and its practicability under real‐world conditions. Herein, a bilayer interface is constructed to address these issues. Such a bilayer interface consists of one conformal Li\n              2\n              O‐rich layer, generated by rubbing LLZTO pellets inside molten Li with low‐dose In\n              2\n              O\n              3\n              , and another Li\n              2\n              O layer deposited through atomic layer deposition (ALD). The regulatory effect of the initial Li\n              2\n              O‐rich layer on achieving uniform Li deposition is explored, and the critical current density is enhanced to 2.4 mA cm\n              −2\n              . However, simple interfacial strategy is insufficient to prevent anodic degradation for cycling at room temperature without stack pressure, leading to increased current leakage and directly reducing Li\n              +\n              within the electrolyte. After insulating it with a second ALD‐Li\n              2\n              O layer that minimally hampers ionic conduction, the Li/Li symmetric cells achieve long cycling life exceeding 1000 h at 0.5 mA cm\n              −2\n              and maintain stable operation even at 2 mA cm\n              −2\n              . This work provides valuable insights for interfacial strategies towards practical solid‐state batteries.","container-title":"Advanced Functional Materials","DOI":"10.1002/adfm.202306399","ISSN":"1616-301X, 1616-3028","issue":"4","journalAbbreviation":"Adv Funct Materials","language":"en","page":"2306399","source":"DOI.org (Crossref)","title":"Regulation Mechanism on A Bilayer Li&lt;sub&gt;2&lt;/sub&gt; O‐Rich Interface between Lithium Metal and Garnet‐Type Solid Electrolytes","volume":"34","author":[{"family":"Jiang","given":"Haoyang"},{"family":"Liu","given":"Junqing"},{"family":"Tang","given":"Bin"},{"family":"Yang","given":"Zhendong"},{"family":"Liang","given":"Xinghui"},{"family":"Yu","given":"Xinyu"},{"family":"Gao","given":"Yirong"},{"family":"Wei","given":"Jinping"},{"family":"Zhou","given":"Zhen"}],"issued":{"date-parts":[["2024",1]]}}}],"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113</w:t>
            </w:r>
            <w:r w:rsidRPr="002657D1">
              <w:rPr>
                <w:rFonts w:ascii="Times New Roman" w:hAnsi="Times New Roman" w:cs="Times New Roman"/>
                <w:color w:val="000000" w:themeColor="text1"/>
                <w:sz w:val="24"/>
                <w:szCs w:val="24"/>
              </w:rPr>
              <w:fldChar w:fldCharType="end"/>
            </w:r>
          </w:p>
        </w:tc>
      </w:tr>
      <w:tr w:rsidR="002657D1" w:rsidRPr="002657D1" w14:paraId="52AF43F0" w14:textId="77777777" w:rsidTr="001A7EE6">
        <w:trPr>
          <w:jc w:val="center"/>
        </w:trPr>
        <w:tc>
          <w:tcPr>
            <w:tcW w:w="2802" w:type="dxa"/>
            <w:tcBorders>
              <w:top w:val="nil"/>
              <w:bottom w:val="nil"/>
            </w:tcBorders>
            <w:vAlign w:val="center"/>
          </w:tcPr>
          <w:p w14:paraId="2045DB04" w14:textId="5F0D4808"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NCM523/Li</w:t>
            </w:r>
            <w:r w:rsidRPr="002657D1">
              <w:rPr>
                <w:rFonts w:ascii="Times New Roman" w:hAnsi="Times New Roman" w:cs="Times New Roman"/>
                <w:color w:val="000000" w:themeColor="text1"/>
                <w:sz w:val="24"/>
                <w:szCs w:val="24"/>
                <w:vertAlign w:val="subscript"/>
              </w:rPr>
              <w:t>6.4</w:t>
            </w:r>
            <w:r w:rsidRPr="002657D1">
              <w:rPr>
                <w:rFonts w:ascii="Times New Roman" w:hAnsi="Times New Roman" w:cs="Times New Roman"/>
                <w:color w:val="000000" w:themeColor="text1"/>
                <w:sz w:val="24"/>
                <w:szCs w:val="24"/>
              </w:rPr>
              <w:t>La</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Zr</w:t>
            </w:r>
            <w:r w:rsidRPr="002657D1">
              <w:rPr>
                <w:rFonts w:ascii="Times New Roman" w:hAnsi="Times New Roman" w:cs="Times New Roman"/>
                <w:color w:val="000000" w:themeColor="text1"/>
                <w:sz w:val="24"/>
                <w:szCs w:val="24"/>
                <w:vertAlign w:val="subscript"/>
              </w:rPr>
              <w:t>1.4</w:t>
            </w:r>
            <w:r w:rsidRPr="002657D1">
              <w:rPr>
                <w:rFonts w:ascii="Times New Roman" w:hAnsi="Times New Roman" w:cs="Times New Roman"/>
                <w:color w:val="000000" w:themeColor="text1"/>
                <w:sz w:val="24"/>
                <w:szCs w:val="24"/>
              </w:rPr>
              <w:t>Ta</w:t>
            </w:r>
            <w:r w:rsidRPr="002657D1">
              <w:rPr>
                <w:rFonts w:ascii="Times New Roman" w:hAnsi="Times New Roman" w:cs="Times New Roman"/>
                <w:color w:val="000000" w:themeColor="text1"/>
                <w:sz w:val="24"/>
                <w:szCs w:val="24"/>
                <w:vertAlign w:val="subscript"/>
              </w:rPr>
              <w:t>0.6</w:t>
            </w:r>
            <w:r w:rsidRPr="002657D1">
              <w:rPr>
                <w:rFonts w:ascii="Times New Roman" w:hAnsi="Times New Roman" w:cs="Times New Roman"/>
                <w:color w:val="000000" w:themeColor="text1"/>
                <w:sz w:val="24"/>
                <w:szCs w:val="24"/>
              </w:rPr>
              <w:t>O</w:t>
            </w:r>
            <w:r w:rsidRPr="002657D1">
              <w:rPr>
                <w:rFonts w:ascii="Times New Roman" w:hAnsi="Times New Roman" w:cs="Times New Roman"/>
                <w:color w:val="000000" w:themeColor="text1"/>
                <w:sz w:val="24"/>
                <w:szCs w:val="24"/>
                <w:vertAlign w:val="subscript"/>
              </w:rPr>
              <w:t>12</w:t>
            </w:r>
            <w:r w:rsidRPr="002657D1">
              <w:rPr>
                <w:rFonts w:ascii="Times New Roman" w:hAnsi="Times New Roman" w:cs="Times New Roman"/>
                <w:color w:val="000000" w:themeColor="text1"/>
                <w:sz w:val="24"/>
                <w:szCs w:val="24"/>
              </w:rPr>
              <w:t>/ZnF</w:t>
            </w:r>
            <w:r w:rsidRPr="002657D1">
              <w:rPr>
                <w:rFonts w:ascii="Times New Roman" w:hAnsi="Times New Roman" w:cs="Times New Roman"/>
                <w:color w:val="000000" w:themeColor="text1"/>
                <w:sz w:val="24"/>
                <w:szCs w:val="24"/>
                <w:vertAlign w:val="subscript"/>
              </w:rPr>
              <w:t>2</w:t>
            </w:r>
            <w:r w:rsidRPr="002657D1">
              <w:rPr>
                <w:rFonts w:ascii="Times New Roman" w:hAnsi="Times New Roman" w:cs="Times New Roman"/>
                <w:color w:val="000000" w:themeColor="text1"/>
                <w:sz w:val="24"/>
                <w:szCs w:val="24"/>
              </w:rPr>
              <w:t>-Li</w:t>
            </w:r>
          </w:p>
        </w:tc>
        <w:tc>
          <w:tcPr>
            <w:tcW w:w="1876" w:type="dxa"/>
            <w:tcBorders>
              <w:top w:val="nil"/>
              <w:bottom w:val="nil"/>
            </w:tcBorders>
            <w:vAlign w:val="center"/>
          </w:tcPr>
          <w:p w14:paraId="32EFDD0E" w14:textId="4C4B36B5"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1.75</w:t>
            </w:r>
          </w:p>
        </w:tc>
        <w:tc>
          <w:tcPr>
            <w:tcW w:w="1276" w:type="dxa"/>
            <w:tcBorders>
              <w:top w:val="nil"/>
              <w:bottom w:val="nil"/>
            </w:tcBorders>
            <w:vAlign w:val="center"/>
          </w:tcPr>
          <w:p w14:paraId="37002932" w14:textId="7B14293F"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157.5</w:t>
            </w:r>
          </w:p>
        </w:tc>
        <w:tc>
          <w:tcPr>
            <w:tcW w:w="1417" w:type="dxa"/>
            <w:tcBorders>
              <w:top w:val="nil"/>
              <w:bottom w:val="nil"/>
            </w:tcBorders>
            <w:vAlign w:val="center"/>
          </w:tcPr>
          <w:p w14:paraId="1C39251A" w14:textId="2DAAF67B"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0.28</w:t>
            </w:r>
          </w:p>
        </w:tc>
        <w:tc>
          <w:tcPr>
            <w:tcW w:w="1418" w:type="dxa"/>
            <w:tcBorders>
              <w:top w:val="nil"/>
              <w:bottom w:val="nil"/>
            </w:tcBorders>
            <w:vAlign w:val="center"/>
          </w:tcPr>
          <w:p w14:paraId="25F90432" w14:textId="7D418FC3"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100@0.1 C</w:t>
            </w:r>
          </w:p>
        </w:tc>
        <w:tc>
          <w:tcPr>
            <w:tcW w:w="1559" w:type="dxa"/>
            <w:tcBorders>
              <w:top w:val="nil"/>
              <w:bottom w:val="nil"/>
            </w:tcBorders>
            <w:vAlign w:val="center"/>
          </w:tcPr>
          <w:p w14:paraId="5D22C5C8" w14:textId="57351C9B"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0.190</w:t>
            </w:r>
          </w:p>
        </w:tc>
        <w:tc>
          <w:tcPr>
            <w:tcW w:w="1418" w:type="dxa"/>
            <w:tcBorders>
              <w:top w:val="nil"/>
              <w:bottom w:val="nil"/>
            </w:tcBorders>
            <w:vAlign w:val="center"/>
          </w:tcPr>
          <w:p w14:paraId="57512A4A" w14:textId="21D2905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tcBorders>
              <w:top w:val="nil"/>
              <w:bottom w:val="nil"/>
            </w:tcBorders>
            <w:vAlign w:val="center"/>
          </w:tcPr>
          <w:p w14:paraId="5FD03C89" w14:textId="65598692"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{"citationID":"Je3Mdihc","properties":{"formattedCitation":"\\super 114\\nosupersub{}","plainCitation":"114","noteIndex":0},"citationItems":[{"id":"IXaoCdHi/WfiXcqKJ","uris":["http://zotero.org/users/local/As3BANDe/items/JM7HNKGZ"],"itemData":{"id":4962,"type":"article-journal","abstract":"Solid-state lithium metal batteries (SSLMBs) promise high energy density and operational safety by using highcapacity Li metal anodes (LMAs) and nonflammable solid-state electrolytes (SSEs). However, the SSE/Li interface issues including high interface resistance, Li dendrite growth and volume changes seriously hinder the practical applications of SSLMBs. Herein, we employ a facile strategy to construct a high-performance composite lithium anode with ion/electron conductive network by introducing a fluoride ZnF2 into molten Li. Taking the typical SSE of Li6.4La3Zr1.4Ta0.6O12 (LLZTO) as an example, the Li− ZnF2/LLZTO interface with a double-layer-like structure composed of LiF (close to LLZTO) and LiZn alloy (close to bulk Li) realizes intimate interface con­ tact, stable electron/ion transport channels, uniform Li deposition, and Li dendrite growth suppression. The symmetric cells show a low interface resistance of 11.3 Ω cm2, a high critical current density of 1.3 mA cm− 2, and superior cycling performance of 2000 h at 0.1 mA cm− 2 or 1350 h at 0.4 mA cm− 2 (25 ◦C). The SSLMBs paired with LiFePO4 and LiNi0.5Co0.2Mn0.3O2 show outstanding electrochemical performance. The key principles for the design of Li− MFx (M = Zn, Co, C, Al, etc.) anodes to form a double-layer-like conductive interface are proposed based on the control experiments. This work lays the foundation for development of high performance composite lithium anodes and practical application of high-energy-density SSLMBs.","container-title":"Nano Energy","DOI":"10.1016/j.nanoen.2023.108573","ISSN":"22112855","journalAbbreviation":"Nano Energy","language":"en","page":"108573","source":"DOI.org (Crossref)","title":"Ion/electron conductive layer with double-layer-like structure for dendrite-free solid-state lithium metal batteries","volume":"113","author":[{"family":"Zhang","given":"Lei"},{"family":"Meng","given":"Qiankun"},{"family":"Dai","given":"Yao"},{"family":"Feng","given":"Xiangping"},{"family":"Shen","given":"Ming"},{"family":"Zhuang","given":"Quanchao"},{"family":"Ju","given":"Zhicheng"},{"family":"Zheng","given":"Runguo"},{"family":"Wang","given":"Zhiyuan"},{"family":"Cui","given":"Yanhua"},{"family":"Sun","given":"Hongyu"},{"family":"Liu","given":"Yanguo"}],"issued":{"date-parts":[["2023",8]]}}}],"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114</w:t>
            </w:r>
            <w:r w:rsidRPr="002657D1">
              <w:rPr>
                <w:rFonts w:ascii="Times New Roman" w:hAnsi="Times New Roman" w:cs="Times New Roman"/>
                <w:color w:val="000000" w:themeColor="text1"/>
                <w:sz w:val="24"/>
                <w:szCs w:val="24"/>
              </w:rPr>
              <w:fldChar w:fldCharType="end"/>
            </w:r>
          </w:p>
        </w:tc>
      </w:tr>
      <w:tr w:rsidR="002657D1" w:rsidRPr="002657D1" w14:paraId="5BA15A5C" w14:textId="77777777" w:rsidTr="001A7EE6">
        <w:trPr>
          <w:jc w:val="center"/>
        </w:trPr>
        <w:tc>
          <w:tcPr>
            <w:tcW w:w="2802" w:type="dxa"/>
            <w:tcBorders>
              <w:top w:val="nil"/>
              <w:bottom w:val="nil"/>
            </w:tcBorders>
            <w:vAlign w:val="center"/>
          </w:tcPr>
          <w:p w14:paraId="28CE24CE" w14:textId="2A320FF9"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lastRenderedPageBreak/>
              <w:t>LFP/Li</w:t>
            </w:r>
            <w:r w:rsidRPr="002657D1">
              <w:rPr>
                <w:rFonts w:ascii="Times New Roman" w:hAnsi="Times New Roman" w:cs="Times New Roman"/>
                <w:color w:val="000000" w:themeColor="text1"/>
                <w:sz w:val="24"/>
                <w:szCs w:val="24"/>
                <w:vertAlign w:val="subscript"/>
              </w:rPr>
              <w:t>6.5</w:t>
            </w:r>
            <w:r w:rsidRPr="002657D1">
              <w:rPr>
                <w:rFonts w:ascii="Times New Roman" w:hAnsi="Times New Roman" w:cs="Times New Roman"/>
                <w:color w:val="000000" w:themeColor="text1"/>
                <w:sz w:val="24"/>
                <w:szCs w:val="24"/>
              </w:rPr>
              <w:t>La</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Zr</w:t>
            </w:r>
            <w:r w:rsidRPr="002657D1">
              <w:rPr>
                <w:rFonts w:ascii="Times New Roman" w:hAnsi="Times New Roman" w:cs="Times New Roman"/>
                <w:color w:val="000000" w:themeColor="text1"/>
                <w:sz w:val="24"/>
                <w:szCs w:val="24"/>
                <w:vertAlign w:val="subscript"/>
              </w:rPr>
              <w:t>1.5</w:t>
            </w:r>
            <w:r w:rsidRPr="002657D1">
              <w:rPr>
                <w:rFonts w:ascii="Times New Roman" w:hAnsi="Times New Roman" w:cs="Times New Roman"/>
                <w:color w:val="000000" w:themeColor="text1"/>
                <w:sz w:val="24"/>
                <w:szCs w:val="24"/>
              </w:rPr>
              <w:t>Ta</w:t>
            </w:r>
            <w:r w:rsidRPr="002657D1">
              <w:rPr>
                <w:rFonts w:ascii="Times New Roman" w:hAnsi="Times New Roman" w:cs="Times New Roman"/>
                <w:color w:val="000000" w:themeColor="text1"/>
                <w:sz w:val="24"/>
                <w:szCs w:val="24"/>
                <w:vertAlign w:val="subscript"/>
              </w:rPr>
              <w:t>0.5</w:t>
            </w:r>
            <w:r w:rsidRPr="002657D1">
              <w:rPr>
                <w:rFonts w:ascii="Times New Roman" w:hAnsi="Times New Roman" w:cs="Times New Roman"/>
                <w:color w:val="000000" w:themeColor="text1"/>
                <w:sz w:val="24"/>
                <w:szCs w:val="24"/>
              </w:rPr>
              <w:t>O</w:t>
            </w:r>
            <w:r w:rsidRPr="002657D1">
              <w:rPr>
                <w:rFonts w:ascii="Times New Roman" w:hAnsi="Times New Roman" w:cs="Times New Roman"/>
                <w:color w:val="000000" w:themeColor="text1"/>
                <w:sz w:val="24"/>
                <w:szCs w:val="24"/>
                <w:vertAlign w:val="subscript"/>
              </w:rPr>
              <w:t>12</w:t>
            </w:r>
            <w:r w:rsidRPr="002657D1">
              <w:rPr>
                <w:rFonts w:ascii="Times New Roman" w:hAnsi="Times New Roman" w:cs="Times New Roman"/>
                <w:color w:val="000000" w:themeColor="text1"/>
                <w:sz w:val="24"/>
                <w:szCs w:val="24"/>
              </w:rPr>
              <w:t>/Li</w:t>
            </w:r>
            <w:r w:rsidRPr="002657D1">
              <w:rPr>
                <w:rFonts w:ascii="Times New Roman" w:hAnsi="Times New Roman" w:cs="Times New Roman"/>
                <w:color w:val="000000" w:themeColor="text1"/>
                <w:sz w:val="24"/>
                <w:szCs w:val="24"/>
                <w:vertAlign w:val="subscript"/>
              </w:rPr>
              <w:t>2</w:t>
            </w:r>
            <w:r w:rsidRPr="002657D1">
              <w:rPr>
                <w:rFonts w:ascii="Times New Roman" w:hAnsi="Times New Roman" w:cs="Times New Roman"/>
                <w:color w:val="000000" w:themeColor="text1"/>
                <w:sz w:val="24"/>
                <w:szCs w:val="24"/>
              </w:rPr>
              <w:t>S-LiSn/Li</w:t>
            </w:r>
          </w:p>
        </w:tc>
        <w:tc>
          <w:tcPr>
            <w:tcW w:w="1876" w:type="dxa"/>
            <w:tcBorders>
              <w:top w:val="nil"/>
              <w:bottom w:val="nil"/>
            </w:tcBorders>
            <w:vAlign w:val="center"/>
          </w:tcPr>
          <w:p w14:paraId="0766CBC8" w14:textId="26D2BAF4"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2.0</w:t>
            </w:r>
          </w:p>
        </w:tc>
        <w:tc>
          <w:tcPr>
            <w:tcW w:w="1276" w:type="dxa"/>
            <w:tcBorders>
              <w:top w:val="nil"/>
              <w:bottom w:val="nil"/>
            </w:tcBorders>
            <w:vAlign w:val="center"/>
          </w:tcPr>
          <w:p w14:paraId="0DA45C13" w14:textId="4C9659C6"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132.7</w:t>
            </w:r>
          </w:p>
        </w:tc>
        <w:tc>
          <w:tcPr>
            <w:tcW w:w="1417" w:type="dxa"/>
            <w:tcBorders>
              <w:top w:val="nil"/>
              <w:bottom w:val="nil"/>
            </w:tcBorders>
            <w:vAlign w:val="center"/>
          </w:tcPr>
          <w:p w14:paraId="756D0304" w14:textId="08CF7192"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 xml:space="preserve">0.27 </w:t>
            </w:r>
          </w:p>
        </w:tc>
        <w:tc>
          <w:tcPr>
            <w:tcW w:w="1418" w:type="dxa"/>
            <w:tcBorders>
              <w:top w:val="nil"/>
            </w:tcBorders>
            <w:vAlign w:val="center"/>
          </w:tcPr>
          <w:p w14:paraId="1FAE21BC" w14:textId="2B974E63"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100@1.0 C</w:t>
            </w:r>
          </w:p>
        </w:tc>
        <w:tc>
          <w:tcPr>
            <w:tcW w:w="1559" w:type="dxa"/>
            <w:tcBorders>
              <w:top w:val="nil"/>
            </w:tcBorders>
            <w:vAlign w:val="center"/>
          </w:tcPr>
          <w:p w14:paraId="7650FEC9" w14:textId="66A6EAE7"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0.002</w:t>
            </w:r>
          </w:p>
        </w:tc>
        <w:tc>
          <w:tcPr>
            <w:tcW w:w="1418" w:type="dxa"/>
            <w:tcBorders>
              <w:top w:val="nil"/>
              <w:bottom w:val="nil"/>
            </w:tcBorders>
            <w:vAlign w:val="center"/>
          </w:tcPr>
          <w:p w14:paraId="7219A08B" w14:textId="1A0A7EC6"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tcBorders>
              <w:top w:val="nil"/>
              <w:bottom w:val="nil"/>
            </w:tcBorders>
            <w:vAlign w:val="center"/>
          </w:tcPr>
          <w:p w14:paraId="5C30EA82" w14:textId="2E11DF48"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{"citationID":"ACSOiiWE","properties":{"formattedCitation":"\\super 115\\nosupersub{}","plainCitation":"115","noteIndex":0},"citationItems":[{"id":"IXaoCdHi/yDsOenli","uris":["http://zotero.org/users/local/As3BANDe/items/7MDDBMJB"],"itemData":{"id":4964,"type":"article-journal","abstract":"Garnet-based Li6.5La3Zr1.5Ta0.5O12 (LLZTO) is a prospective solid-state electrolyte with fast ionic mobility and distinguished chemical/electrochemical stabilities toward Li metal. However, Li dendrite propagated within LLZTO bulk is one of the main obstacles to the practical application of solid-state batteries. Herein, we propose to inhibit Li dendrite growth through in-situ construction of a multifunctional interlayer of Li2S/LiSn alloy achieved via a conversion reaction of SnS layer coated on the surface of the LLZTO pellet. DFT calculation reveals that the interfacial contact of LLZTO and Li is considerably improved via Li2S/LiSn interlayer, consequently contributing to a low interfacial impendence (5.1 Ω cm2). Furthermore, the electronic insulativity of LLZTO is also meliorated to suppress electron tunneling. As a result, with effectively restraining the Li dendrite, the Li|LLZTO@Li2S/LiSn| Li symmetrical battery exhibits a superb long-term Li plating/stripping performance over 1500 h and 700 h under 0.2 and 0.4 mA cm− 2, respectively. Furthermore, the LFP|LLZTO@Li2S/LiSn|Li full battery displays notable cycling performance (99.8% capacity retention after 100 cycles at 1 C) and rate properties (160.6 mAh g− 1 at 0.1 C and 116.3 mAh g− 1 at 1 C). This facile and effective method may provide a feasible strategy for eliminating the interfacial issue and achieving dendrite-free solid-state Li metal batteries.","container-title":"Nano Energy","DOI":"10.1016/j.nanoen.2023.108416","ISSN":"22112855","journalAbbreviation":"Nano Energy","language":"en","page":"108416","source":"DOI.org (Crossref)","title":"In-situ construction of multifunctional interlayer enabled dendrite-free garnet-based solid-state batteries","volume":"111","author":[{"family":"Zhu","given":"Fangjun"},{"family":"Deng","given":"Wentao"},{"family":"Zhang","given":"Baichao"},{"family":"Wang","given":"Haoji"},{"family":"Xu","given":"Laiqiang"},{"family":"Liu","given":"Huaxin"},{"family":"Luo","given":"Zheng"},{"family":"Zou","given":"Guoqiang"},{"family":"Hou","given":"Hongshuai"},{"family":"Ji","given":"Xiaobo"}],"issued":{"date-parts":[["2023",6]]}}}],"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115</w:t>
            </w:r>
            <w:r w:rsidRPr="002657D1">
              <w:rPr>
                <w:rFonts w:ascii="Times New Roman" w:hAnsi="Times New Roman" w:cs="Times New Roman"/>
                <w:color w:val="000000" w:themeColor="text1"/>
                <w:sz w:val="24"/>
                <w:szCs w:val="24"/>
              </w:rPr>
              <w:fldChar w:fldCharType="end"/>
            </w:r>
          </w:p>
        </w:tc>
      </w:tr>
      <w:tr w:rsidR="002657D1" w:rsidRPr="002657D1" w14:paraId="50420928" w14:textId="77777777" w:rsidTr="001A7EE6">
        <w:trPr>
          <w:jc w:val="center"/>
        </w:trPr>
        <w:tc>
          <w:tcPr>
            <w:tcW w:w="2802" w:type="dxa"/>
            <w:tcBorders>
              <w:top w:val="nil"/>
              <w:bottom w:val="nil"/>
            </w:tcBorders>
            <w:vAlign w:val="center"/>
          </w:tcPr>
          <w:p w14:paraId="58147328" w14:textId="250F558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NCM811/(LiF-Li</w:t>
            </w:r>
            <w:r w:rsidRPr="002657D1">
              <w:rPr>
                <w:rFonts w:ascii="Times New Roman" w:hAnsi="Times New Roman" w:cs="Times New Roman"/>
                <w:color w:val="000000" w:themeColor="text1"/>
                <w:sz w:val="24"/>
                <w:szCs w:val="24"/>
                <w:vertAlign w:val="subscript"/>
              </w:rPr>
              <w:t>2</w:t>
            </w:r>
            <w:r w:rsidRPr="002657D1">
              <w:rPr>
                <w:rFonts w:ascii="Times New Roman" w:hAnsi="Times New Roman" w:cs="Times New Roman"/>
                <w:color w:val="000000" w:themeColor="text1"/>
                <w:sz w:val="24"/>
                <w:szCs w:val="24"/>
              </w:rPr>
              <w:t>PO</w:t>
            </w:r>
            <w:r w:rsidRPr="002657D1">
              <w:rPr>
                <w:rFonts w:ascii="Times New Roman" w:hAnsi="Times New Roman" w:cs="Times New Roman"/>
                <w:color w:val="000000" w:themeColor="text1"/>
                <w:sz w:val="24"/>
                <w:szCs w:val="24"/>
                <w:vertAlign w:val="subscript"/>
              </w:rPr>
              <w:t>3</w:t>
            </w:r>
            <w:proofErr w:type="gramStart"/>
            <w:r w:rsidRPr="002657D1">
              <w:rPr>
                <w:rFonts w:ascii="Times New Roman" w:hAnsi="Times New Roman" w:cs="Times New Roman"/>
                <w:color w:val="000000" w:themeColor="text1"/>
                <w:sz w:val="24"/>
                <w:szCs w:val="24"/>
              </w:rPr>
              <w:t>F)@</w:t>
            </w:r>
            <w:proofErr w:type="gramEnd"/>
            <w:r w:rsidRPr="002657D1">
              <w:rPr>
                <w:rFonts w:ascii="Times New Roman" w:hAnsi="Times New Roman" w:cs="Times New Roman"/>
                <w:color w:val="000000" w:themeColor="text1"/>
                <w:sz w:val="24"/>
                <w:szCs w:val="24"/>
              </w:rPr>
              <w:t>Li</w:t>
            </w:r>
            <w:r w:rsidRPr="002657D1">
              <w:rPr>
                <w:rFonts w:ascii="Times New Roman" w:hAnsi="Times New Roman" w:cs="Times New Roman"/>
                <w:color w:val="000000" w:themeColor="text1"/>
                <w:sz w:val="24"/>
                <w:szCs w:val="24"/>
                <w:vertAlign w:val="subscript"/>
              </w:rPr>
              <w:t>6.4</w:t>
            </w:r>
            <w:r w:rsidRPr="002657D1">
              <w:rPr>
                <w:rFonts w:ascii="Times New Roman" w:hAnsi="Times New Roman" w:cs="Times New Roman"/>
                <w:color w:val="000000" w:themeColor="text1"/>
                <w:sz w:val="24"/>
                <w:szCs w:val="24"/>
              </w:rPr>
              <w:t>La</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Zr</w:t>
            </w:r>
            <w:r w:rsidRPr="002657D1">
              <w:rPr>
                <w:rFonts w:ascii="Times New Roman" w:hAnsi="Times New Roman" w:cs="Times New Roman"/>
                <w:color w:val="000000" w:themeColor="text1"/>
                <w:sz w:val="24"/>
                <w:szCs w:val="24"/>
                <w:vertAlign w:val="subscript"/>
              </w:rPr>
              <w:t>1.4</w:t>
            </w:r>
            <w:r w:rsidRPr="002657D1">
              <w:rPr>
                <w:rFonts w:ascii="Times New Roman" w:hAnsi="Times New Roman" w:cs="Times New Roman"/>
                <w:color w:val="000000" w:themeColor="text1"/>
                <w:sz w:val="24"/>
                <w:szCs w:val="24"/>
              </w:rPr>
              <w:t>Ta</w:t>
            </w:r>
            <w:r w:rsidRPr="002657D1">
              <w:rPr>
                <w:rFonts w:ascii="Times New Roman" w:hAnsi="Times New Roman" w:cs="Times New Roman"/>
                <w:color w:val="000000" w:themeColor="text1"/>
                <w:sz w:val="24"/>
                <w:szCs w:val="24"/>
                <w:vertAlign w:val="subscript"/>
              </w:rPr>
              <w:t>0.6</w:t>
            </w:r>
            <w:r w:rsidRPr="002657D1">
              <w:rPr>
                <w:rFonts w:ascii="Times New Roman" w:hAnsi="Times New Roman" w:cs="Times New Roman"/>
                <w:color w:val="000000" w:themeColor="text1"/>
                <w:sz w:val="24"/>
                <w:szCs w:val="24"/>
              </w:rPr>
              <w:t>O</w:t>
            </w:r>
            <w:r w:rsidRPr="002657D1">
              <w:rPr>
                <w:rFonts w:ascii="Times New Roman" w:hAnsi="Times New Roman" w:cs="Times New Roman"/>
                <w:color w:val="000000" w:themeColor="text1"/>
                <w:sz w:val="24"/>
                <w:szCs w:val="24"/>
                <w:vertAlign w:val="subscript"/>
              </w:rPr>
              <w:t>12/</w:t>
            </w:r>
            <w:r w:rsidRPr="002657D1">
              <w:rPr>
                <w:rFonts w:ascii="Times New Roman" w:hAnsi="Times New Roman" w:cs="Times New Roman"/>
                <w:color w:val="000000" w:themeColor="text1"/>
                <w:sz w:val="24"/>
                <w:szCs w:val="24"/>
              </w:rPr>
              <w:t>Li</w:t>
            </w:r>
          </w:p>
        </w:tc>
        <w:tc>
          <w:tcPr>
            <w:tcW w:w="1876" w:type="dxa"/>
            <w:tcBorders>
              <w:top w:val="nil"/>
              <w:bottom w:val="nil"/>
            </w:tcBorders>
            <w:vAlign w:val="center"/>
          </w:tcPr>
          <w:p w14:paraId="2392A96A" w14:textId="05E90D4B"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3.0</w:t>
            </w:r>
          </w:p>
        </w:tc>
        <w:tc>
          <w:tcPr>
            <w:tcW w:w="1276" w:type="dxa"/>
            <w:tcBorders>
              <w:top w:val="nil"/>
              <w:bottom w:val="nil"/>
            </w:tcBorders>
            <w:vAlign w:val="center"/>
          </w:tcPr>
          <w:p w14:paraId="4C79FFDA" w14:textId="7D74F9F5"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175</w:t>
            </w:r>
          </w:p>
        </w:tc>
        <w:tc>
          <w:tcPr>
            <w:tcW w:w="1417" w:type="dxa"/>
            <w:tcBorders>
              <w:top w:val="nil"/>
              <w:bottom w:val="nil"/>
            </w:tcBorders>
            <w:vAlign w:val="center"/>
          </w:tcPr>
          <w:p w14:paraId="7F593ECF" w14:textId="360CD18E"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 xml:space="preserve">0.53 </w:t>
            </w:r>
          </w:p>
        </w:tc>
        <w:tc>
          <w:tcPr>
            <w:tcW w:w="1418" w:type="dxa"/>
            <w:vAlign w:val="center"/>
          </w:tcPr>
          <w:p w14:paraId="14E9DCB3" w14:textId="2C8E8FF0"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400@0.5 C</w:t>
            </w:r>
          </w:p>
        </w:tc>
        <w:tc>
          <w:tcPr>
            <w:tcW w:w="1559" w:type="dxa"/>
            <w:vAlign w:val="center"/>
          </w:tcPr>
          <w:p w14:paraId="6AC47785" w14:textId="7434B2D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0.045</w:t>
            </w:r>
          </w:p>
        </w:tc>
        <w:tc>
          <w:tcPr>
            <w:tcW w:w="1418" w:type="dxa"/>
            <w:tcBorders>
              <w:top w:val="nil"/>
              <w:bottom w:val="nil"/>
            </w:tcBorders>
            <w:vAlign w:val="center"/>
          </w:tcPr>
          <w:p w14:paraId="1DCB8BA1" w14:textId="1C4B6EE4"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30</w:t>
            </w:r>
          </w:p>
        </w:tc>
        <w:tc>
          <w:tcPr>
            <w:tcW w:w="1275" w:type="dxa"/>
            <w:tcBorders>
              <w:top w:val="nil"/>
              <w:bottom w:val="nil"/>
            </w:tcBorders>
            <w:vAlign w:val="center"/>
          </w:tcPr>
          <w:p w14:paraId="24B85FDB" w14:textId="73A1DDFA"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{"citationID":"syT0dQGU","properties":{"formattedCitation":"\\super 116\\nosupersub{}","plainCitation":"116","noteIndex":0},"citationItems":[{"id":"IXaoCdHi/zHMNgDBk","uris":["http://zotero.org/users/local/As3BANDe/items/VPQURVIC"],"itemData":{"id":4966,"type":"article-journal","container-title":"Adv. Funct. Mater.","language":"en","source":"Zotero","title":"From Contaminated to Highly Lithiated Interfaces: A Versatile Modification Strategy for Garnet Solid Electrolytes","author":[{"family":"Yang","given":"Xuerui"},{"family":"Tang","given":"Shijun"},{"family":"Zheng","given":"Chenxi"},{"family":"Ren","given":"Fucheng"},{"family":"Huang","given":"Yaxin"},{"family":"Fei","given":"Xinjie"},{"family":"Yang","given":"Wu"},{"family":"Pan","given":"Siyu"},{"family":"Gong","given":"Zhengliang"},{"family":"Yang","given":"Yong"}],"issued":{"date-parts":[["2023"]]}}}],"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116</w:t>
            </w:r>
            <w:r w:rsidRPr="002657D1">
              <w:rPr>
                <w:rFonts w:ascii="Times New Roman" w:hAnsi="Times New Roman" w:cs="Times New Roman"/>
                <w:color w:val="000000" w:themeColor="text1"/>
                <w:sz w:val="24"/>
                <w:szCs w:val="24"/>
              </w:rPr>
              <w:fldChar w:fldCharType="end"/>
            </w:r>
          </w:p>
        </w:tc>
      </w:tr>
      <w:tr w:rsidR="002657D1" w:rsidRPr="002657D1" w14:paraId="2B439EDD" w14:textId="77777777" w:rsidTr="001A7EE6">
        <w:trPr>
          <w:jc w:val="center"/>
        </w:trPr>
        <w:tc>
          <w:tcPr>
            <w:tcW w:w="2802" w:type="dxa"/>
            <w:tcBorders>
              <w:top w:val="nil"/>
              <w:bottom w:val="nil"/>
            </w:tcBorders>
            <w:vAlign w:val="center"/>
          </w:tcPr>
          <w:p w14:paraId="10663101" w14:textId="5485E53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LFP/Li</w:t>
            </w:r>
            <w:r w:rsidRPr="002657D1">
              <w:rPr>
                <w:rFonts w:ascii="Times New Roman" w:hAnsi="Times New Roman" w:cs="Times New Roman"/>
                <w:color w:val="000000" w:themeColor="text1"/>
                <w:sz w:val="24"/>
                <w:szCs w:val="24"/>
                <w:vertAlign w:val="subscript"/>
              </w:rPr>
              <w:t>6.4</w:t>
            </w:r>
            <w:r w:rsidRPr="002657D1">
              <w:rPr>
                <w:rFonts w:ascii="Times New Roman" w:hAnsi="Times New Roman" w:cs="Times New Roman"/>
                <w:color w:val="000000" w:themeColor="text1"/>
                <w:sz w:val="24"/>
                <w:szCs w:val="24"/>
              </w:rPr>
              <w:t>La</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Zr</w:t>
            </w:r>
            <w:r w:rsidRPr="002657D1">
              <w:rPr>
                <w:rFonts w:ascii="Times New Roman" w:hAnsi="Times New Roman" w:cs="Times New Roman"/>
                <w:color w:val="000000" w:themeColor="text1"/>
                <w:sz w:val="24"/>
                <w:szCs w:val="24"/>
                <w:vertAlign w:val="subscript"/>
              </w:rPr>
              <w:t>1.4</w:t>
            </w:r>
            <w:r w:rsidRPr="002657D1">
              <w:rPr>
                <w:rFonts w:ascii="Times New Roman" w:hAnsi="Times New Roman" w:cs="Times New Roman"/>
                <w:color w:val="000000" w:themeColor="text1"/>
                <w:sz w:val="24"/>
                <w:szCs w:val="24"/>
              </w:rPr>
              <w:t>Ta</w:t>
            </w:r>
            <w:r w:rsidRPr="002657D1">
              <w:rPr>
                <w:rFonts w:ascii="Times New Roman" w:hAnsi="Times New Roman" w:cs="Times New Roman"/>
                <w:color w:val="000000" w:themeColor="text1"/>
                <w:sz w:val="24"/>
                <w:szCs w:val="24"/>
                <w:vertAlign w:val="subscript"/>
              </w:rPr>
              <w:t>0.6</w:t>
            </w:r>
            <w:r w:rsidRPr="002657D1">
              <w:rPr>
                <w:rFonts w:ascii="Times New Roman" w:hAnsi="Times New Roman" w:cs="Times New Roman"/>
                <w:color w:val="000000" w:themeColor="text1"/>
                <w:sz w:val="24"/>
                <w:szCs w:val="24"/>
              </w:rPr>
              <w:t>O</w:t>
            </w:r>
            <w:r w:rsidRPr="002657D1">
              <w:rPr>
                <w:rFonts w:ascii="Times New Roman" w:hAnsi="Times New Roman" w:cs="Times New Roman"/>
                <w:color w:val="000000" w:themeColor="text1"/>
                <w:sz w:val="24"/>
                <w:szCs w:val="24"/>
                <w:vertAlign w:val="subscript"/>
              </w:rPr>
              <w:t>12</w:t>
            </w:r>
            <w:r w:rsidRPr="002657D1">
              <w:rPr>
                <w:rFonts w:ascii="Times New Roman" w:hAnsi="Times New Roman" w:cs="Times New Roman"/>
                <w:color w:val="000000" w:themeColor="text1"/>
                <w:sz w:val="24"/>
                <w:szCs w:val="24"/>
              </w:rPr>
              <w:t>/InLi</w:t>
            </w:r>
            <w:r w:rsidRPr="002657D1">
              <w:rPr>
                <w:rFonts w:ascii="Times New Roman" w:hAnsi="Times New Roman" w:cs="Times New Roman"/>
                <w:color w:val="000000" w:themeColor="text1"/>
                <w:sz w:val="24"/>
                <w:szCs w:val="24"/>
                <w:vertAlign w:val="subscript"/>
              </w:rPr>
              <w:t>x</w:t>
            </w:r>
            <w:r w:rsidRPr="002657D1">
              <w:rPr>
                <w:rFonts w:ascii="Times New Roman" w:hAnsi="Times New Roman" w:cs="Times New Roman"/>
                <w:color w:val="000000" w:themeColor="text1"/>
                <w:sz w:val="24"/>
                <w:szCs w:val="24"/>
              </w:rPr>
              <w:t>-LiCl/Li</w:t>
            </w:r>
          </w:p>
        </w:tc>
        <w:tc>
          <w:tcPr>
            <w:tcW w:w="1876" w:type="dxa"/>
            <w:tcBorders>
              <w:top w:val="nil"/>
              <w:bottom w:val="nil"/>
            </w:tcBorders>
            <w:vAlign w:val="center"/>
          </w:tcPr>
          <w:p w14:paraId="3B72B54D" w14:textId="458A4708"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4</w:t>
            </w:r>
          </w:p>
        </w:tc>
        <w:tc>
          <w:tcPr>
            <w:tcW w:w="1276" w:type="dxa"/>
            <w:tcBorders>
              <w:top w:val="nil"/>
              <w:bottom w:val="nil"/>
            </w:tcBorders>
            <w:vAlign w:val="center"/>
          </w:tcPr>
          <w:p w14:paraId="3AA21ED1" w14:textId="22CAE165"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150.9</w:t>
            </w:r>
          </w:p>
        </w:tc>
        <w:tc>
          <w:tcPr>
            <w:tcW w:w="1417" w:type="dxa"/>
            <w:tcBorders>
              <w:top w:val="nil"/>
              <w:bottom w:val="nil"/>
            </w:tcBorders>
            <w:vAlign w:val="center"/>
          </w:tcPr>
          <w:p w14:paraId="78851B94" w14:textId="5C35B256"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0.60</w:t>
            </w:r>
          </w:p>
        </w:tc>
        <w:tc>
          <w:tcPr>
            <w:tcW w:w="1418" w:type="dxa"/>
            <w:vAlign w:val="center"/>
          </w:tcPr>
          <w:p w14:paraId="024867EA" w14:textId="24BECFD5"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475@0.5 C</w:t>
            </w:r>
          </w:p>
        </w:tc>
        <w:tc>
          <w:tcPr>
            <w:tcW w:w="1559" w:type="dxa"/>
            <w:vAlign w:val="center"/>
          </w:tcPr>
          <w:p w14:paraId="2EC71D94" w14:textId="4737E87C"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0.005</w:t>
            </w:r>
          </w:p>
        </w:tc>
        <w:tc>
          <w:tcPr>
            <w:tcW w:w="1418" w:type="dxa"/>
            <w:tcBorders>
              <w:top w:val="nil"/>
              <w:bottom w:val="nil"/>
            </w:tcBorders>
            <w:vAlign w:val="center"/>
          </w:tcPr>
          <w:p w14:paraId="257FECEF" w14:textId="0E2A27E0"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tcBorders>
              <w:top w:val="nil"/>
              <w:bottom w:val="nil"/>
            </w:tcBorders>
            <w:vAlign w:val="center"/>
          </w:tcPr>
          <w:p w14:paraId="37B16384" w14:textId="440E7E3E"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{"citationID":"JjmuMY4J","properties":{"formattedCitation":"\\super 117\\nosupersub{}","plainCitation":"117","noteIndex":0},"citationItems":[{"id":"IXaoCdHi/Tjn6p2tE","uris":["http://zotero.org/users/local/As3BANDe/items/ABIR6NYN"],"itemData":{"id":4968,"type":"article-journal","abstract":"Solid-state lithium metal batteries (SSLMBs) have been widely predicted as an “enabler” for the next-generation high-energy-density batteries. To perform this goal, both solid electrolytes (SEs) and metallic Li anodes are the keys. Li-rich garnet SEs exhibit many unique advantages for enabling SSLMBs, such as high Li-ion conductivity, superior mechanical, chemical and electrochemical properties. However, the garnet-based SSLMBs suffer from intractable interfacial problems including poor-contact-induced high interfacial impedance and dendrite-induced fast short circuit, which greatly hinder their practical application. In this work, a facile and low-cost artificial interface engineering is proposed to improve Li/SEs interface. Benefitted from the superior wettability of iso­ propanol InCl3 solution on the Li6.4La3Zr1.4Ta0.6O12 (LLZTO) surface, a homogeneous and tightly-adhering lithiophilic interface consisting of InLix and LiCl is efficiently constructed. As a result, the interface impedance was decreased from 189 to 10 Ω, and the critical current density for the LLZTO is increased from 0.2 mA cm− 2 to 0.7 mA cm− 2. The Li/Li symmetric cells can work stably above 4000 h at a current density of 0.2 mA cm− 2. At a higher current density of 0.45 mA cm− 2, no obvious dendritic Li proliferation and interfacial contact failure is observed after cycling for more than 1000 h. The full cells with LiFePO4 as cathode exhibit a superior electro­ chemical performance with a reversible capacity of 127 mAh g− 1 at 0.5 C after 475 cycles, and a rate capability of 101 mAh g− 1 at 1 C. This effective, simple and economical wet-chemistry strategy for constructing Li/SEs artificial interface may provide an alternative route for solve the interfacial issues of other SSLMBs.","container-title":"Nano Energy","DOI":"10.1016/j.nanoen.2022.107603","ISSN":"22112855","journalAbbreviation":"Nano Energy","language":"en","page":"107603","source":"DOI.org (Crossref)","title":"A facile and low-cost wet-chemistry artificial interface engineering for garnet-based solid-state Li metal batteries","volume":"101","author":[{"family":"Leng","given":"Jin"},{"family":"Liang","given":"Hongmei"},{"family":"Wang","given":"Huaying"},{"family":"Xiao","given":"Zunqiu"},{"family":"Wang","given":"Shitong"},{"family":"Zhang","given":"Zhongtai"},{"family":"Tang","given":"Zilong"}],"issued":{"date-parts":[["2022",10]]}}}],"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117</w:t>
            </w:r>
            <w:r w:rsidRPr="002657D1">
              <w:rPr>
                <w:rFonts w:ascii="Times New Roman" w:hAnsi="Times New Roman" w:cs="Times New Roman"/>
                <w:color w:val="000000" w:themeColor="text1"/>
                <w:sz w:val="24"/>
                <w:szCs w:val="24"/>
              </w:rPr>
              <w:fldChar w:fldCharType="end"/>
            </w:r>
          </w:p>
        </w:tc>
      </w:tr>
      <w:tr w:rsidR="002657D1" w:rsidRPr="002657D1" w14:paraId="6B1811D4" w14:textId="77777777" w:rsidTr="001A7EE6">
        <w:trPr>
          <w:jc w:val="center"/>
        </w:trPr>
        <w:tc>
          <w:tcPr>
            <w:tcW w:w="2802" w:type="dxa"/>
            <w:tcBorders>
              <w:top w:val="nil"/>
            </w:tcBorders>
            <w:vAlign w:val="center"/>
          </w:tcPr>
          <w:p w14:paraId="5C324AF1" w14:textId="1BEE5869"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LFP/Ni-Li</w:t>
            </w:r>
            <w:r w:rsidRPr="002657D1">
              <w:rPr>
                <w:rFonts w:ascii="Times New Roman" w:hAnsi="Times New Roman" w:cs="Times New Roman"/>
                <w:color w:val="000000" w:themeColor="text1"/>
                <w:sz w:val="24"/>
                <w:szCs w:val="24"/>
                <w:vertAlign w:val="subscript"/>
              </w:rPr>
              <w:t>1.3</w:t>
            </w:r>
            <w:r w:rsidRPr="002657D1">
              <w:rPr>
                <w:rFonts w:ascii="Times New Roman" w:hAnsi="Times New Roman" w:cs="Times New Roman"/>
                <w:color w:val="000000" w:themeColor="text1"/>
                <w:sz w:val="24"/>
                <w:szCs w:val="24"/>
              </w:rPr>
              <w:t>Al</w:t>
            </w:r>
            <w:r w:rsidRPr="002657D1">
              <w:rPr>
                <w:rFonts w:ascii="Times New Roman" w:hAnsi="Times New Roman" w:cs="Times New Roman"/>
                <w:color w:val="000000" w:themeColor="text1"/>
                <w:sz w:val="24"/>
                <w:szCs w:val="24"/>
                <w:vertAlign w:val="subscript"/>
              </w:rPr>
              <w:t>0.3</w:t>
            </w:r>
            <w:r w:rsidRPr="002657D1">
              <w:rPr>
                <w:rFonts w:ascii="Times New Roman" w:hAnsi="Times New Roman" w:cs="Times New Roman"/>
                <w:color w:val="000000" w:themeColor="text1"/>
                <w:sz w:val="24"/>
                <w:szCs w:val="24"/>
              </w:rPr>
              <w:t>Ti</w:t>
            </w:r>
            <w:r w:rsidRPr="002657D1">
              <w:rPr>
                <w:rFonts w:ascii="Times New Roman" w:hAnsi="Times New Roman" w:cs="Times New Roman"/>
                <w:color w:val="000000" w:themeColor="text1"/>
                <w:sz w:val="24"/>
                <w:szCs w:val="24"/>
                <w:vertAlign w:val="subscript"/>
              </w:rPr>
              <w:t>1.7</w:t>
            </w:r>
            <w:r w:rsidRPr="002657D1">
              <w:rPr>
                <w:rFonts w:ascii="Times New Roman" w:hAnsi="Times New Roman" w:cs="Times New Roman"/>
                <w:color w:val="000000" w:themeColor="text1"/>
                <w:sz w:val="24"/>
                <w:szCs w:val="24"/>
              </w:rPr>
              <w:t>(PO</w:t>
            </w:r>
            <w:r w:rsidRPr="002657D1">
              <w:rPr>
                <w:rFonts w:ascii="Times New Roman" w:hAnsi="Times New Roman" w:cs="Times New Roman"/>
                <w:color w:val="000000" w:themeColor="text1"/>
                <w:sz w:val="24"/>
                <w:szCs w:val="24"/>
                <w:vertAlign w:val="subscript"/>
              </w:rPr>
              <w:t>4</w:t>
            </w:r>
            <w:r w:rsidRPr="002657D1">
              <w:rPr>
                <w:rFonts w:ascii="Times New Roman" w:hAnsi="Times New Roman" w:cs="Times New Roman"/>
                <w:color w:val="000000" w:themeColor="text1"/>
                <w:sz w:val="24"/>
                <w:szCs w:val="24"/>
              </w:rPr>
              <w:t>)</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/Li</w:t>
            </w:r>
          </w:p>
        </w:tc>
        <w:tc>
          <w:tcPr>
            <w:tcW w:w="1876" w:type="dxa"/>
            <w:tcBorders>
              <w:top w:val="nil"/>
            </w:tcBorders>
            <w:vAlign w:val="center"/>
          </w:tcPr>
          <w:p w14:paraId="1071E468" w14:textId="46EDDC2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1.7</w:t>
            </w:r>
          </w:p>
        </w:tc>
        <w:tc>
          <w:tcPr>
            <w:tcW w:w="1276" w:type="dxa"/>
            <w:tcBorders>
              <w:top w:val="nil"/>
            </w:tcBorders>
            <w:vAlign w:val="center"/>
          </w:tcPr>
          <w:p w14:paraId="7C542FFC" w14:textId="27FEB3FE"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158</w:t>
            </w:r>
          </w:p>
        </w:tc>
        <w:tc>
          <w:tcPr>
            <w:tcW w:w="1417" w:type="dxa"/>
            <w:tcBorders>
              <w:top w:val="nil"/>
            </w:tcBorders>
            <w:vAlign w:val="center"/>
          </w:tcPr>
          <w:p w14:paraId="44C1DE51" w14:textId="09DAB289"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0.27</w:t>
            </w:r>
          </w:p>
        </w:tc>
        <w:tc>
          <w:tcPr>
            <w:tcW w:w="1418" w:type="dxa"/>
            <w:vAlign w:val="center"/>
          </w:tcPr>
          <w:p w14:paraId="040E9C5F" w14:textId="46DEA92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200@0.5 C</w:t>
            </w:r>
          </w:p>
        </w:tc>
        <w:tc>
          <w:tcPr>
            <w:tcW w:w="1559" w:type="dxa"/>
            <w:vAlign w:val="center"/>
          </w:tcPr>
          <w:p w14:paraId="3F91A0DC" w14:textId="670CEBC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0.046</w:t>
            </w:r>
          </w:p>
        </w:tc>
        <w:tc>
          <w:tcPr>
            <w:tcW w:w="1418" w:type="dxa"/>
            <w:tcBorders>
              <w:top w:val="nil"/>
            </w:tcBorders>
            <w:vAlign w:val="center"/>
          </w:tcPr>
          <w:p w14:paraId="5C7AA85C" w14:textId="27C678A2"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30</w:t>
            </w:r>
          </w:p>
        </w:tc>
        <w:tc>
          <w:tcPr>
            <w:tcW w:w="1275" w:type="dxa"/>
            <w:tcBorders>
              <w:top w:val="nil"/>
            </w:tcBorders>
            <w:vAlign w:val="center"/>
          </w:tcPr>
          <w:p w14:paraId="6899B094" w14:textId="13E205B0"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{"citationID":"MJEVwswH","properties":{"formattedCitation":"\\super 118\\nosupersub{}","plainCitation":"118","noteIndex":0},"citationItems":[{"id":"IXaoCdHi/NEkjZm4j","uris":["http://zotero.org/users/local/As3BANDe/items/IA254CQG"],"itemData":{"id":4970,"type":"article-journal","abstract":"Practical application of solid-state electrolyte (SSE) is currently impeded by the ongoing growth and erosion from Li metal dendrites during cycling in solid-state batteries (SSBs) mainly due to the presence of abundant grain boundaries and low fracture toughness of SSE film. To address this issue, an atomic welding strategy bridged by Ni doping is proposed to enhance the ionic conductivity, the density, and fracture toughness of Li1.3Al0.3 Ti1.7(PO4)3 (LATP) SSE. The fracture toughness of the SSE can be improved from 1.01±0.2 MPa</w:instrText>
            </w:r>
            <w:r w:rsidR="00E725CF" w:rsidRPr="002657D1">
              <w:rPr>
                <w:rFonts w:ascii="Cambria Math" w:hAnsi="Cambria Math" w:cs="Cambria Math"/>
                <w:color w:val="000000" w:themeColor="text1"/>
                <w:sz w:val="24"/>
                <w:szCs w:val="24"/>
              </w:rPr>
              <w:instrText>⋅</w:instrText>
            </w:r>
            <w:r w:rsidR="00E725CF" w:rsidRPr="002657D1">
              <w:rPr>
                <w:rFonts w:ascii="Times New Roman" w:hAnsi="Times New Roman" w:cs="Times New Roman"/>
                <w:color w:val="000000" w:themeColor="text1"/>
                <w:sz w:val="24"/>
                <w:szCs w:val="24"/>
              </w:rPr>
              <w:instrText>m1/2 to 1.88±0.2 MPa</w:instrText>
            </w:r>
            <w:r w:rsidR="00E725CF" w:rsidRPr="002657D1">
              <w:rPr>
                <w:rFonts w:ascii="Cambria Math" w:hAnsi="Cambria Math" w:cs="Cambria Math"/>
                <w:color w:val="000000" w:themeColor="text1"/>
                <w:sz w:val="24"/>
                <w:szCs w:val="24"/>
              </w:rPr>
              <w:instrText>⋅</w:instrText>
            </w:r>
            <w:r w:rsidR="00E725CF" w:rsidRPr="002657D1">
              <w:rPr>
                <w:rFonts w:ascii="Times New Roman" w:hAnsi="Times New Roman" w:cs="Times New Roman"/>
                <w:color w:val="000000" w:themeColor="text1"/>
                <w:sz w:val="24"/>
                <w:szCs w:val="24"/>
              </w:rPr>
              <w:instrText xml:space="preserve">m1/2, which is proved necessary to inhibit the penetration of Li dendrite and maintain stable interface between LATP and Li metal during long cycling. As a result, the Li/LATP-Ni/Li symmetric cell succeeds in the galvanostatic cycling for 400 h at 0.1 mA/cm2 while a high capacity retention of 90.8 % is achieved with the LFPLi full cell cycled at 1.5 C after 200 cycles. These findings not only provide an atomic-welding method for densifying SSE films, but also enlighten to competing with Li metal anode for achieving high-energy SSBs.","container-title":"Energy Storage Materials","DOI":"10.1016/j.ensm.2024.103932","ISSN":"24058297","journalAbbreviation":"Energy Storage Materials","language":"en","page":"103932","source":"DOI.org (Crossref)","title":"Atomic welding enhancing the electromechanical performance of Li1.3Al0.3Ti1.7(PO4)3 (LATP) solid electrolyte","volume":"74","author":[{"family":"Zhou","given":"Qiqi"},{"family":"Zhong","given":"Cong"},{"family":"Wang","given":"Shiqi"},{"family":"Jiang","given":"Pengfei"},{"family":"Wang","given":"Lifan"},{"family":"Wang","given":"Xuefeng"},{"family":"Zhan","given":"Chun"}],"issued":{"date-parts":[["2025",1]]}}}],"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118</w:t>
            </w:r>
            <w:r w:rsidRPr="002657D1">
              <w:rPr>
                <w:rFonts w:ascii="Times New Roman" w:hAnsi="Times New Roman" w:cs="Times New Roman"/>
                <w:color w:val="000000" w:themeColor="text1"/>
                <w:sz w:val="24"/>
                <w:szCs w:val="24"/>
              </w:rPr>
              <w:fldChar w:fldCharType="end"/>
            </w:r>
          </w:p>
        </w:tc>
      </w:tr>
      <w:tr w:rsidR="002657D1" w:rsidRPr="002657D1" w14:paraId="4BB0D97E" w14:textId="77777777" w:rsidTr="001A7EE6">
        <w:trPr>
          <w:jc w:val="center"/>
        </w:trPr>
        <w:tc>
          <w:tcPr>
            <w:tcW w:w="2802" w:type="dxa"/>
            <w:vAlign w:val="center"/>
          </w:tcPr>
          <w:p w14:paraId="1570D9B8" w14:textId="19CAB795"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NCM811/Li</w:t>
            </w:r>
            <w:r w:rsidRPr="002657D1">
              <w:rPr>
                <w:rFonts w:ascii="Times New Roman" w:hAnsi="Times New Roman" w:cs="Times New Roman"/>
                <w:color w:val="000000" w:themeColor="text1"/>
                <w:sz w:val="24"/>
                <w:szCs w:val="24"/>
                <w:vertAlign w:val="subscript"/>
              </w:rPr>
              <w:t>1.3</w:t>
            </w:r>
            <w:r w:rsidRPr="002657D1">
              <w:rPr>
                <w:rFonts w:ascii="Times New Roman" w:hAnsi="Times New Roman" w:cs="Times New Roman"/>
                <w:color w:val="000000" w:themeColor="text1"/>
                <w:sz w:val="24"/>
                <w:szCs w:val="24"/>
              </w:rPr>
              <w:t>Al</w:t>
            </w:r>
            <w:r w:rsidRPr="002657D1">
              <w:rPr>
                <w:rFonts w:ascii="Times New Roman" w:hAnsi="Times New Roman" w:cs="Times New Roman"/>
                <w:color w:val="000000" w:themeColor="text1"/>
                <w:sz w:val="24"/>
                <w:szCs w:val="24"/>
                <w:vertAlign w:val="subscript"/>
              </w:rPr>
              <w:t>0.3</w:t>
            </w:r>
            <w:r w:rsidRPr="002657D1">
              <w:rPr>
                <w:rFonts w:ascii="Times New Roman" w:hAnsi="Times New Roman" w:cs="Times New Roman"/>
                <w:color w:val="000000" w:themeColor="text1"/>
                <w:sz w:val="24"/>
                <w:szCs w:val="24"/>
              </w:rPr>
              <w:t>Ti</w:t>
            </w:r>
            <w:r w:rsidRPr="002657D1">
              <w:rPr>
                <w:rFonts w:ascii="Times New Roman" w:hAnsi="Times New Roman" w:cs="Times New Roman"/>
                <w:color w:val="000000" w:themeColor="text1"/>
                <w:sz w:val="24"/>
                <w:szCs w:val="24"/>
                <w:vertAlign w:val="subscript"/>
              </w:rPr>
              <w:t>1.7</w:t>
            </w:r>
            <w:r w:rsidRPr="002657D1">
              <w:rPr>
                <w:rFonts w:ascii="Times New Roman" w:hAnsi="Times New Roman" w:cs="Times New Roman"/>
                <w:color w:val="000000" w:themeColor="text1"/>
                <w:sz w:val="24"/>
                <w:szCs w:val="24"/>
              </w:rPr>
              <w:t>(PO</w:t>
            </w:r>
            <w:r w:rsidRPr="002657D1">
              <w:rPr>
                <w:rFonts w:ascii="Times New Roman" w:hAnsi="Times New Roman" w:cs="Times New Roman"/>
                <w:color w:val="000000" w:themeColor="text1"/>
                <w:sz w:val="24"/>
                <w:szCs w:val="24"/>
                <w:vertAlign w:val="subscript"/>
              </w:rPr>
              <w:t>4</w:t>
            </w:r>
            <w:r w:rsidRPr="002657D1">
              <w:rPr>
                <w:rFonts w:ascii="Times New Roman" w:hAnsi="Times New Roman" w:cs="Times New Roman"/>
                <w:color w:val="000000" w:themeColor="text1"/>
                <w:sz w:val="24"/>
                <w:szCs w:val="24"/>
              </w:rPr>
              <w:t>)</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/LiCl-</w:t>
            </w:r>
            <w:proofErr w:type="spellStart"/>
            <w:r w:rsidRPr="002657D1">
              <w:rPr>
                <w:rFonts w:ascii="Times New Roman" w:hAnsi="Times New Roman" w:cs="Times New Roman"/>
                <w:color w:val="000000" w:themeColor="text1"/>
                <w:sz w:val="24"/>
                <w:szCs w:val="24"/>
              </w:rPr>
              <w:t>Li</w:t>
            </w:r>
            <w:r w:rsidRPr="002657D1">
              <w:rPr>
                <w:rFonts w:ascii="Times New Roman" w:hAnsi="Times New Roman" w:cs="Times New Roman"/>
                <w:color w:val="000000" w:themeColor="text1"/>
                <w:sz w:val="24"/>
                <w:szCs w:val="24"/>
                <w:vertAlign w:val="subscript"/>
              </w:rPr>
              <w:t>x</w:t>
            </w:r>
            <w:r w:rsidRPr="002657D1">
              <w:rPr>
                <w:rFonts w:ascii="Times New Roman" w:hAnsi="Times New Roman" w:cs="Times New Roman"/>
                <w:color w:val="000000" w:themeColor="text1"/>
                <w:sz w:val="24"/>
                <w:szCs w:val="24"/>
              </w:rPr>
              <w:t>Sn</w:t>
            </w:r>
            <w:proofErr w:type="spellEnd"/>
            <w:r w:rsidRPr="002657D1">
              <w:rPr>
                <w:rFonts w:ascii="Times New Roman" w:hAnsi="Times New Roman" w:cs="Times New Roman"/>
                <w:color w:val="000000" w:themeColor="text1"/>
                <w:sz w:val="24"/>
                <w:szCs w:val="24"/>
              </w:rPr>
              <w:t>/Li</w:t>
            </w:r>
          </w:p>
        </w:tc>
        <w:tc>
          <w:tcPr>
            <w:tcW w:w="1876" w:type="dxa"/>
            <w:vAlign w:val="center"/>
          </w:tcPr>
          <w:p w14:paraId="255D2A4F" w14:textId="5AA078CF"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~1.25</w:t>
            </w:r>
          </w:p>
        </w:tc>
        <w:tc>
          <w:tcPr>
            <w:tcW w:w="1276" w:type="dxa"/>
            <w:vAlign w:val="center"/>
          </w:tcPr>
          <w:p w14:paraId="022CD09A" w14:textId="16B17BE3"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177.1</w:t>
            </w:r>
          </w:p>
        </w:tc>
        <w:tc>
          <w:tcPr>
            <w:tcW w:w="1417" w:type="dxa"/>
            <w:vAlign w:val="center"/>
          </w:tcPr>
          <w:p w14:paraId="0C4B4465" w14:textId="24A3F7AE"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~0.24</w:t>
            </w:r>
          </w:p>
        </w:tc>
        <w:tc>
          <w:tcPr>
            <w:tcW w:w="1418" w:type="dxa"/>
            <w:vAlign w:val="center"/>
          </w:tcPr>
          <w:p w14:paraId="11F5B26A" w14:textId="75BF0A1C"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100@0.5 C</w:t>
            </w:r>
          </w:p>
        </w:tc>
        <w:tc>
          <w:tcPr>
            <w:tcW w:w="1559" w:type="dxa"/>
            <w:vAlign w:val="center"/>
          </w:tcPr>
          <w:p w14:paraId="19CA4CB9" w14:textId="3CF3D0EE"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0.255</w:t>
            </w:r>
          </w:p>
        </w:tc>
        <w:tc>
          <w:tcPr>
            <w:tcW w:w="1418" w:type="dxa"/>
            <w:vAlign w:val="center"/>
          </w:tcPr>
          <w:p w14:paraId="3E8B7CC2" w14:textId="50D4E22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25</w:t>
            </w:r>
          </w:p>
        </w:tc>
        <w:tc>
          <w:tcPr>
            <w:tcW w:w="1275" w:type="dxa"/>
            <w:vAlign w:val="center"/>
          </w:tcPr>
          <w:p w14:paraId="083DF371" w14:textId="71DF32F7"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{"citationID":"0JvCzD4M","properties":{"formattedCitation":"\\super 119\\nosupersub{}","plainCitation":"119","noteIndex":0},"citationItems":[{"id":"IXaoCdHi/b1Jn0jP4","uris":["http://zotero.org/users/local/As3BANDe/items/AUSVXKC2"],"itemData":{"id":4972,"type":"article-journal","abstract":"Abstract\n            \n              Li\n              1.3\n              Al\n              0.3\n              Ti\n              1.7\n              (PO\n              4\n              )\n              3\n              (LATP) electrolyte has a great potential for application in solid‐state lithium metal batteries. However, due to the poor interfacial contact and thermodynamic instability between LATP and Li metal, a series of interfacial problems, such as high interfacial resistance, undesirable interfacial reaction and dendrite growth are deeply criticized. Herein, a hybrid LiCl/Li\n              \n                x\n              \n              Sn conductive interlayer is constructed through an in situ electrochemical reaction of SnCl\n              4\n              with Li metal to effectively improve the compatibility and stability of the Li/LATP interface. LiCl with both electronic insulation and high ionic conductivity can provide fast Li\n              +\n              diffusion channel, block electron injection, avoid side reactions, and effectively inhibit dendrite growth. Li\n              \n                x\n              \n              Sn can reduce interfacial impedance, eliminate local electric field concentration, and significantly improve interfacial wettability. Under the protection of LiCl/Li\n              \n                x\n              \n              Sn hybrid interlayer, the initial resistance of the symmetric battery is reduced from 1066.3 to 133.6 Ω cm\n              −2\n              , achieving a high critical current density of 1.4 mA cm\n              −2\n              . At 0.1 mA cm\n              −2\n              /0.1 mAh cm\n              −2\n              and 0.2 mA cm\n              −2\n              /0.2 mAh cm\n              −2\n              , the symmetric battery can cycle stably for more than 4000 h at 25 °C. Moreover, the full battery displays a high capacity retention ratio of 90.4% after 420 cycles at 0.5 C.","container-title":"Advanced Functional Materials","DOI":"10.1002/adfm.202401457","ISSN":"1616-301X, 1616-3028","issue":"29","journalAbbreviation":"Adv Funct Materials","language":"en","page":"2401457","source":"DOI.org (Crossref)","title":"A Hybrid LiCl/Li &lt;i&gt;&lt;sub&gt;x&lt;/sub&gt; &lt;/i&gt; Sn Conductive Interlayer to Unlock the Potential of Solid‐State Lithium Metal Batteries","volume":"34","author":[{"family":"Ding","given":"Decheng"},{"family":"Tao","given":"Huachao"},{"family":"Fan","given":"Xiaomeng"},{"family":"Yang","given":"Xuelin"},{"family":"Fan","given":"Li‐Zhen"}],"issued":{"date-parts":[["2024",7]]}}}],"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119</w:t>
            </w:r>
            <w:r w:rsidRPr="002657D1">
              <w:rPr>
                <w:rFonts w:ascii="Times New Roman" w:hAnsi="Times New Roman" w:cs="Times New Roman"/>
                <w:color w:val="000000" w:themeColor="text1"/>
                <w:sz w:val="24"/>
                <w:szCs w:val="24"/>
              </w:rPr>
              <w:fldChar w:fldCharType="end"/>
            </w:r>
          </w:p>
        </w:tc>
      </w:tr>
      <w:tr w:rsidR="002657D1" w:rsidRPr="002657D1" w14:paraId="135B224E" w14:textId="77777777" w:rsidTr="001A7EE6">
        <w:trPr>
          <w:jc w:val="center"/>
        </w:trPr>
        <w:tc>
          <w:tcPr>
            <w:tcW w:w="2802" w:type="dxa"/>
            <w:vAlign w:val="center"/>
          </w:tcPr>
          <w:p w14:paraId="5E70BABD" w14:textId="18981AB3"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LFP/Li</w:t>
            </w:r>
            <w:r w:rsidRPr="002657D1">
              <w:rPr>
                <w:rFonts w:ascii="Times New Roman" w:hAnsi="Times New Roman" w:cs="Times New Roman"/>
                <w:color w:val="000000" w:themeColor="text1"/>
                <w:sz w:val="24"/>
                <w:szCs w:val="24"/>
                <w:vertAlign w:val="subscript"/>
              </w:rPr>
              <w:t>1.3</w:t>
            </w:r>
            <w:r w:rsidRPr="002657D1">
              <w:rPr>
                <w:rFonts w:ascii="Times New Roman" w:hAnsi="Times New Roman" w:cs="Times New Roman"/>
                <w:color w:val="000000" w:themeColor="text1"/>
                <w:sz w:val="24"/>
                <w:szCs w:val="24"/>
              </w:rPr>
              <w:t>Al</w:t>
            </w:r>
            <w:r w:rsidRPr="002657D1">
              <w:rPr>
                <w:rFonts w:ascii="Times New Roman" w:hAnsi="Times New Roman" w:cs="Times New Roman"/>
                <w:color w:val="000000" w:themeColor="text1"/>
                <w:sz w:val="24"/>
                <w:szCs w:val="24"/>
                <w:vertAlign w:val="subscript"/>
              </w:rPr>
              <w:t>0.3</w:t>
            </w:r>
            <w:r w:rsidRPr="002657D1">
              <w:rPr>
                <w:rFonts w:ascii="Times New Roman" w:hAnsi="Times New Roman" w:cs="Times New Roman"/>
                <w:color w:val="000000" w:themeColor="text1"/>
                <w:sz w:val="24"/>
                <w:szCs w:val="24"/>
              </w:rPr>
              <w:t>Ti</w:t>
            </w:r>
            <w:r w:rsidRPr="002657D1">
              <w:rPr>
                <w:rFonts w:ascii="Times New Roman" w:hAnsi="Times New Roman" w:cs="Times New Roman"/>
                <w:color w:val="000000" w:themeColor="text1"/>
                <w:sz w:val="24"/>
                <w:szCs w:val="24"/>
                <w:vertAlign w:val="subscript"/>
              </w:rPr>
              <w:t>1.7</w:t>
            </w:r>
            <w:r w:rsidRPr="002657D1">
              <w:rPr>
                <w:rFonts w:ascii="Times New Roman" w:hAnsi="Times New Roman" w:cs="Times New Roman"/>
                <w:color w:val="000000" w:themeColor="text1"/>
                <w:sz w:val="24"/>
                <w:szCs w:val="24"/>
              </w:rPr>
              <w:t>(PO</w:t>
            </w:r>
            <w:r w:rsidRPr="002657D1">
              <w:rPr>
                <w:rFonts w:ascii="Times New Roman" w:hAnsi="Times New Roman" w:cs="Times New Roman"/>
                <w:color w:val="000000" w:themeColor="text1"/>
                <w:sz w:val="24"/>
                <w:szCs w:val="24"/>
                <w:vertAlign w:val="subscript"/>
              </w:rPr>
              <w:t>4</w:t>
            </w:r>
            <w:r w:rsidRPr="002657D1">
              <w:rPr>
                <w:rFonts w:ascii="Times New Roman" w:hAnsi="Times New Roman" w:cs="Times New Roman"/>
                <w:color w:val="000000" w:themeColor="text1"/>
                <w:sz w:val="24"/>
                <w:szCs w:val="24"/>
              </w:rPr>
              <w:t>)</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/AlF</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/Li</w:t>
            </w:r>
          </w:p>
        </w:tc>
        <w:tc>
          <w:tcPr>
            <w:tcW w:w="1876" w:type="dxa"/>
            <w:vAlign w:val="center"/>
          </w:tcPr>
          <w:p w14:paraId="25B8D115" w14:textId="70E3B6B0"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w:t>
            </w:r>
          </w:p>
        </w:tc>
        <w:tc>
          <w:tcPr>
            <w:tcW w:w="1276" w:type="dxa"/>
            <w:vAlign w:val="center"/>
          </w:tcPr>
          <w:p w14:paraId="3E39E619" w14:textId="2079245B"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162.5</w:t>
            </w:r>
          </w:p>
        </w:tc>
        <w:tc>
          <w:tcPr>
            <w:tcW w:w="1417" w:type="dxa"/>
            <w:vAlign w:val="center"/>
          </w:tcPr>
          <w:p w14:paraId="4E3D3442" w14:textId="141A14D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 xml:space="preserve">0.16 </w:t>
            </w:r>
          </w:p>
        </w:tc>
        <w:tc>
          <w:tcPr>
            <w:tcW w:w="1418" w:type="dxa"/>
            <w:vAlign w:val="center"/>
          </w:tcPr>
          <w:p w14:paraId="4AA42725" w14:textId="70A2FE91"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300@0.1 C</w:t>
            </w:r>
          </w:p>
        </w:tc>
        <w:tc>
          <w:tcPr>
            <w:tcW w:w="1559" w:type="dxa"/>
            <w:vAlign w:val="center"/>
          </w:tcPr>
          <w:p w14:paraId="167E9DFF" w14:textId="380D0526"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0.067</w:t>
            </w:r>
          </w:p>
        </w:tc>
        <w:tc>
          <w:tcPr>
            <w:tcW w:w="1418" w:type="dxa"/>
            <w:vAlign w:val="center"/>
          </w:tcPr>
          <w:p w14:paraId="1D0AA663" w14:textId="00EE223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60</w:t>
            </w:r>
          </w:p>
        </w:tc>
        <w:tc>
          <w:tcPr>
            <w:tcW w:w="1275" w:type="dxa"/>
            <w:vAlign w:val="center"/>
          </w:tcPr>
          <w:p w14:paraId="3C9DF8B6" w14:textId="3320EA19"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{"citationID":"1MruAUTF","properties":{"formattedCitation":"\\super 120\\nosupersub{}","plainCitation":"120","noteIndex":0},"citationItems":[{"id":"IXaoCdHi/Vbra6f4d","uris":["http://zotero.org/users/local/As3BANDe/items/RU9MXUUN"],"itemData":{"id":4974,"type":"article-journal","abstract":"Abstract\n            \n              The application of solid‐state Li metal batteries based on NASICON‐type Li\n              (1+\n              \n                x\n              \n              )\n              Al\n              \n                x\n              \n              Ti\n              (2‑\n              \n                x\n              \n              )\n              (PO\n              4\n              )\n              3\n              (LATP) electrolytes has been hindered by the interface instability, originating from the spontaneous Ti\n              4+\n              reduction reaction between LATP and Li. Here, a mesoporous fluorination interlayer based on high‐surface‐area AlF\n              3\n              is proposed to improve the stability and compatibility of the LATP/Li interface and enable the reversible operation of NASICON‐type Li||FeF\n              3\n              conversion batteries. The high Lewis acidity and porosity in the interlayer can buffer the volume evolution, increase the Li‐ion transference number and promote the formation of LiF domains. Time‐of‐flight secondary‐ion mass spectroscopy (ToF‐SIMS) proves the in situ construction of an F‐rich trap zone for Ti\n              4+\n              , which can pin the easily‐reduced Ti\n              4+\n              in LATP and retard its conversion to Ti\n              3+\n              during the electrochemical process. An electro‐fusion process at the LATP/Li interface occurs and successfully welds the solid electrolyte, AlF\n              3\n              interlayer, and anode into a whole to mitigate the anode resistance, guaranteeing the fast interface migration of Li\n              +\n              . The corresponding Li||Li symmetric cells exhibit a stable cycling performance with small voltage hysteresis for at least 500 h. The ceramic‐type solid‐state Li‐Fe‐F cells modulated by the F‐rich transition layer can deliver a high capacity of 696.7 mAh g\n              −1\n              and show a good cyclability of the conversion reaction.","container-title":"Advanced Energy Materials","DOI":"10.1002/aenm.202203679","ISSN":"1614-6832, 1614-6840","issue":"12","journalAbbreviation":"Advanced Energy Materials","language":"en","page":"2203679","source":"DOI.org (Crossref)","title":"NASICON‐Based Solid State Li‐Fluoride Conversion Batteries Enabled by Constructing a Fluorine‐Rich Trap for Ti&lt;sup&gt;4+&lt;/sup&gt;","volume":"13","author":[{"family":"Gu","given":"Yuping"},{"family":"Hu","given":"Jiulin"},{"family":"Lai","given":"Chuanzhong"},{"family":"Li","given":"Chilin"}],"issued":{"date-parts":[["2023",3]]}}}],"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120</w:t>
            </w:r>
            <w:r w:rsidRPr="002657D1">
              <w:rPr>
                <w:rFonts w:ascii="Times New Roman" w:hAnsi="Times New Roman" w:cs="Times New Roman"/>
                <w:color w:val="000000" w:themeColor="text1"/>
                <w:sz w:val="24"/>
                <w:szCs w:val="24"/>
              </w:rPr>
              <w:fldChar w:fldCharType="end"/>
            </w:r>
          </w:p>
        </w:tc>
      </w:tr>
      <w:tr w:rsidR="002657D1" w:rsidRPr="002657D1" w14:paraId="4B755596" w14:textId="77777777" w:rsidTr="001A7EE6">
        <w:trPr>
          <w:jc w:val="center"/>
        </w:trPr>
        <w:tc>
          <w:tcPr>
            <w:tcW w:w="2802" w:type="dxa"/>
            <w:vAlign w:val="center"/>
          </w:tcPr>
          <w:p w14:paraId="368E194E" w14:textId="0B1B3632"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LFP/Li</w:t>
            </w:r>
            <w:r w:rsidRPr="002657D1">
              <w:rPr>
                <w:rFonts w:ascii="Times New Roman" w:hAnsi="Times New Roman" w:cs="Times New Roman"/>
                <w:color w:val="000000" w:themeColor="text1"/>
                <w:sz w:val="24"/>
                <w:szCs w:val="24"/>
                <w:vertAlign w:val="subscript"/>
              </w:rPr>
              <w:t>1.3</w:t>
            </w:r>
            <w:r w:rsidRPr="002657D1">
              <w:rPr>
                <w:rFonts w:ascii="Times New Roman" w:hAnsi="Times New Roman" w:cs="Times New Roman"/>
                <w:color w:val="000000" w:themeColor="text1"/>
                <w:sz w:val="24"/>
                <w:szCs w:val="24"/>
              </w:rPr>
              <w:t>Al</w:t>
            </w:r>
            <w:r w:rsidRPr="002657D1">
              <w:rPr>
                <w:rFonts w:ascii="Times New Roman" w:hAnsi="Times New Roman" w:cs="Times New Roman"/>
                <w:color w:val="000000" w:themeColor="text1"/>
                <w:sz w:val="24"/>
                <w:szCs w:val="24"/>
                <w:vertAlign w:val="subscript"/>
              </w:rPr>
              <w:t>0.3</w:t>
            </w:r>
            <w:r w:rsidRPr="002657D1">
              <w:rPr>
                <w:rFonts w:ascii="Times New Roman" w:hAnsi="Times New Roman" w:cs="Times New Roman"/>
                <w:color w:val="000000" w:themeColor="text1"/>
                <w:sz w:val="24"/>
                <w:szCs w:val="24"/>
              </w:rPr>
              <w:t>Ti</w:t>
            </w:r>
            <w:r w:rsidRPr="002657D1">
              <w:rPr>
                <w:rFonts w:ascii="Times New Roman" w:hAnsi="Times New Roman" w:cs="Times New Roman"/>
                <w:color w:val="000000" w:themeColor="text1"/>
                <w:sz w:val="24"/>
                <w:szCs w:val="24"/>
                <w:vertAlign w:val="subscript"/>
              </w:rPr>
              <w:t>1.7</w:t>
            </w:r>
            <w:r w:rsidRPr="002657D1">
              <w:rPr>
                <w:rFonts w:ascii="Times New Roman" w:hAnsi="Times New Roman" w:cs="Times New Roman"/>
                <w:color w:val="000000" w:themeColor="text1"/>
                <w:sz w:val="24"/>
                <w:szCs w:val="24"/>
              </w:rPr>
              <w:t>(PO</w:t>
            </w:r>
            <w:r w:rsidRPr="002657D1">
              <w:rPr>
                <w:rFonts w:ascii="Times New Roman" w:hAnsi="Times New Roman" w:cs="Times New Roman"/>
                <w:color w:val="000000" w:themeColor="text1"/>
                <w:sz w:val="24"/>
                <w:szCs w:val="24"/>
                <w:vertAlign w:val="subscript"/>
              </w:rPr>
              <w:t>4</w:t>
            </w:r>
            <w:r w:rsidRPr="002657D1">
              <w:rPr>
                <w:rFonts w:ascii="Times New Roman" w:hAnsi="Times New Roman" w:cs="Times New Roman"/>
                <w:color w:val="000000" w:themeColor="text1"/>
                <w:sz w:val="24"/>
                <w:szCs w:val="24"/>
              </w:rPr>
              <w:t>)</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/SE@KANF/Li</w:t>
            </w:r>
          </w:p>
        </w:tc>
        <w:tc>
          <w:tcPr>
            <w:tcW w:w="1876" w:type="dxa"/>
            <w:vAlign w:val="center"/>
          </w:tcPr>
          <w:p w14:paraId="046D8CD2" w14:textId="060A8D7F"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w:t>
            </w:r>
          </w:p>
        </w:tc>
        <w:tc>
          <w:tcPr>
            <w:tcW w:w="1276" w:type="dxa"/>
            <w:vAlign w:val="center"/>
          </w:tcPr>
          <w:p w14:paraId="79C012B3" w14:textId="27AFEC0F"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159</w:t>
            </w:r>
          </w:p>
        </w:tc>
        <w:tc>
          <w:tcPr>
            <w:tcW w:w="1417" w:type="dxa"/>
            <w:vAlign w:val="center"/>
          </w:tcPr>
          <w:p w14:paraId="589A68FE" w14:textId="3F0EB3AC"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0.32</w:t>
            </w:r>
          </w:p>
        </w:tc>
        <w:tc>
          <w:tcPr>
            <w:tcW w:w="1418" w:type="dxa"/>
            <w:vAlign w:val="center"/>
          </w:tcPr>
          <w:p w14:paraId="32A6F2FF" w14:textId="188EE38E"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180@0.1 C</w:t>
            </w:r>
          </w:p>
        </w:tc>
        <w:tc>
          <w:tcPr>
            <w:tcW w:w="1559" w:type="dxa"/>
            <w:vAlign w:val="center"/>
          </w:tcPr>
          <w:p w14:paraId="49C4F83A" w14:textId="3CBC816C"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0.028</w:t>
            </w:r>
          </w:p>
        </w:tc>
        <w:tc>
          <w:tcPr>
            <w:tcW w:w="1418" w:type="dxa"/>
            <w:vAlign w:val="center"/>
          </w:tcPr>
          <w:p w14:paraId="36BABDCD" w14:textId="0C4AF508"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30</w:t>
            </w:r>
          </w:p>
        </w:tc>
        <w:tc>
          <w:tcPr>
            <w:tcW w:w="1275" w:type="dxa"/>
            <w:vAlign w:val="center"/>
          </w:tcPr>
          <w:p w14:paraId="35104008" w14:textId="39225A68"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{"citationID":"akM4RXeP","properties":{"formattedCitation":"\\super 121\\nosupersub{}","plainCitation":"121","noteIndex":0},"citationItems":[{"id":"IXaoCdHi/mGYnWKsQ","uris":["http://zotero.org/users/local/As3BANDe/items/MIFDPHPZ"],"itemData":{"id":4978,"type":"article-journal","container-title":"Adv. Funct. Mater.","language":"en","source":"Zotero","title":"Stabilizing Li1.3Al0.3Ti1.7(PO4)3|Li Metal Anode Interface in Solid‐State Batteries by Kevlar Aramid Nanofiber‐Based Protective Coating","author":[{"family":"Kong","given":"Wenhan"},{"family":"Jiang","given":"Zhouyang"},{"family":"Liu","given":"Yangxi"},{"family":"Han","given":"Qingyue"},{"family":"Ding","given":"Liang-Xin"},{"family":"Wang","given":"Suqing"},{"family":"Wang","given":"Haihui"}],"issued":{"date-parts":[["2023"]]}}}],"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121</w:t>
            </w:r>
            <w:r w:rsidRPr="002657D1">
              <w:rPr>
                <w:rFonts w:ascii="Times New Roman" w:hAnsi="Times New Roman" w:cs="Times New Roman"/>
                <w:color w:val="000000" w:themeColor="text1"/>
                <w:sz w:val="24"/>
                <w:szCs w:val="24"/>
              </w:rPr>
              <w:fldChar w:fldCharType="end"/>
            </w:r>
          </w:p>
        </w:tc>
      </w:tr>
      <w:tr w:rsidR="002657D1" w:rsidRPr="002657D1" w14:paraId="72D2E485" w14:textId="77777777" w:rsidTr="001A7EE6">
        <w:trPr>
          <w:jc w:val="center"/>
        </w:trPr>
        <w:tc>
          <w:tcPr>
            <w:tcW w:w="2802" w:type="dxa"/>
            <w:vAlign w:val="center"/>
          </w:tcPr>
          <w:p w14:paraId="6F613DCC" w14:textId="69C12DF0"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proofErr w:type="gramStart"/>
            <w:r w:rsidRPr="002657D1">
              <w:rPr>
                <w:rFonts w:ascii="Times New Roman" w:hAnsi="Times New Roman" w:cs="Times New Roman"/>
                <w:color w:val="000000" w:themeColor="text1"/>
                <w:sz w:val="24"/>
                <w:szCs w:val="24"/>
              </w:rPr>
              <w:t>LFP/LiCl@Li</w:t>
            </w:r>
            <w:r w:rsidRPr="002657D1">
              <w:rPr>
                <w:rFonts w:ascii="Times New Roman" w:hAnsi="Times New Roman" w:cs="Times New Roman"/>
                <w:color w:val="000000" w:themeColor="text1"/>
                <w:sz w:val="24"/>
                <w:szCs w:val="24"/>
                <w:vertAlign w:val="subscript"/>
              </w:rPr>
              <w:t>1.3</w:t>
            </w:r>
            <w:r w:rsidRPr="002657D1">
              <w:rPr>
                <w:rFonts w:ascii="Times New Roman" w:hAnsi="Times New Roman" w:cs="Times New Roman"/>
                <w:color w:val="000000" w:themeColor="text1"/>
                <w:sz w:val="24"/>
                <w:szCs w:val="24"/>
              </w:rPr>
              <w:t>Al</w:t>
            </w:r>
            <w:r w:rsidRPr="002657D1">
              <w:rPr>
                <w:rFonts w:ascii="Times New Roman" w:hAnsi="Times New Roman" w:cs="Times New Roman"/>
                <w:color w:val="000000" w:themeColor="text1"/>
                <w:sz w:val="24"/>
                <w:szCs w:val="24"/>
                <w:vertAlign w:val="subscript"/>
              </w:rPr>
              <w:t>0.3</w:t>
            </w:r>
            <w:r w:rsidRPr="002657D1">
              <w:rPr>
                <w:rFonts w:ascii="Times New Roman" w:hAnsi="Times New Roman" w:cs="Times New Roman"/>
                <w:color w:val="000000" w:themeColor="text1"/>
                <w:sz w:val="24"/>
                <w:szCs w:val="24"/>
              </w:rPr>
              <w:t>Ti</w:t>
            </w:r>
            <w:r w:rsidRPr="002657D1">
              <w:rPr>
                <w:rFonts w:ascii="Times New Roman" w:hAnsi="Times New Roman" w:cs="Times New Roman"/>
                <w:color w:val="000000" w:themeColor="text1"/>
                <w:sz w:val="24"/>
                <w:szCs w:val="24"/>
                <w:vertAlign w:val="subscript"/>
              </w:rPr>
              <w:t>1.7</w:t>
            </w:r>
            <w:r w:rsidRPr="002657D1">
              <w:rPr>
                <w:rFonts w:ascii="Times New Roman" w:hAnsi="Times New Roman" w:cs="Times New Roman"/>
                <w:color w:val="000000" w:themeColor="text1"/>
                <w:sz w:val="24"/>
                <w:szCs w:val="24"/>
              </w:rPr>
              <w:t>(</w:t>
            </w:r>
            <w:proofErr w:type="gramEnd"/>
            <w:r w:rsidRPr="002657D1">
              <w:rPr>
                <w:rFonts w:ascii="Times New Roman" w:hAnsi="Times New Roman" w:cs="Times New Roman"/>
                <w:color w:val="000000" w:themeColor="text1"/>
                <w:sz w:val="24"/>
                <w:szCs w:val="24"/>
              </w:rPr>
              <w:t>PO</w:t>
            </w:r>
            <w:r w:rsidRPr="002657D1">
              <w:rPr>
                <w:rFonts w:ascii="Times New Roman" w:hAnsi="Times New Roman" w:cs="Times New Roman"/>
                <w:color w:val="000000" w:themeColor="text1"/>
                <w:sz w:val="24"/>
                <w:szCs w:val="24"/>
                <w:vertAlign w:val="subscript"/>
              </w:rPr>
              <w:t>4</w:t>
            </w:r>
            <w:r w:rsidRPr="002657D1">
              <w:rPr>
                <w:rFonts w:ascii="Times New Roman" w:hAnsi="Times New Roman" w:cs="Times New Roman"/>
                <w:color w:val="000000" w:themeColor="text1"/>
                <w:sz w:val="24"/>
                <w:szCs w:val="24"/>
              </w:rPr>
              <w:t>)</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/Li</w:t>
            </w:r>
          </w:p>
        </w:tc>
        <w:tc>
          <w:tcPr>
            <w:tcW w:w="1876" w:type="dxa"/>
            <w:vAlign w:val="center"/>
          </w:tcPr>
          <w:p w14:paraId="008CA0F1" w14:textId="781EF8E6"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w:t>
            </w:r>
          </w:p>
        </w:tc>
        <w:tc>
          <w:tcPr>
            <w:tcW w:w="1276" w:type="dxa"/>
            <w:vAlign w:val="center"/>
          </w:tcPr>
          <w:p w14:paraId="2E06EB55" w14:textId="44B20BF0"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103.6</w:t>
            </w:r>
          </w:p>
        </w:tc>
        <w:tc>
          <w:tcPr>
            <w:tcW w:w="1417" w:type="dxa"/>
            <w:vAlign w:val="center"/>
          </w:tcPr>
          <w:p w14:paraId="5A7EF50B" w14:textId="1C67928F"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0.21</w:t>
            </w:r>
          </w:p>
        </w:tc>
        <w:tc>
          <w:tcPr>
            <w:tcW w:w="1418" w:type="dxa"/>
            <w:vAlign w:val="center"/>
          </w:tcPr>
          <w:p w14:paraId="052EDFF2" w14:textId="26BDE6F9"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500@1.0 C</w:t>
            </w:r>
          </w:p>
        </w:tc>
        <w:tc>
          <w:tcPr>
            <w:tcW w:w="1559" w:type="dxa"/>
            <w:vAlign w:val="center"/>
          </w:tcPr>
          <w:p w14:paraId="725209E6" w14:textId="5E52B705"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0.036</w:t>
            </w:r>
          </w:p>
        </w:tc>
        <w:tc>
          <w:tcPr>
            <w:tcW w:w="1418" w:type="dxa"/>
            <w:vAlign w:val="center"/>
          </w:tcPr>
          <w:p w14:paraId="538B922E" w14:textId="2473AFE0"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30</w:t>
            </w:r>
          </w:p>
        </w:tc>
        <w:tc>
          <w:tcPr>
            <w:tcW w:w="1275" w:type="dxa"/>
            <w:vAlign w:val="center"/>
          </w:tcPr>
          <w:p w14:paraId="2C73D584" w14:textId="01A2DEAB"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{"citationID":"dupT5P28","properties":{"formattedCitation":"\\super 122\\nosupersub{}","plainCitation":"122","noteIndex":0},"citationItems":[{"id":"IXaoCdHi/PjZeqGQC","uris":["http://zotero.org/users/local/As3BANDe/items/ATXHPMMZ"],"itemData":{"id":4980,"type":"article-journal","abstract":"Abstract\n            \n              The (electro)chemical reactions between Li\n              1.3\n              Al\n              0.3\n              Ti\n              1.7\n              (PO\n              4\n              )\n              3\n              (LATP) solid‐state electrolyte and lithium metal plague the practical applications of LATP. A commonly used strategy to tackle this issue is to construct an ionic conductor layer to stabilize Li/LATP interface. Herein, it is demonstrated that an electronic conductor interlayer (Al or Ag) can also greatly enhance the interfacial stability of Li/LATP. To unveil the origin of the enhanced interfacial stability, a series of techniques, including in situ electron and optical microscopies, kelvin probe force microscopy, and finite element analysis, is exploited. Control experiments show clearly that Al layer can effectively homogenize the electric field distribution, which enables the uniform growth of interphases and thus prevents stress concentration and crack propagation. Moreover, when coupled with solid polymer electrolyte (SPE) to form Al‐SPE bilayer, it can effectively protect LATP from electron attack and interphase formation. Remarkably, Li symmetrical cells with an Al‐SPE bilayer exhibit superior stability of more than 5000 h at 0.2 mA cm\n              −2\n              , among the best cycling performances to date. This work presents an in‐depth understanding of the mechanism of the enhanced interfacial stability enabled by electronic conductor interlayers, as well as a universal interface architecture to boost the cyclability of solid‐state batteries.","container-title":"Advanced Energy Materials","DOI":"10.1002/aenm.202203517","ISSN":"1614-6832, 1614-6840","issue":"10","journalAbbreviation":"Advanced Energy Materials","language":"en","page":"2203517","source":"DOI.org (Crossref)","title":"Insights into the Enhanced Interfacial Stability Enabled by Electronic Conductor Layers in Solid‐State Li Batteries","volume":"13","author":[{"family":"Luo","given":"Linshan"},{"family":"Sun","given":"Zhefei"},{"family":"Gao","given":"Haowen"},{"family":"Lan","given":"Chaofei"},{"family":"Huang","given":"Xiaojuan"},{"family":"Han","given":"Xiang"},{"family":"Su","given":"Pengfei"},{"family":"Zhang","given":"Zhiyong"},{"family":"Li","given":"Cheng"},{"family":"Huang","given":"Wei"},{"family":"Wei","given":"Qiulong"},{"family":"Zhang","given":"Qiaobao"},{"family":"Wang","given":"Ming‐Sheng"},{"family":"Chen","given":"Songyan"}],"issued":{"date-parts":[["2023",3]]}}}],"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122</w:t>
            </w:r>
            <w:r w:rsidRPr="002657D1">
              <w:rPr>
                <w:rFonts w:ascii="Times New Roman" w:hAnsi="Times New Roman" w:cs="Times New Roman"/>
                <w:color w:val="000000" w:themeColor="text1"/>
                <w:sz w:val="24"/>
                <w:szCs w:val="24"/>
              </w:rPr>
              <w:fldChar w:fldCharType="end"/>
            </w:r>
          </w:p>
        </w:tc>
      </w:tr>
      <w:tr w:rsidR="002657D1" w:rsidRPr="002657D1" w14:paraId="2B9394AB" w14:textId="77777777" w:rsidTr="001A7EE6">
        <w:trPr>
          <w:jc w:val="center"/>
        </w:trPr>
        <w:tc>
          <w:tcPr>
            <w:tcW w:w="2802" w:type="dxa"/>
            <w:vAlign w:val="center"/>
          </w:tcPr>
          <w:p w14:paraId="135408B3" w14:textId="73B6D16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NCM811/3D Li</w:t>
            </w:r>
            <w:r w:rsidRPr="002657D1">
              <w:rPr>
                <w:rFonts w:ascii="Times New Roman" w:hAnsi="Times New Roman" w:cs="Times New Roman"/>
                <w:color w:val="000000" w:themeColor="text1"/>
                <w:sz w:val="24"/>
                <w:szCs w:val="24"/>
                <w:vertAlign w:val="subscript"/>
              </w:rPr>
              <w:t>7</w:t>
            </w:r>
            <w:r w:rsidRPr="002657D1">
              <w:rPr>
                <w:rFonts w:ascii="Times New Roman" w:hAnsi="Times New Roman" w:cs="Times New Roman"/>
                <w:color w:val="000000" w:themeColor="text1"/>
                <w:sz w:val="24"/>
                <w:szCs w:val="24"/>
              </w:rPr>
              <w:t>La</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Zr</w:t>
            </w:r>
            <w:r w:rsidRPr="002657D1">
              <w:rPr>
                <w:rFonts w:ascii="Times New Roman" w:hAnsi="Times New Roman" w:cs="Times New Roman"/>
                <w:color w:val="000000" w:themeColor="text1"/>
                <w:sz w:val="24"/>
                <w:szCs w:val="24"/>
                <w:vertAlign w:val="subscript"/>
              </w:rPr>
              <w:t>2</w:t>
            </w:r>
            <w:r w:rsidRPr="002657D1">
              <w:rPr>
                <w:rFonts w:ascii="Times New Roman" w:hAnsi="Times New Roman" w:cs="Times New Roman"/>
                <w:color w:val="000000" w:themeColor="text1"/>
                <w:sz w:val="24"/>
                <w:szCs w:val="24"/>
              </w:rPr>
              <w:t>O</w:t>
            </w:r>
            <w:r w:rsidRPr="002657D1">
              <w:rPr>
                <w:rFonts w:ascii="Times New Roman" w:hAnsi="Times New Roman" w:cs="Times New Roman"/>
                <w:color w:val="000000" w:themeColor="text1"/>
                <w:sz w:val="24"/>
                <w:szCs w:val="24"/>
                <w:vertAlign w:val="subscript"/>
              </w:rPr>
              <w:t>12</w:t>
            </w:r>
            <w:r w:rsidRPr="002657D1">
              <w:rPr>
                <w:rFonts w:ascii="Times New Roman" w:hAnsi="Times New Roman" w:cs="Times New Roman"/>
                <w:color w:val="000000" w:themeColor="text1"/>
                <w:sz w:val="24"/>
                <w:szCs w:val="24"/>
              </w:rPr>
              <w:t>-PAN/Li</w:t>
            </w:r>
          </w:p>
        </w:tc>
        <w:tc>
          <w:tcPr>
            <w:tcW w:w="1876" w:type="dxa"/>
            <w:vAlign w:val="center"/>
          </w:tcPr>
          <w:p w14:paraId="19DE8489" w14:textId="3CFDD734"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4.0</w:t>
            </w:r>
          </w:p>
        </w:tc>
        <w:tc>
          <w:tcPr>
            <w:tcW w:w="1276" w:type="dxa"/>
            <w:vAlign w:val="center"/>
          </w:tcPr>
          <w:p w14:paraId="088F3684" w14:textId="783AF6F6"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167.0</w:t>
            </w:r>
          </w:p>
        </w:tc>
        <w:tc>
          <w:tcPr>
            <w:tcW w:w="1417" w:type="dxa"/>
            <w:vAlign w:val="center"/>
          </w:tcPr>
          <w:p w14:paraId="792B2903" w14:textId="2A2DE11E"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0.67</w:t>
            </w:r>
          </w:p>
        </w:tc>
        <w:tc>
          <w:tcPr>
            <w:tcW w:w="1418" w:type="dxa"/>
            <w:vAlign w:val="center"/>
          </w:tcPr>
          <w:p w14:paraId="09169D6C" w14:textId="0C58E1A4"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200@0.5 C</w:t>
            </w:r>
          </w:p>
        </w:tc>
        <w:tc>
          <w:tcPr>
            <w:tcW w:w="1559" w:type="dxa"/>
            <w:vAlign w:val="center"/>
          </w:tcPr>
          <w:p w14:paraId="43A1F35A" w14:textId="48D50B79"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0.050</w:t>
            </w:r>
          </w:p>
        </w:tc>
        <w:tc>
          <w:tcPr>
            <w:tcW w:w="1418" w:type="dxa"/>
            <w:vAlign w:val="center"/>
          </w:tcPr>
          <w:p w14:paraId="07D147BD" w14:textId="19D4859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30</w:t>
            </w:r>
          </w:p>
        </w:tc>
        <w:tc>
          <w:tcPr>
            <w:tcW w:w="1275" w:type="dxa"/>
            <w:vAlign w:val="center"/>
          </w:tcPr>
          <w:p w14:paraId="02B9C3A7" w14:textId="62C974F5"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{"citationID":"ab9tecs44o","properties":{"formattedCitation":"\\super 123\\nosupersub{}","plainCitation":"123","noteIndex":0},"citationItems":[{"id":3080,"uris":["http://zotero.org/users/local/J1vikkcu/items/2VJMN6XN"],"itemData":{"id":3080,"type":"article-journal","abstract":"The interfacial engineering in solid-state lithium batteries (SSLBs) is attracting escalating attention due to the profoundly enhanced safety, energy density, and charging capabilities of future power storage technologies. Nonetheless, polymer/ ceramic interphase compatibility, serious agglomeration of ceramic particles, and discontinuous ionic conduction at the electrode/electrolyte interface seriously limit Li+ transport in SSLBs and block the application and large-scale manufacturing. Hence, garnet Li7La3Zr2O12 (LLZO) nanoparticles are introduced into the polyacrylonitrile (PAN) nanofiber to fabricate a polymer-ceramic nanofiber-enhanced ultrathin SSE membrane (3D LLZO-PAN), harnessing nanofiber confinement to aggregate LLZO nanoparticles to build the continuous conduction pathway of Li+. In addition, a novel integrated electrospinning process is deliberately designed to construct tight physical contact between positive electrode/electrolyte interphases. Importantly, the synergistic effect of the PAN, polyethylene oxide (PEO), and lithium bis((trifluoromethyl)sulfonyl)azanide (LiTFSI) benefits a stable solid electrolyte interphase (SEI) layer, resulting in superior cycling performance, achieving a remarkable 1500 h cycling at 0.2 mA cm 2 in the Lij3D LLZO-PANjLi battery. Consequently, the integrated polymer-ceramic nanofiber-enhanced SSEs simultaneously achieve the balance in ultrathin thickness (16 μm), fast ion transport (2.9 10 4 S cm 1), and superior excellent interface contact (15.6 Ω). The LiNi0.8Co0.1Mn0.1O2j3D LLZO-PANjLi batteries (2.7–4.3 V) can work over 200 cycles at 0.5 C. The pouch cells with practical LiNi0.8Co0.1Mn0.1O2jjLi configuration achieve an ultrahigh energy density of 345.8 Wh kg 1 and safety performance. This work provides new strategies for the manufacturing and utilization of high-energy-density SSLBs.","container-title":"InfoMat","DOI":"10.1002/inf2.70012","ISSN":"2567-3165, 2567-3165","issue":"8","journalAbbreviation":"InfoMat","language":"en","page":"e70012","source":"DOI.org (Crossref)","title":"Addressing the interface issues of all‐solid‐state lithium batteries by ultra‐thin composite solid‐state electrolyte combined with the integrated preparation technology","volume":"7","author":[{"family":"Zhao","given":"Xiaoxue"},{"family":"Wang","given":"Chao"},{"family":"Fan","given":"Xiaomeng"},{"family":"Li","given":"Yang"},{"family":"Li","given":"Dabing"},{"family":"Zhang","given":"Yanling"},{"family":"Fan","given":"Li‐Zhen"}],"issued":{"date-parts":[["2025",8]]}}}],"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123</w:t>
            </w:r>
            <w:r w:rsidRPr="002657D1">
              <w:rPr>
                <w:rFonts w:ascii="Times New Roman" w:hAnsi="Times New Roman" w:cs="Times New Roman"/>
                <w:color w:val="000000" w:themeColor="text1"/>
                <w:sz w:val="24"/>
                <w:szCs w:val="24"/>
              </w:rPr>
              <w:fldChar w:fldCharType="end"/>
            </w:r>
          </w:p>
        </w:tc>
      </w:tr>
      <w:tr w:rsidR="002657D1" w:rsidRPr="002657D1" w14:paraId="2A8618F1" w14:textId="77777777" w:rsidTr="001A7EE6">
        <w:trPr>
          <w:jc w:val="center"/>
        </w:trPr>
        <w:tc>
          <w:tcPr>
            <w:tcW w:w="2802" w:type="dxa"/>
            <w:vAlign w:val="center"/>
          </w:tcPr>
          <w:p w14:paraId="09945FA4" w14:textId="7BCFB9BD"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NCM811/AlF</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-Li</w:t>
            </w:r>
            <w:r w:rsidRPr="002657D1">
              <w:rPr>
                <w:rFonts w:ascii="Times New Roman" w:hAnsi="Times New Roman" w:cs="Times New Roman"/>
                <w:color w:val="000000" w:themeColor="text1"/>
                <w:sz w:val="24"/>
                <w:szCs w:val="24"/>
                <w:vertAlign w:val="subscript"/>
              </w:rPr>
              <w:t>6.4</w:t>
            </w:r>
            <w:r w:rsidRPr="002657D1">
              <w:rPr>
                <w:rFonts w:ascii="Times New Roman" w:hAnsi="Times New Roman" w:cs="Times New Roman"/>
                <w:color w:val="000000" w:themeColor="text1"/>
                <w:sz w:val="24"/>
                <w:szCs w:val="24"/>
              </w:rPr>
              <w:t>La</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Zr</w:t>
            </w:r>
            <w:r w:rsidRPr="002657D1">
              <w:rPr>
                <w:rFonts w:ascii="Times New Roman" w:hAnsi="Times New Roman" w:cs="Times New Roman"/>
                <w:color w:val="000000" w:themeColor="text1"/>
                <w:sz w:val="24"/>
                <w:szCs w:val="24"/>
                <w:vertAlign w:val="subscript"/>
              </w:rPr>
              <w:t>1.4</w:t>
            </w:r>
            <w:r w:rsidRPr="002657D1">
              <w:rPr>
                <w:rFonts w:ascii="Times New Roman" w:hAnsi="Times New Roman" w:cs="Times New Roman"/>
                <w:color w:val="000000" w:themeColor="text1"/>
                <w:sz w:val="24"/>
                <w:szCs w:val="24"/>
              </w:rPr>
              <w:t>Ta</w:t>
            </w:r>
            <w:r w:rsidRPr="002657D1">
              <w:rPr>
                <w:rFonts w:ascii="Times New Roman" w:hAnsi="Times New Roman" w:cs="Times New Roman"/>
                <w:color w:val="000000" w:themeColor="text1"/>
                <w:sz w:val="24"/>
                <w:szCs w:val="24"/>
                <w:vertAlign w:val="subscript"/>
              </w:rPr>
              <w:t>0.6</w:t>
            </w:r>
            <w:r w:rsidRPr="002657D1">
              <w:rPr>
                <w:rFonts w:ascii="Times New Roman" w:hAnsi="Times New Roman" w:cs="Times New Roman"/>
                <w:color w:val="000000" w:themeColor="text1"/>
                <w:sz w:val="24"/>
                <w:szCs w:val="24"/>
              </w:rPr>
              <w:t>O</w:t>
            </w:r>
            <w:r w:rsidRPr="002657D1">
              <w:rPr>
                <w:rFonts w:ascii="Times New Roman" w:hAnsi="Times New Roman" w:cs="Times New Roman"/>
                <w:color w:val="000000" w:themeColor="text1"/>
                <w:sz w:val="24"/>
                <w:szCs w:val="24"/>
                <w:vertAlign w:val="subscript"/>
              </w:rPr>
              <w:t>12</w:t>
            </w:r>
            <w:r w:rsidRPr="002657D1">
              <w:rPr>
                <w:rFonts w:ascii="Times New Roman" w:hAnsi="Times New Roman" w:cs="Times New Roman"/>
                <w:color w:val="000000" w:themeColor="text1"/>
                <w:sz w:val="24"/>
                <w:szCs w:val="24"/>
              </w:rPr>
              <w:t>-IL/LC10</w:t>
            </w:r>
          </w:p>
        </w:tc>
        <w:tc>
          <w:tcPr>
            <w:tcW w:w="1876" w:type="dxa"/>
            <w:vAlign w:val="center"/>
          </w:tcPr>
          <w:p w14:paraId="1C25C94F" w14:textId="6FF774D7"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2.8</w:t>
            </w:r>
          </w:p>
        </w:tc>
        <w:tc>
          <w:tcPr>
            <w:tcW w:w="1276" w:type="dxa"/>
            <w:vAlign w:val="center"/>
          </w:tcPr>
          <w:p w14:paraId="70A88E0C" w14:textId="7D932EE4"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180.3</w:t>
            </w:r>
          </w:p>
        </w:tc>
        <w:tc>
          <w:tcPr>
            <w:tcW w:w="1417" w:type="dxa"/>
            <w:vAlign w:val="center"/>
          </w:tcPr>
          <w:p w14:paraId="0D5E64F6" w14:textId="7308FF92"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0.50</w:t>
            </w:r>
          </w:p>
        </w:tc>
        <w:tc>
          <w:tcPr>
            <w:tcW w:w="1418" w:type="dxa"/>
            <w:vAlign w:val="center"/>
          </w:tcPr>
          <w:p w14:paraId="4A7D998F" w14:textId="089ADDDB"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100@0.2 C</w:t>
            </w:r>
          </w:p>
        </w:tc>
        <w:tc>
          <w:tcPr>
            <w:tcW w:w="1559" w:type="dxa"/>
            <w:vAlign w:val="center"/>
          </w:tcPr>
          <w:p w14:paraId="4F78F178" w14:textId="383DDCA5"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0.032</w:t>
            </w:r>
          </w:p>
        </w:tc>
        <w:tc>
          <w:tcPr>
            <w:tcW w:w="1418" w:type="dxa"/>
            <w:vAlign w:val="center"/>
          </w:tcPr>
          <w:p w14:paraId="7953FBEB" w14:textId="4734AA7F"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30</w:t>
            </w:r>
          </w:p>
        </w:tc>
        <w:tc>
          <w:tcPr>
            <w:tcW w:w="1275" w:type="dxa"/>
            <w:vAlign w:val="center"/>
          </w:tcPr>
          <w:p w14:paraId="25F45C4F" w14:textId="4B4553D9" w:rsidR="006F5648" w:rsidRPr="002657D1" w:rsidRDefault="006F5648" w:rsidP="006F5648">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00E725CF" w:rsidRPr="002657D1">
              <w:rPr>
                <w:rFonts w:ascii="Times New Roman" w:hAnsi="Times New Roman" w:cs="Times New Roman"/>
                <w:color w:val="000000" w:themeColor="text1"/>
                <w:sz w:val="24"/>
                <w:szCs w:val="24"/>
              </w:rPr>
              <w:instrText xml:space="preserve"> ADDIN ZOTERO_ITEM CSL_CITATION {"citationID":"a1lfdl37l8d","properties":{"formattedCitation":"\\super 124\\nosupersub{}","plainCitation":"124","noteIndex":0},"citationItems":[{"id":3088,"uris":["http://zotero.org/users/local/J1vikkcu/items/E36D9V63"],"itemData":{"id":3088,"type":"article-journal","abstract":"Abstract\n            \n              Interfacial‐contact failure and void‐evolution in garnet‐based solid‐state lithium‐metal batteries (SSLMBs), caused by inadequate initial interface‐bonding and limited lithium‐ion diffusion at the anode, represent critical bottlenecks that need to be addressed to achieve the practical viability of SSLMBs. Here, a plasma‐assisted dual‐strategy is presented that integrates radio‐frequency plasma‐magnetron‐sputtering (RF‐PMS) and dielectric‐barrier‐discharge (DBD) plasma‐treatment to construct an outstanding interface structure. Specifically, the composite‐lithium‐anode (CLA) doped with DBD plasma‐functionalized carbon‐nanotubes (D‐CNT) is coated onto an AlF\n              3\n              ‐modified Li\n              6.4\n              La\n              3\n              Zr\n              1.4\n              Ta\n              0.6\n              O\n              12\n              (AF‐LLZTO) solid electrolyte synthesized using RF‐PMS. The engineered LC10|AF‐LLZTO interface (LC10: optimized CLA containing 10 wt.% D‐CNT) facilitates a stable lithium‐ion diffusion pathway, effectively mitigating interfacial‐contact degradation. Following delithiation to 3.0 mAh cm\n              −2\n              , this configuration retains 85.16% interfacial‐contact integrity—significantly surpassing the mere 10.49% retention observed in unmodified lithium‐anodes. The enhanced interfacial‐stability of this structure can be directly visualized through in situ optical‐microscopy observation. The symmetric cell LC10|AF‐LLZTO‐AF|LC10 achieves 10000 h of stable cycling at 0.2 mA cm\n              −2\n              , significantly outperforming the symmetric cells Li|AF‐LLZTO‐AF|Li without CLA (1930 h) and LC10|LLZTO|LC10 without AlF\n              3\n              (&lt;900 h). Furthermore, a full cell LC10|AF‐LLZTO‐IL|NCM811 utilizing a LiNi\n              0.8\n              Co\n              0.1\n              Mn\n              0.1\n              O\n              2\n              (NCM811) cathode demonstrated ultra‐long cycling stability, achieving a maximum of 2000 cycles at 1 C and exhibiting a single‐cycle capacity degradation of ≈0.0125%.","container-title":"Advanced Functional Materials","DOI":"10.1002/adfm.202521740","ISSN":"1616-301X, 1616-3028","journalAbbreviation":"Adv Funct Materials","language":"en","page":"e21740","source":"DOI.org (Crossref)","title":"Deciphering Solid‐State Battery Interface Failure: Plasma‐Assisted Bulk‐Interface Lithium Diffusion Kinetics Regulation","title-short":"Deciphering Solid‐State Battery Interface Failure","author":[{"family":"Wu","given":"Jialong"},{"family":"Chen","given":"Weiheng"},{"family":"Hao","given":"Bin"},{"family":"Wang","given":"Yichun"},{"family":"Xu","given":"Zejun"},{"family":"Wang","given":"Qiushi"},{"family":"Jiang","given":"Zhong‐Jie"},{"family":"Jiang","given":"Zhongqing"}],"issued":{"date-parts":[["2025",10,16]]}}}],"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00E725CF" w:rsidRPr="002657D1">
              <w:rPr>
                <w:rFonts w:ascii="Times New Roman" w:hAnsi="Times New Roman" w:cs="Times New Roman"/>
                <w:color w:val="000000" w:themeColor="text1"/>
                <w:kern w:val="0"/>
                <w:sz w:val="24"/>
                <w:szCs w:val="24"/>
                <w:vertAlign w:val="superscript"/>
              </w:rPr>
              <w:t>124</w:t>
            </w:r>
            <w:r w:rsidRPr="002657D1">
              <w:rPr>
                <w:rFonts w:ascii="Times New Roman" w:hAnsi="Times New Roman" w:cs="Times New Roman"/>
                <w:color w:val="000000" w:themeColor="text1"/>
                <w:sz w:val="24"/>
                <w:szCs w:val="24"/>
              </w:rPr>
              <w:fldChar w:fldCharType="end"/>
            </w:r>
          </w:p>
        </w:tc>
      </w:tr>
    </w:tbl>
    <w:p w14:paraId="69A574BD" w14:textId="77777777" w:rsidR="00774816" w:rsidRPr="002657D1" w:rsidRDefault="00D718C8" w:rsidP="00D718C8">
      <w:pPr>
        <w:widowControl/>
        <w:jc w:val="left"/>
        <w:rPr>
          <w:rFonts w:ascii="Times New Roman" w:hAnsi="Times New Roman" w:cs="Times New Roman"/>
          <w:color w:val="000000" w:themeColor="text1"/>
        </w:rPr>
        <w:sectPr w:rsidR="00774816" w:rsidRPr="002657D1" w:rsidSect="00685BB0">
          <w:pgSz w:w="14175" w:h="16840"/>
          <w:pgMar w:top="1440" w:right="1797" w:bottom="1440" w:left="1797" w:header="851" w:footer="992" w:gutter="0"/>
          <w:lnNumType w:countBy="1" w:restart="continuous"/>
          <w:cols w:space="425"/>
          <w:docGrid w:type="lines" w:linePitch="312"/>
        </w:sectPr>
      </w:pPr>
      <w:r w:rsidRPr="002657D1">
        <w:rPr>
          <w:rFonts w:ascii="Times New Roman" w:hAnsi="Times New Roman" w:cs="Times New Roman"/>
          <w:color w:val="000000" w:themeColor="text1"/>
        </w:rPr>
        <w:br w:type="page"/>
      </w:r>
    </w:p>
    <w:p w14:paraId="531A8A69" w14:textId="5F449EBF" w:rsidR="00EB61D8" w:rsidRPr="002657D1" w:rsidRDefault="00EB61D8" w:rsidP="00337602">
      <w:pPr>
        <w:widowControl/>
        <w:spacing w:before="120" w:afterLines="50" w:after="156" w:line="360" w:lineRule="auto"/>
        <w:rPr>
          <w:rFonts w:ascii="Times New Roman" w:eastAsia="宋体" w:hAnsi="Times New Roman" w:cs="Times New Roman"/>
          <w:color w:val="000000" w:themeColor="text1"/>
          <w:kern w:val="0"/>
          <w:sz w:val="24"/>
          <w:szCs w:val="24"/>
        </w:rPr>
      </w:pPr>
      <w:bookmarkStart w:id="116" w:name="OLE_LINK36"/>
      <w:r w:rsidRPr="002657D1">
        <w:rPr>
          <w:rFonts w:ascii="Times New Roman" w:hAnsi="Times New Roman" w:cs="Times New Roman"/>
          <w:b/>
          <w:bCs/>
          <w:color w:val="000000" w:themeColor="text1"/>
          <w:sz w:val="24"/>
          <w:szCs w:val="24"/>
        </w:rPr>
        <w:lastRenderedPageBreak/>
        <w:t xml:space="preserve">Supplementary Table </w:t>
      </w:r>
      <w:r w:rsidR="00906016" w:rsidRPr="002657D1">
        <w:rPr>
          <w:rFonts w:ascii="Times New Roman" w:hAnsi="Times New Roman" w:cs="Times New Roman"/>
          <w:b/>
          <w:bCs/>
          <w:color w:val="000000" w:themeColor="text1"/>
          <w:sz w:val="24"/>
          <w:szCs w:val="24"/>
        </w:rPr>
        <w:t>10</w:t>
      </w:r>
      <w:r w:rsidRPr="002657D1">
        <w:rPr>
          <w:rFonts w:ascii="Times New Roman" w:hAnsi="Times New Roman" w:cs="Times New Roman"/>
          <w:b/>
          <w:bCs/>
          <w:color w:val="000000" w:themeColor="text1"/>
          <w:sz w:val="24"/>
          <w:szCs w:val="24"/>
        </w:rPr>
        <w:t>.</w:t>
      </w:r>
      <w:bookmarkEnd w:id="116"/>
      <w:r w:rsidRPr="002657D1">
        <w:rPr>
          <w:rFonts w:ascii="Times New Roman" w:eastAsia="宋体" w:hAnsi="Times New Roman" w:cs="Times New Roman"/>
          <w:color w:val="000000" w:themeColor="text1"/>
          <w:kern w:val="0"/>
          <w:sz w:val="24"/>
          <w:szCs w:val="24"/>
        </w:rPr>
        <w:t xml:space="preserve"> </w:t>
      </w:r>
      <w:bookmarkStart w:id="117" w:name="OLE_LINK59"/>
      <w:r w:rsidR="00654B51" w:rsidRPr="002657D1">
        <w:rPr>
          <w:rFonts w:ascii="Times New Roman" w:eastAsia="宋体" w:hAnsi="Times New Roman" w:cs="Times New Roman"/>
          <w:color w:val="000000" w:themeColor="text1"/>
          <w:kern w:val="0"/>
          <w:sz w:val="24"/>
          <w:szCs w:val="24"/>
        </w:rPr>
        <w:t>The cost</w:t>
      </w:r>
      <w:bookmarkStart w:id="118" w:name="OLE_LINK29"/>
      <w:r w:rsidR="00654B51" w:rsidRPr="002657D1">
        <w:rPr>
          <w:rFonts w:ascii="Times New Roman" w:eastAsia="宋体" w:hAnsi="Times New Roman" w:cs="Times New Roman"/>
          <w:color w:val="000000" w:themeColor="text1"/>
          <w:kern w:val="0"/>
          <w:sz w:val="24"/>
          <w:szCs w:val="24"/>
        </w:rPr>
        <w:t xml:space="preserve"> of elements</w:t>
      </w:r>
      <w:bookmarkEnd w:id="118"/>
      <w:r w:rsidR="00654B51" w:rsidRPr="002657D1">
        <w:rPr>
          <w:rFonts w:ascii="Times New Roman" w:eastAsia="宋体" w:hAnsi="Times New Roman" w:cs="Times New Roman"/>
          <w:color w:val="000000" w:themeColor="text1"/>
          <w:kern w:val="0"/>
          <w:sz w:val="24"/>
          <w:szCs w:val="24"/>
        </w:rPr>
        <w:t xml:space="preserve"> in </w:t>
      </w:r>
      <w:bookmarkStart w:id="119" w:name="OLE_LINK49"/>
      <w:r w:rsidR="00E25562" w:rsidRPr="002657D1">
        <w:rPr>
          <w:rFonts w:ascii="Times New Roman" w:eastAsia="宋体" w:hAnsi="Times New Roman" w:cs="Times New Roman"/>
          <w:color w:val="000000" w:themeColor="text1"/>
          <w:kern w:val="0"/>
          <w:sz w:val="24"/>
          <w:szCs w:val="24"/>
        </w:rPr>
        <w:t>HSEs</w:t>
      </w:r>
      <w:r w:rsidR="00654B51" w:rsidRPr="002657D1">
        <w:rPr>
          <w:rFonts w:ascii="Times New Roman" w:eastAsia="宋体" w:hAnsi="Times New Roman" w:cs="Times New Roman"/>
          <w:color w:val="000000" w:themeColor="text1"/>
          <w:kern w:val="0"/>
          <w:sz w:val="24"/>
          <w:szCs w:val="24"/>
        </w:rPr>
        <w:t xml:space="preserve"> and conventional </w:t>
      </w:r>
      <w:bookmarkEnd w:id="119"/>
      <w:r w:rsidR="009D049B" w:rsidRPr="002657D1">
        <w:rPr>
          <w:rFonts w:ascii="Times New Roman" w:eastAsia="宋体" w:hAnsi="Times New Roman" w:cs="Times New Roman" w:hint="eastAsia"/>
          <w:color w:val="000000" w:themeColor="text1"/>
          <w:kern w:val="0"/>
          <w:sz w:val="24"/>
          <w:szCs w:val="24"/>
        </w:rPr>
        <w:t>cathode active materials</w:t>
      </w:r>
      <w:r w:rsidR="00654B51" w:rsidRPr="002657D1">
        <w:rPr>
          <w:rFonts w:ascii="Times New Roman" w:eastAsia="宋体" w:hAnsi="Times New Roman" w:cs="Times New Roman"/>
          <w:color w:val="000000" w:themeColor="text1"/>
          <w:kern w:val="0"/>
          <w:sz w:val="24"/>
          <w:szCs w:val="24"/>
        </w:rPr>
        <w:t>.</w:t>
      </w:r>
      <w:bookmarkEnd w:id="117"/>
    </w:p>
    <w:tbl>
      <w:tblPr>
        <w:tblStyle w:val="af7"/>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363"/>
        <w:gridCol w:w="1526"/>
        <w:gridCol w:w="974"/>
        <w:gridCol w:w="4443"/>
      </w:tblGrid>
      <w:tr w:rsidR="002657D1" w:rsidRPr="002657D1" w14:paraId="763D1595" w14:textId="77777777" w:rsidTr="00101292">
        <w:tc>
          <w:tcPr>
            <w:tcW w:w="1220" w:type="dxa"/>
            <w:tcBorders>
              <w:top w:val="single" w:sz="12" w:space="0" w:color="auto"/>
              <w:bottom w:val="single" w:sz="12" w:space="0" w:color="auto"/>
            </w:tcBorders>
          </w:tcPr>
          <w:p w14:paraId="367B488A" w14:textId="77777777"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Element</w:t>
            </w:r>
          </w:p>
        </w:tc>
        <w:tc>
          <w:tcPr>
            <w:tcW w:w="1546" w:type="dxa"/>
            <w:tcBorders>
              <w:top w:val="single" w:sz="12" w:space="0" w:color="auto"/>
              <w:bottom w:val="single" w:sz="12" w:space="0" w:color="auto"/>
            </w:tcBorders>
          </w:tcPr>
          <w:p w14:paraId="329A9EF7" w14:textId="77777777"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Price ($ kg⁻</w:t>
            </w:r>
            <w:r w:rsidRPr="002657D1">
              <w:rPr>
                <w:rFonts w:ascii="Times New Roman" w:eastAsia="宋体" w:hAnsi="Times New Roman" w:cs="Times New Roman"/>
                <w:color w:val="000000" w:themeColor="text1"/>
                <w:kern w:val="0"/>
                <w:sz w:val="24"/>
                <w:szCs w:val="24"/>
                <w:vertAlign w:val="superscript"/>
              </w:rPr>
              <w:t>1</w:t>
            </w:r>
            <w:r w:rsidRPr="002657D1">
              <w:rPr>
                <w:rFonts w:ascii="Times New Roman" w:eastAsia="宋体" w:hAnsi="Times New Roman" w:cs="Times New Roman"/>
                <w:color w:val="000000" w:themeColor="text1"/>
                <w:kern w:val="0"/>
                <w:sz w:val="24"/>
                <w:szCs w:val="24"/>
              </w:rPr>
              <w:t>)</w:t>
            </w:r>
          </w:p>
        </w:tc>
        <w:tc>
          <w:tcPr>
            <w:tcW w:w="984" w:type="dxa"/>
            <w:tcBorders>
              <w:top w:val="single" w:sz="12" w:space="0" w:color="auto"/>
              <w:bottom w:val="single" w:sz="12" w:space="0" w:color="auto"/>
            </w:tcBorders>
          </w:tcPr>
          <w:p w14:paraId="70D1327C" w14:textId="77777777"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Year</w:t>
            </w:r>
          </w:p>
        </w:tc>
        <w:tc>
          <w:tcPr>
            <w:tcW w:w="4546" w:type="dxa"/>
            <w:tcBorders>
              <w:top w:val="single" w:sz="12" w:space="0" w:color="auto"/>
              <w:bottom w:val="single" w:sz="12" w:space="0" w:color="auto"/>
            </w:tcBorders>
          </w:tcPr>
          <w:p w14:paraId="248AA733" w14:textId="77777777"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Source</w:t>
            </w:r>
          </w:p>
        </w:tc>
      </w:tr>
      <w:tr w:rsidR="002657D1" w:rsidRPr="002657D1" w14:paraId="1763EA23" w14:textId="77777777" w:rsidTr="00101292">
        <w:tc>
          <w:tcPr>
            <w:tcW w:w="1220" w:type="dxa"/>
            <w:tcBorders>
              <w:top w:val="single" w:sz="12" w:space="0" w:color="auto"/>
            </w:tcBorders>
          </w:tcPr>
          <w:p w14:paraId="2071EEF7" w14:textId="32D4D23C"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Lithium</w:t>
            </w:r>
          </w:p>
        </w:tc>
        <w:tc>
          <w:tcPr>
            <w:tcW w:w="1546" w:type="dxa"/>
            <w:tcBorders>
              <w:top w:val="single" w:sz="12" w:space="0" w:color="auto"/>
            </w:tcBorders>
          </w:tcPr>
          <w:p w14:paraId="4DE93AB1" w14:textId="097434A2"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62.09</w:t>
            </w:r>
          </w:p>
        </w:tc>
        <w:tc>
          <w:tcPr>
            <w:tcW w:w="984" w:type="dxa"/>
            <w:tcBorders>
              <w:top w:val="single" w:sz="12" w:space="0" w:color="auto"/>
            </w:tcBorders>
          </w:tcPr>
          <w:p w14:paraId="077D84A7" w14:textId="6042D563"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2025</w:t>
            </w:r>
          </w:p>
        </w:tc>
        <w:tc>
          <w:tcPr>
            <w:tcW w:w="4546" w:type="dxa"/>
            <w:tcBorders>
              <w:top w:val="single" w:sz="12" w:space="0" w:color="auto"/>
            </w:tcBorders>
          </w:tcPr>
          <w:p w14:paraId="7556A0CE" w14:textId="0575C3CA"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 xml:space="preserve">Shanghai Metals Market (Brand: </w:t>
            </w:r>
            <w:proofErr w:type="spellStart"/>
            <w:r w:rsidRPr="002657D1">
              <w:rPr>
                <w:rFonts w:ascii="Times New Roman" w:eastAsia="宋体" w:hAnsi="Times New Roman" w:cs="Times New Roman"/>
                <w:color w:val="000000" w:themeColor="text1"/>
                <w:kern w:val="0"/>
                <w:sz w:val="24"/>
                <w:szCs w:val="24"/>
              </w:rPr>
              <w:t>Ganfeng</w:t>
            </w:r>
            <w:proofErr w:type="spellEnd"/>
            <w:r w:rsidRPr="002657D1">
              <w:rPr>
                <w:rFonts w:ascii="Times New Roman" w:eastAsia="宋体" w:hAnsi="Times New Roman" w:cs="Times New Roman"/>
                <w:color w:val="000000" w:themeColor="text1"/>
                <w:kern w:val="0"/>
                <w:sz w:val="24"/>
                <w:szCs w:val="24"/>
              </w:rPr>
              <w:t xml:space="preserve">, Tianqi, </w:t>
            </w:r>
            <w:proofErr w:type="spellStart"/>
            <w:r w:rsidRPr="002657D1">
              <w:rPr>
                <w:rFonts w:ascii="Times New Roman" w:eastAsia="宋体" w:hAnsi="Times New Roman" w:cs="Times New Roman"/>
                <w:color w:val="000000" w:themeColor="text1"/>
                <w:kern w:val="0"/>
                <w:sz w:val="24"/>
                <w:szCs w:val="24"/>
              </w:rPr>
              <w:t>Jinkunlun</w:t>
            </w:r>
            <w:proofErr w:type="spellEnd"/>
            <w:r w:rsidRPr="002657D1">
              <w:rPr>
                <w:rFonts w:ascii="Times New Roman" w:eastAsia="宋体" w:hAnsi="Times New Roman" w:cs="Times New Roman"/>
                <w:color w:val="000000" w:themeColor="text1"/>
                <w:kern w:val="0"/>
                <w:sz w:val="24"/>
                <w:szCs w:val="24"/>
              </w:rPr>
              <w:t>, etc.)</w:t>
            </w:r>
          </w:p>
        </w:tc>
      </w:tr>
      <w:tr w:rsidR="002657D1" w:rsidRPr="002657D1" w14:paraId="4C20524C" w14:textId="77777777" w:rsidTr="00026527">
        <w:tc>
          <w:tcPr>
            <w:tcW w:w="1220" w:type="dxa"/>
          </w:tcPr>
          <w:p w14:paraId="6F19F862" w14:textId="1223BCBB" w:rsidR="003E0F20" w:rsidRPr="002657D1" w:rsidRDefault="00A72D93"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Zirconium</w:t>
            </w:r>
          </w:p>
        </w:tc>
        <w:tc>
          <w:tcPr>
            <w:tcW w:w="1546" w:type="dxa"/>
          </w:tcPr>
          <w:p w14:paraId="525AC63B" w14:textId="548A85E6" w:rsidR="003E0F20" w:rsidRPr="002657D1" w:rsidRDefault="00A72D93"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20.59</w:t>
            </w:r>
          </w:p>
        </w:tc>
        <w:tc>
          <w:tcPr>
            <w:tcW w:w="984" w:type="dxa"/>
          </w:tcPr>
          <w:p w14:paraId="7F739E5F" w14:textId="36B1AF53" w:rsidR="003E0F20" w:rsidRPr="002657D1" w:rsidRDefault="00A72D93"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2025</w:t>
            </w:r>
          </w:p>
        </w:tc>
        <w:tc>
          <w:tcPr>
            <w:tcW w:w="4546" w:type="dxa"/>
          </w:tcPr>
          <w:p w14:paraId="118F93A8" w14:textId="1D60E320" w:rsidR="003E0F20" w:rsidRPr="002657D1" w:rsidRDefault="00A72D93"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Shanghai Metals Market (</w:t>
            </w:r>
            <w:bookmarkStart w:id="120" w:name="OLE_LINK35"/>
            <w:r w:rsidRPr="002657D1">
              <w:rPr>
                <w:rFonts w:ascii="Times New Roman" w:eastAsia="宋体" w:hAnsi="Times New Roman" w:cs="Times New Roman"/>
                <w:color w:val="000000" w:themeColor="text1"/>
                <w:kern w:val="0"/>
                <w:sz w:val="24"/>
                <w:szCs w:val="24"/>
              </w:rPr>
              <w:t xml:space="preserve">Brand: </w:t>
            </w:r>
            <w:bookmarkEnd w:id="120"/>
            <w:r w:rsidRPr="002657D1">
              <w:rPr>
                <w:rFonts w:ascii="Times New Roman" w:eastAsia="宋体" w:hAnsi="Times New Roman" w:cs="Times New Roman"/>
                <w:color w:val="000000" w:themeColor="text1"/>
                <w:kern w:val="0"/>
                <w:sz w:val="24"/>
                <w:szCs w:val="24"/>
              </w:rPr>
              <w:t xml:space="preserve">Aohan, </w:t>
            </w:r>
            <w:proofErr w:type="spellStart"/>
            <w:r w:rsidRPr="002657D1">
              <w:rPr>
                <w:rFonts w:ascii="Times New Roman" w:eastAsia="宋体" w:hAnsi="Times New Roman" w:cs="Times New Roman"/>
                <w:color w:val="000000" w:themeColor="text1"/>
                <w:kern w:val="0"/>
                <w:sz w:val="24"/>
                <w:szCs w:val="24"/>
              </w:rPr>
              <w:t>Donggao</w:t>
            </w:r>
            <w:proofErr w:type="spellEnd"/>
            <w:r w:rsidRPr="002657D1">
              <w:rPr>
                <w:rFonts w:ascii="Times New Roman" w:eastAsia="宋体" w:hAnsi="Times New Roman" w:cs="Times New Roman"/>
                <w:color w:val="000000" w:themeColor="text1"/>
                <w:kern w:val="0"/>
                <w:sz w:val="24"/>
                <w:szCs w:val="24"/>
              </w:rPr>
              <w:t>, etc.)</w:t>
            </w:r>
          </w:p>
        </w:tc>
      </w:tr>
      <w:tr w:rsidR="002657D1" w:rsidRPr="002657D1" w14:paraId="61A342F5" w14:textId="77777777" w:rsidTr="00026527">
        <w:tc>
          <w:tcPr>
            <w:tcW w:w="1220" w:type="dxa"/>
          </w:tcPr>
          <w:p w14:paraId="0F020547" w14:textId="547E94D2"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bookmarkStart w:id="121" w:name="OLE_LINK43"/>
            <w:r w:rsidRPr="002657D1">
              <w:rPr>
                <w:rFonts w:ascii="Times New Roman" w:eastAsia="宋体" w:hAnsi="Times New Roman" w:cs="Times New Roman"/>
                <w:color w:val="000000" w:themeColor="text1"/>
                <w:kern w:val="0"/>
                <w:sz w:val="24"/>
                <w:szCs w:val="24"/>
              </w:rPr>
              <w:t>Tantalum</w:t>
            </w:r>
            <w:bookmarkEnd w:id="121"/>
          </w:p>
        </w:tc>
        <w:tc>
          <w:tcPr>
            <w:tcW w:w="1546" w:type="dxa"/>
          </w:tcPr>
          <w:p w14:paraId="5B913C33" w14:textId="623FB97B"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322.75</w:t>
            </w:r>
          </w:p>
        </w:tc>
        <w:tc>
          <w:tcPr>
            <w:tcW w:w="984" w:type="dxa"/>
          </w:tcPr>
          <w:p w14:paraId="6DBF4E56" w14:textId="2985A275" w:rsidR="003E0F20" w:rsidRPr="002657D1" w:rsidRDefault="00A72D93"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2025</w:t>
            </w:r>
          </w:p>
        </w:tc>
        <w:tc>
          <w:tcPr>
            <w:tcW w:w="4546" w:type="dxa"/>
          </w:tcPr>
          <w:p w14:paraId="5F2D22F7" w14:textId="3F6DEEB6" w:rsidR="003E0F20" w:rsidRPr="002657D1" w:rsidRDefault="00A72D93"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Shanghai Metals Market (</w:t>
            </w:r>
            <w:bookmarkStart w:id="122" w:name="OLE_LINK87"/>
            <w:r w:rsidRPr="002657D1">
              <w:rPr>
                <w:rFonts w:ascii="Times New Roman" w:eastAsia="宋体" w:hAnsi="Times New Roman" w:cs="Times New Roman"/>
                <w:color w:val="000000" w:themeColor="text1"/>
                <w:kern w:val="0"/>
                <w:sz w:val="24"/>
                <w:szCs w:val="24"/>
              </w:rPr>
              <w:t xml:space="preserve">Brand: </w:t>
            </w:r>
            <w:bookmarkEnd w:id="122"/>
            <w:r w:rsidRPr="002657D1">
              <w:rPr>
                <w:rFonts w:ascii="Times New Roman" w:eastAsia="宋体" w:hAnsi="Times New Roman" w:cs="Times New Roman"/>
                <w:color w:val="000000" w:themeColor="text1"/>
                <w:kern w:val="0"/>
                <w:sz w:val="24"/>
                <w:szCs w:val="24"/>
              </w:rPr>
              <w:t>Ningxia Orient Tantalum Industry Co., Ltd; ZHUZHOU CEMENTED CARBIDE GROUP CO.,</w:t>
            </w:r>
            <w:r w:rsidR="00DF1FC8" w:rsidRPr="002657D1">
              <w:rPr>
                <w:rFonts w:ascii="Times New Roman" w:eastAsia="宋体" w:hAnsi="Times New Roman" w:cs="Times New Roman"/>
                <w:color w:val="000000" w:themeColor="text1"/>
                <w:kern w:val="0"/>
                <w:sz w:val="24"/>
                <w:szCs w:val="24"/>
              </w:rPr>
              <w:t xml:space="preserve"> </w:t>
            </w:r>
            <w:r w:rsidRPr="002657D1">
              <w:rPr>
                <w:rFonts w:ascii="Times New Roman" w:eastAsia="宋体" w:hAnsi="Times New Roman" w:cs="Times New Roman"/>
                <w:color w:val="000000" w:themeColor="text1"/>
                <w:kern w:val="0"/>
                <w:sz w:val="24"/>
                <w:szCs w:val="24"/>
              </w:rPr>
              <w:t>LTD.)</w:t>
            </w:r>
          </w:p>
        </w:tc>
      </w:tr>
      <w:tr w:rsidR="002657D1" w:rsidRPr="002657D1" w14:paraId="723958F2" w14:textId="77777777" w:rsidTr="00026527">
        <w:tc>
          <w:tcPr>
            <w:tcW w:w="1220" w:type="dxa"/>
          </w:tcPr>
          <w:p w14:paraId="4F4C9A0E" w14:textId="387C374A" w:rsidR="003E0F20" w:rsidRPr="002657D1" w:rsidRDefault="00A72D93" w:rsidP="00101292">
            <w:pPr>
              <w:widowControl/>
              <w:spacing w:line="360" w:lineRule="auto"/>
              <w:jc w:val="center"/>
              <w:rPr>
                <w:rFonts w:ascii="Times New Roman" w:eastAsia="宋体" w:hAnsi="Times New Roman" w:cs="Times New Roman"/>
                <w:color w:val="000000" w:themeColor="text1"/>
                <w:kern w:val="0"/>
                <w:sz w:val="24"/>
                <w:szCs w:val="24"/>
              </w:rPr>
            </w:pPr>
            <w:bookmarkStart w:id="123" w:name="OLE_LINK41"/>
            <w:r w:rsidRPr="002657D1">
              <w:rPr>
                <w:rFonts w:ascii="Times New Roman" w:eastAsia="宋体" w:hAnsi="Times New Roman" w:cs="Times New Roman"/>
                <w:color w:val="000000" w:themeColor="text1"/>
                <w:kern w:val="0"/>
                <w:sz w:val="24"/>
                <w:szCs w:val="24"/>
              </w:rPr>
              <w:t>Lanthanum</w:t>
            </w:r>
            <w:bookmarkEnd w:id="123"/>
          </w:p>
        </w:tc>
        <w:tc>
          <w:tcPr>
            <w:tcW w:w="1546" w:type="dxa"/>
          </w:tcPr>
          <w:p w14:paraId="48BED7E3" w14:textId="59E1E4F0" w:rsidR="003E0F20" w:rsidRPr="002657D1" w:rsidRDefault="00A72D93"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2.67</w:t>
            </w:r>
          </w:p>
        </w:tc>
        <w:tc>
          <w:tcPr>
            <w:tcW w:w="984" w:type="dxa"/>
          </w:tcPr>
          <w:p w14:paraId="5C6D0045" w14:textId="418C0EE4" w:rsidR="003E0F20" w:rsidRPr="002657D1" w:rsidRDefault="00A72D93"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2025</w:t>
            </w:r>
          </w:p>
        </w:tc>
        <w:tc>
          <w:tcPr>
            <w:tcW w:w="4546" w:type="dxa"/>
          </w:tcPr>
          <w:p w14:paraId="5CB04AFB" w14:textId="465DA92D" w:rsidR="003E0F20" w:rsidRPr="002657D1" w:rsidRDefault="00A72D93"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Shanghai Metals Market</w:t>
            </w:r>
          </w:p>
        </w:tc>
      </w:tr>
      <w:tr w:rsidR="002657D1" w:rsidRPr="002657D1" w14:paraId="7CCDD4DA" w14:textId="77777777" w:rsidTr="00026527">
        <w:tc>
          <w:tcPr>
            <w:tcW w:w="1220" w:type="dxa"/>
          </w:tcPr>
          <w:p w14:paraId="1D162CFC" w14:textId="5EB2D82D" w:rsidR="003E0F20" w:rsidRPr="002657D1" w:rsidRDefault="002A2BCB" w:rsidP="00101292">
            <w:pPr>
              <w:widowControl/>
              <w:spacing w:line="360" w:lineRule="auto"/>
              <w:jc w:val="center"/>
              <w:rPr>
                <w:rFonts w:ascii="Times New Roman" w:eastAsia="宋体" w:hAnsi="Times New Roman" w:cs="Times New Roman"/>
                <w:color w:val="000000" w:themeColor="text1"/>
                <w:kern w:val="0"/>
                <w:sz w:val="24"/>
                <w:szCs w:val="24"/>
              </w:rPr>
            </w:pPr>
            <w:bookmarkStart w:id="124" w:name="_Hlk215480400"/>
            <w:r w:rsidRPr="002657D1">
              <w:rPr>
                <w:rFonts w:ascii="Times New Roman" w:eastAsia="宋体" w:hAnsi="Times New Roman" w:cs="Times New Roman"/>
                <w:color w:val="000000" w:themeColor="text1"/>
                <w:kern w:val="0"/>
                <w:sz w:val="24"/>
                <w:szCs w:val="24"/>
              </w:rPr>
              <w:t>Titanium</w:t>
            </w:r>
          </w:p>
        </w:tc>
        <w:tc>
          <w:tcPr>
            <w:tcW w:w="1546" w:type="dxa"/>
          </w:tcPr>
          <w:p w14:paraId="76C876C4" w14:textId="7943237A" w:rsidR="003E0F20" w:rsidRPr="002657D1" w:rsidRDefault="002A2BCB"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12.42</w:t>
            </w:r>
          </w:p>
        </w:tc>
        <w:tc>
          <w:tcPr>
            <w:tcW w:w="984" w:type="dxa"/>
          </w:tcPr>
          <w:p w14:paraId="03813864" w14:textId="1720A849" w:rsidR="003E0F20" w:rsidRPr="002657D1" w:rsidRDefault="002A2BCB"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2025</w:t>
            </w:r>
          </w:p>
        </w:tc>
        <w:tc>
          <w:tcPr>
            <w:tcW w:w="4546" w:type="dxa"/>
          </w:tcPr>
          <w:p w14:paraId="0F5CF91F" w14:textId="6D02C81A" w:rsidR="003E0F20" w:rsidRPr="002657D1" w:rsidRDefault="002A2BCB"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Shanghai Metals Market (</w:t>
            </w:r>
            <w:r w:rsidR="00907D51" w:rsidRPr="002657D1">
              <w:rPr>
                <w:rFonts w:ascii="Times New Roman" w:eastAsia="宋体" w:hAnsi="Times New Roman" w:cs="Times New Roman"/>
                <w:color w:val="000000" w:themeColor="text1"/>
                <w:kern w:val="0"/>
                <w:sz w:val="24"/>
                <w:szCs w:val="24"/>
              </w:rPr>
              <w:t xml:space="preserve">Brand: </w:t>
            </w:r>
            <w:r w:rsidRPr="002657D1">
              <w:rPr>
                <w:rFonts w:ascii="Times New Roman" w:eastAsia="宋体" w:hAnsi="Times New Roman" w:cs="Times New Roman"/>
                <w:color w:val="000000" w:themeColor="text1"/>
                <w:kern w:val="0"/>
                <w:sz w:val="24"/>
                <w:szCs w:val="24"/>
              </w:rPr>
              <w:t xml:space="preserve">BAOTI Shaanxi </w:t>
            </w:r>
            <w:proofErr w:type="spellStart"/>
            <w:r w:rsidRPr="002657D1">
              <w:rPr>
                <w:rFonts w:ascii="Times New Roman" w:eastAsia="宋体" w:hAnsi="Times New Roman" w:cs="Times New Roman"/>
                <w:color w:val="000000" w:themeColor="text1"/>
                <w:kern w:val="0"/>
                <w:sz w:val="24"/>
                <w:szCs w:val="24"/>
              </w:rPr>
              <w:t>Tiancheng</w:t>
            </w:r>
            <w:proofErr w:type="spellEnd"/>
            <w:r w:rsidRPr="002657D1">
              <w:rPr>
                <w:rFonts w:ascii="Times New Roman" w:eastAsia="宋体" w:hAnsi="Times New Roman" w:cs="Times New Roman"/>
                <w:color w:val="000000" w:themeColor="text1"/>
                <w:kern w:val="0"/>
                <w:sz w:val="24"/>
                <w:szCs w:val="24"/>
              </w:rPr>
              <w:t>)</w:t>
            </w:r>
          </w:p>
        </w:tc>
      </w:tr>
      <w:tr w:rsidR="002657D1" w:rsidRPr="002657D1" w14:paraId="711D78A8" w14:textId="77777777" w:rsidTr="00026527">
        <w:tc>
          <w:tcPr>
            <w:tcW w:w="1220" w:type="dxa"/>
          </w:tcPr>
          <w:p w14:paraId="6E4518D7" w14:textId="3087E93E" w:rsidR="00907D51" w:rsidRPr="002657D1" w:rsidRDefault="00907D51"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Indium</w:t>
            </w:r>
          </w:p>
        </w:tc>
        <w:tc>
          <w:tcPr>
            <w:tcW w:w="1546" w:type="dxa"/>
          </w:tcPr>
          <w:p w14:paraId="6BD6D538" w14:textId="5402767B" w:rsidR="00907D51" w:rsidRPr="002657D1" w:rsidRDefault="00907D51"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311.51</w:t>
            </w:r>
          </w:p>
        </w:tc>
        <w:tc>
          <w:tcPr>
            <w:tcW w:w="984" w:type="dxa"/>
          </w:tcPr>
          <w:p w14:paraId="2BBEB729" w14:textId="426A1DCA" w:rsidR="00907D51" w:rsidRPr="002657D1" w:rsidRDefault="00907D51"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2025</w:t>
            </w:r>
          </w:p>
        </w:tc>
        <w:tc>
          <w:tcPr>
            <w:tcW w:w="4546" w:type="dxa"/>
          </w:tcPr>
          <w:p w14:paraId="4E857670" w14:textId="1D8E62A6" w:rsidR="00907D51" w:rsidRPr="002657D1" w:rsidRDefault="00907D51"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 xml:space="preserve">Shanghai Metals Market (Brand: Huali, </w:t>
            </w:r>
            <w:proofErr w:type="spellStart"/>
            <w:r w:rsidRPr="002657D1">
              <w:rPr>
                <w:rFonts w:ascii="Times New Roman" w:eastAsia="宋体" w:hAnsi="Times New Roman" w:cs="Times New Roman"/>
                <w:color w:val="000000" w:themeColor="text1"/>
                <w:kern w:val="0"/>
                <w:sz w:val="24"/>
                <w:szCs w:val="24"/>
              </w:rPr>
              <w:t>Huili</w:t>
            </w:r>
            <w:proofErr w:type="spellEnd"/>
            <w:r w:rsidRPr="002657D1">
              <w:rPr>
                <w:rFonts w:ascii="Times New Roman" w:eastAsia="宋体" w:hAnsi="Times New Roman" w:cs="Times New Roman"/>
                <w:color w:val="000000" w:themeColor="text1"/>
                <w:kern w:val="0"/>
                <w:sz w:val="24"/>
                <w:szCs w:val="24"/>
              </w:rPr>
              <w:t xml:space="preserve">, </w:t>
            </w:r>
            <w:proofErr w:type="spellStart"/>
            <w:r w:rsidRPr="002657D1">
              <w:rPr>
                <w:rFonts w:ascii="Times New Roman" w:eastAsia="宋体" w:hAnsi="Times New Roman" w:cs="Times New Roman"/>
                <w:color w:val="000000" w:themeColor="text1"/>
                <w:kern w:val="0"/>
                <w:sz w:val="24"/>
                <w:szCs w:val="24"/>
              </w:rPr>
              <w:t>Hemao</w:t>
            </w:r>
            <w:proofErr w:type="spellEnd"/>
            <w:r w:rsidRPr="002657D1">
              <w:rPr>
                <w:rFonts w:ascii="Times New Roman" w:eastAsia="宋体" w:hAnsi="Times New Roman" w:cs="Times New Roman"/>
                <w:color w:val="000000" w:themeColor="text1"/>
                <w:kern w:val="0"/>
                <w:sz w:val="24"/>
                <w:szCs w:val="24"/>
              </w:rPr>
              <w:t xml:space="preserve">, Site, </w:t>
            </w:r>
            <w:proofErr w:type="spellStart"/>
            <w:r w:rsidRPr="002657D1">
              <w:rPr>
                <w:rFonts w:ascii="Times New Roman" w:eastAsia="宋体" w:hAnsi="Times New Roman" w:cs="Times New Roman"/>
                <w:color w:val="000000" w:themeColor="text1"/>
                <w:kern w:val="0"/>
                <w:sz w:val="24"/>
                <w:szCs w:val="24"/>
              </w:rPr>
              <w:t>Jinkai</w:t>
            </w:r>
            <w:proofErr w:type="spellEnd"/>
            <w:r w:rsidR="00DF1FC8" w:rsidRPr="002657D1">
              <w:rPr>
                <w:rFonts w:ascii="Times New Roman" w:eastAsia="宋体" w:hAnsi="Times New Roman" w:cs="Times New Roman"/>
                <w:color w:val="000000" w:themeColor="text1"/>
                <w:kern w:val="0"/>
                <w:sz w:val="24"/>
                <w:szCs w:val="24"/>
              </w:rPr>
              <w:t>,</w:t>
            </w:r>
            <w:r w:rsidRPr="002657D1">
              <w:rPr>
                <w:rFonts w:ascii="Times New Roman" w:eastAsia="宋体" w:hAnsi="Times New Roman" w:cs="Times New Roman"/>
                <w:color w:val="000000" w:themeColor="text1"/>
                <w:kern w:val="0"/>
                <w:sz w:val="24"/>
                <w:szCs w:val="24"/>
              </w:rPr>
              <w:t xml:space="preserve"> etc.)</w:t>
            </w:r>
          </w:p>
        </w:tc>
      </w:tr>
      <w:tr w:rsidR="002657D1" w:rsidRPr="002657D1" w14:paraId="07FCACBD" w14:textId="77777777" w:rsidTr="00101292">
        <w:tc>
          <w:tcPr>
            <w:tcW w:w="1220" w:type="dxa"/>
          </w:tcPr>
          <w:p w14:paraId="0906A6F8" w14:textId="1AA7CF43" w:rsidR="002A2BCB" w:rsidRPr="002657D1" w:rsidRDefault="002A2BCB" w:rsidP="00101292">
            <w:pPr>
              <w:widowControl/>
              <w:spacing w:line="360" w:lineRule="auto"/>
              <w:jc w:val="center"/>
              <w:rPr>
                <w:rFonts w:ascii="Times New Roman" w:eastAsia="宋体" w:hAnsi="Times New Roman" w:cs="Times New Roman"/>
                <w:color w:val="000000" w:themeColor="text1"/>
                <w:kern w:val="0"/>
                <w:sz w:val="24"/>
                <w:szCs w:val="24"/>
              </w:rPr>
            </w:pPr>
            <w:bookmarkStart w:id="125" w:name="OLE_LINK40"/>
            <w:bookmarkEnd w:id="124"/>
            <w:r w:rsidRPr="002657D1">
              <w:rPr>
                <w:rFonts w:ascii="Times New Roman" w:eastAsia="宋体" w:hAnsi="Times New Roman" w:cs="Times New Roman"/>
                <w:color w:val="000000" w:themeColor="text1"/>
                <w:kern w:val="0"/>
                <w:sz w:val="24"/>
                <w:szCs w:val="24"/>
              </w:rPr>
              <w:t>Germanium</w:t>
            </w:r>
            <w:bookmarkEnd w:id="125"/>
          </w:p>
        </w:tc>
        <w:tc>
          <w:tcPr>
            <w:tcW w:w="1546" w:type="dxa"/>
          </w:tcPr>
          <w:p w14:paraId="5F402859" w14:textId="0A9F9699" w:rsidR="002A2BCB" w:rsidRPr="002657D1" w:rsidRDefault="002A2BCB"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1728.55</w:t>
            </w:r>
          </w:p>
        </w:tc>
        <w:tc>
          <w:tcPr>
            <w:tcW w:w="984" w:type="dxa"/>
          </w:tcPr>
          <w:p w14:paraId="3B58B746" w14:textId="3396FC54" w:rsidR="002A2BCB" w:rsidRPr="002657D1" w:rsidRDefault="002A2BCB"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2025</w:t>
            </w:r>
          </w:p>
        </w:tc>
        <w:tc>
          <w:tcPr>
            <w:tcW w:w="4546" w:type="dxa"/>
          </w:tcPr>
          <w:p w14:paraId="557BC335" w14:textId="7A3D2384" w:rsidR="002A2BCB" w:rsidRPr="002657D1" w:rsidRDefault="002A2BCB"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Shanghai Metals Market, (</w:t>
            </w:r>
            <w:bookmarkStart w:id="126" w:name="OLE_LINK60"/>
            <w:r w:rsidRPr="002657D1">
              <w:rPr>
                <w:rFonts w:ascii="Times New Roman" w:eastAsia="宋体" w:hAnsi="Times New Roman" w:cs="Times New Roman"/>
                <w:color w:val="000000" w:themeColor="text1"/>
                <w:kern w:val="0"/>
                <w:sz w:val="24"/>
                <w:szCs w:val="24"/>
              </w:rPr>
              <w:t>Brand:</w:t>
            </w:r>
            <w:bookmarkEnd w:id="126"/>
            <w:r w:rsidRPr="002657D1">
              <w:rPr>
                <w:rFonts w:ascii="Times New Roman" w:eastAsia="宋体" w:hAnsi="Times New Roman" w:cs="Times New Roman"/>
                <w:color w:val="000000" w:themeColor="text1"/>
                <w:kern w:val="0"/>
                <w:sz w:val="24"/>
                <w:szCs w:val="24"/>
              </w:rPr>
              <w:t xml:space="preserve"> Yunnan Germanium, </w:t>
            </w:r>
            <w:proofErr w:type="spellStart"/>
            <w:r w:rsidRPr="002657D1">
              <w:rPr>
                <w:rFonts w:ascii="Times New Roman" w:eastAsia="宋体" w:hAnsi="Times New Roman" w:cs="Times New Roman"/>
                <w:color w:val="000000" w:themeColor="text1"/>
                <w:kern w:val="0"/>
                <w:sz w:val="24"/>
                <w:szCs w:val="24"/>
              </w:rPr>
              <w:t>Chihong</w:t>
            </w:r>
            <w:proofErr w:type="spellEnd"/>
            <w:r w:rsidRPr="002657D1">
              <w:rPr>
                <w:rFonts w:ascii="Times New Roman" w:eastAsia="宋体" w:hAnsi="Times New Roman" w:cs="Times New Roman"/>
                <w:color w:val="000000" w:themeColor="text1"/>
                <w:kern w:val="0"/>
                <w:sz w:val="24"/>
                <w:szCs w:val="24"/>
              </w:rPr>
              <w:t xml:space="preserve">, </w:t>
            </w:r>
            <w:proofErr w:type="spellStart"/>
            <w:r w:rsidRPr="002657D1">
              <w:rPr>
                <w:rFonts w:ascii="Times New Roman" w:eastAsia="宋体" w:hAnsi="Times New Roman" w:cs="Times New Roman"/>
                <w:color w:val="000000" w:themeColor="text1"/>
                <w:kern w:val="0"/>
                <w:sz w:val="24"/>
                <w:szCs w:val="24"/>
              </w:rPr>
              <w:t>Tongli</w:t>
            </w:r>
            <w:proofErr w:type="spellEnd"/>
            <w:r w:rsidRPr="002657D1">
              <w:rPr>
                <w:rFonts w:ascii="Times New Roman" w:eastAsia="宋体" w:hAnsi="Times New Roman" w:cs="Times New Roman"/>
                <w:color w:val="000000" w:themeColor="text1"/>
                <w:kern w:val="0"/>
                <w:sz w:val="24"/>
                <w:szCs w:val="24"/>
              </w:rPr>
              <w:t xml:space="preserve">, </w:t>
            </w:r>
            <w:proofErr w:type="spellStart"/>
            <w:r w:rsidRPr="002657D1">
              <w:rPr>
                <w:rFonts w:ascii="Times New Roman" w:eastAsia="宋体" w:hAnsi="Times New Roman" w:cs="Times New Roman"/>
                <w:color w:val="000000" w:themeColor="text1"/>
                <w:kern w:val="0"/>
                <w:sz w:val="24"/>
                <w:szCs w:val="24"/>
              </w:rPr>
              <w:t>Mengdong</w:t>
            </w:r>
            <w:bookmarkStart w:id="127" w:name="OLE_LINK57"/>
            <w:proofErr w:type="spellEnd"/>
            <w:r w:rsidR="00DF1FC8" w:rsidRPr="002657D1">
              <w:rPr>
                <w:rFonts w:ascii="Times New Roman" w:eastAsia="宋体" w:hAnsi="Times New Roman" w:cs="Times New Roman"/>
                <w:color w:val="000000" w:themeColor="text1"/>
                <w:kern w:val="0"/>
                <w:sz w:val="24"/>
                <w:szCs w:val="24"/>
              </w:rPr>
              <w:t>,</w:t>
            </w:r>
            <w:r w:rsidRPr="002657D1">
              <w:rPr>
                <w:rFonts w:ascii="Times New Roman" w:eastAsia="宋体" w:hAnsi="Times New Roman" w:cs="Times New Roman"/>
                <w:color w:val="000000" w:themeColor="text1"/>
                <w:kern w:val="0"/>
                <w:sz w:val="24"/>
                <w:szCs w:val="24"/>
              </w:rPr>
              <w:t xml:space="preserve"> etc.</w:t>
            </w:r>
            <w:bookmarkEnd w:id="127"/>
            <w:r w:rsidRPr="002657D1">
              <w:rPr>
                <w:rFonts w:ascii="Times New Roman" w:eastAsia="宋体" w:hAnsi="Times New Roman" w:cs="Times New Roman"/>
                <w:color w:val="000000" w:themeColor="text1"/>
                <w:kern w:val="0"/>
                <w:sz w:val="24"/>
                <w:szCs w:val="24"/>
              </w:rPr>
              <w:t>)</w:t>
            </w:r>
          </w:p>
        </w:tc>
      </w:tr>
      <w:tr w:rsidR="002657D1" w:rsidRPr="002657D1" w14:paraId="0EA99398" w14:textId="77777777" w:rsidTr="00101292">
        <w:tc>
          <w:tcPr>
            <w:tcW w:w="1220" w:type="dxa"/>
          </w:tcPr>
          <w:p w14:paraId="4231A5FD" w14:textId="33804AE9" w:rsidR="000F4983" w:rsidRPr="002657D1" w:rsidRDefault="00E25562"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Scandium</w:t>
            </w:r>
          </w:p>
        </w:tc>
        <w:tc>
          <w:tcPr>
            <w:tcW w:w="1546" w:type="dxa"/>
          </w:tcPr>
          <w:p w14:paraId="05B9C0AB" w14:textId="628C9A24" w:rsidR="000F4983" w:rsidRPr="002657D1" w:rsidRDefault="00E25562"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3291.28</w:t>
            </w:r>
          </w:p>
        </w:tc>
        <w:tc>
          <w:tcPr>
            <w:tcW w:w="984" w:type="dxa"/>
          </w:tcPr>
          <w:p w14:paraId="422106DC" w14:textId="451F2B52" w:rsidR="000F4983" w:rsidRPr="002657D1" w:rsidRDefault="00E25562"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2025</w:t>
            </w:r>
          </w:p>
        </w:tc>
        <w:tc>
          <w:tcPr>
            <w:tcW w:w="4546" w:type="dxa"/>
          </w:tcPr>
          <w:p w14:paraId="0810FC3E" w14:textId="3FA879FB" w:rsidR="000F4983" w:rsidRPr="002657D1" w:rsidRDefault="00E25562"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 xml:space="preserve">Shanghai Metals Market (Brand: Hunan </w:t>
            </w:r>
            <w:proofErr w:type="spellStart"/>
            <w:r w:rsidRPr="002657D1">
              <w:rPr>
                <w:rFonts w:ascii="Times New Roman" w:eastAsia="宋体" w:hAnsi="Times New Roman" w:cs="Times New Roman"/>
                <w:color w:val="000000" w:themeColor="text1"/>
                <w:kern w:val="0"/>
                <w:sz w:val="24"/>
                <w:szCs w:val="24"/>
              </w:rPr>
              <w:t>Jinkun</w:t>
            </w:r>
            <w:proofErr w:type="spellEnd"/>
            <w:r w:rsidRPr="002657D1">
              <w:rPr>
                <w:rFonts w:ascii="Times New Roman" w:eastAsia="宋体" w:hAnsi="Times New Roman" w:cs="Times New Roman"/>
                <w:color w:val="000000" w:themeColor="text1"/>
                <w:kern w:val="0"/>
                <w:sz w:val="24"/>
                <w:szCs w:val="24"/>
              </w:rPr>
              <w:t xml:space="preserve"> New Material)</w:t>
            </w:r>
          </w:p>
        </w:tc>
      </w:tr>
      <w:tr w:rsidR="002657D1" w:rsidRPr="002657D1" w14:paraId="2DF5C72F" w14:textId="77777777" w:rsidTr="00026527">
        <w:tc>
          <w:tcPr>
            <w:tcW w:w="1220" w:type="dxa"/>
          </w:tcPr>
          <w:p w14:paraId="7F6BB10B" w14:textId="53FD2CE2"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Oxygen</w:t>
            </w:r>
          </w:p>
        </w:tc>
        <w:tc>
          <w:tcPr>
            <w:tcW w:w="1546" w:type="dxa"/>
          </w:tcPr>
          <w:p w14:paraId="6173EAF4" w14:textId="32AFBBBC"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0.154</w:t>
            </w:r>
          </w:p>
        </w:tc>
        <w:tc>
          <w:tcPr>
            <w:tcW w:w="984" w:type="dxa"/>
          </w:tcPr>
          <w:p w14:paraId="37098B80" w14:textId="1AC1E8C6"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2001</w:t>
            </w:r>
          </w:p>
        </w:tc>
        <w:tc>
          <w:tcPr>
            <w:tcW w:w="4546" w:type="dxa"/>
          </w:tcPr>
          <w:p w14:paraId="043986D2" w14:textId="1C0BC6BA"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Hypertextbook</w:t>
            </w:r>
          </w:p>
        </w:tc>
      </w:tr>
      <w:tr w:rsidR="002657D1" w:rsidRPr="002657D1" w14:paraId="1A09AEAA" w14:textId="77777777" w:rsidTr="00026527">
        <w:tc>
          <w:tcPr>
            <w:tcW w:w="1220" w:type="dxa"/>
          </w:tcPr>
          <w:p w14:paraId="48E725F3" w14:textId="0AD39C66"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Chlorine</w:t>
            </w:r>
          </w:p>
        </w:tc>
        <w:tc>
          <w:tcPr>
            <w:tcW w:w="1546" w:type="dxa"/>
          </w:tcPr>
          <w:p w14:paraId="66A7A6E1" w14:textId="7323ABD3"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0.082</w:t>
            </w:r>
          </w:p>
        </w:tc>
        <w:tc>
          <w:tcPr>
            <w:tcW w:w="984" w:type="dxa"/>
          </w:tcPr>
          <w:p w14:paraId="48B9EA24" w14:textId="3A83B563"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2013</w:t>
            </w:r>
          </w:p>
        </w:tc>
        <w:tc>
          <w:tcPr>
            <w:tcW w:w="4546" w:type="dxa"/>
          </w:tcPr>
          <w:p w14:paraId="1F585034" w14:textId="69D27AFE"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China Agriculture Reports</w:t>
            </w:r>
          </w:p>
        </w:tc>
      </w:tr>
      <w:tr w:rsidR="002657D1" w:rsidRPr="002657D1" w14:paraId="0489AADB" w14:textId="77777777" w:rsidTr="00026527">
        <w:tc>
          <w:tcPr>
            <w:tcW w:w="1220" w:type="dxa"/>
          </w:tcPr>
          <w:p w14:paraId="007E6616" w14:textId="4AC54EEB"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Fluorine</w:t>
            </w:r>
          </w:p>
        </w:tc>
        <w:tc>
          <w:tcPr>
            <w:tcW w:w="1546" w:type="dxa"/>
          </w:tcPr>
          <w:p w14:paraId="0C1F018F" w14:textId="0E7175C0"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1.84</w:t>
            </w:r>
          </w:p>
        </w:tc>
        <w:tc>
          <w:tcPr>
            <w:tcW w:w="984" w:type="dxa"/>
          </w:tcPr>
          <w:p w14:paraId="1C8B7AD5" w14:textId="31BEFB33"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2017</w:t>
            </w:r>
          </w:p>
        </w:tc>
        <w:tc>
          <w:tcPr>
            <w:tcW w:w="4546" w:type="dxa"/>
          </w:tcPr>
          <w:p w14:paraId="2DF3FEFB" w14:textId="06B7B311"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Wikipedia</w:t>
            </w:r>
          </w:p>
        </w:tc>
      </w:tr>
      <w:tr w:rsidR="002657D1" w:rsidRPr="002657D1" w14:paraId="202783F7" w14:textId="77777777" w:rsidTr="00101292">
        <w:tc>
          <w:tcPr>
            <w:tcW w:w="1220" w:type="dxa"/>
          </w:tcPr>
          <w:p w14:paraId="2F473B92" w14:textId="29661DF4"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Nickel</w:t>
            </w:r>
          </w:p>
        </w:tc>
        <w:tc>
          <w:tcPr>
            <w:tcW w:w="1546" w:type="dxa"/>
          </w:tcPr>
          <w:p w14:paraId="5AC52395" w14:textId="4D97ED8F"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14.708</w:t>
            </w:r>
          </w:p>
        </w:tc>
        <w:tc>
          <w:tcPr>
            <w:tcW w:w="984" w:type="dxa"/>
          </w:tcPr>
          <w:p w14:paraId="57F2F946" w14:textId="58817192"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2025</w:t>
            </w:r>
          </w:p>
        </w:tc>
        <w:tc>
          <w:tcPr>
            <w:tcW w:w="4546" w:type="dxa"/>
          </w:tcPr>
          <w:p w14:paraId="1F51CCB8" w14:textId="78EEDA15"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Shanghai Metals Market (Brand: Norilsk)</w:t>
            </w:r>
          </w:p>
        </w:tc>
      </w:tr>
      <w:tr w:rsidR="002657D1" w:rsidRPr="002657D1" w14:paraId="595EA937" w14:textId="77777777" w:rsidTr="00101292">
        <w:tc>
          <w:tcPr>
            <w:tcW w:w="1220" w:type="dxa"/>
          </w:tcPr>
          <w:p w14:paraId="4DF5AEB2" w14:textId="7E3154FB"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Cobalt</w:t>
            </w:r>
          </w:p>
        </w:tc>
        <w:tc>
          <w:tcPr>
            <w:tcW w:w="1546" w:type="dxa"/>
          </w:tcPr>
          <w:p w14:paraId="653BBF20" w14:textId="45961D0A"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31.29</w:t>
            </w:r>
          </w:p>
        </w:tc>
        <w:tc>
          <w:tcPr>
            <w:tcW w:w="984" w:type="dxa"/>
          </w:tcPr>
          <w:p w14:paraId="40200E02" w14:textId="2AE4EC37"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2025</w:t>
            </w:r>
          </w:p>
        </w:tc>
        <w:tc>
          <w:tcPr>
            <w:tcW w:w="4546" w:type="dxa"/>
          </w:tcPr>
          <w:p w14:paraId="28C64555" w14:textId="2B46BCD1"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 xml:space="preserve">Shanghai Metals Market (Brand: </w:t>
            </w:r>
            <w:proofErr w:type="spellStart"/>
            <w:r w:rsidRPr="002657D1">
              <w:rPr>
                <w:rFonts w:ascii="Times New Roman" w:eastAsia="宋体" w:hAnsi="Times New Roman" w:cs="Times New Roman"/>
                <w:color w:val="000000" w:themeColor="text1"/>
                <w:kern w:val="0"/>
                <w:sz w:val="24"/>
                <w:szCs w:val="24"/>
              </w:rPr>
              <w:t>Hanrui</w:t>
            </w:r>
            <w:proofErr w:type="spellEnd"/>
            <w:r w:rsidRPr="002657D1">
              <w:rPr>
                <w:rFonts w:ascii="Times New Roman" w:eastAsia="宋体" w:hAnsi="Times New Roman" w:cs="Times New Roman"/>
                <w:color w:val="000000" w:themeColor="text1"/>
                <w:kern w:val="0"/>
                <w:sz w:val="24"/>
                <w:szCs w:val="24"/>
              </w:rPr>
              <w:t>, GEM, Zhuzhou Cemented Carbide Group, etc.)</w:t>
            </w:r>
          </w:p>
        </w:tc>
      </w:tr>
      <w:tr w:rsidR="002657D1" w:rsidRPr="002657D1" w14:paraId="2F1D8BE9" w14:textId="77777777" w:rsidTr="00101292">
        <w:tc>
          <w:tcPr>
            <w:tcW w:w="1220" w:type="dxa"/>
          </w:tcPr>
          <w:p w14:paraId="26FE5B65" w14:textId="53C678AA"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Manganese</w:t>
            </w:r>
          </w:p>
        </w:tc>
        <w:tc>
          <w:tcPr>
            <w:tcW w:w="1546" w:type="dxa"/>
          </w:tcPr>
          <w:p w14:paraId="0705022B" w14:textId="000FEA54"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1.703</w:t>
            </w:r>
          </w:p>
        </w:tc>
        <w:tc>
          <w:tcPr>
            <w:tcW w:w="984" w:type="dxa"/>
          </w:tcPr>
          <w:p w14:paraId="6630E23E" w14:textId="7D9D4073"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2025</w:t>
            </w:r>
          </w:p>
        </w:tc>
        <w:tc>
          <w:tcPr>
            <w:tcW w:w="4546" w:type="dxa"/>
          </w:tcPr>
          <w:p w14:paraId="7C644E52" w14:textId="0C21631D" w:rsidR="003E0F20" w:rsidRPr="002657D1" w:rsidRDefault="003E0F20" w:rsidP="00101292">
            <w:pPr>
              <w:widowControl/>
              <w:spacing w:line="360" w:lineRule="auto"/>
              <w:jc w:val="center"/>
              <w:rPr>
                <w:rFonts w:ascii="Times New Roman" w:eastAsia="宋体" w:hAnsi="Times New Roman" w:cs="Times New Roman"/>
                <w:color w:val="000000" w:themeColor="text1"/>
                <w:kern w:val="0"/>
                <w:sz w:val="24"/>
                <w:szCs w:val="24"/>
              </w:rPr>
            </w:pPr>
            <w:r w:rsidRPr="002657D1">
              <w:rPr>
                <w:rFonts w:ascii="Times New Roman" w:eastAsia="宋体" w:hAnsi="Times New Roman" w:cs="Times New Roman"/>
                <w:color w:val="000000" w:themeColor="text1"/>
                <w:kern w:val="0"/>
                <w:sz w:val="24"/>
                <w:szCs w:val="24"/>
              </w:rPr>
              <w:t xml:space="preserve">Shanghai Metals Market (Brand: </w:t>
            </w:r>
            <w:proofErr w:type="spellStart"/>
            <w:r w:rsidRPr="002657D1">
              <w:rPr>
                <w:rFonts w:ascii="Times New Roman" w:eastAsia="宋体" w:hAnsi="Times New Roman" w:cs="Times New Roman"/>
                <w:color w:val="000000" w:themeColor="text1"/>
                <w:kern w:val="0"/>
                <w:sz w:val="24"/>
                <w:szCs w:val="24"/>
              </w:rPr>
              <w:t>Tianyuan</w:t>
            </w:r>
            <w:proofErr w:type="spellEnd"/>
            <w:r w:rsidRPr="002657D1">
              <w:rPr>
                <w:rFonts w:ascii="Times New Roman" w:eastAsia="宋体" w:hAnsi="Times New Roman" w:cs="Times New Roman"/>
                <w:color w:val="000000" w:themeColor="text1"/>
                <w:kern w:val="0"/>
                <w:sz w:val="24"/>
                <w:szCs w:val="24"/>
              </w:rPr>
              <w:t xml:space="preserve"> Manganese Industry, CITIC </w:t>
            </w:r>
            <w:proofErr w:type="spellStart"/>
            <w:r w:rsidRPr="002657D1">
              <w:rPr>
                <w:rFonts w:ascii="Times New Roman" w:eastAsia="宋体" w:hAnsi="Times New Roman" w:cs="Times New Roman"/>
                <w:color w:val="000000" w:themeColor="text1"/>
                <w:kern w:val="0"/>
                <w:sz w:val="24"/>
                <w:szCs w:val="24"/>
              </w:rPr>
              <w:t>Dameng</w:t>
            </w:r>
            <w:proofErr w:type="spellEnd"/>
            <w:r w:rsidRPr="002657D1">
              <w:rPr>
                <w:rFonts w:ascii="Times New Roman" w:eastAsia="宋体" w:hAnsi="Times New Roman" w:cs="Times New Roman"/>
                <w:color w:val="000000" w:themeColor="text1"/>
                <w:kern w:val="0"/>
                <w:sz w:val="24"/>
                <w:szCs w:val="24"/>
              </w:rPr>
              <w:t>, Wuling Manganese Industry</w:t>
            </w:r>
            <w:r w:rsidR="00DF1FC8" w:rsidRPr="002657D1">
              <w:rPr>
                <w:rFonts w:ascii="Times New Roman" w:eastAsia="宋体" w:hAnsi="Times New Roman" w:cs="Times New Roman"/>
                <w:color w:val="000000" w:themeColor="text1"/>
                <w:kern w:val="0"/>
                <w:sz w:val="24"/>
                <w:szCs w:val="24"/>
              </w:rPr>
              <w:t>,</w:t>
            </w:r>
            <w:r w:rsidRPr="002657D1">
              <w:rPr>
                <w:rFonts w:ascii="Times New Roman" w:eastAsia="宋体" w:hAnsi="Times New Roman" w:cs="Times New Roman"/>
                <w:color w:val="000000" w:themeColor="text1"/>
                <w:kern w:val="0"/>
                <w:sz w:val="24"/>
                <w:szCs w:val="24"/>
              </w:rPr>
              <w:t xml:space="preserve"> etc.)</w:t>
            </w:r>
          </w:p>
        </w:tc>
      </w:tr>
    </w:tbl>
    <w:p w14:paraId="2FFECBC2" w14:textId="77777777" w:rsidR="003E0F20" w:rsidRPr="002657D1" w:rsidRDefault="003E0F20" w:rsidP="003E0F20">
      <w:pPr>
        <w:widowControl/>
        <w:jc w:val="left"/>
        <w:rPr>
          <w:rFonts w:ascii="Times New Roman" w:eastAsia="宋体" w:hAnsi="Times New Roman" w:cs="Times New Roman"/>
          <w:color w:val="000000" w:themeColor="text1"/>
          <w:kern w:val="0"/>
        </w:rPr>
      </w:pPr>
      <w:r w:rsidRPr="002657D1">
        <w:rPr>
          <w:rFonts w:ascii="Times New Roman" w:eastAsia="宋体" w:hAnsi="Times New Roman" w:cs="Times New Roman"/>
          <w:color w:val="000000" w:themeColor="text1"/>
          <w:kern w:val="0"/>
        </w:rPr>
        <w:br w:type="page"/>
      </w:r>
    </w:p>
    <w:p w14:paraId="66B53BD7" w14:textId="28962E14" w:rsidR="00EB61D8" w:rsidRPr="002657D1" w:rsidRDefault="00906016" w:rsidP="007E0C96">
      <w:pPr>
        <w:widowControl/>
        <w:spacing w:before="120" w:afterLines="50" w:after="156" w:line="360" w:lineRule="auto"/>
        <w:rPr>
          <w:rFonts w:ascii="Times New Roman" w:hAnsi="Times New Roman" w:cs="Times New Roman"/>
          <w:color w:val="000000" w:themeColor="text1"/>
          <w:sz w:val="24"/>
          <w:szCs w:val="24"/>
        </w:rPr>
      </w:pPr>
      <w:bookmarkStart w:id="128" w:name="OLE_LINK92"/>
      <w:bookmarkStart w:id="129" w:name="_Hlk215518636"/>
      <w:bookmarkStart w:id="130" w:name="OLE_LINK86"/>
      <w:r w:rsidRPr="002657D1">
        <w:rPr>
          <w:rFonts w:ascii="Times New Roman" w:hAnsi="Times New Roman" w:cs="Times New Roman"/>
          <w:b/>
          <w:bCs/>
          <w:color w:val="000000" w:themeColor="text1"/>
          <w:sz w:val="24"/>
          <w:szCs w:val="24"/>
        </w:rPr>
        <w:lastRenderedPageBreak/>
        <w:t xml:space="preserve">Supplementary Table </w:t>
      </w:r>
      <w:r w:rsidR="00757FEB" w:rsidRPr="002657D1">
        <w:rPr>
          <w:rFonts w:ascii="Times New Roman" w:hAnsi="Times New Roman" w:cs="Times New Roman"/>
          <w:b/>
          <w:bCs/>
          <w:color w:val="000000" w:themeColor="text1"/>
          <w:sz w:val="24"/>
          <w:szCs w:val="24"/>
        </w:rPr>
        <w:t>1</w:t>
      </w:r>
      <w:r w:rsidR="009D06C7" w:rsidRPr="002657D1">
        <w:rPr>
          <w:rFonts w:ascii="Times New Roman" w:hAnsi="Times New Roman" w:cs="Times New Roman" w:hint="eastAsia"/>
          <w:b/>
          <w:bCs/>
          <w:color w:val="000000" w:themeColor="text1"/>
          <w:sz w:val="24"/>
          <w:szCs w:val="24"/>
        </w:rPr>
        <w:t>1</w:t>
      </w:r>
      <w:r w:rsidRPr="002657D1">
        <w:rPr>
          <w:rFonts w:ascii="Times New Roman" w:hAnsi="Times New Roman" w:cs="Times New Roman"/>
          <w:b/>
          <w:bCs/>
          <w:color w:val="000000" w:themeColor="text1"/>
          <w:sz w:val="24"/>
          <w:szCs w:val="24"/>
        </w:rPr>
        <w:t>.</w:t>
      </w:r>
      <w:r w:rsidR="00EB61D8" w:rsidRPr="002657D1">
        <w:rPr>
          <w:rFonts w:ascii="Times New Roman" w:hAnsi="Times New Roman" w:cs="Times New Roman"/>
          <w:b/>
          <w:bCs/>
          <w:color w:val="000000" w:themeColor="text1"/>
          <w:sz w:val="24"/>
          <w:szCs w:val="24"/>
        </w:rPr>
        <w:t xml:space="preserve"> </w:t>
      </w:r>
      <w:r w:rsidR="00D60342" w:rsidRPr="002657D1">
        <w:rPr>
          <w:rFonts w:ascii="Times New Roman" w:hAnsi="Times New Roman" w:cs="Times New Roman" w:hint="eastAsia"/>
          <w:color w:val="000000" w:themeColor="text1"/>
          <w:sz w:val="24"/>
          <w:szCs w:val="24"/>
        </w:rPr>
        <w:t>Comprehensive comparative analysis</w:t>
      </w:r>
      <w:r w:rsidR="00C74230" w:rsidRPr="002657D1">
        <w:rPr>
          <w:rFonts w:ascii="Times New Roman" w:hAnsi="Times New Roman" w:cs="Times New Roman" w:hint="eastAsia"/>
          <w:color w:val="000000" w:themeColor="text1"/>
          <w:sz w:val="24"/>
          <w:szCs w:val="24"/>
        </w:rPr>
        <w:t xml:space="preserve"> of cost, ionic conductivity, </w:t>
      </w:r>
      <w:r w:rsidR="00D20FBA" w:rsidRPr="002657D1">
        <w:rPr>
          <w:rFonts w:ascii="Times New Roman" w:hAnsi="Times New Roman" w:cs="Times New Roman" w:hint="eastAsia"/>
          <w:color w:val="000000" w:themeColor="text1"/>
          <w:sz w:val="24"/>
          <w:szCs w:val="24"/>
        </w:rPr>
        <w:t xml:space="preserve">and </w:t>
      </w:r>
      <w:r w:rsidR="00C74230" w:rsidRPr="002657D1">
        <w:rPr>
          <w:rFonts w:ascii="Times New Roman" w:hAnsi="Times New Roman" w:cs="Times New Roman" w:hint="eastAsia"/>
          <w:color w:val="000000" w:themeColor="text1"/>
          <w:sz w:val="24"/>
          <w:szCs w:val="24"/>
        </w:rPr>
        <w:t>Li-metal stability (</w:t>
      </w:r>
      <w:r w:rsidR="00DF1FC8" w:rsidRPr="002657D1">
        <w:rPr>
          <w:rFonts w:ascii="Times New Roman" w:hAnsi="Times New Roman" w:cs="Times New Roman"/>
          <w:color w:val="000000" w:themeColor="text1"/>
          <w:sz w:val="24"/>
          <w:szCs w:val="24"/>
        </w:rPr>
        <w:t>evaluated</w:t>
      </w:r>
      <w:r w:rsidR="00C74230" w:rsidRPr="002657D1">
        <w:rPr>
          <w:rFonts w:ascii="Times New Roman" w:hAnsi="Times New Roman" w:cs="Times New Roman" w:hint="eastAsia"/>
          <w:color w:val="000000" w:themeColor="text1"/>
          <w:sz w:val="24"/>
          <w:szCs w:val="24"/>
        </w:rPr>
        <w:t xml:space="preserve"> by c</w:t>
      </w:r>
      <w:r w:rsidR="00C74230" w:rsidRPr="002657D1">
        <w:rPr>
          <w:rFonts w:ascii="Times New Roman" w:hAnsi="Times New Roman" w:cs="Times New Roman"/>
          <w:color w:val="000000" w:themeColor="text1"/>
          <w:sz w:val="24"/>
          <w:szCs w:val="24"/>
        </w:rPr>
        <w:t>umulative plating capacity</w:t>
      </w:r>
      <w:r w:rsidR="00C74230" w:rsidRPr="002657D1">
        <w:rPr>
          <w:rFonts w:ascii="Times New Roman" w:hAnsi="Times New Roman" w:cs="Times New Roman" w:hint="eastAsia"/>
          <w:color w:val="000000" w:themeColor="text1"/>
          <w:sz w:val="24"/>
          <w:szCs w:val="24"/>
        </w:rPr>
        <w:t xml:space="preserve">) between LZC-10TF and currently typical </w:t>
      </w:r>
      <w:r w:rsidR="009D06C7" w:rsidRPr="002657D1">
        <w:rPr>
          <w:rFonts w:ascii="Times New Roman" w:hAnsi="Times New Roman" w:cs="Times New Roman" w:hint="eastAsia"/>
          <w:color w:val="000000" w:themeColor="text1"/>
          <w:sz w:val="24"/>
          <w:szCs w:val="24"/>
        </w:rPr>
        <w:t>HSEs</w:t>
      </w:r>
      <w:r w:rsidR="00C74230" w:rsidRPr="002657D1">
        <w:rPr>
          <w:rFonts w:ascii="Times New Roman" w:hAnsi="Times New Roman" w:cs="Times New Roman" w:hint="eastAsia"/>
          <w:color w:val="000000" w:themeColor="text1"/>
          <w:sz w:val="24"/>
          <w:szCs w:val="24"/>
        </w:rPr>
        <w:t>.</w:t>
      </w:r>
    </w:p>
    <w:tbl>
      <w:tblPr>
        <w:tblStyle w:val="af7"/>
        <w:tblW w:w="0" w:type="auto"/>
        <w:tblInd w:w="-108"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73"/>
        <w:gridCol w:w="3270"/>
        <w:gridCol w:w="1130"/>
        <w:gridCol w:w="1416"/>
        <w:gridCol w:w="1336"/>
        <w:gridCol w:w="1189"/>
      </w:tblGrid>
      <w:tr w:rsidR="002657D1" w:rsidRPr="002657D1" w14:paraId="51304BCB" w14:textId="77777777" w:rsidTr="003C42EB">
        <w:trPr>
          <w:gridBefore w:val="1"/>
          <w:wBefore w:w="85" w:type="dxa"/>
        </w:trPr>
        <w:tc>
          <w:tcPr>
            <w:tcW w:w="3445" w:type="dxa"/>
            <w:tcBorders>
              <w:top w:val="single" w:sz="12" w:space="0" w:color="auto"/>
              <w:bottom w:val="single" w:sz="12" w:space="0" w:color="auto"/>
            </w:tcBorders>
            <w:vAlign w:val="center"/>
          </w:tcPr>
          <w:p w14:paraId="2ACF6A57" w14:textId="16326C30" w:rsidR="00D60342" w:rsidRPr="002657D1" w:rsidRDefault="00D60342" w:rsidP="00555405">
            <w:pPr>
              <w:widowControl/>
              <w:spacing w:line="360" w:lineRule="auto"/>
              <w:jc w:val="center"/>
              <w:rPr>
                <w:rFonts w:ascii="Times New Roman" w:hAnsi="Times New Roman" w:cs="Times New Roman"/>
                <w:color w:val="000000" w:themeColor="text1"/>
                <w:sz w:val="24"/>
                <w:szCs w:val="24"/>
              </w:rPr>
            </w:pPr>
            <w:bookmarkStart w:id="131" w:name="_Hlk215518447"/>
            <w:bookmarkEnd w:id="128"/>
            <w:r w:rsidRPr="002657D1">
              <w:rPr>
                <w:rFonts w:ascii="Times New Roman" w:eastAsia="等线" w:hAnsi="Times New Roman" w:cs="Times New Roman"/>
                <w:color w:val="000000" w:themeColor="text1"/>
                <w:kern w:val="0"/>
                <w:sz w:val="24"/>
                <w:szCs w:val="24"/>
              </w:rPr>
              <w:t>Electrolytes</w:t>
            </w:r>
          </w:p>
        </w:tc>
        <w:tc>
          <w:tcPr>
            <w:tcW w:w="1161" w:type="dxa"/>
            <w:tcBorders>
              <w:top w:val="single" w:sz="12" w:space="0" w:color="auto"/>
              <w:bottom w:val="single" w:sz="12" w:space="0" w:color="auto"/>
            </w:tcBorders>
            <w:vAlign w:val="center"/>
          </w:tcPr>
          <w:p w14:paraId="722F61FF" w14:textId="1FE2D9F8" w:rsidR="00D60342" w:rsidRPr="002657D1" w:rsidRDefault="00D60342" w:rsidP="00555405">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Cost ($ kg⁻</w:t>
            </w:r>
            <w:r w:rsidRPr="002657D1">
              <w:rPr>
                <w:rFonts w:ascii="Times New Roman" w:hAnsi="Times New Roman" w:cs="Times New Roman"/>
                <w:color w:val="000000" w:themeColor="text1"/>
                <w:sz w:val="24"/>
                <w:szCs w:val="24"/>
                <w:vertAlign w:val="superscript"/>
              </w:rPr>
              <w:t>1</w:t>
            </w:r>
            <w:r w:rsidRPr="002657D1">
              <w:rPr>
                <w:rFonts w:ascii="Times New Roman" w:hAnsi="Times New Roman" w:cs="Times New Roman"/>
                <w:color w:val="000000" w:themeColor="text1"/>
                <w:sz w:val="24"/>
                <w:szCs w:val="24"/>
              </w:rPr>
              <w:t>)</w:t>
            </w:r>
          </w:p>
        </w:tc>
        <w:tc>
          <w:tcPr>
            <w:tcW w:w="1285" w:type="dxa"/>
            <w:tcBorders>
              <w:top w:val="single" w:sz="12" w:space="0" w:color="auto"/>
              <w:bottom w:val="single" w:sz="12" w:space="0" w:color="auto"/>
            </w:tcBorders>
            <w:vAlign w:val="center"/>
          </w:tcPr>
          <w:p w14:paraId="28D233A8" w14:textId="4F684F0C" w:rsidR="00D60342" w:rsidRPr="002657D1" w:rsidRDefault="00D60342" w:rsidP="00555405">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hint="eastAsia"/>
                <w:color w:val="000000" w:themeColor="text1"/>
                <w:sz w:val="24"/>
                <w:szCs w:val="24"/>
              </w:rPr>
              <w:t>Ionic conductivity</w:t>
            </w:r>
          </w:p>
          <w:p w14:paraId="1ECF5E0A" w14:textId="23147F56" w:rsidR="00D60342" w:rsidRPr="002657D1" w:rsidRDefault="00D60342" w:rsidP="00555405">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(mS cm</w:t>
            </w:r>
            <w:bookmarkStart w:id="132" w:name="OLE_LINK37"/>
            <w:r w:rsidRPr="002657D1">
              <w:rPr>
                <w:rFonts w:ascii="Times New Roman" w:hAnsi="Times New Roman" w:cs="Times New Roman"/>
                <w:color w:val="000000" w:themeColor="text1"/>
                <w:sz w:val="24"/>
                <w:szCs w:val="24"/>
              </w:rPr>
              <w:t>⁻</w:t>
            </w:r>
            <w:bookmarkEnd w:id="132"/>
            <w:r w:rsidRPr="002657D1">
              <w:rPr>
                <w:rFonts w:ascii="Times New Roman" w:hAnsi="Times New Roman" w:cs="Times New Roman"/>
                <w:color w:val="000000" w:themeColor="text1"/>
                <w:sz w:val="24"/>
                <w:szCs w:val="24"/>
                <w:vertAlign w:val="superscript"/>
              </w:rPr>
              <w:t>1</w:t>
            </w:r>
            <w:r w:rsidRPr="002657D1">
              <w:rPr>
                <w:rFonts w:ascii="Times New Roman" w:hAnsi="Times New Roman" w:cs="Times New Roman"/>
                <w:color w:val="000000" w:themeColor="text1"/>
                <w:sz w:val="24"/>
                <w:szCs w:val="24"/>
              </w:rPr>
              <w:t>)</w:t>
            </w:r>
          </w:p>
        </w:tc>
        <w:tc>
          <w:tcPr>
            <w:tcW w:w="1261" w:type="dxa"/>
            <w:tcBorders>
              <w:top w:val="single" w:sz="12" w:space="0" w:color="auto"/>
              <w:bottom w:val="single" w:sz="12" w:space="0" w:color="auto"/>
            </w:tcBorders>
            <w:vAlign w:val="center"/>
          </w:tcPr>
          <w:p w14:paraId="1457566A" w14:textId="1C85B35C" w:rsidR="00D60342" w:rsidRPr="002657D1" w:rsidRDefault="00D60342" w:rsidP="00555405">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Cumulative plating capacity (mAh cm</w:t>
            </w:r>
            <w:r w:rsidR="00E04918" w:rsidRPr="002657D1">
              <w:rPr>
                <w:rFonts w:ascii="Times New Roman" w:hAnsi="Times New Roman" w:cs="Times New Roman"/>
                <w:color w:val="000000" w:themeColor="text1"/>
                <w:sz w:val="24"/>
                <w:szCs w:val="24"/>
              </w:rPr>
              <w:t>⁻</w:t>
            </w:r>
            <w:r w:rsidRPr="002657D1">
              <w:rPr>
                <w:rFonts w:ascii="Times New Roman" w:hAnsi="Times New Roman" w:cs="Times New Roman"/>
                <w:color w:val="000000" w:themeColor="text1"/>
                <w:sz w:val="24"/>
                <w:szCs w:val="24"/>
                <w:vertAlign w:val="superscript"/>
              </w:rPr>
              <w:t>2</w:t>
            </w:r>
            <w:r w:rsidRPr="002657D1">
              <w:rPr>
                <w:rFonts w:ascii="Times New Roman" w:hAnsi="Times New Roman" w:cs="Times New Roman"/>
                <w:color w:val="000000" w:themeColor="text1"/>
                <w:sz w:val="24"/>
                <w:szCs w:val="24"/>
              </w:rPr>
              <w:t>)</w:t>
            </w:r>
          </w:p>
        </w:tc>
        <w:tc>
          <w:tcPr>
            <w:tcW w:w="1177" w:type="dxa"/>
            <w:tcBorders>
              <w:top w:val="single" w:sz="12" w:space="0" w:color="auto"/>
              <w:bottom w:val="single" w:sz="12" w:space="0" w:color="auto"/>
            </w:tcBorders>
            <w:vAlign w:val="center"/>
          </w:tcPr>
          <w:p w14:paraId="759ADD7F" w14:textId="776A5268" w:rsidR="00D60342" w:rsidRPr="002657D1" w:rsidRDefault="00D60342" w:rsidP="00555405">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hint="eastAsia"/>
                <w:color w:val="000000" w:themeColor="text1"/>
                <w:sz w:val="24"/>
                <w:szCs w:val="24"/>
              </w:rPr>
              <w:t>Reference</w:t>
            </w:r>
          </w:p>
        </w:tc>
      </w:tr>
      <w:tr w:rsidR="002657D1" w:rsidRPr="002657D1" w14:paraId="1975AF9C" w14:textId="77777777" w:rsidTr="003C42EB">
        <w:trPr>
          <w:gridBefore w:val="1"/>
          <w:wBefore w:w="85" w:type="dxa"/>
        </w:trPr>
        <w:tc>
          <w:tcPr>
            <w:tcW w:w="3445" w:type="dxa"/>
            <w:tcBorders>
              <w:top w:val="single" w:sz="12" w:space="0" w:color="auto"/>
            </w:tcBorders>
            <w:vAlign w:val="center"/>
          </w:tcPr>
          <w:p w14:paraId="44D891EC" w14:textId="4E642130" w:rsidR="00E04918" w:rsidRPr="002657D1" w:rsidRDefault="00E04918" w:rsidP="00555405">
            <w:pPr>
              <w:widowControl/>
              <w:spacing w:line="360" w:lineRule="auto"/>
              <w:jc w:val="center"/>
              <w:rPr>
                <w:rFonts w:ascii="Times New Roman" w:hAnsi="Times New Roman" w:cs="Times New Roman"/>
                <w:b/>
                <w:bCs/>
                <w:color w:val="000000" w:themeColor="text1"/>
                <w:sz w:val="24"/>
                <w:szCs w:val="24"/>
              </w:rPr>
            </w:pPr>
            <w:bookmarkStart w:id="133" w:name="_Hlk215494744"/>
            <w:r w:rsidRPr="002657D1">
              <w:rPr>
                <w:rFonts w:ascii="Times New Roman" w:hAnsi="Times New Roman" w:cs="Times New Roman" w:hint="eastAsia"/>
                <w:b/>
                <w:bCs/>
                <w:color w:val="000000" w:themeColor="text1"/>
                <w:sz w:val="24"/>
                <w:szCs w:val="24"/>
              </w:rPr>
              <w:t>LZC-10TF</w:t>
            </w:r>
          </w:p>
        </w:tc>
        <w:tc>
          <w:tcPr>
            <w:tcW w:w="1161" w:type="dxa"/>
            <w:tcBorders>
              <w:top w:val="single" w:sz="12" w:space="0" w:color="auto"/>
            </w:tcBorders>
            <w:vAlign w:val="center"/>
          </w:tcPr>
          <w:p w14:paraId="4362E925" w14:textId="74B49ABD" w:rsidR="00E04918" w:rsidRPr="002657D1" w:rsidRDefault="00E04918" w:rsidP="00555405">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hint="eastAsia"/>
                <w:b/>
                <w:bCs/>
                <w:color w:val="000000" w:themeColor="text1"/>
                <w:sz w:val="24"/>
                <w:szCs w:val="24"/>
              </w:rPr>
              <w:t>8.67</w:t>
            </w:r>
          </w:p>
        </w:tc>
        <w:tc>
          <w:tcPr>
            <w:tcW w:w="1285" w:type="dxa"/>
            <w:tcBorders>
              <w:top w:val="single" w:sz="12" w:space="0" w:color="auto"/>
            </w:tcBorders>
            <w:vAlign w:val="center"/>
          </w:tcPr>
          <w:p w14:paraId="4497052F" w14:textId="611C0443" w:rsidR="00E04918" w:rsidRPr="002657D1" w:rsidRDefault="00E04918" w:rsidP="00555405">
            <w:pPr>
              <w:widowControl/>
              <w:spacing w:line="360" w:lineRule="auto"/>
              <w:jc w:val="center"/>
              <w:rPr>
                <w:rFonts w:ascii="Times New Roman" w:hAnsi="Times New Roman" w:cs="Times New Roman"/>
                <w:b/>
                <w:bCs/>
                <w:color w:val="000000" w:themeColor="text1"/>
                <w:sz w:val="24"/>
                <w:szCs w:val="24"/>
              </w:rPr>
            </w:pPr>
            <w:r w:rsidRPr="002657D1">
              <w:rPr>
                <w:rFonts w:ascii="Times New Roman" w:eastAsia="等线" w:hAnsi="Times New Roman" w:cs="Times New Roman"/>
                <w:b/>
                <w:bCs/>
                <w:color w:val="000000" w:themeColor="text1"/>
                <w:sz w:val="24"/>
                <w:szCs w:val="24"/>
              </w:rPr>
              <w:t>2.9</w:t>
            </w:r>
          </w:p>
        </w:tc>
        <w:tc>
          <w:tcPr>
            <w:tcW w:w="1261" w:type="dxa"/>
            <w:tcBorders>
              <w:top w:val="single" w:sz="12" w:space="0" w:color="auto"/>
            </w:tcBorders>
            <w:vAlign w:val="center"/>
          </w:tcPr>
          <w:p w14:paraId="70AEC69F" w14:textId="0ADC5CFA" w:rsidR="00E04918" w:rsidRPr="002657D1" w:rsidRDefault="00E04918" w:rsidP="00555405">
            <w:pPr>
              <w:widowControl/>
              <w:spacing w:line="360" w:lineRule="auto"/>
              <w:jc w:val="center"/>
              <w:rPr>
                <w:rFonts w:ascii="Times New Roman" w:hAnsi="Times New Roman" w:cs="Times New Roman"/>
                <w:b/>
                <w:bCs/>
                <w:color w:val="000000" w:themeColor="text1"/>
                <w:sz w:val="24"/>
                <w:szCs w:val="24"/>
              </w:rPr>
            </w:pPr>
            <w:r w:rsidRPr="002657D1">
              <w:rPr>
                <w:rFonts w:ascii="Times New Roman" w:eastAsia="等线" w:hAnsi="Times New Roman" w:cs="Times New Roman"/>
                <w:b/>
                <w:bCs/>
                <w:color w:val="000000" w:themeColor="text1"/>
                <w:kern w:val="24"/>
                <w:sz w:val="24"/>
                <w:szCs w:val="24"/>
              </w:rPr>
              <w:t>1000</w:t>
            </w:r>
          </w:p>
        </w:tc>
        <w:tc>
          <w:tcPr>
            <w:tcW w:w="1177" w:type="dxa"/>
            <w:tcBorders>
              <w:top w:val="single" w:sz="12" w:space="0" w:color="auto"/>
            </w:tcBorders>
            <w:vAlign w:val="center"/>
          </w:tcPr>
          <w:p w14:paraId="7C06A6D6" w14:textId="3AE9B5F3" w:rsidR="00E04918" w:rsidRPr="002657D1" w:rsidRDefault="00E04918" w:rsidP="00555405">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b/>
                <w:bCs/>
                <w:color w:val="000000" w:themeColor="text1"/>
                <w:sz w:val="24"/>
                <w:szCs w:val="24"/>
              </w:rPr>
              <w:t>This work</w:t>
            </w:r>
          </w:p>
        </w:tc>
      </w:tr>
      <w:tr w:rsidR="002657D1" w:rsidRPr="002657D1" w14:paraId="5680A9A4" w14:textId="77777777" w:rsidTr="003C42EB">
        <w:trPr>
          <w:gridBefore w:val="1"/>
          <w:wBefore w:w="85" w:type="dxa"/>
        </w:trPr>
        <w:tc>
          <w:tcPr>
            <w:tcW w:w="3445" w:type="dxa"/>
            <w:vAlign w:val="center"/>
          </w:tcPr>
          <w:p w14:paraId="4F105655" w14:textId="75CEC7E8" w:rsidR="00E04918" w:rsidRPr="002657D1" w:rsidRDefault="00E04918" w:rsidP="00555405">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hint="eastAsia"/>
                <w:color w:val="000000" w:themeColor="text1"/>
                <w:sz w:val="24"/>
                <w:szCs w:val="24"/>
              </w:rPr>
              <w:t>Li</w:t>
            </w:r>
            <w:r w:rsidRPr="002657D1">
              <w:rPr>
                <w:rFonts w:ascii="Times New Roman" w:hAnsi="Times New Roman" w:cs="Times New Roman" w:hint="eastAsia"/>
                <w:color w:val="000000" w:themeColor="text1"/>
                <w:sz w:val="24"/>
                <w:szCs w:val="24"/>
                <w:vertAlign w:val="subscript"/>
              </w:rPr>
              <w:t>2</w:t>
            </w:r>
            <w:r w:rsidRPr="002657D1">
              <w:rPr>
                <w:rFonts w:ascii="Times New Roman" w:hAnsi="Times New Roman" w:cs="Times New Roman" w:hint="eastAsia"/>
                <w:color w:val="000000" w:themeColor="text1"/>
                <w:sz w:val="24"/>
                <w:szCs w:val="24"/>
              </w:rPr>
              <w:t>ZrCl</w:t>
            </w:r>
            <w:r w:rsidRPr="002657D1">
              <w:rPr>
                <w:rFonts w:ascii="Times New Roman" w:hAnsi="Times New Roman" w:cs="Times New Roman" w:hint="eastAsia"/>
                <w:color w:val="000000" w:themeColor="text1"/>
                <w:sz w:val="24"/>
                <w:szCs w:val="24"/>
                <w:vertAlign w:val="subscript"/>
              </w:rPr>
              <w:t>6</w:t>
            </w:r>
          </w:p>
        </w:tc>
        <w:tc>
          <w:tcPr>
            <w:tcW w:w="1161" w:type="dxa"/>
            <w:vAlign w:val="center"/>
          </w:tcPr>
          <w:p w14:paraId="40CCDDC9" w14:textId="02824486" w:rsidR="00E04918" w:rsidRPr="002657D1" w:rsidRDefault="00555405" w:rsidP="00555405">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hint="eastAsia"/>
                <w:color w:val="000000" w:themeColor="text1"/>
                <w:sz w:val="24"/>
                <w:szCs w:val="24"/>
              </w:rPr>
              <w:t>8.68</w:t>
            </w:r>
          </w:p>
        </w:tc>
        <w:tc>
          <w:tcPr>
            <w:tcW w:w="1285" w:type="dxa"/>
            <w:vAlign w:val="center"/>
          </w:tcPr>
          <w:p w14:paraId="0E6538DF" w14:textId="6F4B1370" w:rsidR="00E04918" w:rsidRPr="002657D1" w:rsidRDefault="00555405" w:rsidP="00555405">
            <w:pPr>
              <w:widowControl/>
              <w:spacing w:line="360" w:lineRule="auto"/>
              <w:jc w:val="center"/>
              <w:rPr>
                <w:rFonts w:ascii="Times New Roman" w:hAnsi="Times New Roman" w:cs="Times New Roman"/>
                <w:color w:val="000000" w:themeColor="text1"/>
                <w:sz w:val="24"/>
                <w:szCs w:val="24"/>
              </w:rPr>
            </w:pPr>
            <w:r w:rsidRPr="002657D1">
              <w:rPr>
                <w:rFonts w:ascii="Times New Roman" w:eastAsia="等线" w:hAnsi="Times New Roman" w:cs="Times New Roman" w:hint="eastAsia"/>
                <w:color w:val="000000" w:themeColor="text1"/>
                <w:sz w:val="24"/>
                <w:szCs w:val="24"/>
              </w:rPr>
              <w:t>0.81</w:t>
            </w:r>
          </w:p>
        </w:tc>
        <w:tc>
          <w:tcPr>
            <w:tcW w:w="1261" w:type="dxa"/>
            <w:vAlign w:val="center"/>
          </w:tcPr>
          <w:p w14:paraId="5C43761D" w14:textId="7A88AA83" w:rsidR="00E04918" w:rsidRPr="002657D1" w:rsidRDefault="00E04918" w:rsidP="00555405">
            <w:pPr>
              <w:widowControl/>
              <w:spacing w:line="360" w:lineRule="auto"/>
              <w:jc w:val="center"/>
              <w:rPr>
                <w:rFonts w:ascii="Times New Roman" w:hAnsi="Times New Roman" w:cs="Times New Roman"/>
                <w:color w:val="000000" w:themeColor="text1"/>
                <w:sz w:val="24"/>
                <w:szCs w:val="24"/>
              </w:rPr>
            </w:pPr>
            <w:r w:rsidRPr="002657D1">
              <w:rPr>
                <w:rFonts w:ascii="Times New Roman" w:eastAsia="等线" w:hAnsi="Times New Roman" w:cs="Times New Roman"/>
                <w:color w:val="000000" w:themeColor="text1"/>
                <w:kern w:val="24"/>
                <w:sz w:val="24"/>
                <w:szCs w:val="24"/>
              </w:rPr>
              <w:t>21.75</w:t>
            </w:r>
          </w:p>
        </w:tc>
        <w:tc>
          <w:tcPr>
            <w:tcW w:w="1177" w:type="dxa"/>
            <w:vAlign w:val="center"/>
          </w:tcPr>
          <w:p w14:paraId="23170BBB" w14:textId="792E63F3" w:rsidR="00E04918" w:rsidRPr="002657D1" w:rsidRDefault="00A213D0" w:rsidP="00555405">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Pr="002657D1">
              <w:rPr>
                <w:rFonts w:ascii="Times New Roman" w:hAnsi="Times New Roman" w:cs="Times New Roman"/>
                <w:color w:val="000000" w:themeColor="text1"/>
                <w:sz w:val="24"/>
                <w:szCs w:val="24"/>
              </w:rPr>
              <w:instrText xml:space="preserve"> ADDIN ZOTERO_ITEM CSL_CITATION {"citationID":"arhm69ubtk","properties":{"formattedCitation":"\\super 1\\nosupersub{}","plainCitation":"1","noteIndex":0},"citationItems":[{"id":29,"uris":["http://zotero.org/users/local/J1vikkcu/items/3R2LFZWA"],"itemData":{"id":29,"type":"article-journal","abstract":"Abstract\n            \n              Li-ion-conducting chloride solid electrolytes receive considerable attention due to their physicochemical characteristics such as high ionic conductivity, deformability and oxidative stability. However, the raw materials are expensive, and large-scale use of this class of inorganic superionic conductors seems unlikely. Here, a cost-effective chloride solid electrolyte, Li\n              2\n              ZrCl\n              6\n              , is reported. Its raw materials are several orders of magnitude cheaper than those for the state-of-the-art chloride solid electrolytes, but high ionic conductivity (0.81 mS cm\n              –1\n              at room temperature), deformability, and compatibility with 4V-class cathodes are still simultaneously achieved in Li\n              2\n              ZrCl\n              6\n              . Moreover, Li\n              2\n              ZrCl\n              6\n              demonstrates a humidity tolerance with no sign of moisture uptake or conductivity degradation after exposure to an atmosphere with 5% relative humidity. By combining Li\n              2\n              ZrCl\n              6\n              with the Li-In anode and the single-crystal LiNi\n              0.8\n              Mn\n              0.1\n              Co\n              0.1\n              O\n              2\n              cathode, we report a room-temperature all-solid-state cell with a stable specific capacity of about 150 mAh g\n              –1\n              for 200 cycles at 200 mA g\n              –1\n              .","container-title":"Nature Communications","DOI":"10.1038/s41467-021-24697-2","ISSN":"2041-1723","issue":"1","journalAbbreviation":"Nat Commun","language":"en","page":"4410","source":"DOI.org (Crossref)","title":"A cost-effective and humidity-tolerant chloride solid electrolyte for lithium batteries","volume":"12","author":[{"family":"Wang","given":"Kai"},{"family":"Ren","given":"Qingyong"},{"family":"Gu","given":"Zhenqi"},{"family":"Duan","given":"Chaomin"},{"family":"Wang","given":"Jinzhu"},{"family":"Zhu","given":"Feng"},{"family":"Fu","given":"Yuanyuan"},{"family":"Hao","given":"Jipeng"},{"family":"Zhu","given":"Jinfeng"},{"family":"He","given":"Lunhua"},{"family":"Wang","given":"Chin-Wei"},{"family":"Lu","given":"Yingying"},{"family":"Ma","given":"Jie"},{"family":"Ma","given":"Cheng"}],"issued":{"date-parts":[["2021",7,20]]}}}],"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1</w:t>
            </w:r>
            <w:r w:rsidRPr="002657D1">
              <w:rPr>
                <w:rFonts w:ascii="Times New Roman" w:hAnsi="Times New Roman" w:cs="Times New Roman"/>
                <w:color w:val="000000" w:themeColor="text1"/>
                <w:sz w:val="24"/>
                <w:szCs w:val="24"/>
              </w:rPr>
              <w:fldChar w:fldCharType="end"/>
            </w:r>
          </w:p>
        </w:tc>
      </w:tr>
      <w:tr w:rsidR="002657D1" w:rsidRPr="002657D1" w14:paraId="0434C960" w14:textId="77777777" w:rsidTr="003C42EB">
        <w:trPr>
          <w:gridBefore w:val="1"/>
          <w:wBefore w:w="85" w:type="dxa"/>
        </w:trPr>
        <w:tc>
          <w:tcPr>
            <w:tcW w:w="3445" w:type="dxa"/>
            <w:vAlign w:val="center"/>
          </w:tcPr>
          <w:p w14:paraId="4C99A307" w14:textId="7CFD824B" w:rsidR="002B49B2" w:rsidRPr="002657D1" w:rsidRDefault="002B49B2" w:rsidP="002B49B2">
            <w:pPr>
              <w:widowControl/>
              <w:spacing w:line="360" w:lineRule="auto"/>
              <w:jc w:val="center"/>
              <w:rPr>
                <w:rFonts w:ascii="Times New Roman" w:hAnsi="Times New Roman" w:cs="Times New Roman"/>
                <w:color w:val="000000" w:themeColor="text1"/>
                <w:sz w:val="24"/>
                <w:szCs w:val="24"/>
              </w:rPr>
            </w:pPr>
            <w:bookmarkStart w:id="134" w:name="OLE_LINK85"/>
            <w:r w:rsidRPr="002657D1">
              <w:rPr>
                <w:rFonts w:ascii="Times New Roman" w:hAnsi="Times New Roman" w:cs="Times New Roman"/>
                <w:color w:val="000000" w:themeColor="text1"/>
                <w:kern w:val="24"/>
                <w:sz w:val="24"/>
                <w:szCs w:val="24"/>
              </w:rPr>
              <w:t>Li</w:t>
            </w:r>
            <w:r w:rsidRPr="002657D1">
              <w:rPr>
                <w:rFonts w:ascii="Times New Roman" w:hAnsi="Times New Roman" w:cs="Times New Roman"/>
                <w:color w:val="000000" w:themeColor="text1"/>
                <w:kern w:val="24"/>
                <w:sz w:val="24"/>
                <w:szCs w:val="24"/>
                <w:vertAlign w:val="subscript"/>
              </w:rPr>
              <w:t>1.75</w:t>
            </w:r>
            <w:r w:rsidRPr="002657D1">
              <w:rPr>
                <w:rFonts w:ascii="Times New Roman" w:hAnsi="Times New Roman" w:cs="Times New Roman"/>
                <w:color w:val="000000" w:themeColor="text1"/>
                <w:kern w:val="24"/>
                <w:sz w:val="24"/>
                <w:szCs w:val="24"/>
              </w:rPr>
              <w:t>ZrCl</w:t>
            </w:r>
            <w:r w:rsidRPr="002657D1">
              <w:rPr>
                <w:rFonts w:ascii="Times New Roman" w:hAnsi="Times New Roman" w:cs="Times New Roman"/>
                <w:color w:val="000000" w:themeColor="text1"/>
                <w:kern w:val="24"/>
                <w:sz w:val="24"/>
                <w:szCs w:val="24"/>
                <w:vertAlign w:val="subscript"/>
              </w:rPr>
              <w:t>4.75</w:t>
            </w:r>
            <w:r w:rsidRPr="002657D1">
              <w:rPr>
                <w:rFonts w:ascii="Times New Roman" w:hAnsi="Times New Roman" w:cs="Times New Roman"/>
                <w:color w:val="000000" w:themeColor="text1"/>
                <w:kern w:val="24"/>
                <w:sz w:val="24"/>
                <w:szCs w:val="24"/>
              </w:rPr>
              <w:t>O</w:t>
            </w:r>
            <w:r w:rsidRPr="002657D1">
              <w:rPr>
                <w:rFonts w:ascii="Times New Roman" w:hAnsi="Times New Roman" w:cs="Times New Roman"/>
                <w:color w:val="000000" w:themeColor="text1"/>
                <w:kern w:val="24"/>
                <w:sz w:val="24"/>
                <w:szCs w:val="24"/>
                <w:vertAlign w:val="subscript"/>
              </w:rPr>
              <w:t>0.5</w:t>
            </w:r>
            <w:bookmarkEnd w:id="134"/>
          </w:p>
        </w:tc>
        <w:tc>
          <w:tcPr>
            <w:tcW w:w="1161" w:type="dxa"/>
            <w:vAlign w:val="center"/>
          </w:tcPr>
          <w:p w14:paraId="3D1020E7" w14:textId="247C6AB6" w:rsidR="002B49B2" w:rsidRPr="002657D1" w:rsidRDefault="002B49B2" w:rsidP="002B49B2">
            <w:pPr>
              <w:widowControl/>
              <w:spacing w:line="360" w:lineRule="auto"/>
              <w:jc w:val="center"/>
              <w:rPr>
                <w:rFonts w:ascii="Times New Roman" w:hAnsi="Times New Roman" w:cs="Times New Roman"/>
                <w:color w:val="000000" w:themeColor="text1"/>
                <w:sz w:val="24"/>
                <w:szCs w:val="24"/>
              </w:rPr>
            </w:pPr>
            <w:bookmarkStart w:id="135" w:name="OLE_LINK88"/>
            <w:r w:rsidRPr="002657D1">
              <w:rPr>
                <w:rFonts w:ascii="Times New Roman" w:eastAsia="等线" w:hAnsi="Times New Roman" w:cs="Times New Roman"/>
                <w:color w:val="000000" w:themeColor="text1"/>
                <w:sz w:val="24"/>
                <w:szCs w:val="24"/>
              </w:rPr>
              <w:t>8.86</w:t>
            </w:r>
            <w:bookmarkEnd w:id="135"/>
          </w:p>
        </w:tc>
        <w:tc>
          <w:tcPr>
            <w:tcW w:w="1285" w:type="dxa"/>
            <w:vAlign w:val="center"/>
          </w:tcPr>
          <w:p w14:paraId="2ECB2432" w14:textId="54169E82" w:rsidR="002B49B2" w:rsidRPr="002657D1" w:rsidRDefault="002B49B2" w:rsidP="002B49B2">
            <w:pPr>
              <w:widowControl/>
              <w:spacing w:line="360" w:lineRule="auto"/>
              <w:jc w:val="center"/>
              <w:rPr>
                <w:rFonts w:ascii="Times New Roman" w:hAnsi="Times New Roman" w:cs="Times New Roman"/>
                <w:color w:val="000000" w:themeColor="text1"/>
                <w:sz w:val="24"/>
                <w:szCs w:val="24"/>
              </w:rPr>
            </w:pPr>
            <w:r w:rsidRPr="002657D1">
              <w:rPr>
                <w:rFonts w:ascii="Times New Roman" w:eastAsia="等线" w:hAnsi="Times New Roman" w:cs="Times New Roman"/>
                <w:color w:val="000000" w:themeColor="text1"/>
                <w:sz w:val="24"/>
                <w:szCs w:val="24"/>
              </w:rPr>
              <w:t>2.42</w:t>
            </w:r>
          </w:p>
        </w:tc>
        <w:tc>
          <w:tcPr>
            <w:tcW w:w="1261" w:type="dxa"/>
            <w:vAlign w:val="center"/>
          </w:tcPr>
          <w:p w14:paraId="423869AE" w14:textId="02CBCBA1" w:rsidR="002B49B2" w:rsidRPr="002657D1" w:rsidRDefault="002B49B2" w:rsidP="002B49B2">
            <w:pPr>
              <w:widowControl/>
              <w:spacing w:line="360" w:lineRule="auto"/>
              <w:jc w:val="center"/>
              <w:rPr>
                <w:rFonts w:ascii="Times New Roman" w:hAnsi="Times New Roman" w:cs="Times New Roman"/>
                <w:color w:val="000000" w:themeColor="text1"/>
                <w:sz w:val="24"/>
                <w:szCs w:val="24"/>
              </w:rPr>
            </w:pPr>
            <w:r w:rsidRPr="002657D1">
              <w:rPr>
                <w:rFonts w:ascii="Times New Roman" w:eastAsia="等线" w:hAnsi="Times New Roman" w:cs="Times New Roman"/>
                <w:color w:val="000000" w:themeColor="text1"/>
                <w:kern w:val="24"/>
                <w:sz w:val="24"/>
                <w:szCs w:val="24"/>
              </w:rPr>
              <w:t>10</w:t>
            </w:r>
          </w:p>
        </w:tc>
        <w:tc>
          <w:tcPr>
            <w:tcW w:w="1177" w:type="dxa"/>
            <w:vAlign w:val="center"/>
          </w:tcPr>
          <w:p w14:paraId="093B180C" w14:textId="6F707A90" w:rsidR="002B49B2" w:rsidRPr="002657D1" w:rsidRDefault="002B49B2" w:rsidP="002B49B2">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b/>
                <w:bCs/>
                <w:color w:val="000000" w:themeColor="text1"/>
                <w:sz w:val="24"/>
                <w:szCs w:val="24"/>
              </w:rPr>
              <w:fldChar w:fldCharType="begin"/>
            </w:r>
            <w:r w:rsidR="00E725CF" w:rsidRPr="002657D1">
              <w:rPr>
                <w:rFonts w:ascii="Times New Roman" w:hAnsi="Times New Roman" w:cs="Times New Roman"/>
                <w:b/>
                <w:bCs/>
                <w:color w:val="000000" w:themeColor="text1"/>
                <w:sz w:val="24"/>
                <w:szCs w:val="24"/>
              </w:rPr>
              <w:instrText xml:space="preserve"> ADDIN ZOTERO_ITEM CSL_CITATION {"citationID":"cm9TECU1","properties":{"formattedCitation":"\\super 27\\nosupersub{}","plainCitation":"27","noteIndex":0},"citationItems":[{"id":"IXaoCdHi/uH4nRAUi","uris":["http://zotero.org/users/local/As3BANDe/items/8Y3L3AFH"],"itemData":{"id":21,"type":"article-journal","abstract":"Abstract\n            \n              To enable the development of all-solid-state batteries, an inorganic solid-state electrolyte should demonstrate high ionic conductivity (i.e., &gt; 1 mS cm\n              −1\n              at 25 °C), compressibility (e.g., &gt; 90% density under 250−350 MPa), and cost-effectiveness (e.g., &lt; $50/kg). Here we report the development and preparation of Li\n              1.75\n              ZrCl\n              4.75\n              O\n              0.5\n              oxychloride solid-state electrolyte that demonstrates an ionic conductivity of 2.42 mS cm\n              −1\n              at 25 °C, a compressibility enabling 94.2% density under 300 MPa and an estimated raw materials cost of $11.60/kg. As proof of concept, the Li\n              1.75\n              ZrCl\n              4.75\n              O\n              0.5\n              is tested in combination with a LiNi\n              0.8\n              Mn\n              0.1\n              Co\n              0.1\n              O\n              2\n              -based positive electrode and a Li\n              6\n              PS\n              5\n              Cl-coated Li-In negative electrode in lab-scale cell configuration. This all-solid-state cell delivers a discharge capacity retention of 70.34% (final discharge capacity of 70.2 mAh g\n              −1\n              ) after 2082 cycles at 1 A g\n              −1\n              , 25 °C and 1.5 tons of stacking pressure.","container-title":"Nature Communications","DOI":"10.1038/s41467-023-39522-1","ISSN":"2041-1723","issue":"1","journalAbbreviation":"Nat Commun","language":"en","page":"3807","source":"DOI.org (Crossref)","title":"A cost-effective, ionically conductive and compressible oxychloride solid-state electrolyte for stable all-solid-state lithium-based batteries","volume":"14","author":[{"family":"Hu","given":"Lv"},{"family":"Wang","given":"Jinzhu"},{"family":"Wang","given":"Kai"},{"family":"Gu","given":"Zhenqi"},{"family":"Xi","given":"Zhiwei"},{"family":"Li","given":"Hui"},{"family":"Chen","given":"Fang"},{"family":"Wang","given":"Youxi"},{"family":"Li","given":"Zhenyu"},{"family":"Ma","given":"Cheng"}],"issued":{"date-parts":[["2023",6,27]]}}}],"schema":"https://github.com/citation-style-language/schema/raw/master/csl-citation.json"} </w:instrText>
            </w:r>
            <w:r w:rsidRPr="002657D1">
              <w:rPr>
                <w:rFonts w:ascii="Times New Roman" w:hAnsi="Times New Roman" w:cs="Times New Roman"/>
                <w:b/>
                <w:bCs/>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27</w:t>
            </w:r>
            <w:r w:rsidRPr="002657D1">
              <w:rPr>
                <w:rFonts w:ascii="Times New Roman" w:hAnsi="Times New Roman" w:cs="Times New Roman"/>
                <w:b/>
                <w:bCs/>
                <w:color w:val="000000" w:themeColor="text1"/>
                <w:sz w:val="24"/>
                <w:szCs w:val="24"/>
              </w:rPr>
              <w:fldChar w:fldCharType="end"/>
            </w:r>
          </w:p>
        </w:tc>
      </w:tr>
      <w:tr w:rsidR="002657D1" w:rsidRPr="002657D1" w14:paraId="064A69C5" w14:textId="77777777" w:rsidTr="003C42EB">
        <w:trPr>
          <w:gridBefore w:val="1"/>
          <w:wBefore w:w="85" w:type="dxa"/>
          <w:trHeight w:val="243"/>
        </w:trPr>
        <w:tc>
          <w:tcPr>
            <w:tcW w:w="3445" w:type="dxa"/>
            <w:vAlign w:val="center"/>
          </w:tcPr>
          <w:p w14:paraId="0C23AD78" w14:textId="62317EBF" w:rsidR="002B49B2" w:rsidRPr="002657D1" w:rsidRDefault="002B49B2" w:rsidP="002B49B2">
            <w:pPr>
              <w:widowControl/>
              <w:spacing w:line="360" w:lineRule="auto"/>
              <w:jc w:val="center"/>
              <w:rPr>
                <w:rFonts w:ascii="Times New Roman" w:hAnsi="Times New Roman" w:cs="Times New Roman"/>
                <w:color w:val="000000" w:themeColor="text1"/>
                <w:sz w:val="24"/>
                <w:szCs w:val="24"/>
              </w:rPr>
            </w:pPr>
            <w:r w:rsidRPr="002657D1">
              <w:rPr>
                <w:rFonts w:ascii="Times New Roman" w:eastAsia="等线" w:hAnsi="Times New Roman" w:cs="Times New Roman"/>
                <w:color w:val="000000" w:themeColor="text1"/>
                <w:sz w:val="24"/>
                <w:szCs w:val="24"/>
              </w:rPr>
              <w:t>Li</w:t>
            </w:r>
            <w:r w:rsidR="00CA080A" w:rsidRPr="002657D1">
              <w:rPr>
                <w:rFonts w:ascii="Times New Roman" w:eastAsia="等线" w:hAnsi="Times New Roman" w:cs="Times New Roman"/>
                <w:color w:val="000000" w:themeColor="text1"/>
                <w:sz w:val="24"/>
                <w:szCs w:val="24"/>
                <w:vertAlign w:val="subscript"/>
              </w:rPr>
              <w:t>3</w:t>
            </w:r>
            <w:r w:rsidRPr="002657D1">
              <w:rPr>
                <w:rFonts w:ascii="Times New Roman" w:eastAsia="等线" w:hAnsi="Times New Roman" w:cs="Times New Roman"/>
                <w:color w:val="000000" w:themeColor="text1"/>
                <w:sz w:val="24"/>
                <w:szCs w:val="24"/>
              </w:rPr>
              <w:t>InCl</w:t>
            </w:r>
            <w:r w:rsidR="00CA080A" w:rsidRPr="002657D1">
              <w:rPr>
                <w:rFonts w:ascii="Times New Roman" w:eastAsia="等线" w:hAnsi="Times New Roman" w:cs="Times New Roman"/>
                <w:color w:val="000000" w:themeColor="text1"/>
                <w:sz w:val="24"/>
                <w:szCs w:val="24"/>
                <w:vertAlign w:val="subscript"/>
              </w:rPr>
              <w:t>6</w:t>
            </w:r>
          </w:p>
        </w:tc>
        <w:tc>
          <w:tcPr>
            <w:tcW w:w="1161" w:type="dxa"/>
            <w:vAlign w:val="center"/>
          </w:tcPr>
          <w:p w14:paraId="4FC297F4" w14:textId="3BBEB325" w:rsidR="002B49B2" w:rsidRPr="002657D1" w:rsidRDefault="002B49B2" w:rsidP="002B49B2">
            <w:pPr>
              <w:widowControl/>
              <w:spacing w:line="360" w:lineRule="auto"/>
              <w:jc w:val="center"/>
              <w:rPr>
                <w:rFonts w:ascii="Times New Roman" w:hAnsi="Times New Roman" w:cs="Times New Roman"/>
                <w:color w:val="000000" w:themeColor="text1"/>
                <w:sz w:val="24"/>
                <w:szCs w:val="24"/>
              </w:rPr>
            </w:pPr>
            <w:r w:rsidRPr="002657D1">
              <w:rPr>
                <w:rFonts w:ascii="Times New Roman" w:eastAsia="等线" w:hAnsi="Times New Roman" w:cs="Times New Roman"/>
                <w:color w:val="000000" w:themeColor="text1"/>
                <w:sz w:val="24"/>
                <w:szCs w:val="24"/>
              </w:rPr>
              <w:t>106.44</w:t>
            </w:r>
          </w:p>
        </w:tc>
        <w:tc>
          <w:tcPr>
            <w:tcW w:w="1285" w:type="dxa"/>
            <w:vAlign w:val="center"/>
          </w:tcPr>
          <w:p w14:paraId="774C50CA" w14:textId="1DEB5E1F" w:rsidR="002B49B2" w:rsidRPr="002657D1" w:rsidRDefault="002B49B2" w:rsidP="002B49B2">
            <w:pPr>
              <w:widowControl/>
              <w:spacing w:line="360" w:lineRule="auto"/>
              <w:jc w:val="center"/>
              <w:rPr>
                <w:rFonts w:ascii="Times New Roman" w:hAnsi="Times New Roman" w:cs="Times New Roman"/>
                <w:color w:val="000000" w:themeColor="text1"/>
                <w:sz w:val="24"/>
                <w:szCs w:val="24"/>
              </w:rPr>
            </w:pPr>
            <w:r w:rsidRPr="002657D1">
              <w:rPr>
                <w:rFonts w:ascii="Times New Roman" w:eastAsia="等线" w:hAnsi="Times New Roman" w:cs="Times New Roman"/>
                <w:color w:val="000000" w:themeColor="text1"/>
                <w:sz w:val="24"/>
                <w:szCs w:val="24"/>
              </w:rPr>
              <w:t>2.04</w:t>
            </w:r>
          </w:p>
        </w:tc>
        <w:tc>
          <w:tcPr>
            <w:tcW w:w="1261" w:type="dxa"/>
            <w:vAlign w:val="center"/>
          </w:tcPr>
          <w:p w14:paraId="45C45DD4" w14:textId="69869045" w:rsidR="002B49B2" w:rsidRPr="002657D1" w:rsidRDefault="002B49B2" w:rsidP="002B49B2">
            <w:pPr>
              <w:widowControl/>
              <w:spacing w:line="360" w:lineRule="auto"/>
              <w:jc w:val="center"/>
              <w:rPr>
                <w:rFonts w:ascii="Times New Roman" w:hAnsi="Times New Roman" w:cs="Times New Roman"/>
                <w:color w:val="000000" w:themeColor="text1"/>
                <w:sz w:val="24"/>
                <w:szCs w:val="24"/>
              </w:rPr>
            </w:pPr>
            <w:r w:rsidRPr="002657D1">
              <w:rPr>
                <w:rFonts w:ascii="Times New Roman" w:eastAsia="等线" w:hAnsi="Times New Roman" w:cs="Times New Roman"/>
                <w:color w:val="000000" w:themeColor="text1"/>
                <w:kern w:val="24"/>
                <w:sz w:val="24"/>
                <w:szCs w:val="24"/>
              </w:rPr>
              <w:t>0.3</w:t>
            </w:r>
          </w:p>
        </w:tc>
        <w:tc>
          <w:tcPr>
            <w:tcW w:w="1177" w:type="dxa"/>
            <w:vAlign w:val="center"/>
          </w:tcPr>
          <w:p w14:paraId="19505F04" w14:textId="3DF6883B" w:rsidR="002B49B2" w:rsidRPr="002657D1" w:rsidRDefault="002B49B2" w:rsidP="002B49B2">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b/>
                <w:bCs/>
                <w:color w:val="000000" w:themeColor="text1"/>
                <w:sz w:val="24"/>
                <w:szCs w:val="24"/>
              </w:rPr>
              <w:fldChar w:fldCharType="begin"/>
            </w:r>
            <w:r w:rsidR="00E725CF" w:rsidRPr="002657D1">
              <w:rPr>
                <w:rFonts w:ascii="Times New Roman" w:hAnsi="Times New Roman" w:cs="Times New Roman"/>
                <w:b/>
                <w:bCs/>
                <w:color w:val="000000" w:themeColor="text1"/>
                <w:sz w:val="24"/>
                <w:szCs w:val="24"/>
              </w:rPr>
              <w:instrText xml:space="preserve"> ADDIN ZOTERO_ITEM CSL_CITATION {"citationID":"cPBZFQSD","properties":{"formattedCitation":"\\super 61\\nosupersub{}","plainCitation":"61","noteIndex":0},"citationItems":[{"id":"IXaoCdHi/f22Dpzk2","uris":["http://zotero.org/users/local/As3BANDe/items/9X4WXQEM"],"itemData":{"id":3463,"type":"article-journal","abstract":"Halide-based solid-state halide electrolytes (SSEs) were recently revived as promising candidates for next-generation all-solid-state batteries due to their superionic conductivity, direct compatibility with high-voltage cathodes, and scalable production. However, the incompatibility between halide SSEs and lithium metal anodes remains a main challenge to achieve high energy density. Herein, we demonstrate a thin cross-linked poly(butylene oxide) solid polymer electrolyte (xPBO SPE) interlayer on the superionic Li3InCl6 SSE to enable lithium metal compatibility. A rapid and solvent-free in situ cross-linking process is developed by reaction between a 0.5 s pulse of trimethylaluminum vapor and the hydroxyl terminal groups of poly(butylene oxide). The Li−Li symmetric cells using xPBO-SPE@Li3InCl6 demonstrate a highly stable cycling performance over 1100 h and up to 1.0 mA cm−2 and 1.0 mAh cm−2. All-solid-state lithium metal battery (ASSLMB) performance with a LiCoO2 cathode is presented. This new rapid cross-linking strategy shall inspire more possibilities for lithium metal anode integration in ASSLMBs.","container-title":"ACS Energy Letters","DOI":"10.1021/acsenergylett.3c01157","ISSN":"2380-8195, 2380-8195","issue":"9","journalAbbreviation":"ACS Energy Lett.","language":"en","license":"https://doi.org/10.15223/policy-029","page":"3676-3684","source":"DOI.org (Crossref)","title":"Rapidly In Situ Cross-Linked Poly(butylene oxide) Electrolyte Interface Enabling Halide-Based All-Solid-State Lithium Metal Batteries","volume":"8","author":[{"family":"Luo","given":"Jing"},{"family":"Sun","given":"Qian"},{"family":"Liang","given":"Jianwen"},{"family":"Adair","given":"Keegan"},{"family":"Zhao","given":"Feipeng"},{"family":"Deng","given":"Sixu"},{"family":"Zhao","given":"Yang"},{"family":"Li","given":"Ruying"},{"family":"Huang","given":"Huan"},{"family":"Yang","given":"Rong"},{"family":"Zhao","given":"Shangqian"},{"family":"Wang","given":"Jiantao"},{"family":"Sun","given":"Xueliang"}],"issued":{"date-parts":[["2023",9,8]]}}}],"schema":"https://github.com/citation-style-language/schema/raw/master/csl-citation.json"} </w:instrText>
            </w:r>
            <w:r w:rsidRPr="002657D1">
              <w:rPr>
                <w:rFonts w:ascii="Times New Roman" w:hAnsi="Times New Roman" w:cs="Times New Roman"/>
                <w:b/>
                <w:bCs/>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61</w:t>
            </w:r>
            <w:r w:rsidRPr="002657D1">
              <w:rPr>
                <w:rFonts w:ascii="Times New Roman" w:hAnsi="Times New Roman" w:cs="Times New Roman"/>
                <w:b/>
                <w:bCs/>
                <w:color w:val="000000" w:themeColor="text1"/>
                <w:sz w:val="24"/>
                <w:szCs w:val="24"/>
              </w:rPr>
              <w:fldChar w:fldCharType="end"/>
            </w:r>
          </w:p>
        </w:tc>
      </w:tr>
      <w:tr w:rsidR="002657D1" w:rsidRPr="002657D1" w14:paraId="5D7F0FF2" w14:textId="77777777" w:rsidTr="003C42EB">
        <w:tc>
          <w:tcPr>
            <w:tcW w:w="3530" w:type="dxa"/>
            <w:gridSpan w:val="2"/>
            <w:vAlign w:val="center"/>
          </w:tcPr>
          <w:p w14:paraId="23668A33" w14:textId="77777777" w:rsidR="002B49B2" w:rsidRPr="002657D1" w:rsidRDefault="002B49B2" w:rsidP="00045347">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Li</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Ta</w:t>
            </w:r>
            <w:r w:rsidRPr="002657D1">
              <w:rPr>
                <w:rFonts w:ascii="Times New Roman" w:hAnsi="Times New Roman" w:cs="Times New Roman"/>
                <w:color w:val="000000" w:themeColor="text1"/>
                <w:sz w:val="24"/>
                <w:szCs w:val="24"/>
                <w:vertAlign w:val="subscript"/>
              </w:rPr>
              <w:t>3</w:t>
            </w:r>
            <w:r w:rsidRPr="002657D1">
              <w:rPr>
                <w:rFonts w:ascii="Times New Roman" w:hAnsi="Times New Roman" w:cs="Times New Roman"/>
                <w:color w:val="000000" w:themeColor="text1"/>
                <w:sz w:val="24"/>
                <w:szCs w:val="24"/>
              </w:rPr>
              <w:t>O</w:t>
            </w:r>
            <w:r w:rsidRPr="002657D1">
              <w:rPr>
                <w:rFonts w:ascii="Times New Roman" w:hAnsi="Times New Roman" w:cs="Times New Roman"/>
                <w:color w:val="000000" w:themeColor="text1"/>
                <w:sz w:val="24"/>
                <w:szCs w:val="24"/>
                <w:vertAlign w:val="subscript"/>
              </w:rPr>
              <w:t>4</w:t>
            </w:r>
            <w:r w:rsidRPr="002657D1">
              <w:rPr>
                <w:rFonts w:ascii="Times New Roman" w:hAnsi="Times New Roman" w:cs="Times New Roman"/>
                <w:color w:val="000000" w:themeColor="text1"/>
                <w:sz w:val="24"/>
                <w:szCs w:val="24"/>
              </w:rPr>
              <w:t>Cl</w:t>
            </w:r>
            <w:r w:rsidRPr="002657D1">
              <w:rPr>
                <w:rFonts w:ascii="Times New Roman" w:hAnsi="Times New Roman" w:cs="Times New Roman"/>
                <w:color w:val="000000" w:themeColor="text1"/>
                <w:sz w:val="24"/>
                <w:szCs w:val="24"/>
                <w:vertAlign w:val="subscript"/>
              </w:rPr>
              <w:t>10</w:t>
            </w:r>
          </w:p>
        </w:tc>
        <w:tc>
          <w:tcPr>
            <w:tcW w:w="1161" w:type="dxa"/>
            <w:vAlign w:val="center"/>
          </w:tcPr>
          <w:p w14:paraId="2FD0829F" w14:textId="77777777" w:rsidR="002B49B2" w:rsidRPr="002657D1" w:rsidRDefault="002B49B2" w:rsidP="00045347">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t>179</w:t>
            </w:r>
            <w:r w:rsidRPr="002657D1">
              <w:rPr>
                <w:rFonts w:ascii="Times New Roman" w:hAnsi="Times New Roman" w:cs="Times New Roman" w:hint="eastAsia"/>
                <w:color w:val="000000" w:themeColor="text1"/>
                <w:sz w:val="24"/>
                <w:szCs w:val="24"/>
              </w:rPr>
              <w:t>.74</w:t>
            </w:r>
          </w:p>
        </w:tc>
        <w:tc>
          <w:tcPr>
            <w:tcW w:w="1285" w:type="dxa"/>
            <w:vAlign w:val="center"/>
          </w:tcPr>
          <w:p w14:paraId="6D2FDB29" w14:textId="77777777" w:rsidR="002B49B2" w:rsidRPr="002657D1" w:rsidRDefault="002B49B2" w:rsidP="00045347">
            <w:pPr>
              <w:widowControl/>
              <w:spacing w:line="360" w:lineRule="auto"/>
              <w:jc w:val="center"/>
              <w:rPr>
                <w:rFonts w:ascii="Times New Roman" w:hAnsi="Times New Roman" w:cs="Times New Roman"/>
                <w:color w:val="000000" w:themeColor="text1"/>
                <w:sz w:val="24"/>
                <w:szCs w:val="24"/>
              </w:rPr>
            </w:pPr>
            <w:r w:rsidRPr="002657D1">
              <w:rPr>
                <w:rFonts w:ascii="Times New Roman" w:eastAsia="等线" w:hAnsi="Times New Roman" w:cs="Times New Roman"/>
                <w:color w:val="000000" w:themeColor="text1"/>
                <w:sz w:val="24"/>
                <w:szCs w:val="24"/>
              </w:rPr>
              <w:t>13.7</w:t>
            </w:r>
          </w:p>
        </w:tc>
        <w:tc>
          <w:tcPr>
            <w:tcW w:w="1261" w:type="dxa"/>
            <w:vAlign w:val="center"/>
          </w:tcPr>
          <w:p w14:paraId="5FF7A615" w14:textId="77777777" w:rsidR="002B49B2" w:rsidRPr="002657D1" w:rsidRDefault="002B49B2" w:rsidP="00045347">
            <w:pPr>
              <w:widowControl/>
              <w:spacing w:line="360" w:lineRule="auto"/>
              <w:jc w:val="center"/>
              <w:rPr>
                <w:rFonts w:ascii="Times New Roman" w:hAnsi="Times New Roman" w:cs="Times New Roman"/>
                <w:color w:val="000000" w:themeColor="text1"/>
                <w:sz w:val="24"/>
                <w:szCs w:val="24"/>
              </w:rPr>
            </w:pPr>
            <w:r w:rsidRPr="002657D1">
              <w:rPr>
                <w:rFonts w:ascii="Times New Roman" w:eastAsia="等线" w:hAnsi="Times New Roman" w:cs="Times New Roman"/>
                <w:color w:val="000000" w:themeColor="text1"/>
                <w:kern w:val="24"/>
                <w:sz w:val="24"/>
                <w:szCs w:val="24"/>
              </w:rPr>
              <w:t>2.5</w:t>
            </w:r>
          </w:p>
        </w:tc>
        <w:tc>
          <w:tcPr>
            <w:tcW w:w="1177" w:type="dxa"/>
            <w:vAlign w:val="center"/>
          </w:tcPr>
          <w:p w14:paraId="3AAB6CF0" w14:textId="77777777" w:rsidR="002B49B2" w:rsidRPr="002657D1" w:rsidRDefault="002B49B2" w:rsidP="00045347">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color w:val="000000" w:themeColor="text1"/>
                <w:sz w:val="24"/>
                <w:szCs w:val="24"/>
              </w:rPr>
              <w:fldChar w:fldCharType="begin"/>
            </w:r>
            <w:r w:rsidRPr="002657D1">
              <w:rPr>
                <w:rFonts w:ascii="Times New Roman" w:hAnsi="Times New Roman" w:cs="Times New Roman"/>
                <w:color w:val="000000" w:themeColor="text1"/>
                <w:sz w:val="24"/>
                <w:szCs w:val="24"/>
              </w:rPr>
              <w:instrText xml:space="preserve"> ADDIN ZOTERO_ITEM CSL_CITATION {"citationID":"athvt59of8","properties":{"formattedCitation":"\\super 79\\nosupersub{}","plainCitation":"79","noteIndex":0},"citationItems":[{"id":2839,"uris":["http://zotero.org/users/local/J1vikkcu/items/NG5JG8CR"],"itemData":{"id":2839,"type":"article-journal","language":"en","source":"Zotero","title":"Anion sublattice design enables superionic conductivity in crystalline oxyhalides","author":[{"family":"Zhao","given":"Feipeng"},{"family":"Zhang","given":"Shumin"},{"family":"Wang","given":"Shuo"},{"family":"Reid","given":"Joel W"},{"family":"Xia","given":"Wei"},{"family":"Liu","given":"Jue"},{"family":"King","given":"Graham"},{"family":"Kaduk","given":"James A"},{"family":"Liang","given":"Jianwen"},{"family":"Luo","given":"Jing"},{"family":"Gao","given":"Yingjie"},{"family":"Yang","given":"Feipeng"},{"family":"Zhao","given":"Yang"},{"family":"Li","given":"Weihan"},{"family":"Alahakoon","given":"Sandamini H"},{"family":"Guo","given":"Jinghua"},{"family":"Huang","given":"Yining"},{"family":"Sham","given":"Tsun-Kong"},{"family":"Mo","given":"Yifei"},{"family":"Sun","given":"Xueliang"}]}}],"schema":"https://github.com/citation-style-language/schema/raw/master/csl-citation.json"}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79</w:t>
            </w:r>
            <w:r w:rsidRPr="002657D1">
              <w:rPr>
                <w:rFonts w:ascii="Times New Roman" w:hAnsi="Times New Roman" w:cs="Times New Roman"/>
                <w:color w:val="000000" w:themeColor="text1"/>
                <w:sz w:val="24"/>
                <w:szCs w:val="24"/>
              </w:rPr>
              <w:fldChar w:fldCharType="end"/>
            </w:r>
          </w:p>
        </w:tc>
      </w:tr>
      <w:tr w:rsidR="002657D1" w:rsidRPr="002657D1" w14:paraId="073B6399" w14:textId="77777777" w:rsidTr="003C42EB">
        <w:trPr>
          <w:gridBefore w:val="1"/>
          <w:wBefore w:w="85" w:type="dxa"/>
        </w:trPr>
        <w:tc>
          <w:tcPr>
            <w:tcW w:w="3445" w:type="dxa"/>
            <w:vAlign w:val="center"/>
          </w:tcPr>
          <w:p w14:paraId="48867971" w14:textId="30C7B889" w:rsidR="002B49B2" w:rsidRPr="002657D1" w:rsidRDefault="002B49B2" w:rsidP="002B49B2">
            <w:pPr>
              <w:widowControl/>
              <w:spacing w:line="360" w:lineRule="auto"/>
              <w:jc w:val="center"/>
              <w:rPr>
                <w:rFonts w:ascii="Times New Roman" w:hAnsi="Times New Roman" w:cs="Times New Roman"/>
                <w:color w:val="000000" w:themeColor="text1"/>
                <w:sz w:val="24"/>
                <w:szCs w:val="24"/>
              </w:rPr>
            </w:pPr>
            <w:r w:rsidRPr="002657D1">
              <w:rPr>
                <w:rFonts w:ascii="Times New Roman" w:hAnsi="Times New Roman" w:cs="Times New Roman" w:hint="eastAsia"/>
                <w:color w:val="000000" w:themeColor="text1"/>
                <w:sz w:val="24"/>
                <w:szCs w:val="24"/>
              </w:rPr>
              <w:t>Li</w:t>
            </w:r>
            <w:r w:rsidRPr="002657D1">
              <w:rPr>
                <w:rFonts w:ascii="Times New Roman" w:hAnsi="Times New Roman" w:cs="Times New Roman" w:hint="eastAsia"/>
                <w:color w:val="000000" w:themeColor="text1"/>
                <w:sz w:val="24"/>
                <w:szCs w:val="24"/>
                <w:vertAlign w:val="subscript"/>
              </w:rPr>
              <w:t>3</w:t>
            </w:r>
            <w:r w:rsidRPr="002657D1">
              <w:rPr>
                <w:rFonts w:ascii="Times New Roman" w:hAnsi="Times New Roman" w:cs="Times New Roman" w:hint="eastAsia"/>
                <w:color w:val="000000" w:themeColor="text1"/>
                <w:sz w:val="24"/>
                <w:szCs w:val="24"/>
              </w:rPr>
              <w:t>ScCl</w:t>
            </w:r>
            <w:r w:rsidRPr="002657D1">
              <w:rPr>
                <w:rFonts w:ascii="Times New Roman" w:hAnsi="Times New Roman" w:cs="Times New Roman" w:hint="eastAsia"/>
                <w:color w:val="000000" w:themeColor="text1"/>
                <w:sz w:val="24"/>
                <w:szCs w:val="24"/>
                <w:vertAlign w:val="subscript"/>
              </w:rPr>
              <w:t>6</w:t>
            </w:r>
          </w:p>
        </w:tc>
        <w:tc>
          <w:tcPr>
            <w:tcW w:w="1161" w:type="dxa"/>
            <w:vAlign w:val="center"/>
          </w:tcPr>
          <w:p w14:paraId="69EDC72E" w14:textId="78FF3D6D" w:rsidR="002B49B2" w:rsidRPr="002657D1" w:rsidRDefault="002B49B2" w:rsidP="002B49B2">
            <w:pPr>
              <w:widowControl/>
              <w:spacing w:line="360" w:lineRule="auto"/>
              <w:jc w:val="center"/>
              <w:rPr>
                <w:rFonts w:ascii="Times New Roman" w:hAnsi="Times New Roman" w:cs="Times New Roman"/>
                <w:color w:val="000000" w:themeColor="text1"/>
                <w:sz w:val="24"/>
                <w:szCs w:val="24"/>
              </w:rPr>
            </w:pPr>
            <w:r w:rsidRPr="002657D1">
              <w:rPr>
                <w:rFonts w:ascii="Times New Roman" w:eastAsia="等线" w:hAnsi="Times New Roman" w:cs="Times New Roman"/>
                <w:color w:val="000000" w:themeColor="text1"/>
                <w:sz w:val="24"/>
                <w:szCs w:val="24"/>
              </w:rPr>
              <w:t>536.00</w:t>
            </w:r>
          </w:p>
        </w:tc>
        <w:tc>
          <w:tcPr>
            <w:tcW w:w="1285" w:type="dxa"/>
            <w:vAlign w:val="center"/>
          </w:tcPr>
          <w:p w14:paraId="61FF1576" w14:textId="72E480BF" w:rsidR="002B49B2" w:rsidRPr="002657D1" w:rsidRDefault="002B49B2" w:rsidP="002B49B2">
            <w:pPr>
              <w:widowControl/>
              <w:spacing w:line="360" w:lineRule="auto"/>
              <w:jc w:val="center"/>
              <w:rPr>
                <w:rFonts w:ascii="Times New Roman" w:hAnsi="Times New Roman" w:cs="Times New Roman"/>
                <w:color w:val="000000" w:themeColor="text1"/>
                <w:sz w:val="24"/>
                <w:szCs w:val="24"/>
              </w:rPr>
            </w:pPr>
            <w:r w:rsidRPr="002657D1">
              <w:rPr>
                <w:rFonts w:ascii="Times New Roman" w:eastAsia="等线" w:hAnsi="Times New Roman" w:cs="Times New Roman"/>
                <w:color w:val="000000" w:themeColor="text1"/>
                <w:sz w:val="24"/>
                <w:szCs w:val="24"/>
              </w:rPr>
              <w:t>3.02</w:t>
            </w:r>
          </w:p>
        </w:tc>
        <w:tc>
          <w:tcPr>
            <w:tcW w:w="1261" w:type="dxa"/>
            <w:vAlign w:val="center"/>
          </w:tcPr>
          <w:p w14:paraId="11E74356" w14:textId="432C0CDB" w:rsidR="002B49B2" w:rsidRPr="002657D1" w:rsidRDefault="002B49B2" w:rsidP="002B49B2">
            <w:pPr>
              <w:widowControl/>
              <w:spacing w:line="360" w:lineRule="auto"/>
              <w:jc w:val="center"/>
              <w:rPr>
                <w:rFonts w:ascii="Times New Roman" w:hAnsi="Times New Roman" w:cs="Times New Roman"/>
                <w:color w:val="000000" w:themeColor="text1"/>
                <w:sz w:val="24"/>
                <w:szCs w:val="24"/>
              </w:rPr>
            </w:pPr>
            <w:r w:rsidRPr="002657D1">
              <w:rPr>
                <w:rFonts w:ascii="Times New Roman" w:eastAsia="等线" w:hAnsi="Times New Roman" w:cs="Times New Roman"/>
                <w:color w:val="000000" w:themeColor="text1"/>
                <w:kern w:val="24"/>
                <w:sz w:val="24"/>
                <w:szCs w:val="24"/>
              </w:rPr>
              <w:t>140</w:t>
            </w:r>
          </w:p>
        </w:tc>
        <w:tc>
          <w:tcPr>
            <w:tcW w:w="1177" w:type="dxa"/>
            <w:vAlign w:val="center"/>
          </w:tcPr>
          <w:p w14:paraId="700EEA32" w14:textId="0BF615F0" w:rsidR="002B49B2" w:rsidRPr="002657D1" w:rsidRDefault="002B49B2" w:rsidP="002B49B2">
            <w:pPr>
              <w:widowControl/>
              <w:spacing w:line="360" w:lineRule="auto"/>
              <w:jc w:val="center"/>
              <w:rPr>
                <w:rFonts w:ascii="Times New Roman" w:hAnsi="Times New Roman" w:cs="Times New Roman"/>
                <w:color w:val="000000" w:themeColor="text1"/>
                <w:sz w:val="24"/>
                <w:szCs w:val="24"/>
              </w:rPr>
            </w:pPr>
            <w:r w:rsidRPr="002657D1">
              <w:rPr>
                <w:rFonts w:ascii="Times New Roman" w:eastAsia="等线" w:hAnsi="Times New Roman" w:cs="Times New Roman"/>
                <w:i/>
                <w:iCs/>
                <w:color w:val="000000" w:themeColor="text1"/>
                <w:sz w:val="24"/>
                <w:szCs w:val="24"/>
              </w:rPr>
              <w:fldChar w:fldCharType="begin"/>
            </w:r>
            <w:r w:rsidRPr="002657D1">
              <w:rPr>
                <w:rFonts w:ascii="Times New Roman" w:eastAsia="等线" w:hAnsi="Times New Roman" w:cs="Times New Roman"/>
                <w:i/>
                <w:iCs/>
                <w:color w:val="000000" w:themeColor="text1"/>
                <w:sz w:val="24"/>
                <w:szCs w:val="24"/>
              </w:rPr>
              <w:instrText xml:space="preserve"> ADDIN ZOTERO_ITEM CSL_CITATION {"citationID":"a84lh1pbu3","properties":{"formattedCitation":"\\super 35\\nosupersub{}","plainCitation":"35","noteIndex":0},"citationItems":[{"id":1106,"uris":["http://zotero.org/users/local/J1vikkcu/items/SURXXNYN"],"itemData":{"id":1106,"type":"article-journal","container-title":"Journal of the American Chemical Society","DOI":"10.1021/jacs.0c00134","ISSN":"0002-7863, 1520-5126","issue":"15","journalAbbreviation":"J. Am. Chem. Soc.","language":"en","license":"https://doi.org/10.15223/policy-029","page":"7012-7022","source":"DOI.org (Crossref)","title":"Site-Occupation-Tuned Superionic Li&lt;sub&gt; &lt;i&gt;x&lt;/i&gt; &lt;/sub&gt; ScCl&lt;sub&gt; 3+ &lt;i&gt;x&lt;/i&gt; &lt;/sub&gt; Halide Solid Electrolytes for All-Solid-State Batteries","volume":"142","author":[{"family":"Liang","given":"Jianwen"},{"family":"Li","given":"Xiaona"},{"family":"Wang","given":"Shuo"},{"family":"Adair","given":"Keegan R."},{"family":"Li","given":"Weihan"},{"family":"Zhao","given":"Yang"},{"family":"Wang","given":"Changhong"},{"family":"Hu","given":"Yongfeng"},{"family":"Zhang","given":"Li"},{"family":"Zhao","given":"Shangqian"},{"family":"Lu","given":"Shigang"},{"family":"Huang","given":"Huan"},{"family":"Li","given":"Ruying"},{"family":"Mo","given":"Yifei"},{"family":"Sun","given":"Xueliang"}],"issued":{"date-parts":[["2020",4,15]]}}}],"schema":"https://github.com/citation-style-language/schema/raw/master/csl-citation.json"} </w:instrText>
            </w:r>
            <w:r w:rsidRPr="002657D1">
              <w:rPr>
                <w:rFonts w:ascii="Times New Roman" w:eastAsia="等线" w:hAnsi="Times New Roman" w:cs="Times New Roman"/>
                <w:i/>
                <w:iCs/>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35</w:t>
            </w:r>
            <w:r w:rsidRPr="002657D1">
              <w:rPr>
                <w:rFonts w:ascii="Times New Roman" w:eastAsia="等线" w:hAnsi="Times New Roman" w:cs="Times New Roman"/>
                <w:i/>
                <w:iCs/>
                <w:color w:val="000000" w:themeColor="text1"/>
                <w:sz w:val="24"/>
                <w:szCs w:val="24"/>
              </w:rPr>
              <w:fldChar w:fldCharType="end"/>
            </w:r>
          </w:p>
        </w:tc>
      </w:tr>
      <w:tr w:rsidR="002657D1" w:rsidRPr="002657D1" w14:paraId="744CEEBA" w14:textId="77777777" w:rsidTr="003C42EB">
        <w:trPr>
          <w:gridBefore w:val="1"/>
          <w:wBefore w:w="85" w:type="dxa"/>
        </w:trPr>
        <w:tc>
          <w:tcPr>
            <w:tcW w:w="3445" w:type="dxa"/>
            <w:vAlign w:val="center"/>
          </w:tcPr>
          <w:p w14:paraId="720B61F1" w14:textId="45EE0B24" w:rsidR="002B49B2" w:rsidRPr="002657D1" w:rsidRDefault="002B49B2" w:rsidP="002B49B2">
            <w:pPr>
              <w:widowControl/>
              <w:spacing w:line="360" w:lineRule="auto"/>
              <w:jc w:val="center"/>
              <w:rPr>
                <w:rFonts w:ascii="Times New Roman" w:hAnsi="Times New Roman" w:cs="Times New Roman"/>
                <w:color w:val="000000" w:themeColor="text1"/>
                <w:kern w:val="24"/>
                <w:sz w:val="24"/>
                <w:szCs w:val="24"/>
              </w:rPr>
            </w:pPr>
            <w:r w:rsidRPr="002657D1">
              <w:rPr>
                <w:rFonts w:ascii="Times New Roman" w:hAnsi="Times New Roman" w:cs="Times New Roman" w:hint="eastAsia"/>
                <w:color w:val="000000" w:themeColor="text1"/>
                <w:sz w:val="24"/>
                <w:szCs w:val="24"/>
              </w:rPr>
              <w:t>Li</w:t>
            </w:r>
            <w:r w:rsidRPr="002657D1">
              <w:rPr>
                <w:rFonts w:ascii="Times New Roman" w:hAnsi="Times New Roman" w:cs="Times New Roman" w:hint="eastAsia"/>
                <w:color w:val="000000" w:themeColor="text1"/>
                <w:sz w:val="24"/>
                <w:szCs w:val="24"/>
                <w:vertAlign w:val="subscript"/>
              </w:rPr>
              <w:t>0.388</w:t>
            </w:r>
            <w:r w:rsidRPr="002657D1">
              <w:rPr>
                <w:rFonts w:ascii="Times New Roman" w:hAnsi="Times New Roman" w:cs="Times New Roman" w:hint="eastAsia"/>
                <w:color w:val="000000" w:themeColor="text1"/>
                <w:sz w:val="24"/>
                <w:szCs w:val="24"/>
              </w:rPr>
              <w:t>Ta</w:t>
            </w:r>
            <w:r w:rsidRPr="002657D1">
              <w:rPr>
                <w:rFonts w:ascii="Times New Roman" w:hAnsi="Times New Roman" w:cs="Times New Roman" w:hint="eastAsia"/>
                <w:color w:val="000000" w:themeColor="text1"/>
                <w:sz w:val="24"/>
                <w:szCs w:val="24"/>
                <w:vertAlign w:val="subscript"/>
              </w:rPr>
              <w:t>0.238</w:t>
            </w:r>
            <w:r w:rsidRPr="002657D1">
              <w:rPr>
                <w:rFonts w:ascii="Times New Roman" w:hAnsi="Times New Roman" w:cs="Times New Roman" w:hint="eastAsia"/>
                <w:color w:val="000000" w:themeColor="text1"/>
                <w:sz w:val="24"/>
                <w:szCs w:val="24"/>
              </w:rPr>
              <w:t>La</w:t>
            </w:r>
            <w:r w:rsidRPr="002657D1">
              <w:rPr>
                <w:rFonts w:ascii="Times New Roman" w:hAnsi="Times New Roman" w:cs="Times New Roman" w:hint="eastAsia"/>
                <w:color w:val="000000" w:themeColor="text1"/>
                <w:sz w:val="24"/>
                <w:szCs w:val="24"/>
                <w:vertAlign w:val="subscript"/>
              </w:rPr>
              <w:t>0.475</w:t>
            </w:r>
            <w:r w:rsidRPr="002657D1">
              <w:rPr>
                <w:rFonts w:ascii="Times New Roman" w:hAnsi="Times New Roman" w:cs="Times New Roman" w:hint="eastAsia"/>
                <w:color w:val="000000" w:themeColor="text1"/>
                <w:sz w:val="24"/>
                <w:szCs w:val="24"/>
              </w:rPr>
              <w:t>Cl</w:t>
            </w:r>
            <w:r w:rsidRPr="002657D1">
              <w:rPr>
                <w:rFonts w:ascii="Times New Roman" w:hAnsi="Times New Roman" w:cs="Times New Roman" w:hint="eastAsia"/>
                <w:color w:val="000000" w:themeColor="text1"/>
                <w:sz w:val="24"/>
                <w:szCs w:val="24"/>
                <w:vertAlign w:val="subscript"/>
              </w:rPr>
              <w:t>3</w:t>
            </w:r>
          </w:p>
        </w:tc>
        <w:tc>
          <w:tcPr>
            <w:tcW w:w="1161" w:type="dxa"/>
            <w:vAlign w:val="center"/>
          </w:tcPr>
          <w:p w14:paraId="39B95B94" w14:textId="582E3BD1" w:rsidR="002B49B2" w:rsidRPr="002657D1" w:rsidRDefault="002B49B2" w:rsidP="002B49B2">
            <w:pPr>
              <w:widowControl/>
              <w:spacing w:line="360" w:lineRule="auto"/>
              <w:jc w:val="center"/>
              <w:rPr>
                <w:rFonts w:ascii="Times New Roman" w:eastAsia="等线" w:hAnsi="Times New Roman" w:cs="Times New Roman"/>
                <w:color w:val="000000" w:themeColor="text1"/>
                <w:sz w:val="24"/>
                <w:szCs w:val="24"/>
              </w:rPr>
            </w:pPr>
            <w:r w:rsidRPr="002657D1">
              <w:rPr>
                <w:rFonts w:ascii="Times New Roman" w:hAnsi="Times New Roman" w:cs="Times New Roman"/>
                <w:color w:val="000000" w:themeColor="text1"/>
                <w:sz w:val="24"/>
                <w:szCs w:val="24"/>
              </w:rPr>
              <w:t>65.34</w:t>
            </w:r>
          </w:p>
        </w:tc>
        <w:tc>
          <w:tcPr>
            <w:tcW w:w="1285" w:type="dxa"/>
            <w:vAlign w:val="center"/>
          </w:tcPr>
          <w:p w14:paraId="16FB0E84" w14:textId="00B9B5AB" w:rsidR="002B49B2" w:rsidRPr="002657D1" w:rsidRDefault="002B49B2" w:rsidP="002B49B2">
            <w:pPr>
              <w:widowControl/>
              <w:spacing w:line="360" w:lineRule="auto"/>
              <w:jc w:val="center"/>
              <w:rPr>
                <w:rFonts w:ascii="Times New Roman" w:eastAsia="等线" w:hAnsi="Times New Roman" w:cs="Times New Roman"/>
                <w:color w:val="000000" w:themeColor="text1"/>
                <w:sz w:val="24"/>
                <w:szCs w:val="24"/>
              </w:rPr>
            </w:pPr>
            <w:r w:rsidRPr="002657D1">
              <w:rPr>
                <w:rFonts w:ascii="Times New Roman" w:eastAsia="等线" w:hAnsi="Times New Roman" w:cs="Times New Roman"/>
                <w:color w:val="000000" w:themeColor="text1"/>
                <w:sz w:val="24"/>
                <w:szCs w:val="24"/>
              </w:rPr>
              <w:t>3.02</w:t>
            </w:r>
          </w:p>
        </w:tc>
        <w:tc>
          <w:tcPr>
            <w:tcW w:w="1261" w:type="dxa"/>
            <w:vAlign w:val="center"/>
          </w:tcPr>
          <w:p w14:paraId="386897F3" w14:textId="6F7B1472" w:rsidR="002B49B2" w:rsidRPr="002657D1" w:rsidRDefault="002B49B2" w:rsidP="002B49B2">
            <w:pPr>
              <w:widowControl/>
              <w:spacing w:line="360" w:lineRule="auto"/>
              <w:jc w:val="center"/>
              <w:rPr>
                <w:rFonts w:ascii="Times New Roman" w:eastAsia="等线" w:hAnsi="Times New Roman" w:cs="Times New Roman"/>
                <w:color w:val="000000" w:themeColor="text1"/>
                <w:kern w:val="24"/>
                <w:sz w:val="24"/>
                <w:szCs w:val="24"/>
              </w:rPr>
            </w:pPr>
            <w:r w:rsidRPr="002657D1">
              <w:rPr>
                <w:rFonts w:ascii="Times New Roman" w:eastAsia="等线" w:hAnsi="Times New Roman" w:cs="Times New Roman"/>
                <w:color w:val="000000" w:themeColor="text1"/>
                <w:kern w:val="24"/>
                <w:sz w:val="24"/>
                <w:szCs w:val="24"/>
              </w:rPr>
              <w:t>500</w:t>
            </w:r>
          </w:p>
        </w:tc>
        <w:tc>
          <w:tcPr>
            <w:tcW w:w="1177" w:type="dxa"/>
            <w:vAlign w:val="center"/>
          </w:tcPr>
          <w:p w14:paraId="1F9A0F62" w14:textId="5FCC4383" w:rsidR="002B49B2" w:rsidRPr="002657D1" w:rsidRDefault="002B49B2" w:rsidP="002B49B2">
            <w:pPr>
              <w:widowControl/>
              <w:spacing w:line="360" w:lineRule="auto"/>
              <w:jc w:val="center"/>
              <w:rPr>
                <w:rFonts w:ascii="Times New Roman" w:hAnsi="Times New Roman" w:cs="Times New Roman"/>
                <w:b/>
                <w:bCs/>
                <w:color w:val="000000" w:themeColor="text1"/>
                <w:sz w:val="24"/>
                <w:szCs w:val="24"/>
              </w:rPr>
            </w:pPr>
            <w:r w:rsidRPr="002657D1">
              <w:rPr>
                <w:rFonts w:ascii="Times New Roman" w:hAnsi="Times New Roman" w:cs="Times New Roman"/>
                <w:color w:val="000000" w:themeColor="text1"/>
                <w:sz w:val="24"/>
                <w:szCs w:val="24"/>
              </w:rPr>
              <w:fldChar w:fldCharType="begin"/>
            </w:r>
            <w:r w:rsidRPr="002657D1">
              <w:rPr>
                <w:rFonts w:ascii="Times New Roman" w:hAnsi="Times New Roman" w:cs="Times New Roman"/>
                <w:color w:val="000000" w:themeColor="text1"/>
                <w:sz w:val="24"/>
                <w:szCs w:val="24"/>
              </w:rPr>
              <w:instrText xml:space="preserve"> ADDIN ZOTERO_ITEM CSL_CITATION {"citationID":"a1c13vtgrpk","properties":{"formattedCitation":"\\super 53\\nosupersub{}","plainCitation":"53","noteIndex":0},"citationItems":[{"id":37,"uris":["http://zotero.org/users/local/J1vikkcu/items/AGLXRULG"],"itemData":{"id":37,"type":"article-journal","container-title":"Nature","DOI":"10.1038/s41586-023-05899-8","ISSN":"0028-0836, 1476-4687","issue":"7955","journalAbbreviation":"Nature","language":"en","page":"77-83","source":"DOI.org (Crossref)","title":"A LaCl3-based lithium superionic conductor compatible with lithium metal","volume":"616","author":[{"family":"Yin","given":"Yi-Chen"},{"family":"Yang","given":"Jing-Tian"},{"family":"Luo","given":"Jin-Da"},{"family":"Lu","given":"Gong-Xun"},{"family":"Huang","given":"Zhongyuan"},{"family":"Wang","given":"Jian-Ping"},{"family":"Li","given":"Pai"},{"family":"Li","given":"Feng"},{"family":"Wu","given":"Ye-Chao"},{"family":"Tian","given":"Te"},{"family":"Meng","given":"Yu-Feng"},{"family":"Mo","given":"Hong-Sheng"},{"family":"Song","given":"Yong-Hui"},{"family":"Yang","given":"Jun-Nan"},{"family":"Feng","given":"Li-Zhe"},{"family":"Ma","given":"Tao"},{"family":"Wen","given":"Wen"},{"family":"Gong","given":"Ke"},{"family":"Wang","given":"Lin-Jun"},{"family":"Ju","given":"Huan-Xin"},{"family":"Xiao","given":"Yinguo"},{"family":"Li","given":"Zhenyu"},{"family":"Tao","given":"Xinyong"},{"family":"Yao","given":"Hong-Bin"}],"issued":{"date-parts":[["2023",4,6]]}}}],"schema":"https://github.com/citation-style-language/schema/raw/master/csl-citation.json"} </w:instrText>
            </w:r>
            <w:r w:rsidRPr="002657D1">
              <w:rPr>
                <w:rFonts w:ascii="Times New Roman" w:hAnsi="Times New Roman" w:cs="Times New Roman"/>
                <w:color w:val="000000" w:themeColor="text1"/>
                <w:sz w:val="24"/>
                <w:szCs w:val="24"/>
              </w:rPr>
              <w:fldChar w:fldCharType="separate"/>
            </w:r>
            <w:r w:rsidRPr="002657D1">
              <w:rPr>
                <w:rFonts w:ascii="Times New Roman" w:hAnsi="Times New Roman" w:cs="Times New Roman"/>
                <w:color w:val="000000" w:themeColor="text1"/>
                <w:kern w:val="0"/>
                <w:sz w:val="24"/>
                <w:szCs w:val="24"/>
                <w:vertAlign w:val="superscript"/>
              </w:rPr>
              <w:t>53</w:t>
            </w:r>
            <w:r w:rsidRPr="002657D1">
              <w:rPr>
                <w:rFonts w:ascii="Times New Roman" w:hAnsi="Times New Roman" w:cs="Times New Roman"/>
                <w:color w:val="000000" w:themeColor="text1"/>
                <w:sz w:val="24"/>
                <w:szCs w:val="24"/>
              </w:rPr>
              <w:fldChar w:fldCharType="end"/>
            </w:r>
          </w:p>
        </w:tc>
      </w:tr>
      <w:bookmarkEnd w:id="129"/>
      <w:bookmarkEnd w:id="131"/>
      <w:bookmarkEnd w:id="133"/>
    </w:tbl>
    <w:p w14:paraId="482060EC" w14:textId="36674DF6" w:rsidR="00D60342" w:rsidRPr="002657D1" w:rsidRDefault="00D60342">
      <w:pPr>
        <w:widowControl/>
        <w:jc w:val="left"/>
        <w:rPr>
          <w:rFonts w:ascii="Times New Roman" w:hAnsi="Times New Roman" w:cs="Times New Roman"/>
          <w:b/>
          <w:bCs/>
          <w:color w:val="000000" w:themeColor="text1"/>
        </w:rPr>
      </w:pPr>
      <w:r w:rsidRPr="002657D1">
        <w:rPr>
          <w:rFonts w:ascii="Times New Roman" w:hAnsi="Times New Roman" w:cs="Times New Roman"/>
          <w:b/>
          <w:bCs/>
          <w:color w:val="000000" w:themeColor="text1"/>
        </w:rPr>
        <w:br w:type="page"/>
      </w:r>
    </w:p>
    <w:p w14:paraId="2AB0DC6B" w14:textId="4275A2E3" w:rsidR="004E79BF" w:rsidRPr="002657D1" w:rsidRDefault="00AC0998" w:rsidP="00946A9F">
      <w:pPr>
        <w:spacing w:before="120" w:afterLines="50" w:after="156" w:line="360" w:lineRule="auto"/>
        <w:outlineLvl w:val="0"/>
        <w:rPr>
          <w:rFonts w:hint="eastAsia"/>
          <w:color w:val="000000" w:themeColor="text1"/>
          <w:sz w:val="22"/>
          <w:szCs w:val="22"/>
        </w:rPr>
      </w:pPr>
      <w:bookmarkStart w:id="136" w:name="_Toc206419564"/>
      <w:bookmarkStart w:id="137" w:name="_Toc206419614"/>
      <w:bookmarkStart w:id="138" w:name="_Toc217638257"/>
      <w:bookmarkEnd w:id="130"/>
      <w:r w:rsidRPr="002657D1">
        <w:rPr>
          <w:rFonts w:ascii="Calibri" w:hAnsi="Calibri" w:cs="Calibri" w:hint="eastAsia"/>
          <w:b/>
          <w:bCs/>
          <w:color w:val="000000" w:themeColor="text1"/>
          <w:sz w:val="28"/>
          <w:szCs w:val="28"/>
        </w:rPr>
        <w:lastRenderedPageBreak/>
        <w:t xml:space="preserve">4. References for </w:t>
      </w:r>
      <w:r w:rsidR="00D04D02" w:rsidRPr="002657D1">
        <w:rPr>
          <w:rFonts w:ascii="Calibri" w:hAnsi="Calibri" w:cs="Calibri" w:hint="eastAsia"/>
          <w:b/>
          <w:bCs/>
          <w:color w:val="000000" w:themeColor="text1"/>
          <w:sz w:val="28"/>
          <w:szCs w:val="28"/>
        </w:rPr>
        <w:t>S</w:t>
      </w:r>
      <w:r w:rsidRPr="002657D1">
        <w:rPr>
          <w:rFonts w:ascii="Calibri" w:hAnsi="Calibri" w:cs="Calibri" w:hint="eastAsia"/>
          <w:b/>
          <w:bCs/>
          <w:color w:val="000000" w:themeColor="text1"/>
          <w:sz w:val="28"/>
          <w:szCs w:val="28"/>
        </w:rPr>
        <w:t xml:space="preserve">upplementary </w:t>
      </w:r>
      <w:bookmarkEnd w:id="136"/>
      <w:bookmarkEnd w:id="137"/>
      <w:r w:rsidR="00D04D02" w:rsidRPr="002657D1">
        <w:rPr>
          <w:rFonts w:ascii="Calibri" w:hAnsi="Calibri" w:cs="Calibri" w:hint="eastAsia"/>
          <w:b/>
          <w:bCs/>
          <w:color w:val="000000" w:themeColor="text1"/>
          <w:sz w:val="28"/>
          <w:szCs w:val="28"/>
        </w:rPr>
        <w:t>Materials</w:t>
      </w:r>
      <w:bookmarkEnd w:id="138"/>
    </w:p>
    <w:p w14:paraId="7A03727A" w14:textId="698B3CB5"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fldChar w:fldCharType="begin"/>
      </w:r>
      <w:r w:rsidRPr="002657D1">
        <w:rPr>
          <w:rFonts w:ascii="Times New Roman" w:eastAsia="宋体" w:hAnsi="Times New Roman" w:cs="Times New Roman"/>
          <w:color w:val="000000" w:themeColor="text1"/>
          <w:sz w:val="24"/>
          <w:szCs w:val="24"/>
        </w:rPr>
        <w:instrText xml:space="preserve"> ADDIN ZOTERO_BIBL {"uncited":[],"omitted":[],"custom":[]} CSL_BIBLIOGRAPHY </w:instrText>
      </w:r>
      <w:r w:rsidRPr="002657D1">
        <w:rPr>
          <w:rFonts w:ascii="Times New Roman" w:eastAsia="宋体" w:hAnsi="Times New Roman" w:cs="Times New Roman"/>
          <w:color w:val="000000" w:themeColor="text1"/>
          <w:sz w:val="24"/>
          <w:szCs w:val="24"/>
        </w:rPr>
        <w:fldChar w:fldCharType="separate"/>
      </w:r>
      <w:r w:rsidRPr="002657D1">
        <w:rPr>
          <w:rFonts w:ascii="Times New Roman" w:eastAsia="宋体" w:hAnsi="Times New Roman" w:cs="Times New Roman"/>
          <w:color w:val="000000" w:themeColor="text1"/>
          <w:sz w:val="24"/>
          <w:szCs w:val="24"/>
        </w:rPr>
        <w:t>1.</w:t>
      </w:r>
      <w:r w:rsidRPr="002657D1">
        <w:rPr>
          <w:rFonts w:ascii="Times New Roman" w:eastAsia="宋体" w:hAnsi="Times New Roman" w:cs="Times New Roman"/>
          <w:color w:val="000000" w:themeColor="text1"/>
          <w:sz w:val="24"/>
          <w:szCs w:val="24"/>
        </w:rPr>
        <w:tab/>
      </w:r>
      <w:r w:rsidRPr="002657D1">
        <w:rPr>
          <w:rFonts w:ascii="Times New Roman" w:eastAsia="宋体" w:hAnsi="Times New Roman" w:cs="Times New Roman"/>
          <w:color w:val="000000" w:themeColor="text1"/>
          <w:sz w:val="24"/>
          <w:szCs w:val="24"/>
        </w:rPr>
        <w:tab/>
        <w:t xml:space="preserve">Wang, K.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A cost-effective and humidity-tolerant chloride solid electrolyte for</w:t>
      </w:r>
      <w:r w:rsidRPr="002657D1">
        <w:rPr>
          <w:rFonts w:ascii="Times New Roman" w:eastAsia="宋体" w:hAnsi="Times New Roman" w:cs="Times New Roman" w:hint="eastAsia"/>
          <w:color w:val="000000" w:themeColor="text1"/>
          <w:sz w:val="24"/>
          <w:szCs w:val="24"/>
        </w:rPr>
        <w:t xml:space="preserve"> </w:t>
      </w:r>
      <w:r w:rsidRPr="002657D1">
        <w:rPr>
          <w:rFonts w:ascii="Times New Roman" w:eastAsia="宋体" w:hAnsi="Times New Roman" w:cs="Times New Roman"/>
          <w:color w:val="000000" w:themeColor="text1"/>
          <w:sz w:val="24"/>
          <w:szCs w:val="24"/>
        </w:rPr>
        <w:t xml:space="preserve">lithium batteries. </w:t>
      </w:r>
      <w:r w:rsidRPr="002657D1">
        <w:rPr>
          <w:rFonts w:ascii="Times New Roman" w:eastAsia="宋体" w:hAnsi="Times New Roman" w:cs="Times New Roman"/>
          <w:i/>
          <w:iCs/>
          <w:color w:val="000000" w:themeColor="text1"/>
          <w:sz w:val="24"/>
          <w:szCs w:val="24"/>
        </w:rPr>
        <w:t>Nat. Commun.</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12</w:t>
      </w:r>
      <w:r w:rsidRPr="002657D1">
        <w:rPr>
          <w:rFonts w:ascii="Times New Roman" w:eastAsia="宋体" w:hAnsi="Times New Roman" w:cs="Times New Roman"/>
          <w:color w:val="000000" w:themeColor="text1"/>
          <w:sz w:val="24"/>
          <w:szCs w:val="24"/>
        </w:rPr>
        <w:t>, 4410 (2021).</w:t>
      </w:r>
    </w:p>
    <w:p w14:paraId="714B9A8B" w14:textId="114E6884"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2.</w:t>
      </w:r>
      <w:r w:rsidRPr="002657D1">
        <w:rPr>
          <w:rFonts w:ascii="Times New Roman" w:eastAsia="宋体" w:hAnsi="Times New Roman" w:cs="Times New Roman"/>
          <w:color w:val="000000" w:themeColor="text1"/>
          <w:sz w:val="24"/>
          <w:szCs w:val="24"/>
        </w:rPr>
        <w:tab/>
      </w:r>
      <w:r w:rsidRPr="002657D1">
        <w:rPr>
          <w:rFonts w:ascii="Times New Roman" w:eastAsia="宋体" w:hAnsi="Times New Roman" w:cs="Times New Roman"/>
          <w:color w:val="000000" w:themeColor="text1"/>
          <w:sz w:val="24"/>
          <w:szCs w:val="24"/>
        </w:rPr>
        <w:tab/>
        <w:t xml:space="preserve">He, X., Zhu, Y., Epstein, A. &amp; Mo, Y. Statistical variances of diffusional properties from ab initio molecular dynamics simulations. </w:t>
      </w:r>
      <w:r w:rsidRPr="002657D1">
        <w:rPr>
          <w:rFonts w:ascii="Times New Roman" w:eastAsia="宋体" w:hAnsi="Times New Roman" w:cs="Times New Roman"/>
          <w:i/>
          <w:iCs/>
          <w:color w:val="000000" w:themeColor="text1"/>
          <w:sz w:val="24"/>
          <w:szCs w:val="24"/>
        </w:rPr>
        <w:t>npj Comput.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4</w:t>
      </w:r>
      <w:r w:rsidRPr="002657D1">
        <w:rPr>
          <w:rFonts w:ascii="Times New Roman" w:eastAsia="宋体" w:hAnsi="Times New Roman" w:cs="Times New Roman"/>
          <w:color w:val="000000" w:themeColor="text1"/>
          <w:sz w:val="24"/>
          <w:szCs w:val="24"/>
        </w:rPr>
        <w:t>, 18 (2018).</w:t>
      </w:r>
    </w:p>
    <w:p w14:paraId="7C74B9CF" w14:textId="35A55A8B"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3.</w:t>
      </w:r>
      <w:r w:rsidRPr="002657D1">
        <w:rPr>
          <w:rFonts w:ascii="Times New Roman" w:eastAsia="宋体" w:hAnsi="Times New Roman" w:cs="Times New Roman"/>
          <w:color w:val="000000" w:themeColor="text1"/>
          <w:sz w:val="24"/>
          <w:szCs w:val="24"/>
        </w:rPr>
        <w:tab/>
      </w:r>
      <w:r w:rsidRPr="002657D1">
        <w:rPr>
          <w:rFonts w:ascii="Times New Roman" w:eastAsia="宋体" w:hAnsi="Times New Roman" w:cs="Times New Roman"/>
          <w:color w:val="000000" w:themeColor="text1"/>
          <w:sz w:val="24"/>
          <w:szCs w:val="24"/>
        </w:rPr>
        <w:tab/>
        <w:t xml:space="preserve">Funke, H., Scheinost, A. C. &amp; Chukalina, M. Wavelet analysis of extended x-ray absorption fine structure data. </w:t>
      </w:r>
      <w:bookmarkStart w:id="139" w:name="OLE_LINK117"/>
      <w:r w:rsidRPr="002657D1">
        <w:rPr>
          <w:rFonts w:ascii="Times New Roman" w:eastAsia="宋体" w:hAnsi="Times New Roman" w:cs="Times New Roman"/>
          <w:i/>
          <w:iCs/>
          <w:color w:val="000000" w:themeColor="text1"/>
          <w:sz w:val="24"/>
          <w:szCs w:val="24"/>
        </w:rPr>
        <w:t>Phys. Rev. B</w:t>
      </w:r>
      <w:bookmarkEnd w:id="139"/>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71</w:t>
      </w:r>
      <w:r w:rsidRPr="002657D1">
        <w:rPr>
          <w:rFonts w:ascii="Times New Roman" w:eastAsia="宋体" w:hAnsi="Times New Roman" w:cs="Times New Roman"/>
          <w:color w:val="000000" w:themeColor="text1"/>
          <w:sz w:val="24"/>
          <w:szCs w:val="24"/>
        </w:rPr>
        <w:t>, 094110 (2005).</w:t>
      </w:r>
    </w:p>
    <w:p w14:paraId="25092905" w14:textId="78C3F4FC"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4.</w:t>
      </w:r>
      <w:r w:rsidRPr="002657D1">
        <w:rPr>
          <w:rFonts w:ascii="Times New Roman" w:eastAsia="宋体" w:hAnsi="Times New Roman" w:cs="Times New Roman"/>
          <w:color w:val="000000" w:themeColor="text1"/>
          <w:sz w:val="24"/>
          <w:szCs w:val="24"/>
        </w:rPr>
        <w:tab/>
      </w:r>
      <w:r w:rsidRPr="002657D1">
        <w:rPr>
          <w:rFonts w:ascii="Times New Roman" w:eastAsia="宋体" w:hAnsi="Times New Roman" w:cs="Times New Roman"/>
          <w:color w:val="000000" w:themeColor="text1"/>
          <w:sz w:val="24"/>
          <w:szCs w:val="24"/>
        </w:rPr>
        <w:tab/>
        <w:t>Ravel, B. &amp; Newville, M. ATHENA, ARTEMIS, HEPHAESTUS: data analysis for X-ray absorption spectroscopy using IFEFFIT.</w:t>
      </w:r>
      <w:bookmarkStart w:id="140" w:name="OLE_LINK115"/>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i/>
          <w:iCs/>
          <w:color w:val="000000" w:themeColor="text1"/>
          <w:sz w:val="24"/>
          <w:szCs w:val="24"/>
        </w:rPr>
        <w:t>Synchrotron Radiat.</w:t>
      </w:r>
      <w:bookmarkEnd w:id="140"/>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12</w:t>
      </w:r>
      <w:r w:rsidRPr="002657D1">
        <w:rPr>
          <w:rFonts w:ascii="Times New Roman" w:eastAsia="宋体" w:hAnsi="Times New Roman" w:cs="Times New Roman"/>
          <w:color w:val="000000" w:themeColor="text1"/>
          <w:sz w:val="24"/>
          <w:szCs w:val="24"/>
        </w:rPr>
        <w:t>, 537-541 (2005).</w:t>
      </w:r>
    </w:p>
    <w:p w14:paraId="6B77712A" w14:textId="3352C71F"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5.</w:t>
      </w:r>
      <w:r w:rsidRPr="002657D1">
        <w:rPr>
          <w:rFonts w:ascii="Times New Roman" w:eastAsia="宋体" w:hAnsi="Times New Roman" w:cs="Times New Roman"/>
          <w:color w:val="000000" w:themeColor="text1"/>
          <w:sz w:val="24"/>
          <w:szCs w:val="24"/>
        </w:rPr>
        <w:tab/>
      </w:r>
      <w:r w:rsidRPr="002657D1">
        <w:rPr>
          <w:rFonts w:ascii="Times New Roman" w:eastAsia="宋体" w:hAnsi="Times New Roman" w:cs="Times New Roman"/>
          <w:color w:val="000000" w:themeColor="text1"/>
          <w:sz w:val="24"/>
          <w:szCs w:val="24"/>
        </w:rPr>
        <w:tab/>
        <w:t>Zabinsky, S. I., Rehr, J. J., Ankudinov, A., Albers, R. C. &amp; Eller, M. J.</w:t>
      </w:r>
      <w:bookmarkStart w:id="141" w:name="OLE_LINK116"/>
      <w:r w:rsidRPr="002657D1">
        <w:rPr>
          <w:rFonts w:ascii="Times New Roman" w:eastAsia="宋体" w:hAnsi="Times New Roman" w:cs="Times New Roman"/>
          <w:color w:val="000000" w:themeColor="text1"/>
          <w:sz w:val="24"/>
          <w:szCs w:val="24"/>
        </w:rPr>
        <w:t xml:space="preserve"> Multiple-scattering calculations of x-ray-absorption spectra.</w:t>
      </w:r>
      <w:bookmarkEnd w:id="141"/>
      <w:r w:rsidRPr="002657D1">
        <w:rPr>
          <w:rFonts w:ascii="Times New Roman" w:eastAsia="宋体" w:hAnsi="Times New Roman" w:cs="Times New Roman"/>
          <w:i/>
          <w:iCs/>
          <w:color w:val="000000" w:themeColor="text1"/>
          <w:sz w:val="24"/>
          <w:szCs w:val="24"/>
        </w:rPr>
        <w:t xml:space="preserve"> Phys. Rev. B</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52</w:t>
      </w:r>
      <w:r w:rsidRPr="002657D1">
        <w:rPr>
          <w:rFonts w:ascii="Times New Roman" w:eastAsia="宋体" w:hAnsi="Times New Roman" w:cs="Times New Roman"/>
          <w:color w:val="000000" w:themeColor="text1"/>
          <w:sz w:val="24"/>
          <w:szCs w:val="24"/>
        </w:rPr>
        <w:t>, 2995.</w:t>
      </w:r>
    </w:p>
    <w:p w14:paraId="603D5BFB" w14:textId="4ABFD932"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6.</w:t>
      </w:r>
      <w:r w:rsidRPr="002657D1">
        <w:rPr>
          <w:rFonts w:ascii="Times New Roman" w:eastAsia="宋体" w:hAnsi="Times New Roman" w:cs="Times New Roman"/>
          <w:color w:val="000000" w:themeColor="text1"/>
          <w:sz w:val="24"/>
          <w:szCs w:val="24"/>
        </w:rPr>
        <w:tab/>
      </w:r>
      <w:r w:rsidRPr="002657D1">
        <w:rPr>
          <w:rFonts w:ascii="Times New Roman" w:eastAsia="宋体" w:hAnsi="Times New Roman" w:cs="Times New Roman"/>
          <w:color w:val="000000" w:themeColor="text1"/>
          <w:sz w:val="24"/>
          <w:szCs w:val="24"/>
        </w:rPr>
        <w:tab/>
        <w:t xml:space="preserve">Mauler, L., Duffner, F., Zeier, W. G. &amp; Leker, J. Battery cost forecasting: a review of methods and results with an outlook to 2050. </w:t>
      </w:r>
      <w:r w:rsidRPr="002657D1">
        <w:rPr>
          <w:rFonts w:ascii="Times New Roman" w:eastAsia="宋体" w:hAnsi="Times New Roman" w:cs="Times New Roman"/>
          <w:i/>
          <w:iCs/>
          <w:color w:val="000000" w:themeColor="text1"/>
          <w:sz w:val="24"/>
          <w:szCs w:val="24"/>
        </w:rPr>
        <w:t>Energy Environ. Sci.</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14</w:t>
      </w:r>
      <w:r w:rsidRPr="002657D1">
        <w:rPr>
          <w:rFonts w:ascii="Times New Roman" w:eastAsia="宋体" w:hAnsi="Times New Roman" w:cs="Times New Roman"/>
          <w:color w:val="000000" w:themeColor="text1"/>
          <w:sz w:val="24"/>
          <w:szCs w:val="24"/>
        </w:rPr>
        <w:t>, 4712–4739 (2021).</w:t>
      </w:r>
    </w:p>
    <w:p w14:paraId="2CFE929D" w14:textId="044651CC"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7.</w:t>
      </w:r>
      <w:r w:rsidRPr="002657D1">
        <w:rPr>
          <w:rFonts w:ascii="Times New Roman" w:eastAsia="宋体" w:hAnsi="Times New Roman" w:cs="Times New Roman"/>
          <w:color w:val="000000" w:themeColor="text1"/>
          <w:sz w:val="24"/>
          <w:szCs w:val="24"/>
        </w:rPr>
        <w:tab/>
      </w:r>
      <w:r w:rsidRPr="002657D1">
        <w:rPr>
          <w:rFonts w:ascii="Times New Roman" w:eastAsia="宋体" w:hAnsi="Times New Roman" w:cs="Times New Roman"/>
          <w:color w:val="000000" w:themeColor="text1"/>
          <w:sz w:val="24"/>
          <w:szCs w:val="24"/>
        </w:rPr>
        <w:tab/>
        <w:t xml:space="preserve">Asano, T.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Solid Halide Electrolytes with High Lithium‐Ion Conductivity for Application in 4 V Class Bulk‐Type All‐Solid‐State Batteries. </w:t>
      </w:r>
      <w:r w:rsidRPr="002657D1">
        <w:rPr>
          <w:rFonts w:ascii="Times New Roman" w:eastAsia="宋体" w:hAnsi="Times New Roman" w:cs="Times New Roman"/>
          <w:i/>
          <w:iCs/>
          <w:color w:val="000000" w:themeColor="text1"/>
          <w:sz w:val="24"/>
          <w:szCs w:val="24"/>
        </w:rPr>
        <w:t>Adv.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30</w:t>
      </w:r>
      <w:r w:rsidRPr="002657D1">
        <w:rPr>
          <w:rFonts w:ascii="Times New Roman" w:eastAsia="宋体" w:hAnsi="Times New Roman" w:cs="Times New Roman"/>
          <w:color w:val="000000" w:themeColor="text1"/>
          <w:sz w:val="24"/>
          <w:szCs w:val="24"/>
        </w:rPr>
        <w:t>, 1803075 (2018).</w:t>
      </w:r>
    </w:p>
    <w:p w14:paraId="3D4B5020" w14:textId="33F0CAF1"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8</w:t>
      </w:r>
      <w:bookmarkStart w:id="142" w:name="OLE_LINK5"/>
      <w:r w:rsidRPr="002657D1">
        <w:rPr>
          <w:rFonts w:ascii="Times New Roman" w:eastAsia="宋体" w:hAnsi="Times New Roman" w:cs="Times New Roman"/>
          <w:color w:val="000000" w:themeColor="text1"/>
          <w:sz w:val="24"/>
          <w:szCs w:val="24"/>
        </w:rPr>
        <w:t>.</w:t>
      </w:r>
      <w:r w:rsidRPr="002657D1">
        <w:rPr>
          <w:rFonts w:ascii="Times New Roman" w:eastAsia="宋体" w:hAnsi="Times New Roman" w:cs="Times New Roman"/>
          <w:color w:val="000000" w:themeColor="text1"/>
          <w:sz w:val="24"/>
          <w:szCs w:val="24"/>
        </w:rPr>
        <w:tab/>
      </w:r>
      <w:r w:rsidRPr="002657D1">
        <w:rPr>
          <w:rFonts w:ascii="Times New Roman" w:eastAsia="宋体" w:hAnsi="Times New Roman" w:cs="Times New Roman"/>
          <w:color w:val="000000" w:themeColor="text1"/>
          <w:sz w:val="24"/>
          <w:szCs w:val="24"/>
        </w:rPr>
        <w:tab/>
      </w:r>
      <w:bookmarkEnd w:id="142"/>
      <w:r w:rsidRPr="002657D1">
        <w:rPr>
          <w:rFonts w:ascii="Times New Roman" w:eastAsia="宋体" w:hAnsi="Times New Roman" w:cs="Times New Roman"/>
          <w:color w:val="000000" w:themeColor="text1"/>
          <w:sz w:val="24"/>
          <w:szCs w:val="24"/>
        </w:rPr>
        <w:t xml:space="preserve">Wang, C., Liang, J., Kim, J. T. &amp; Sun, X. Prospects of halide-based all-solid-state batteries: From material design to practical application. </w:t>
      </w:r>
      <w:r w:rsidRPr="002657D1">
        <w:rPr>
          <w:rFonts w:ascii="Times New Roman" w:eastAsia="宋体" w:hAnsi="Times New Roman" w:cs="Times New Roman"/>
          <w:i/>
          <w:iCs/>
          <w:color w:val="000000" w:themeColor="text1"/>
          <w:sz w:val="24"/>
          <w:szCs w:val="24"/>
        </w:rPr>
        <w:t>Sci. Adv.</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8</w:t>
      </w:r>
      <w:r w:rsidRPr="002657D1">
        <w:rPr>
          <w:rFonts w:ascii="Times New Roman" w:eastAsia="宋体" w:hAnsi="Times New Roman" w:cs="Times New Roman"/>
          <w:color w:val="000000" w:themeColor="text1"/>
          <w:sz w:val="24"/>
          <w:szCs w:val="24"/>
        </w:rPr>
        <w:t>, eadc9516 (2022).</w:t>
      </w:r>
    </w:p>
    <w:p w14:paraId="0D4DB338" w14:textId="6FAFD552"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9.</w:t>
      </w:r>
      <w:r w:rsidRPr="002657D1">
        <w:rPr>
          <w:rFonts w:ascii="Times New Roman" w:eastAsia="宋体" w:hAnsi="Times New Roman" w:cs="Times New Roman"/>
          <w:color w:val="000000" w:themeColor="text1"/>
          <w:sz w:val="24"/>
          <w:szCs w:val="24"/>
        </w:rPr>
        <w:tab/>
      </w:r>
      <w:r w:rsidRPr="002657D1">
        <w:rPr>
          <w:rFonts w:ascii="Times New Roman" w:eastAsia="宋体" w:hAnsi="Times New Roman" w:cs="Times New Roman"/>
          <w:color w:val="000000" w:themeColor="text1"/>
          <w:sz w:val="24"/>
          <w:szCs w:val="24"/>
        </w:rPr>
        <w:tab/>
        <w:t xml:space="preserve">Schlem, R.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Mechanochemical Synthesis: A Tool to Tune Cation Site Disorder </w:t>
      </w:r>
      <w:r w:rsidRPr="002657D1">
        <w:rPr>
          <w:rFonts w:ascii="Times New Roman" w:eastAsia="宋体" w:hAnsi="Times New Roman" w:cs="Times New Roman"/>
          <w:color w:val="000000" w:themeColor="text1"/>
          <w:sz w:val="24"/>
          <w:szCs w:val="24"/>
        </w:rPr>
        <w:lastRenderedPageBreak/>
        <w:t>and Ionic Transport Properties of Li</w:t>
      </w:r>
      <w:r w:rsidRPr="002657D1">
        <w:rPr>
          <w:rFonts w:ascii="Times New Roman" w:eastAsia="宋体" w:hAnsi="Times New Roman" w:cs="Times New Roman"/>
          <w:color w:val="000000" w:themeColor="text1"/>
          <w:sz w:val="24"/>
          <w:szCs w:val="24"/>
          <w:vertAlign w:val="subscript"/>
        </w:rPr>
        <w:t>3</w:t>
      </w:r>
      <w:r w:rsidRPr="002657D1">
        <w:rPr>
          <w:rFonts w:ascii="Times New Roman" w:eastAsia="宋体" w:hAnsi="Times New Roman" w:cs="Times New Roman"/>
          <w:color w:val="000000" w:themeColor="text1"/>
          <w:sz w:val="24"/>
          <w:szCs w:val="24"/>
        </w:rPr>
        <w:t>MCl</w:t>
      </w:r>
      <w:r w:rsidRPr="002657D1">
        <w:rPr>
          <w:rFonts w:ascii="Times New Roman" w:eastAsia="宋体" w:hAnsi="Times New Roman" w:cs="Times New Roman"/>
          <w:color w:val="000000" w:themeColor="text1"/>
          <w:sz w:val="24"/>
          <w:szCs w:val="24"/>
          <w:vertAlign w:val="subscript"/>
        </w:rPr>
        <w:t>6</w:t>
      </w:r>
      <w:r w:rsidRPr="002657D1">
        <w:rPr>
          <w:rFonts w:ascii="Times New Roman" w:eastAsia="宋体" w:hAnsi="Times New Roman" w:cs="Times New Roman"/>
          <w:color w:val="000000" w:themeColor="text1"/>
          <w:sz w:val="24"/>
          <w:szCs w:val="24"/>
        </w:rPr>
        <w:t xml:space="preserve"> (M = Y, Er) Superionic Conductors. </w:t>
      </w:r>
      <w:r w:rsidRPr="002657D1">
        <w:rPr>
          <w:rFonts w:ascii="Times New Roman" w:eastAsia="宋体" w:hAnsi="Times New Roman" w:cs="Times New Roman"/>
          <w:i/>
          <w:iCs/>
          <w:color w:val="000000" w:themeColor="text1"/>
          <w:sz w:val="24"/>
          <w:szCs w:val="24"/>
        </w:rPr>
        <w:t>Adv. Energy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10</w:t>
      </w:r>
      <w:r w:rsidRPr="002657D1">
        <w:rPr>
          <w:rFonts w:ascii="Times New Roman" w:eastAsia="宋体" w:hAnsi="Times New Roman" w:cs="Times New Roman"/>
          <w:color w:val="000000" w:themeColor="text1"/>
          <w:sz w:val="24"/>
          <w:szCs w:val="24"/>
        </w:rPr>
        <w:t>, 1903719 (2020).</w:t>
      </w:r>
    </w:p>
    <w:p w14:paraId="78E12BC7"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10.</w:t>
      </w:r>
      <w:r w:rsidRPr="002657D1">
        <w:rPr>
          <w:rFonts w:ascii="Times New Roman" w:eastAsia="宋体" w:hAnsi="Times New Roman" w:cs="Times New Roman"/>
          <w:color w:val="000000" w:themeColor="text1"/>
          <w:sz w:val="24"/>
          <w:szCs w:val="24"/>
        </w:rPr>
        <w:tab/>
        <w:t xml:space="preserve">Liang, J.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A Series of Ternary Metal Chloride Superionic Conductors for High‐Performance All‐Solid‐State Lithium Batteries. </w:t>
      </w:r>
      <w:r w:rsidRPr="002657D1">
        <w:rPr>
          <w:rFonts w:ascii="Times New Roman" w:eastAsia="宋体" w:hAnsi="Times New Roman" w:cs="Times New Roman"/>
          <w:i/>
          <w:iCs/>
          <w:color w:val="000000" w:themeColor="text1"/>
          <w:sz w:val="24"/>
          <w:szCs w:val="24"/>
        </w:rPr>
        <w:t>Adv. Energy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12</w:t>
      </w:r>
      <w:r w:rsidRPr="002657D1">
        <w:rPr>
          <w:rFonts w:ascii="Times New Roman" w:eastAsia="宋体" w:hAnsi="Times New Roman" w:cs="Times New Roman"/>
          <w:color w:val="000000" w:themeColor="text1"/>
          <w:sz w:val="24"/>
          <w:szCs w:val="24"/>
        </w:rPr>
        <w:t>, 2103921 (2022).</w:t>
      </w:r>
    </w:p>
    <w:p w14:paraId="71597996"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11.</w:t>
      </w:r>
      <w:bookmarkStart w:id="143" w:name="OLE_LINK3"/>
      <w:r w:rsidRPr="002657D1">
        <w:rPr>
          <w:rFonts w:ascii="Times New Roman" w:eastAsia="宋体" w:hAnsi="Times New Roman" w:cs="Times New Roman"/>
          <w:color w:val="000000" w:themeColor="text1"/>
          <w:sz w:val="24"/>
          <w:szCs w:val="24"/>
        </w:rPr>
        <w:tab/>
      </w:r>
      <w:bookmarkEnd w:id="143"/>
      <w:r w:rsidRPr="002657D1">
        <w:rPr>
          <w:rFonts w:ascii="Times New Roman" w:eastAsia="宋体" w:hAnsi="Times New Roman" w:cs="Times New Roman"/>
          <w:color w:val="000000" w:themeColor="text1"/>
          <w:sz w:val="24"/>
          <w:szCs w:val="24"/>
        </w:rPr>
        <w:t xml:space="preserve">Kim, S. Y. </w:t>
      </w:r>
      <w:bookmarkStart w:id="144" w:name="OLE_LINK118"/>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w:t>
      </w:r>
      <w:bookmarkEnd w:id="144"/>
      <w:r w:rsidRPr="002657D1">
        <w:rPr>
          <w:rFonts w:ascii="Times New Roman" w:eastAsia="宋体" w:hAnsi="Times New Roman" w:cs="Times New Roman"/>
          <w:color w:val="000000" w:themeColor="text1"/>
          <w:sz w:val="24"/>
          <w:szCs w:val="24"/>
        </w:rPr>
        <w:t xml:space="preserve">Lithium Ytterbium-Based Halide Solid Electrolytes for High Voltage All-Solid-State Batteries. </w:t>
      </w:r>
      <w:r w:rsidRPr="002657D1">
        <w:rPr>
          <w:rFonts w:ascii="Times New Roman" w:eastAsia="宋体" w:hAnsi="Times New Roman" w:cs="Times New Roman"/>
          <w:i/>
          <w:iCs/>
          <w:color w:val="000000" w:themeColor="text1"/>
          <w:sz w:val="24"/>
          <w:szCs w:val="24"/>
        </w:rPr>
        <w:t>ACS Materials Lett.</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3</w:t>
      </w:r>
      <w:r w:rsidRPr="002657D1">
        <w:rPr>
          <w:rFonts w:ascii="Times New Roman" w:eastAsia="宋体" w:hAnsi="Times New Roman" w:cs="Times New Roman"/>
          <w:color w:val="000000" w:themeColor="text1"/>
          <w:sz w:val="24"/>
          <w:szCs w:val="24"/>
        </w:rPr>
        <w:t>, 930–938 (2021).</w:t>
      </w:r>
    </w:p>
    <w:p w14:paraId="109A58EB"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12.</w:t>
      </w:r>
      <w:r w:rsidRPr="002657D1">
        <w:rPr>
          <w:rFonts w:ascii="Times New Roman" w:eastAsia="宋体" w:hAnsi="Times New Roman" w:cs="Times New Roman"/>
          <w:color w:val="000000" w:themeColor="text1"/>
          <w:sz w:val="24"/>
          <w:szCs w:val="24"/>
        </w:rPr>
        <w:tab/>
        <w:t xml:space="preserve">Li, X.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Structural regulation of halide superionic conductors for all-solid-state lithium batteries. </w:t>
      </w:r>
      <w:r w:rsidRPr="002657D1">
        <w:rPr>
          <w:rFonts w:ascii="Times New Roman" w:eastAsia="宋体" w:hAnsi="Times New Roman" w:cs="Times New Roman"/>
          <w:i/>
          <w:iCs/>
          <w:color w:val="000000" w:themeColor="text1"/>
          <w:sz w:val="24"/>
          <w:szCs w:val="24"/>
        </w:rPr>
        <w:t>Nat. Commun.</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15</w:t>
      </w:r>
      <w:r w:rsidRPr="002657D1">
        <w:rPr>
          <w:rFonts w:ascii="Times New Roman" w:eastAsia="宋体" w:hAnsi="Times New Roman" w:cs="Times New Roman"/>
          <w:color w:val="000000" w:themeColor="text1"/>
          <w:sz w:val="24"/>
          <w:szCs w:val="24"/>
        </w:rPr>
        <w:t>, 53 (2024).</w:t>
      </w:r>
    </w:p>
    <w:p w14:paraId="0C51F8BB"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13.</w:t>
      </w:r>
      <w:r w:rsidRPr="002657D1">
        <w:rPr>
          <w:rFonts w:ascii="Times New Roman" w:eastAsia="宋体" w:hAnsi="Times New Roman" w:cs="Times New Roman"/>
          <w:color w:val="000000" w:themeColor="text1"/>
          <w:sz w:val="24"/>
          <w:szCs w:val="24"/>
        </w:rPr>
        <w:tab/>
        <w:t xml:space="preserve">Ganesan, P.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Fluorine-Substituted Halide Solid Electrolytes with Enhanced Stability toward the Lithium Metal. </w:t>
      </w:r>
      <w:r w:rsidRPr="002657D1">
        <w:rPr>
          <w:rFonts w:ascii="Times New Roman" w:eastAsia="宋体" w:hAnsi="Times New Roman" w:cs="Times New Roman"/>
          <w:i/>
          <w:iCs/>
          <w:color w:val="000000" w:themeColor="text1"/>
          <w:sz w:val="24"/>
          <w:szCs w:val="24"/>
        </w:rPr>
        <w:t>ACS Appl. Mater. Interfaces</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15</w:t>
      </w:r>
      <w:r w:rsidRPr="002657D1">
        <w:rPr>
          <w:rFonts w:ascii="Times New Roman" w:eastAsia="宋体" w:hAnsi="Times New Roman" w:cs="Times New Roman"/>
          <w:color w:val="000000" w:themeColor="text1"/>
          <w:sz w:val="24"/>
          <w:szCs w:val="24"/>
        </w:rPr>
        <w:t>, 38391–38402 (2023).</w:t>
      </w:r>
    </w:p>
    <w:p w14:paraId="3FBFCABE"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14.</w:t>
      </w:r>
      <w:r w:rsidRPr="002657D1">
        <w:rPr>
          <w:rFonts w:ascii="Times New Roman" w:eastAsia="宋体" w:hAnsi="Times New Roman" w:cs="Times New Roman"/>
          <w:color w:val="000000" w:themeColor="text1"/>
          <w:sz w:val="24"/>
          <w:szCs w:val="24"/>
        </w:rPr>
        <w:tab/>
        <w:t xml:space="preserve">Kwak, H.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New Cost‐Effective Halide Solid Electrolytes for All‐Solid‐State Batteries: Mechanochemically Prepared Fe</w:t>
      </w:r>
      <w:r w:rsidRPr="002657D1">
        <w:rPr>
          <w:rFonts w:ascii="Times New Roman" w:eastAsia="宋体" w:hAnsi="Times New Roman" w:cs="Times New Roman"/>
          <w:color w:val="000000" w:themeColor="text1"/>
          <w:sz w:val="24"/>
          <w:szCs w:val="24"/>
          <w:vertAlign w:val="superscript"/>
        </w:rPr>
        <w:t>3+</w:t>
      </w:r>
      <w:r w:rsidRPr="002657D1">
        <w:rPr>
          <w:rFonts w:ascii="Times New Roman" w:eastAsia="宋体" w:hAnsi="Times New Roman" w:cs="Times New Roman"/>
          <w:color w:val="000000" w:themeColor="text1"/>
          <w:sz w:val="24"/>
          <w:szCs w:val="24"/>
        </w:rPr>
        <w:t>‐Substituted Li</w:t>
      </w:r>
      <w:r w:rsidRPr="002657D1">
        <w:rPr>
          <w:rFonts w:ascii="Times New Roman" w:eastAsia="宋体" w:hAnsi="Times New Roman" w:cs="Times New Roman"/>
          <w:color w:val="000000" w:themeColor="text1"/>
          <w:sz w:val="24"/>
          <w:szCs w:val="24"/>
          <w:vertAlign w:val="subscript"/>
        </w:rPr>
        <w:t>2</w:t>
      </w:r>
      <w:r w:rsidRPr="002657D1">
        <w:rPr>
          <w:rFonts w:ascii="Times New Roman" w:eastAsia="宋体" w:hAnsi="Times New Roman" w:cs="Times New Roman"/>
          <w:color w:val="000000" w:themeColor="text1"/>
          <w:sz w:val="24"/>
          <w:szCs w:val="24"/>
        </w:rPr>
        <w:t>ZrCl</w:t>
      </w:r>
      <w:r w:rsidRPr="002657D1">
        <w:rPr>
          <w:rFonts w:ascii="Times New Roman" w:eastAsia="宋体" w:hAnsi="Times New Roman" w:cs="Times New Roman"/>
          <w:color w:val="000000" w:themeColor="text1"/>
          <w:sz w:val="24"/>
          <w:szCs w:val="24"/>
          <w:vertAlign w:val="subscript"/>
        </w:rPr>
        <w:t>6</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i/>
          <w:iCs/>
          <w:color w:val="000000" w:themeColor="text1"/>
          <w:sz w:val="24"/>
          <w:szCs w:val="24"/>
        </w:rPr>
        <w:t>Adv. Energy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11</w:t>
      </w:r>
      <w:r w:rsidRPr="002657D1">
        <w:rPr>
          <w:rFonts w:ascii="Times New Roman" w:eastAsia="宋体" w:hAnsi="Times New Roman" w:cs="Times New Roman"/>
          <w:color w:val="000000" w:themeColor="text1"/>
          <w:sz w:val="24"/>
          <w:szCs w:val="24"/>
        </w:rPr>
        <w:t>, 2003190 (2021).</w:t>
      </w:r>
    </w:p>
    <w:p w14:paraId="3BD1A654"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15.</w:t>
      </w:r>
      <w:r w:rsidRPr="002657D1">
        <w:rPr>
          <w:rFonts w:ascii="Times New Roman" w:eastAsia="宋体" w:hAnsi="Times New Roman" w:cs="Times New Roman"/>
          <w:color w:val="000000" w:themeColor="text1"/>
          <w:sz w:val="24"/>
          <w:szCs w:val="24"/>
        </w:rPr>
        <w:tab/>
        <w:t xml:space="preserve">Zhang, S.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Amorphous Oxyhalide Matters for Achieving Lithium Superionic Conduction. </w:t>
      </w:r>
      <w:r w:rsidRPr="002657D1">
        <w:rPr>
          <w:rFonts w:ascii="Times New Roman" w:eastAsia="宋体" w:hAnsi="Times New Roman" w:cs="Times New Roman"/>
          <w:i/>
          <w:iCs/>
          <w:color w:val="000000" w:themeColor="text1"/>
          <w:sz w:val="24"/>
          <w:szCs w:val="24"/>
        </w:rPr>
        <w:t>J. Am. Chem. Soc.</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146</w:t>
      </w:r>
      <w:r w:rsidRPr="002657D1">
        <w:rPr>
          <w:rFonts w:ascii="Times New Roman" w:eastAsia="宋体" w:hAnsi="Times New Roman" w:cs="Times New Roman"/>
          <w:color w:val="000000" w:themeColor="text1"/>
          <w:sz w:val="24"/>
          <w:szCs w:val="24"/>
        </w:rPr>
        <w:t>, 2977–2985 (2024).</w:t>
      </w:r>
    </w:p>
    <w:p w14:paraId="74E6AD0B"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16.</w:t>
      </w:r>
      <w:r w:rsidRPr="002657D1">
        <w:rPr>
          <w:rFonts w:ascii="Times New Roman" w:eastAsia="宋体" w:hAnsi="Times New Roman" w:cs="Times New Roman"/>
          <w:color w:val="000000" w:themeColor="text1"/>
          <w:sz w:val="24"/>
          <w:szCs w:val="24"/>
        </w:rPr>
        <w:tab/>
        <w:t xml:space="preserve">Yu, S.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Design of a trigonal halide superionic conductor by regulating cation order-disorder. </w:t>
      </w:r>
      <w:r w:rsidRPr="002657D1">
        <w:rPr>
          <w:rFonts w:ascii="Times New Roman" w:eastAsia="宋体" w:hAnsi="Times New Roman" w:cs="Times New Roman"/>
          <w:i/>
          <w:iCs/>
          <w:color w:val="000000" w:themeColor="text1"/>
          <w:sz w:val="24"/>
          <w:szCs w:val="24"/>
        </w:rPr>
        <w:t>Science</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382</w:t>
      </w:r>
      <w:r w:rsidRPr="002657D1">
        <w:rPr>
          <w:rFonts w:ascii="Times New Roman" w:eastAsia="宋体" w:hAnsi="Times New Roman" w:cs="Times New Roman"/>
          <w:color w:val="000000" w:themeColor="text1"/>
          <w:sz w:val="24"/>
          <w:szCs w:val="24"/>
        </w:rPr>
        <w:t>, 573–579 (2023).</w:t>
      </w:r>
    </w:p>
    <w:p w14:paraId="5089789B"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17.</w:t>
      </w:r>
      <w:r w:rsidRPr="002657D1">
        <w:rPr>
          <w:rFonts w:ascii="Times New Roman" w:eastAsia="宋体" w:hAnsi="Times New Roman" w:cs="Times New Roman"/>
          <w:color w:val="000000" w:themeColor="text1"/>
          <w:sz w:val="24"/>
          <w:szCs w:val="24"/>
        </w:rPr>
        <w:tab/>
        <w:t>Tuo, K., Sun, C., López, C. A., Fernández-Díaz, M. T. &amp; Alonso, J. A. New superionic halide solid electrolytes enabled by aliovalent substitution in Li</w:t>
      </w:r>
      <w:r w:rsidRPr="002657D1">
        <w:rPr>
          <w:rFonts w:ascii="Times New Roman" w:eastAsia="宋体" w:hAnsi="Times New Roman" w:cs="Times New Roman"/>
          <w:color w:val="000000" w:themeColor="text1"/>
          <w:sz w:val="24"/>
          <w:szCs w:val="24"/>
          <w:vertAlign w:val="subscript"/>
        </w:rPr>
        <w:t>3−</w:t>
      </w:r>
      <w:r w:rsidRPr="002657D1">
        <w:rPr>
          <w:rFonts w:ascii="Times New Roman" w:eastAsia="宋体" w:hAnsi="Times New Roman" w:cs="Times New Roman"/>
          <w:i/>
          <w:iCs/>
          <w:color w:val="000000" w:themeColor="text1"/>
          <w:sz w:val="24"/>
          <w:szCs w:val="24"/>
          <w:vertAlign w:val="subscript"/>
        </w:rPr>
        <w:t>x</w:t>
      </w:r>
      <w:r w:rsidRPr="002657D1">
        <w:rPr>
          <w:rFonts w:ascii="Times New Roman" w:eastAsia="宋体" w:hAnsi="Times New Roman" w:cs="Times New Roman"/>
          <w:color w:val="000000" w:themeColor="text1"/>
          <w:sz w:val="24"/>
          <w:szCs w:val="24"/>
        </w:rPr>
        <w:t>Y</w:t>
      </w:r>
      <w:r w:rsidRPr="002657D1">
        <w:rPr>
          <w:rFonts w:ascii="Times New Roman" w:eastAsia="宋体" w:hAnsi="Times New Roman" w:cs="Times New Roman"/>
          <w:color w:val="000000" w:themeColor="text1"/>
          <w:sz w:val="24"/>
          <w:szCs w:val="24"/>
          <w:vertAlign w:val="subscript"/>
        </w:rPr>
        <w:t>1−</w:t>
      </w:r>
      <w:r w:rsidRPr="002657D1">
        <w:rPr>
          <w:rFonts w:ascii="Times New Roman" w:eastAsia="宋体" w:hAnsi="Times New Roman" w:cs="Times New Roman"/>
          <w:i/>
          <w:iCs/>
          <w:color w:val="000000" w:themeColor="text1"/>
          <w:sz w:val="24"/>
          <w:szCs w:val="24"/>
          <w:vertAlign w:val="subscript"/>
        </w:rPr>
        <w:t>x</w:t>
      </w:r>
      <w:r w:rsidRPr="002657D1">
        <w:rPr>
          <w:rFonts w:ascii="Times New Roman" w:eastAsia="宋体" w:hAnsi="Times New Roman" w:cs="Times New Roman"/>
          <w:color w:val="000000" w:themeColor="text1"/>
          <w:sz w:val="24"/>
          <w:szCs w:val="24"/>
        </w:rPr>
        <w:t>Hf</w:t>
      </w:r>
      <w:r w:rsidRPr="002657D1">
        <w:rPr>
          <w:rFonts w:ascii="Times New Roman" w:eastAsia="宋体" w:hAnsi="Times New Roman" w:cs="Times New Roman"/>
          <w:i/>
          <w:iCs/>
          <w:color w:val="000000" w:themeColor="text1"/>
          <w:sz w:val="24"/>
          <w:szCs w:val="24"/>
          <w:vertAlign w:val="subscript"/>
        </w:rPr>
        <w:t>x</w:t>
      </w:r>
      <w:r w:rsidRPr="002657D1">
        <w:rPr>
          <w:rFonts w:ascii="Times New Roman" w:eastAsia="宋体" w:hAnsi="Times New Roman" w:cs="Times New Roman"/>
          <w:color w:val="000000" w:themeColor="text1"/>
          <w:sz w:val="24"/>
          <w:szCs w:val="24"/>
        </w:rPr>
        <w:t>Cl</w:t>
      </w:r>
      <w:r w:rsidRPr="002657D1">
        <w:rPr>
          <w:rFonts w:ascii="Times New Roman" w:eastAsia="宋体" w:hAnsi="Times New Roman" w:cs="Times New Roman"/>
          <w:color w:val="000000" w:themeColor="text1"/>
          <w:sz w:val="24"/>
          <w:szCs w:val="24"/>
          <w:vertAlign w:val="subscript"/>
        </w:rPr>
        <w:t>6</w:t>
      </w:r>
      <w:r w:rsidRPr="002657D1">
        <w:rPr>
          <w:rFonts w:ascii="Times New Roman" w:eastAsia="宋体" w:hAnsi="Times New Roman" w:cs="Times New Roman"/>
          <w:color w:val="000000" w:themeColor="text1"/>
          <w:sz w:val="24"/>
          <w:szCs w:val="24"/>
        </w:rPr>
        <w:t xml:space="preserve"> for all-solid-state lithium metal based batteries. </w:t>
      </w:r>
      <w:r w:rsidRPr="002657D1">
        <w:rPr>
          <w:rFonts w:ascii="Times New Roman" w:eastAsia="宋体" w:hAnsi="Times New Roman" w:cs="Times New Roman"/>
          <w:i/>
          <w:iCs/>
          <w:color w:val="000000" w:themeColor="text1"/>
          <w:sz w:val="24"/>
          <w:szCs w:val="24"/>
        </w:rPr>
        <w:t>J. Mater. Chem. A</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lastRenderedPageBreak/>
        <w:t>11</w:t>
      </w:r>
      <w:r w:rsidRPr="002657D1">
        <w:rPr>
          <w:rFonts w:ascii="Times New Roman" w:eastAsia="宋体" w:hAnsi="Times New Roman" w:cs="Times New Roman"/>
          <w:color w:val="000000" w:themeColor="text1"/>
          <w:sz w:val="24"/>
          <w:szCs w:val="24"/>
        </w:rPr>
        <w:t>, 15651–15662 (2023).</w:t>
      </w:r>
    </w:p>
    <w:p w14:paraId="44E4A4A8"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18.</w:t>
      </w:r>
      <w:r w:rsidRPr="002657D1">
        <w:rPr>
          <w:rFonts w:ascii="Times New Roman" w:eastAsia="宋体" w:hAnsi="Times New Roman" w:cs="Times New Roman"/>
          <w:color w:val="000000" w:themeColor="text1"/>
          <w:sz w:val="24"/>
          <w:szCs w:val="24"/>
        </w:rPr>
        <w:tab/>
        <w:t xml:space="preserve">Kwak, H.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Boosting the interfacial superionic conduction of halide solid electrolytes for all-solid-state batteries. </w:t>
      </w:r>
      <w:r w:rsidRPr="002657D1">
        <w:rPr>
          <w:rFonts w:ascii="Times New Roman" w:eastAsia="宋体" w:hAnsi="Times New Roman" w:cs="Times New Roman"/>
          <w:i/>
          <w:iCs/>
          <w:color w:val="000000" w:themeColor="text1"/>
          <w:sz w:val="24"/>
          <w:szCs w:val="24"/>
        </w:rPr>
        <w:t>Nat. Commun.</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14</w:t>
      </w:r>
      <w:r w:rsidRPr="002657D1">
        <w:rPr>
          <w:rFonts w:ascii="Times New Roman" w:eastAsia="宋体" w:hAnsi="Times New Roman" w:cs="Times New Roman"/>
          <w:color w:val="000000" w:themeColor="text1"/>
          <w:sz w:val="24"/>
          <w:szCs w:val="24"/>
        </w:rPr>
        <w:t>, 2459 (2023).</w:t>
      </w:r>
    </w:p>
    <w:p w14:paraId="128D8C6A" w14:textId="2C91B5E4"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19.</w:t>
      </w:r>
      <w:r w:rsidRPr="002657D1">
        <w:rPr>
          <w:rFonts w:ascii="Times New Roman" w:eastAsia="宋体" w:hAnsi="Times New Roman" w:cs="Times New Roman"/>
          <w:color w:val="000000" w:themeColor="text1"/>
          <w:sz w:val="24"/>
          <w:szCs w:val="24"/>
        </w:rPr>
        <w:tab/>
        <w:t xml:space="preserve">Shao, Q.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New Insights into the Effects of Zr Substitution and Carbon Additive on Li</w:t>
      </w:r>
      <w:r w:rsidRPr="002657D1">
        <w:rPr>
          <w:rFonts w:ascii="Times New Roman" w:eastAsia="宋体" w:hAnsi="Times New Roman" w:cs="Times New Roman"/>
          <w:color w:val="000000" w:themeColor="text1"/>
          <w:sz w:val="24"/>
          <w:szCs w:val="24"/>
          <w:vertAlign w:val="subscript"/>
        </w:rPr>
        <w:t>3–</w:t>
      </w:r>
      <w:r w:rsidRPr="002657D1">
        <w:rPr>
          <w:rFonts w:ascii="Times New Roman" w:eastAsia="宋体" w:hAnsi="Times New Roman" w:cs="Times New Roman"/>
          <w:i/>
          <w:iCs/>
          <w:color w:val="000000" w:themeColor="text1"/>
          <w:sz w:val="24"/>
          <w:szCs w:val="24"/>
          <w:vertAlign w:val="subscript"/>
        </w:rPr>
        <w:t>x</w:t>
      </w:r>
      <w:r w:rsidRPr="002657D1">
        <w:rPr>
          <w:rFonts w:ascii="Times New Roman" w:eastAsia="宋体" w:hAnsi="Times New Roman" w:cs="Times New Roman"/>
          <w:color w:val="000000" w:themeColor="text1"/>
          <w:sz w:val="24"/>
          <w:szCs w:val="24"/>
        </w:rPr>
        <w:t>Er</w:t>
      </w:r>
      <w:r w:rsidRPr="002657D1">
        <w:rPr>
          <w:rFonts w:ascii="Times New Roman" w:eastAsia="宋体" w:hAnsi="Times New Roman" w:cs="Times New Roman"/>
          <w:color w:val="000000" w:themeColor="text1"/>
          <w:sz w:val="24"/>
          <w:szCs w:val="24"/>
          <w:vertAlign w:val="subscript"/>
        </w:rPr>
        <w:t>1–</w:t>
      </w:r>
      <w:r w:rsidRPr="002657D1">
        <w:rPr>
          <w:rFonts w:ascii="Times New Roman" w:eastAsia="宋体" w:hAnsi="Times New Roman" w:cs="Times New Roman"/>
          <w:i/>
          <w:iCs/>
          <w:color w:val="000000" w:themeColor="text1"/>
          <w:sz w:val="24"/>
          <w:szCs w:val="24"/>
          <w:vertAlign w:val="subscript"/>
        </w:rPr>
        <w:t>x</w:t>
      </w:r>
      <w:r w:rsidRPr="002657D1">
        <w:rPr>
          <w:rFonts w:ascii="Times New Roman" w:eastAsia="宋体" w:hAnsi="Times New Roman" w:cs="Times New Roman"/>
          <w:color w:val="000000" w:themeColor="text1"/>
          <w:sz w:val="24"/>
          <w:szCs w:val="24"/>
        </w:rPr>
        <w:t>Zr</w:t>
      </w:r>
      <w:r w:rsidRPr="002657D1">
        <w:rPr>
          <w:rFonts w:ascii="Times New Roman" w:eastAsia="宋体" w:hAnsi="Times New Roman" w:cs="Times New Roman"/>
          <w:i/>
          <w:iCs/>
          <w:color w:val="000000" w:themeColor="text1"/>
          <w:sz w:val="24"/>
          <w:szCs w:val="24"/>
          <w:vertAlign w:val="subscript"/>
        </w:rPr>
        <w:t>x</w:t>
      </w:r>
      <w:r w:rsidRPr="002657D1">
        <w:rPr>
          <w:rFonts w:ascii="Times New Roman" w:eastAsia="宋体" w:hAnsi="Times New Roman" w:cs="Times New Roman"/>
          <w:color w:val="000000" w:themeColor="text1"/>
          <w:sz w:val="24"/>
          <w:szCs w:val="24"/>
        </w:rPr>
        <w:t>Cl</w:t>
      </w:r>
      <w:r w:rsidRPr="002657D1">
        <w:rPr>
          <w:rFonts w:ascii="Times New Roman" w:eastAsia="宋体" w:hAnsi="Times New Roman" w:cs="Times New Roman"/>
          <w:color w:val="000000" w:themeColor="text1"/>
          <w:sz w:val="24"/>
          <w:szCs w:val="24"/>
          <w:vertAlign w:val="subscript"/>
        </w:rPr>
        <w:t>6</w:t>
      </w:r>
      <w:r w:rsidRPr="002657D1">
        <w:rPr>
          <w:rFonts w:ascii="Times New Roman" w:eastAsia="宋体" w:hAnsi="Times New Roman" w:cs="Times New Roman"/>
          <w:color w:val="000000" w:themeColor="text1"/>
          <w:sz w:val="24"/>
          <w:szCs w:val="24"/>
        </w:rPr>
        <w:t xml:space="preserve"> Halide Solid Electrolytes. </w:t>
      </w:r>
      <w:r w:rsidRPr="002657D1">
        <w:rPr>
          <w:rFonts w:ascii="Times New Roman" w:eastAsia="宋体" w:hAnsi="Times New Roman" w:cs="Times New Roman"/>
          <w:i/>
          <w:iCs/>
          <w:color w:val="000000" w:themeColor="text1"/>
          <w:sz w:val="24"/>
          <w:szCs w:val="24"/>
        </w:rPr>
        <w:t>ACS Appl. Mater. Interfaces</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14</w:t>
      </w:r>
      <w:r w:rsidRPr="002657D1">
        <w:rPr>
          <w:rFonts w:ascii="Times New Roman" w:eastAsia="宋体" w:hAnsi="Times New Roman" w:cs="Times New Roman"/>
          <w:color w:val="000000" w:themeColor="text1"/>
          <w:sz w:val="24"/>
          <w:szCs w:val="24"/>
        </w:rPr>
        <w:t>, 8095–8105 (2022).</w:t>
      </w:r>
    </w:p>
    <w:p w14:paraId="5B5067A4"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20.</w:t>
      </w:r>
      <w:r w:rsidRPr="002657D1">
        <w:rPr>
          <w:rFonts w:ascii="Times New Roman" w:eastAsia="宋体" w:hAnsi="Times New Roman" w:cs="Times New Roman"/>
          <w:color w:val="000000" w:themeColor="text1"/>
          <w:sz w:val="24"/>
          <w:szCs w:val="24"/>
        </w:rPr>
        <w:tab/>
        <w:t xml:space="preserve">Li, G.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One stone, three birds: Cu</w:t>
      </w:r>
      <w:r w:rsidRPr="002657D1">
        <w:rPr>
          <w:rFonts w:ascii="Times New Roman" w:eastAsia="宋体" w:hAnsi="Times New Roman" w:cs="Times New Roman"/>
          <w:color w:val="000000" w:themeColor="text1"/>
          <w:sz w:val="24"/>
          <w:szCs w:val="24"/>
          <w:vertAlign w:val="superscript"/>
        </w:rPr>
        <w:t>2+</w:t>
      </w:r>
      <w:r w:rsidRPr="002657D1">
        <w:rPr>
          <w:rFonts w:ascii="Times New Roman" w:eastAsia="宋体" w:hAnsi="Times New Roman" w:cs="Times New Roman"/>
          <w:color w:val="000000" w:themeColor="text1"/>
          <w:sz w:val="24"/>
          <w:szCs w:val="24"/>
        </w:rPr>
        <w:t xml:space="preserve">-substituted chloride electrolyte for high-performance all-solid-state lithium batteries. </w:t>
      </w:r>
      <w:r w:rsidRPr="002657D1">
        <w:rPr>
          <w:rFonts w:ascii="Times New Roman" w:eastAsia="宋体" w:hAnsi="Times New Roman" w:cs="Times New Roman"/>
          <w:i/>
          <w:iCs/>
          <w:color w:val="000000" w:themeColor="text1"/>
          <w:sz w:val="24"/>
          <w:szCs w:val="24"/>
        </w:rPr>
        <w:t>Energy Storage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71</w:t>
      </w:r>
      <w:r w:rsidRPr="002657D1">
        <w:rPr>
          <w:rFonts w:ascii="Times New Roman" w:eastAsia="宋体" w:hAnsi="Times New Roman" w:cs="Times New Roman"/>
          <w:color w:val="000000" w:themeColor="text1"/>
          <w:sz w:val="24"/>
          <w:szCs w:val="24"/>
        </w:rPr>
        <w:t>, 103673 (2024).</w:t>
      </w:r>
    </w:p>
    <w:p w14:paraId="36A4F411"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21.</w:t>
      </w:r>
      <w:r w:rsidRPr="002657D1">
        <w:rPr>
          <w:rFonts w:ascii="Times New Roman" w:eastAsia="宋体" w:hAnsi="Times New Roman" w:cs="Times New Roman"/>
          <w:color w:val="000000" w:themeColor="text1"/>
          <w:sz w:val="24"/>
          <w:szCs w:val="24"/>
        </w:rPr>
        <w:tab/>
        <w:t xml:space="preserve">Lei, P.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Boosting Ion Conduction and Moisture Stability Through Zn</w:t>
      </w:r>
      <w:r w:rsidRPr="002657D1">
        <w:rPr>
          <w:rFonts w:ascii="Times New Roman" w:eastAsia="宋体" w:hAnsi="Times New Roman" w:cs="Times New Roman"/>
          <w:color w:val="000000" w:themeColor="text1"/>
          <w:sz w:val="24"/>
          <w:szCs w:val="24"/>
          <w:vertAlign w:val="superscript"/>
        </w:rPr>
        <w:t>2+</w:t>
      </w:r>
      <w:r w:rsidRPr="002657D1">
        <w:rPr>
          <w:rFonts w:ascii="Times New Roman" w:eastAsia="宋体" w:hAnsi="Times New Roman" w:cs="Times New Roman"/>
          <w:color w:val="000000" w:themeColor="text1"/>
          <w:sz w:val="24"/>
          <w:szCs w:val="24"/>
        </w:rPr>
        <w:t xml:space="preserve"> Substitution of Chloride Electrolytes for All‐Solid‐State Lithium Batteries. </w:t>
      </w:r>
      <w:r w:rsidRPr="002657D1">
        <w:rPr>
          <w:rFonts w:ascii="Times New Roman" w:eastAsia="宋体" w:hAnsi="Times New Roman" w:cs="Times New Roman"/>
          <w:i/>
          <w:iCs/>
          <w:color w:val="000000" w:themeColor="text1"/>
          <w:sz w:val="24"/>
          <w:szCs w:val="24"/>
        </w:rPr>
        <w:t>Adv. Energy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15</w:t>
      </w:r>
      <w:r w:rsidRPr="002657D1">
        <w:rPr>
          <w:rFonts w:ascii="Times New Roman" w:eastAsia="宋体" w:hAnsi="Times New Roman" w:cs="Times New Roman"/>
          <w:color w:val="000000" w:themeColor="text1"/>
          <w:sz w:val="24"/>
          <w:szCs w:val="24"/>
        </w:rPr>
        <w:t>, 2405760 (2025).</w:t>
      </w:r>
    </w:p>
    <w:p w14:paraId="713402D2"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22.</w:t>
      </w:r>
      <w:r w:rsidRPr="002657D1">
        <w:rPr>
          <w:rFonts w:ascii="Times New Roman" w:eastAsia="宋体" w:hAnsi="Times New Roman" w:cs="Times New Roman"/>
          <w:color w:val="000000" w:themeColor="text1"/>
          <w:sz w:val="24"/>
          <w:szCs w:val="24"/>
        </w:rPr>
        <w:tab/>
        <w:t>Gao, K.-N., Bai, F., Sun, Z. &amp; Zhang, T. Aliovalent substitution of Al</w:t>
      </w:r>
      <w:r w:rsidRPr="002657D1">
        <w:rPr>
          <w:rFonts w:ascii="Times New Roman" w:eastAsia="宋体" w:hAnsi="Times New Roman" w:cs="Times New Roman"/>
          <w:color w:val="000000" w:themeColor="text1"/>
          <w:sz w:val="24"/>
          <w:szCs w:val="24"/>
          <w:vertAlign w:val="superscript"/>
        </w:rPr>
        <w:t>3+</w:t>
      </w:r>
      <w:r w:rsidRPr="002657D1">
        <w:rPr>
          <w:rFonts w:ascii="Times New Roman" w:eastAsia="宋体" w:hAnsi="Times New Roman" w:cs="Times New Roman"/>
          <w:color w:val="000000" w:themeColor="text1"/>
          <w:sz w:val="24"/>
          <w:szCs w:val="24"/>
        </w:rPr>
        <w:t xml:space="preserve"> in Li</w:t>
      </w:r>
      <w:r w:rsidRPr="002657D1">
        <w:rPr>
          <w:rFonts w:ascii="Times New Roman" w:eastAsia="宋体" w:hAnsi="Times New Roman" w:cs="Times New Roman"/>
          <w:color w:val="000000" w:themeColor="text1"/>
          <w:sz w:val="24"/>
          <w:szCs w:val="24"/>
          <w:vertAlign w:val="subscript"/>
        </w:rPr>
        <w:t>2</w:t>
      </w:r>
      <w:r w:rsidRPr="002657D1">
        <w:rPr>
          <w:rFonts w:ascii="Times New Roman" w:eastAsia="宋体" w:hAnsi="Times New Roman" w:cs="Times New Roman"/>
          <w:color w:val="000000" w:themeColor="text1"/>
          <w:sz w:val="24"/>
          <w:szCs w:val="24"/>
        </w:rPr>
        <w:t>ZrCl</w:t>
      </w:r>
      <w:r w:rsidRPr="002657D1">
        <w:rPr>
          <w:rFonts w:ascii="Times New Roman" w:eastAsia="宋体" w:hAnsi="Times New Roman" w:cs="Times New Roman"/>
          <w:color w:val="000000" w:themeColor="text1"/>
          <w:sz w:val="24"/>
          <w:szCs w:val="24"/>
          <w:vertAlign w:val="subscript"/>
        </w:rPr>
        <w:t>6</w:t>
      </w:r>
      <w:r w:rsidRPr="002657D1">
        <w:rPr>
          <w:rFonts w:ascii="Times New Roman" w:eastAsia="宋体" w:hAnsi="Times New Roman" w:cs="Times New Roman"/>
          <w:color w:val="000000" w:themeColor="text1"/>
          <w:sz w:val="24"/>
          <w:szCs w:val="24"/>
        </w:rPr>
        <w:t xml:space="preserve"> solid electrolyte towards large-scale application. </w:t>
      </w:r>
      <w:r w:rsidRPr="002657D1">
        <w:rPr>
          <w:rFonts w:ascii="Times New Roman" w:eastAsia="宋体" w:hAnsi="Times New Roman" w:cs="Times New Roman"/>
          <w:i/>
          <w:iCs/>
          <w:color w:val="000000" w:themeColor="text1"/>
          <w:sz w:val="24"/>
          <w:szCs w:val="24"/>
        </w:rPr>
        <w:t>Energy Storage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70</w:t>
      </w:r>
      <w:r w:rsidRPr="002657D1">
        <w:rPr>
          <w:rFonts w:ascii="Times New Roman" w:eastAsia="宋体" w:hAnsi="Times New Roman" w:cs="Times New Roman"/>
          <w:color w:val="000000" w:themeColor="text1"/>
          <w:sz w:val="24"/>
          <w:szCs w:val="24"/>
        </w:rPr>
        <w:t>, 103444 (2024).</w:t>
      </w:r>
    </w:p>
    <w:p w14:paraId="735D198A"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23.</w:t>
      </w:r>
      <w:r w:rsidRPr="002657D1">
        <w:rPr>
          <w:rFonts w:ascii="Times New Roman" w:eastAsia="宋体" w:hAnsi="Times New Roman" w:cs="Times New Roman"/>
          <w:color w:val="000000" w:themeColor="text1"/>
          <w:sz w:val="24"/>
          <w:szCs w:val="24"/>
        </w:rPr>
        <w:tab/>
        <w:t>Liu, X., Zhou, Y., Mi, F., Ma, X. &amp; Sun, C. Superionic halide solid electrolyte Li</w:t>
      </w:r>
      <w:r w:rsidRPr="002657D1">
        <w:rPr>
          <w:rFonts w:ascii="Times New Roman" w:eastAsia="宋体" w:hAnsi="Times New Roman" w:cs="Times New Roman"/>
          <w:color w:val="000000" w:themeColor="text1"/>
          <w:sz w:val="24"/>
          <w:szCs w:val="24"/>
          <w:vertAlign w:val="subscript"/>
        </w:rPr>
        <w:t>1.7</w:t>
      </w:r>
      <w:r w:rsidRPr="002657D1">
        <w:rPr>
          <w:rFonts w:ascii="Times New Roman" w:eastAsia="宋体" w:hAnsi="Times New Roman" w:cs="Times New Roman"/>
          <w:color w:val="000000" w:themeColor="text1"/>
          <w:sz w:val="24"/>
          <w:szCs w:val="24"/>
        </w:rPr>
        <w:t>Zr</w:t>
      </w:r>
      <w:r w:rsidRPr="002657D1">
        <w:rPr>
          <w:rFonts w:ascii="Times New Roman" w:eastAsia="宋体" w:hAnsi="Times New Roman" w:cs="Times New Roman"/>
          <w:color w:val="000000" w:themeColor="text1"/>
          <w:sz w:val="24"/>
          <w:szCs w:val="24"/>
          <w:vertAlign w:val="subscript"/>
        </w:rPr>
        <w:t>0.7</w:t>
      </w:r>
      <w:r w:rsidRPr="002657D1">
        <w:rPr>
          <w:rFonts w:ascii="Times New Roman" w:eastAsia="宋体" w:hAnsi="Times New Roman" w:cs="Times New Roman"/>
          <w:color w:val="000000" w:themeColor="text1"/>
          <w:sz w:val="24"/>
          <w:szCs w:val="24"/>
        </w:rPr>
        <w:t>Ta</w:t>
      </w:r>
      <w:r w:rsidRPr="002657D1">
        <w:rPr>
          <w:rFonts w:ascii="Times New Roman" w:eastAsia="宋体" w:hAnsi="Times New Roman" w:cs="Times New Roman"/>
          <w:color w:val="000000" w:themeColor="text1"/>
          <w:sz w:val="24"/>
          <w:szCs w:val="24"/>
          <w:vertAlign w:val="subscript"/>
        </w:rPr>
        <w:t>0.3</w:t>
      </w:r>
      <w:r w:rsidRPr="002657D1">
        <w:rPr>
          <w:rFonts w:ascii="Times New Roman" w:eastAsia="宋体" w:hAnsi="Times New Roman" w:cs="Times New Roman"/>
          <w:color w:val="000000" w:themeColor="text1"/>
          <w:sz w:val="24"/>
          <w:szCs w:val="24"/>
        </w:rPr>
        <w:t>Cl</w:t>
      </w:r>
      <w:r w:rsidRPr="002657D1">
        <w:rPr>
          <w:rFonts w:ascii="Times New Roman" w:eastAsia="宋体" w:hAnsi="Times New Roman" w:cs="Times New Roman"/>
          <w:color w:val="000000" w:themeColor="text1"/>
          <w:sz w:val="24"/>
          <w:szCs w:val="24"/>
          <w:vertAlign w:val="subscript"/>
        </w:rPr>
        <w:t>6</w:t>
      </w:r>
      <w:r w:rsidRPr="002657D1">
        <w:rPr>
          <w:rFonts w:ascii="Times New Roman" w:eastAsia="宋体" w:hAnsi="Times New Roman" w:cs="Times New Roman"/>
          <w:color w:val="000000" w:themeColor="text1"/>
          <w:sz w:val="24"/>
          <w:szCs w:val="24"/>
        </w:rPr>
        <w:t xml:space="preserve"> for durable all-solid-state lithium batteries. </w:t>
      </w:r>
      <w:r w:rsidRPr="002657D1">
        <w:rPr>
          <w:rFonts w:ascii="Times New Roman" w:eastAsia="宋体" w:hAnsi="Times New Roman" w:cs="Times New Roman"/>
          <w:i/>
          <w:iCs/>
          <w:color w:val="000000" w:themeColor="text1"/>
          <w:sz w:val="24"/>
          <w:szCs w:val="24"/>
        </w:rPr>
        <w:t>Energy Storage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72</w:t>
      </w:r>
      <w:r w:rsidRPr="002657D1">
        <w:rPr>
          <w:rFonts w:ascii="Times New Roman" w:eastAsia="宋体" w:hAnsi="Times New Roman" w:cs="Times New Roman"/>
          <w:color w:val="000000" w:themeColor="text1"/>
          <w:sz w:val="24"/>
          <w:szCs w:val="24"/>
        </w:rPr>
        <w:t>, 103737 (2024).</w:t>
      </w:r>
    </w:p>
    <w:p w14:paraId="55A9A8A9"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24.</w:t>
      </w:r>
      <w:r w:rsidRPr="002657D1">
        <w:rPr>
          <w:rFonts w:ascii="Times New Roman" w:eastAsia="宋体" w:hAnsi="Times New Roman" w:cs="Times New Roman"/>
          <w:color w:val="000000" w:themeColor="text1"/>
          <w:sz w:val="24"/>
          <w:szCs w:val="24"/>
        </w:rPr>
        <w:tab/>
        <w:t xml:space="preserve">Jia, Q. </w:t>
      </w:r>
      <w:r w:rsidRPr="002657D1">
        <w:rPr>
          <w:rFonts w:ascii="Times New Roman" w:eastAsia="宋体" w:hAnsi="Times New Roman" w:cs="Times New Roman"/>
          <w:i/>
          <w:iCs/>
          <w:color w:val="000000" w:themeColor="text1"/>
          <w:sz w:val="24"/>
          <w:szCs w:val="24"/>
        </w:rPr>
        <w:t>et al.</w:t>
      </w:r>
      <w:bookmarkStart w:id="145" w:name="OLE_LINK119"/>
      <w:r w:rsidRPr="002657D1">
        <w:rPr>
          <w:rFonts w:ascii="Times New Roman" w:eastAsia="宋体" w:hAnsi="Times New Roman" w:cs="Times New Roman"/>
          <w:color w:val="000000" w:themeColor="text1"/>
          <w:sz w:val="24"/>
          <w:szCs w:val="24"/>
        </w:rPr>
        <w:t xml:space="preserve"> Rare Earth Metal Ion‐Doped Halide Solid Electrolytes plus Ta</w:t>
      </w:r>
      <w:r w:rsidRPr="002657D1">
        <w:rPr>
          <w:rFonts w:ascii="Times New Roman" w:eastAsia="宋体" w:hAnsi="Times New Roman" w:cs="Times New Roman"/>
          <w:color w:val="000000" w:themeColor="text1"/>
          <w:sz w:val="24"/>
          <w:szCs w:val="24"/>
          <w:vertAlign w:val="superscript"/>
        </w:rPr>
        <w:t>5+</w:t>
      </w:r>
      <w:r w:rsidRPr="002657D1">
        <w:rPr>
          <w:rFonts w:ascii="Times New Roman" w:eastAsia="宋体" w:hAnsi="Times New Roman" w:cs="Times New Roman"/>
          <w:color w:val="000000" w:themeColor="text1"/>
          <w:sz w:val="24"/>
          <w:szCs w:val="24"/>
        </w:rPr>
        <w:t xml:space="preserve"> Substitution for Long Cycling All‐Solid‐State Batteries.</w:t>
      </w:r>
      <w:bookmarkEnd w:id="145"/>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i/>
          <w:iCs/>
          <w:color w:val="000000" w:themeColor="text1"/>
          <w:sz w:val="24"/>
          <w:szCs w:val="24"/>
        </w:rPr>
        <w:t>Adv. Funct.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35</w:t>
      </w:r>
      <w:r w:rsidRPr="002657D1">
        <w:rPr>
          <w:rFonts w:ascii="Times New Roman" w:eastAsia="宋体" w:hAnsi="Times New Roman" w:cs="Times New Roman"/>
          <w:color w:val="000000" w:themeColor="text1"/>
          <w:sz w:val="24"/>
          <w:szCs w:val="24"/>
        </w:rPr>
        <w:t>, 2426053 (2025).</w:t>
      </w:r>
    </w:p>
    <w:p w14:paraId="68B83A07"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25.</w:t>
      </w:r>
      <w:r w:rsidRPr="002657D1">
        <w:rPr>
          <w:rFonts w:ascii="Times New Roman" w:eastAsia="宋体" w:hAnsi="Times New Roman" w:cs="Times New Roman"/>
          <w:color w:val="000000" w:themeColor="text1"/>
          <w:sz w:val="24"/>
          <w:szCs w:val="24"/>
        </w:rPr>
        <w:tab/>
        <w:t xml:space="preserve">Jin, H.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Regulating Chemical Bonds in Halide Frameworks for Lithium </w:t>
      </w:r>
      <w:r w:rsidRPr="002657D1">
        <w:rPr>
          <w:rFonts w:ascii="Times New Roman" w:eastAsia="宋体" w:hAnsi="Times New Roman" w:cs="Times New Roman"/>
          <w:color w:val="000000" w:themeColor="text1"/>
          <w:sz w:val="24"/>
          <w:szCs w:val="24"/>
        </w:rPr>
        <w:lastRenderedPageBreak/>
        <w:t xml:space="preserve">Superionic Conductors. </w:t>
      </w:r>
      <w:r w:rsidRPr="002657D1">
        <w:rPr>
          <w:rFonts w:ascii="Times New Roman" w:eastAsia="宋体" w:hAnsi="Times New Roman" w:cs="Times New Roman"/>
          <w:i/>
          <w:iCs/>
          <w:color w:val="000000" w:themeColor="text1"/>
          <w:sz w:val="24"/>
          <w:szCs w:val="24"/>
        </w:rPr>
        <w:t>ACS Nano</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19</w:t>
      </w:r>
      <w:r w:rsidRPr="002657D1">
        <w:rPr>
          <w:rFonts w:ascii="Times New Roman" w:eastAsia="宋体" w:hAnsi="Times New Roman" w:cs="Times New Roman"/>
          <w:color w:val="000000" w:themeColor="text1"/>
          <w:sz w:val="24"/>
          <w:szCs w:val="24"/>
        </w:rPr>
        <w:t>, 6399–6411 (2025).</w:t>
      </w:r>
    </w:p>
    <w:p w14:paraId="7E970830"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26.</w:t>
      </w:r>
      <w:r w:rsidRPr="002657D1">
        <w:rPr>
          <w:rFonts w:ascii="Times New Roman" w:eastAsia="宋体" w:hAnsi="Times New Roman" w:cs="Times New Roman"/>
          <w:color w:val="000000" w:themeColor="text1"/>
          <w:sz w:val="24"/>
          <w:szCs w:val="24"/>
        </w:rPr>
        <w:tab/>
        <w:t xml:space="preserve">Tang, M.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w:t>
      </w:r>
      <w:bookmarkStart w:id="146" w:name="OLE_LINK120"/>
      <w:r w:rsidRPr="002657D1">
        <w:rPr>
          <w:rFonts w:ascii="Times New Roman" w:eastAsia="宋体" w:hAnsi="Times New Roman" w:cs="Times New Roman"/>
          <w:color w:val="000000" w:themeColor="text1"/>
          <w:sz w:val="24"/>
          <w:szCs w:val="24"/>
        </w:rPr>
        <w:t>Li and Vacancy Co‐Enriched Halide Electrolytes via Non‐Equimolar Substitution for Stable All‐Solid‐State Lithium Batteries.</w:t>
      </w:r>
      <w:bookmarkEnd w:id="146"/>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i/>
          <w:iCs/>
          <w:color w:val="000000" w:themeColor="text1"/>
          <w:sz w:val="24"/>
          <w:szCs w:val="24"/>
        </w:rPr>
        <w:t>Adv. Energy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15</w:t>
      </w:r>
      <w:r w:rsidRPr="002657D1">
        <w:rPr>
          <w:rFonts w:ascii="Times New Roman" w:eastAsia="宋体" w:hAnsi="Times New Roman" w:cs="Times New Roman"/>
          <w:color w:val="000000" w:themeColor="text1"/>
          <w:sz w:val="24"/>
          <w:szCs w:val="24"/>
        </w:rPr>
        <w:t>, 2501255 (2025).</w:t>
      </w:r>
    </w:p>
    <w:p w14:paraId="03221DFD"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27.</w:t>
      </w:r>
      <w:r w:rsidRPr="002657D1">
        <w:rPr>
          <w:rFonts w:ascii="Times New Roman" w:eastAsia="宋体" w:hAnsi="Times New Roman" w:cs="Times New Roman"/>
          <w:color w:val="000000" w:themeColor="text1"/>
          <w:sz w:val="24"/>
          <w:szCs w:val="24"/>
        </w:rPr>
        <w:tab/>
        <w:t xml:space="preserve">Hu, L.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A cost-effective, ionically conductive and compressible oxychloride solid-state electrolyte for stable all-solid-state lithium-based batteries. </w:t>
      </w:r>
      <w:r w:rsidRPr="002657D1">
        <w:rPr>
          <w:rFonts w:ascii="Times New Roman" w:eastAsia="宋体" w:hAnsi="Times New Roman" w:cs="Times New Roman"/>
          <w:i/>
          <w:iCs/>
          <w:color w:val="000000" w:themeColor="text1"/>
          <w:sz w:val="24"/>
          <w:szCs w:val="24"/>
        </w:rPr>
        <w:t>Nat. Commun.</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14</w:t>
      </w:r>
      <w:r w:rsidRPr="002657D1">
        <w:rPr>
          <w:rFonts w:ascii="Times New Roman" w:eastAsia="宋体" w:hAnsi="Times New Roman" w:cs="Times New Roman"/>
          <w:color w:val="000000" w:themeColor="text1"/>
          <w:sz w:val="24"/>
          <w:szCs w:val="24"/>
        </w:rPr>
        <w:t>, 3807 (2023).</w:t>
      </w:r>
    </w:p>
    <w:p w14:paraId="4EE532D3"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28.</w:t>
      </w:r>
      <w:r w:rsidRPr="002657D1">
        <w:rPr>
          <w:rFonts w:ascii="Times New Roman" w:eastAsia="宋体" w:hAnsi="Times New Roman" w:cs="Times New Roman"/>
          <w:color w:val="000000" w:themeColor="text1"/>
          <w:sz w:val="24"/>
          <w:szCs w:val="24"/>
        </w:rPr>
        <w:tab/>
        <w:t xml:space="preserve">Yu, T.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Superionic Fluorinated Halide Solid Electrolytes for Highly Stable Li‐Metal in All‐Solid‐State Li Batteries. </w:t>
      </w:r>
      <w:r w:rsidRPr="002657D1">
        <w:rPr>
          <w:rFonts w:ascii="Times New Roman" w:eastAsia="宋体" w:hAnsi="Times New Roman" w:cs="Times New Roman"/>
          <w:i/>
          <w:iCs/>
          <w:color w:val="000000" w:themeColor="text1"/>
          <w:sz w:val="24"/>
          <w:szCs w:val="24"/>
        </w:rPr>
        <w:t>Adv. Energy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11</w:t>
      </w:r>
      <w:r w:rsidRPr="002657D1">
        <w:rPr>
          <w:rFonts w:ascii="Times New Roman" w:eastAsia="宋体" w:hAnsi="Times New Roman" w:cs="Times New Roman"/>
          <w:color w:val="000000" w:themeColor="text1"/>
          <w:sz w:val="24"/>
          <w:szCs w:val="24"/>
        </w:rPr>
        <w:t>, 2101915 (2021).</w:t>
      </w:r>
    </w:p>
    <w:p w14:paraId="49DBA02C"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29.</w:t>
      </w:r>
      <w:r w:rsidRPr="002657D1">
        <w:rPr>
          <w:rFonts w:ascii="Times New Roman" w:eastAsia="宋体" w:hAnsi="Times New Roman" w:cs="Times New Roman"/>
          <w:color w:val="000000" w:themeColor="text1"/>
          <w:sz w:val="24"/>
          <w:szCs w:val="24"/>
        </w:rPr>
        <w:tab/>
        <w:t xml:space="preserve">Hennequart, B.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w:t>
      </w:r>
      <w:bookmarkStart w:id="147" w:name="OLE_LINK121"/>
      <w:r w:rsidRPr="002657D1">
        <w:rPr>
          <w:rFonts w:ascii="Times New Roman" w:eastAsia="宋体" w:hAnsi="Times New Roman" w:cs="Times New Roman"/>
          <w:color w:val="000000" w:themeColor="text1"/>
          <w:sz w:val="24"/>
          <w:szCs w:val="24"/>
        </w:rPr>
        <w:t>Atmospheric-Pressure Operation of All-Solid-State Batteries Enabled by Halide Solid Electrolyte.</w:t>
      </w:r>
      <w:bookmarkEnd w:id="147"/>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i/>
          <w:iCs/>
          <w:color w:val="000000" w:themeColor="text1"/>
          <w:sz w:val="24"/>
          <w:szCs w:val="24"/>
        </w:rPr>
        <w:t>ACS Energy Lett.</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9</w:t>
      </w:r>
      <w:r w:rsidRPr="002657D1">
        <w:rPr>
          <w:rFonts w:ascii="Times New Roman" w:eastAsia="宋体" w:hAnsi="Times New Roman" w:cs="Times New Roman"/>
          <w:color w:val="000000" w:themeColor="text1"/>
          <w:sz w:val="24"/>
          <w:szCs w:val="24"/>
        </w:rPr>
        <w:t>, 454–460 (2024.</w:t>
      </w:r>
    </w:p>
    <w:p w14:paraId="099C8876"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30.</w:t>
      </w:r>
      <w:r w:rsidRPr="002657D1">
        <w:rPr>
          <w:rFonts w:ascii="Times New Roman" w:eastAsia="宋体" w:hAnsi="Times New Roman" w:cs="Times New Roman"/>
          <w:color w:val="000000" w:themeColor="text1"/>
          <w:sz w:val="24"/>
          <w:szCs w:val="24"/>
        </w:rPr>
        <w:tab/>
        <w:t xml:space="preserve">Shi, X., Zeng, Z., Zhang, Q. &amp; Du, Y. Rare-Earth Ions Regulating Lattice-Softened Bromide Solid Electrolytes for Highly Stable Fast-Charging Solid-State Batteries. </w:t>
      </w:r>
      <w:r w:rsidRPr="002657D1">
        <w:rPr>
          <w:rFonts w:ascii="Times New Roman" w:eastAsia="宋体" w:hAnsi="Times New Roman" w:cs="Times New Roman"/>
          <w:i/>
          <w:iCs/>
          <w:color w:val="000000" w:themeColor="text1"/>
          <w:sz w:val="24"/>
          <w:szCs w:val="24"/>
        </w:rPr>
        <w:t>Nano Lett.</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25</w:t>
      </w:r>
      <w:r w:rsidRPr="002657D1">
        <w:rPr>
          <w:rFonts w:ascii="Times New Roman" w:eastAsia="宋体" w:hAnsi="Times New Roman" w:cs="Times New Roman"/>
          <w:color w:val="000000" w:themeColor="text1"/>
          <w:sz w:val="24"/>
          <w:szCs w:val="24"/>
        </w:rPr>
        <w:t>, 7725–7731 (2025).</w:t>
      </w:r>
    </w:p>
    <w:p w14:paraId="552BCD7D" w14:textId="3D3A24D8"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31.</w:t>
      </w:r>
      <w:r w:rsidRPr="002657D1">
        <w:rPr>
          <w:rFonts w:ascii="Times New Roman" w:eastAsia="宋体" w:hAnsi="Times New Roman" w:cs="Times New Roman"/>
          <w:color w:val="000000" w:themeColor="text1"/>
          <w:sz w:val="24"/>
          <w:szCs w:val="24"/>
        </w:rPr>
        <w:tab/>
        <w:t xml:space="preserve">Ogbolu, B. O.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Tailoring Ion Transport in Li</w:t>
      </w:r>
      <w:r w:rsidRPr="002657D1">
        <w:rPr>
          <w:rFonts w:ascii="Times New Roman" w:eastAsia="宋体" w:hAnsi="Times New Roman" w:cs="Times New Roman"/>
          <w:color w:val="000000" w:themeColor="text1"/>
          <w:sz w:val="24"/>
          <w:szCs w:val="24"/>
          <w:vertAlign w:val="subscript"/>
        </w:rPr>
        <w:t>3‐3y</w:t>
      </w:r>
      <w:r w:rsidRPr="002657D1">
        <w:rPr>
          <w:rFonts w:ascii="Times New Roman" w:eastAsia="宋体" w:hAnsi="Times New Roman" w:cs="Times New Roman"/>
          <w:color w:val="000000" w:themeColor="text1"/>
          <w:sz w:val="24"/>
          <w:szCs w:val="24"/>
        </w:rPr>
        <w:t>Ho</w:t>
      </w:r>
      <w:r w:rsidRPr="002657D1">
        <w:rPr>
          <w:rFonts w:ascii="Times New Roman" w:eastAsia="宋体" w:hAnsi="Times New Roman" w:cs="Times New Roman"/>
          <w:color w:val="000000" w:themeColor="text1"/>
          <w:sz w:val="24"/>
          <w:szCs w:val="24"/>
          <w:vertAlign w:val="subscript"/>
        </w:rPr>
        <w:t>1+y</w:t>
      </w:r>
      <w:r w:rsidRPr="002657D1">
        <w:rPr>
          <w:rFonts w:ascii="Times New Roman" w:eastAsia="宋体" w:hAnsi="Times New Roman" w:cs="Times New Roman"/>
          <w:color w:val="000000" w:themeColor="text1"/>
          <w:sz w:val="24"/>
          <w:szCs w:val="24"/>
        </w:rPr>
        <w:t>Cl</w:t>
      </w:r>
      <w:r w:rsidRPr="002657D1">
        <w:rPr>
          <w:rFonts w:ascii="Times New Roman" w:eastAsia="宋体" w:hAnsi="Times New Roman" w:cs="Times New Roman"/>
          <w:color w:val="000000" w:themeColor="text1"/>
          <w:sz w:val="24"/>
          <w:szCs w:val="24"/>
          <w:vertAlign w:val="subscript"/>
        </w:rPr>
        <w:t>6‐x</w:t>
      </w:r>
      <w:r w:rsidRPr="002657D1">
        <w:rPr>
          <w:rFonts w:ascii="Times New Roman" w:eastAsia="宋体" w:hAnsi="Times New Roman" w:cs="Times New Roman"/>
          <w:color w:val="000000" w:themeColor="text1"/>
          <w:sz w:val="24"/>
          <w:szCs w:val="24"/>
        </w:rPr>
        <w:t>Br</w:t>
      </w:r>
      <w:r w:rsidRPr="002657D1">
        <w:rPr>
          <w:rFonts w:ascii="Times New Roman" w:eastAsia="宋体" w:hAnsi="Times New Roman" w:cs="Times New Roman"/>
          <w:i/>
          <w:iCs/>
          <w:color w:val="000000" w:themeColor="text1"/>
          <w:sz w:val="24"/>
          <w:szCs w:val="24"/>
          <w:vertAlign w:val="subscript"/>
        </w:rPr>
        <w:t>x</w:t>
      </w:r>
      <w:r w:rsidRPr="002657D1">
        <w:rPr>
          <w:rFonts w:ascii="Times New Roman" w:eastAsia="宋体" w:hAnsi="Times New Roman" w:cs="Times New Roman"/>
          <w:color w:val="000000" w:themeColor="text1"/>
          <w:sz w:val="24"/>
          <w:szCs w:val="24"/>
        </w:rPr>
        <w:t xml:space="preserve"> via Transition‐Metal Free Structural Planes and Charge Carrier Distribution. </w:t>
      </w:r>
      <w:r w:rsidRPr="002657D1">
        <w:rPr>
          <w:rFonts w:ascii="Times New Roman" w:eastAsia="宋体" w:hAnsi="Times New Roman" w:cs="Times New Roman"/>
          <w:i/>
          <w:iCs/>
          <w:color w:val="000000" w:themeColor="text1"/>
          <w:sz w:val="24"/>
          <w:szCs w:val="24"/>
        </w:rPr>
        <w:t>Adv. Sci.</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12</w:t>
      </w:r>
      <w:r w:rsidRPr="002657D1">
        <w:rPr>
          <w:rFonts w:ascii="Times New Roman" w:eastAsia="宋体" w:hAnsi="Times New Roman" w:cs="Times New Roman"/>
          <w:color w:val="000000" w:themeColor="text1"/>
          <w:sz w:val="24"/>
          <w:szCs w:val="24"/>
        </w:rPr>
        <w:t>, 2409668 (2025).</w:t>
      </w:r>
    </w:p>
    <w:p w14:paraId="0C771E36"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32.</w:t>
      </w:r>
      <w:r w:rsidRPr="002657D1">
        <w:rPr>
          <w:rFonts w:ascii="Times New Roman" w:eastAsia="宋体" w:hAnsi="Times New Roman" w:cs="Times New Roman"/>
          <w:color w:val="000000" w:themeColor="text1"/>
          <w:sz w:val="24"/>
          <w:szCs w:val="24"/>
        </w:rPr>
        <w:tab/>
        <w:t>Liu, Z.</w:t>
      </w:r>
      <w:bookmarkStart w:id="148" w:name="OLE_LINK122"/>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w:t>
      </w:r>
      <w:bookmarkEnd w:id="148"/>
      <w:r w:rsidRPr="002657D1">
        <w:rPr>
          <w:rFonts w:ascii="Times New Roman" w:eastAsia="宋体" w:hAnsi="Times New Roman" w:cs="Times New Roman"/>
          <w:color w:val="000000" w:themeColor="text1"/>
          <w:sz w:val="24"/>
          <w:szCs w:val="24"/>
        </w:rPr>
        <w:t>High Ionic Conductivity Achieved in Li</w:t>
      </w:r>
      <w:r w:rsidRPr="002657D1">
        <w:rPr>
          <w:rFonts w:ascii="Times New Roman" w:eastAsia="宋体" w:hAnsi="Times New Roman" w:cs="Times New Roman"/>
          <w:color w:val="000000" w:themeColor="text1"/>
          <w:sz w:val="24"/>
          <w:szCs w:val="24"/>
          <w:vertAlign w:val="subscript"/>
        </w:rPr>
        <w:t>3</w:t>
      </w:r>
      <w:r w:rsidRPr="002657D1">
        <w:rPr>
          <w:rFonts w:ascii="Times New Roman" w:eastAsia="宋体" w:hAnsi="Times New Roman" w:cs="Times New Roman"/>
          <w:color w:val="000000" w:themeColor="text1"/>
          <w:sz w:val="24"/>
          <w:szCs w:val="24"/>
        </w:rPr>
        <w:t>Y(Br</w:t>
      </w:r>
      <w:r w:rsidRPr="002657D1">
        <w:rPr>
          <w:rFonts w:ascii="Times New Roman" w:eastAsia="宋体" w:hAnsi="Times New Roman" w:cs="Times New Roman"/>
          <w:color w:val="000000" w:themeColor="text1"/>
          <w:sz w:val="24"/>
          <w:szCs w:val="24"/>
          <w:vertAlign w:val="subscript"/>
        </w:rPr>
        <w:t>3</w:t>
      </w:r>
      <w:r w:rsidRPr="002657D1">
        <w:rPr>
          <w:rFonts w:ascii="Times New Roman" w:eastAsia="宋体" w:hAnsi="Times New Roman" w:cs="Times New Roman"/>
          <w:color w:val="000000" w:themeColor="text1"/>
          <w:sz w:val="24"/>
          <w:szCs w:val="24"/>
        </w:rPr>
        <w:t>Cl</w:t>
      </w:r>
      <w:r w:rsidRPr="002657D1">
        <w:rPr>
          <w:rFonts w:ascii="Times New Roman" w:eastAsia="宋体" w:hAnsi="Times New Roman" w:cs="Times New Roman"/>
          <w:color w:val="000000" w:themeColor="text1"/>
          <w:sz w:val="24"/>
          <w:szCs w:val="24"/>
          <w:vertAlign w:val="subscript"/>
        </w:rPr>
        <w:t>3</w:t>
      </w:r>
      <w:r w:rsidRPr="002657D1">
        <w:rPr>
          <w:rFonts w:ascii="Times New Roman" w:eastAsia="宋体" w:hAnsi="Times New Roman" w:cs="Times New Roman"/>
          <w:color w:val="000000" w:themeColor="text1"/>
          <w:sz w:val="24"/>
          <w:szCs w:val="24"/>
        </w:rPr>
        <w:t xml:space="preserve">) Mixed Halide Solid Electrolyte via Promoted Diffusion Pathways and Enhanced Grain Boundary. </w:t>
      </w:r>
      <w:r w:rsidRPr="002657D1">
        <w:rPr>
          <w:rFonts w:ascii="Times New Roman" w:eastAsia="宋体" w:hAnsi="Times New Roman" w:cs="Times New Roman"/>
          <w:i/>
          <w:iCs/>
          <w:color w:val="000000" w:themeColor="text1"/>
          <w:sz w:val="24"/>
          <w:szCs w:val="24"/>
        </w:rPr>
        <w:t>ACS Energy Lett.</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6</w:t>
      </w:r>
      <w:r w:rsidRPr="002657D1">
        <w:rPr>
          <w:rFonts w:ascii="Times New Roman" w:eastAsia="宋体" w:hAnsi="Times New Roman" w:cs="Times New Roman"/>
          <w:color w:val="000000" w:themeColor="text1"/>
          <w:sz w:val="24"/>
          <w:szCs w:val="24"/>
        </w:rPr>
        <w:t>, 298–304 (2021).</w:t>
      </w:r>
    </w:p>
    <w:p w14:paraId="50CEC360"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33.</w:t>
      </w:r>
      <w:r w:rsidRPr="002657D1">
        <w:rPr>
          <w:rFonts w:ascii="Times New Roman" w:eastAsia="宋体" w:hAnsi="Times New Roman" w:cs="Times New Roman"/>
          <w:color w:val="000000" w:themeColor="text1"/>
          <w:sz w:val="24"/>
          <w:szCs w:val="24"/>
        </w:rPr>
        <w:tab/>
        <w:t>Wang, K., Gu, Z., Xi, Z., Hu, L. &amp; Ma, C. Li</w:t>
      </w:r>
      <w:r w:rsidRPr="002657D1">
        <w:rPr>
          <w:rFonts w:ascii="Times New Roman" w:eastAsia="宋体" w:hAnsi="Times New Roman" w:cs="Times New Roman"/>
          <w:color w:val="000000" w:themeColor="text1"/>
          <w:sz w:val="24"/>
          <w:szCs w:val="24"/>
          <w:vertAlign w:val="subscript"/>
        </w:rPr>
        <w:t>3</w:t>
      </w:r>
      <w:r w:rsidRPr="002657D1">
        <w:rPr>
          <w:rFonts w:ascii="Times New Roman" w:eastAsia="宋体" w:hAnsi="Times New Roman" w:cs="Times New Roman"/>
          <w:color w:val="000000" w:themeColor="text1"/>
          <w:sz w:val="24"/>
          <w:szCs w:val="24"/>
        </w:rPr>
        <w:t>TiCl</w:t>
      </w:r>
      <w:r w:rsidRPr="002657D1">
        <w:rPr>
          <w:rFonts w:ascii="Times New Roman" w:eastAsia="宋体" w:hAnsi="Times New Roman" w:cs="Times New Roman"/>
          <w:color w:val="000000" w:themeColor="text1"/>
          <w:sz w:val="24"/>
          <w:szCs w:val="24"/>
          <w:vertAlign w:val="subscript"/>
        </w:rPr>
        <w:t>6</w:t>
      </w:r>
      <w:r w:rsidRPr="002657D1">
        <w:rPr>
          <w:rFonts w:ascii="Times New Roman" w:eastAsia="宋体" w:hAnsi="Times New Roman" w:cs="Times New Roman"/>
          <w:color w:val="000000" w:themeColor="text1"/>
          <w:sz w:val="24"/>
          <w:szCs w:val="24"/>
        </w:rPr>
        <w:t xml:space="preserve"> as ionic conductive and compressible positive electrode active material for all-solid-state lithium-based </w:t>
      </w:r>
      <w:r w:rsidRPr="002657D1">
        <w:rPr>
          <w:rFonts w:ascii="Times New Roman" w:eastAsia="宋体" w:hAnsi="Times New Roman" w:cs="Times New Roman"/>
          <w:color w:val="000000" w:themeColor="text1"/>
          <w:sz w:val="24"/>
          <w:szCs w:val="24"/>
        </w:rPr>
        <w:lastRenderedPageBreak/>
        <w:t xml:space="preserve">batteries. </w:t>
      </w:r>
      <w:r w:rsidRPr="002657D1">
        <w:rPr>
          <w:rFonts w:ascii="Times New Roman" w:eastAsia="宋体" w:hAnsi="Times New Roman" w:cs="Times New Roman"/>
          <w:i/>
          <w:iCs/>
          <w:color w:val="000000" w:themeColor="text1"/>
          <w:sz w:val="24"/>
          <w:szCs w:val="24"/>
        </w:rPr>
        <w:t>Nat. Commun.</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14</w:t>
      </w:r>
      <w:r w:rsidRPr="002657D1">
        <w:rPr>
          <w:rFonts w:ascii="Times New Roman" w:eastAsia="宋体" w:hAnsi="Times New Roman" w:cs="Times New Roman"/>
          <w:color w:val="000000" w:themeColor="text1"/>
          <w:sz w:val="24"/>
          <w:szCs w:val="24"/>
        </w:rPr>
        <w:t>, 1396 (2023).</w:t>
      </w:r>
    </w:p>
    <w:p w14:paraId="272A17D6"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34.</w:t>
      </w:r>
      <w:r w:rsidRPr="002657D1">
        <w:rPr>
          <w:rFonts w:ascii="Times New Roman" w:eastAsia="宋体" w:hAnsi="Times New Roman" w:cs="Times New Roman"/>
          <w:color w:val="000000" w:themeColor="text1"/>
          <w:sz w:val="24"/>
          <w:szCs w:val="24"/>
        </w:rPr>
        <w:tab/>
        <w:t xml:space="preserve">Li, X.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Water‐mediated synthesis of a superionic halide solid electrolyte. </w:t>
      </w:r>
      <w:r w:rsidRPr="002657D1">
        <w:rPr>
          <w:rFonts w:ascii="Times New Roman" w:eastAsia="宋体" w:hAnsi="Times New Roman" w:cs="Times New Roman"/>
          <w:i/>
          <w:iCs/>
          <w:color w:val="000000" w:themeColor="text1"/>
          <w:sz w:val="24"/>
          <w:szCs w:val="24"/>
        </w:rPr>
        <w:t>Angew. Chem. Int. Ed.</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131</w:t>
      </w:r>
      <w:r w:rsidRPr="002657D1">
        <w:rPr>
          <w:rFonts w:ascii="Times New Roman" w:eastAsia="宋体" w:hAnsi="Times New Roman" w:cs="Times New Roman"/>
          <w:color w:val="000000" w:themeColor="text1"/>
          <w:sz w:val="24"/>
          <w:szCs w:val="24"/>
        </w:rPr>
        <w:t>, 16579-16584.</w:t>
      </w:r>
    </w:p>
    <w:p w14:paraId="14E13E0B" w14:textId="6368C3E3"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35.</w:t>
      </w:r>
      <w:r w:rsidRPr="002657D1">
        <w:rPr>
          <w:rFonts w:ascii="Times New Roman" w:eastAsia="宋体" w:hAnsi="Times New Roman" w:cs="Times New Roman"/>
          <w:color w:val="000000" w:themeColor="text1"/>
          <w:sz w:val="24"/>
          <w:szCs w:val="24"/>
        </w:rPr>
        <w:tab/>
        <w:t xml:space="preserve">Liang, J.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Site-Occupation-Tuned Superionic Li</w:t>
      </w:r>
      <w:r w:rsidRPr="002657D1">
        <w:rPr>
          <w:rFonts w:ascii="Times New Roman" w:eastAsia="宋体" w:hAnsi="Times New Roman" w:cs="Times New Roman"/>
          <w:i/>
          <w:iCs/>
          <w:color w:val="000000" w:themeColor="text1"/>
          <w:sz w:val="24"/>
          <w:szCs w:val="24"/>
          <w:vertAlign w:val="subscript"/>
        </w:rPr>
        <w:t>x</w:t>
      </w:r>
      <w:r w:rsidRPr="002657D1">
        <w:rPr>
          <w:rFonts w:ascii="Times New Roman" w:eastAsia="宋体" w:hAnsi="Times New Roman" w:cs="Times New Roman"/>
          <w:color w:val="000000" w:themeColor="text1"/>
          <w:sz w:val="24"/>
          <w:szCs w:val="24"/>
        </w:rPr>
        <w:t>ScCl</w:t>
      </w:r>
      <w:r w:rsidRPr="002657D1">
        <w:rPr>
          <w:rFonts w:ascii="Times New Roman" w:eastAsia="宋体" w:hAnsi="Times New Roman" w:cs="Times New Roman"/>
          <w:color w:val="000000" w:themeColor="text1"/>
          <w:sz w:val="24"/>
          <w:szCs w:val="24"/>
          <w:vertAlign w:val="subscript"/>
        </w:rPr>
        <w:t>3+</w:t>
      </w:r>
      <w:r w:rsidRPr="002657D1">
        <w:rPr>
          <w:rFonts w:ascii="Times New Roman" w:eastAsia="宋体" w:hAnsi="Times New Roman" w:cs="Times New Roman"/>
          <w:i/>
          <w:iCs/>
          <w:color w:val="000000" w:themeColor="text1"/>
          <w:sz w:val="24"/>
          <w:szCs w:val="24"/>
          <w:vertAlign w:val="subscript"/>
        </w:rPr>
        <w:t>x</w:t>
      </w:r>
      <w:r w:rsidRPr="002657D1">
        <w:rPr>
          <w:rFonts w:ascii="Times New Roman" w:eastAsia="宋体" w:hAnsi="Times New Roman" w:cs="Times New Roman"/>
          <w:color w:val="000000" w:themeColor="text1"/>
          <w:sz w:val="24"/>
          <w:szCs w:val="24"/>
        </w:rPr>
        <w:t xml:space="preserve"> Halide Solid Electrolytes for All-Solid-State Batteries. </w:t>
      </w:r>
      <w:r w:rsidRPr="002657D1">
        <w:rPr>
          <w:rFonts w:ascii="Times New Roman" w:eastAsia="宋体" w:hAnsi="Times New Roman" w:cs="Times New Roman"/>
          <w:i/>
          <w:iCs/>
          <w:color w:val="000000" w:themeColor="text1"/>
          <w:sz w:val="24"/>
          <w:szCs w:val="24"/>
        </w:rPr>
        <w:t>J. Am. Chem. Soc.</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142</w:t>
      </w:r>
      <w:r w:rsidRPr="002657D1">
        <w:rPr>
          <w:rFonts w:ascii="Times New Roman" w:eastAsia="宋体" w:hAnsi="Times New Roman" w:cs="Times New Roman"/>
          <w:color w:val="000000" w:themeColor="text1"/>
          <w:sz w:val="24"/>
          <w:szCs w:val="24"/>
        </w:rPr>
        <w:t>, 7012–7022 (2020).</w:t>
      </w:r>
    </w:p>
    <w:p w14:paraId="2015E28C"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36.</w:t>
      </w:r>
      <w:r w:rsidRPr="002657D1">
        <w:rPr>
          <w:rFonts w:ascii="Times New Roman" w:eastAsia="宋体" w:hAnsi="Times New Roman" w:cs="Times New Roman"/>
          <w:color w:val="000000" w:themeColor="text1"/>
          <w:sz w:val="24"/>
          <w:szCs w:val="24"/>
        </w:rPr>
        <w:tab/>
        <w:t xml:space="preserve">Zhang, S.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Advanced High‐Voltage All‐Solid‐State Li‐Ion Batteries Enabled by a Dual‐Halogen Solid Electrolyte. </w:t>
      </w:r>
      <w:r w:rsidRPr="002657D1">
        <w:rPr>
          <w:rFonts w:ascii="Times New Roman" w:eastAsia="宋体" w:hAnsi="Times New Roman" w:cs="Times New Roman"/>
          <w:i/>
          <w:iCs/>
          <w:color w:val="000000" w:themeColor="text1"/>
          <w:sz w:val="24"/>
          <w:szCs w:val="24"/>
        </w:rPr>
        <w:t>Adv. Energy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11</w:t>
      </w:r>
      <w:r w:rsidRPr="002657D1">
        <w:rPr>
          <w:rFonts w:ascii="Times New Roman" w:eastAsia="宋体" w:hAnsi="Times New Roman" w:cs="Times New Roman"/>
          <w:color w:val="000000" w:themeColor="text1"/>
          <w:sz w:val="24"/>
          <w:szCs w:val="24"/>
        </w:rPr>
        <w:t>, 2100836 (2021).</w:t>
      </w:r>
    </w:p>
    <w:p w14:paraId="02A0D155"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37.</w:t>
      </w:r>
      <w:r w:rsidRPr="002657D1">
        <w:rPr>
          <w:rFonts w:ascii="Times New Roman" w:eastAsia="宋体" w:hAnsi="Times New Roman" w:cs="Times New Roman"/>
          <w:color w:val="000000" w:themeColor="text1"/>
          <w:sz w:val="24"/>
          <w:szCs w:val="24"/>
        </w:rPr>
        <w:tab/>
        <w:t xml:space="preserve">Li, R.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Superionic Conductivity Invoked by Enhanced Correlation Migration in Lithium Halides Solid Electrolytes. </w:t>
      </w:r>
      <w:r w:rsidRPr="002657D1">
        <w:rPr>
          <w:rFonts w:ascii="Times New Roman" w:eastAsia="宋体" w:hAnsi="Times New Roman" w:cs="Times New Roman"/>
          <w:i/>
          <w:iCs/>
          <w:color w:val="000000" w:themeColor="text1"/>
          <w:sz w:val="24"/>
          <w:szCs w:val="24"/>
        </w:rPr>
        <w:t>ACS Energy Lett.</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9</w:t>
      </w:r>
      <w:r w:rsidRPr="002657D1">
        <w:rPr>
          <w:rFonts w:ascii="Times New Roman" w:eastAsia="宋体" w:hAnsi="Times New Roman" w:cs="Times New Roman"/>
          <w:color w:val="000000" w:themeColor="text1"/>
          <w:sz w:val="24"/>
          <w:szCs w:val="24"/>
        </w:rPr>
        <w:t>, 1043–1052 (2024).</w:t>
      </w:r>
    </w:p>
    <w:p w14:paraId="6E8B4D64" w14:textId="24954C9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38.</w:t>
      </w:r>
      <w:r w:rsidRPr="002657D1">
        <w:rPr>
          <w:rFonts w:ascii="Times New Roman" w:eastAsia="宋体" w:hAnsi="Times New Roman" w:cs="Times New Roman"/>
          <w:color w:val="000000" w:themeColor="text1"/>
          <w:sz w:val="24"/>
          <w:szCs w:val="24"/>
        </w:rPr>
        <w:tab/>
        <w:t>Wang, J., Chen, F., Hu, L. &amp; Ma, C. Alternate Crystal Structure Achieving Ionic Conductivity above 1 mS cm</w:t>
      </w:r>
      <w:r w:rsidRPr="002657D1">
        <w:rPr>
          <w:rFonts w:ascii="Times New Roman" w:eastAsia="宋体" w:hAnsi="Times New Roman" w:cs="Times New Roman"/>
          <w:color w:val="000000" w:themeColor="text1"/>
          <w:sz w:val="24"/>
          <w:szCs w:val="24"/>
          <w:vertAlign w:val="superscript"/>
        </w:rPr>
        <w:t>–1</w:t>
      </w:r>
      <w:r w:rsidRPr="002657D1">
        <w:rPr>
          <w:rFonts w:ascii="Times New Roman" w:eastAsia="宋体" w:hAnsi="Times New Roman" w:cs="Times New Roman"/>
          <w:color w:val="000000" w:themeColor="text1"/>
          <w:sz w:val="24"/>
          <w:szCs w:val="24"/>
        </w:rPr>
        <w:t xml:space="preserve"> in Cost-Effective Zr-Based Chloride Solid Electrolytes. </w:t>
      </w:r>
      <w:r w:rsidRPr="002657D1">
        <w:rPr>
          <w:rFonts w:ascii="Times New Roman" w:eastAsia="宋体" w:hAnsi="Times New Roman" w:cs="Times New Roman"/>
          <w:i/>
          <w:iCs/>
          <w:color w:val="000000" w:themeColor="text1"/>
          <w:sz w:val="24"/>
          <w:szCs w:val="24"/>
        </w:rPr>
        <w:t>Nano Lett.</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23</w:t>
      </w:r>
      <w:r w:rsidRPr="002657D1">
        <w:rPr>
          <w:rFonts w:ascii="Times New Roman" w:eastAsia="宋体" w:hAnsi="Times New Roman" w:cs="Times New Roman"/>
          <w:color w:val="000000" w:themeColor="text1"/>
          <w:sz w:val="24"/>
          <w:szCs w:val="24"/>
        </w:rPr>
        <w:t>, 6081–6087 (2023).</w:t>
      </w:r>
    </w:p>
    <w:p w14:paraId="7124F947"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39.</w:t>
      </w:r>
      <w:r w:rsidRPr="002657D1">
        <w:rPr>
          <w:rFonts w:ascii="Times New Roman" w:eastAsia="宋体" w:hAnsi="Times New Roman" w:cs="Times New Roman"/>
          <w:color w:val="000000" w:themeColor="text1"/>
          <w:sz w:val="24"/>
          <w:szCs w:val="24"/>
        </w:rPr>
        <w:tab/>
        <w:t xml:space="preserve">Li, W.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High-voltage superionic and humidity-tolerant Li</w:t>
      </w:r>
      <w:r w:rsidRPr="002657D1">
        <w:rPr>
          <w:rFonts w:ascii="Times New Roman" w:eastAsia="宋体" w:hAnsi="Times New Roman" w:cs="Times New Roman"/>
          <w:color w:val="000000" w:themeColor="text1"/>
          <w:sz w:val="24"/>
          <w:szCs w:val="24"/>
          <w:vertAlign w:val="subscript"/>
        </w:rPr>
        <w:t>2.5</w:t>
      </w:r>
      <w:r w:rsidRPr="002657D1">
        <w:rPr>
          <w:rFonts w:ascii="Times New Roman" w:eastAsia="宋体" w:hAnsi="Times New Roman" w:cs="Times New Roman"/>
          <w:color w:val="000000" w:themeColor="text1"/>
          <w:sz w:val="24"/>
          <w:szCs w:val="24"/>
        </w:rPr>
        <w:t>Sc</w:t>
      </w:r>
      <w:r w:rsidRPr="002657D1">
        <w:rPr>
          <w:rFonts w:ascii="Times New Roman" w:eastAsia="宋体" w:hAnsi="Times New Roman" w:cs="Times New Roman"/>
          <w:color w:val="000000" w:themeColor="text1"/>
          <w:sz w:val="24"/>
          <w:szCs w:val="24"/>
          <w:vertAlign w:val="subscript"/>
        </w:rPr>
        <w:t>0.5</w:t>
      </w:r>
      <w:r w:rsidRPr="002657D1">
        <w:rPr>
          <w:rFonts w:ascii="Times New Roman" w:eastAsia="宋体" w:hAnsi="Times New Roman" w:cs="Times New Roman"/>
          <w:color w:val="000000" w:themeColor="text1"/>
          <w:sz w:val="24"/>
          <w:szCs w:val="24"/>
        </w:rPr>
        <w:t>Zr</w:t>
      </w:r>
      <w:r w:rsidRPr="002657D1">
        <w:rPr>
          <w:rFonts w:ascii="Times New Roman" w:eastAsia="宋体" w:hAnsi="Times New Roman" w:cs="Times New Roman"/>
          <w:color w:val="000000" w:themeColor="text1"/>
          <w:sz w:val="24"/>
          <w:szCs w:val="24"/>
          <w:vertAlign w:val="subscript"/>
        </w:rPr>
        <w:t>0.5</w:t>
      </w:r>
      <w:r w:rsidRPr="002657D1">
        <w:rPr>
          <w:rFonts w:ascii="Times New Roman" w:eastAsia="宋体" w:hAnsi="Times New Roman" w:cs="Times New Roman"/>
          <w:color w:val="000000" w:themeColor="text1"/>
          <w:sz w:val="24"/>
          <w:szCs w:val="24"/>
        </w:rPr>
        <w:t>Cl</w:t>
      </w:r>
      <w:r w:rsidRPr="002657D1">
        <w:rPr>
          <w:rFonts w:ascii="Times New Roman" w:eastAsia="宋体" w:hAnsi="Times New Roman" w:cs="Times New Roman"/>
          <w:color w:val="000000" w:themeColor="text1"/>
          <w:sz w:val="24"/>
          <w:szCs w:val="24"/>
          <w:vertAlign w:val="subscript"/>
        </w:rPr>
        <w:t>6</w:t>
      </w:r>
      <w:r w:rsidRPr="002657D1">
        <w:rPr>
          <w:rFonts w:ascii="Times New Roman" w:eastAsia="宋体" w:hAnsi="Times New Roman" w:cs="Times New Roman"/>
          <w:color w:val="000000" w:themeColor="text1"/>
          <w:sz w:val="24"/>
          <w:szCs w:val="24"/>
        </w:rPr>
        <w:t xml:space="preserve"> conductor for lithium batteries via preferred orientation. </w:t>
      </w:r>
      <w:r w:rsidRPr="002657D1">
        <w:rPr>
          <w:rFonts w:ascii="Times New Roman" w:eastAsia="宋体" w:hAnsi="Times New Roman" w:cs="Times New Roman"/>
          <w:i/>
          <w:iCs/>
          <w:color w:val="000000" w:themeColor="text1"/>
          <w:sz w:val="24"/>
          <w:szCs w:val="24"/>
        </w:rPr>
        <w:t>Chem. Eng. J.</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455</w:t>
      </w:r>
      <w:r w:rsidRPr="002657D1">
        <w:rPr>
          <w:rFonts w:ascii="Times New Roman" w:eastAsia="宋体" w:hAnsi="Times New Roman" w:cs="Times New Roman"/>
          <w:color w:val="000000" w:themeColor="text1"/>
          <w:sz w:val="24"/>
          <w:szCs w:val="24"/>
        </w:rPr>
        <w:t>, 140509 (2023).</w:t>
      </w:r>
    </w:p>
    <w:p w14:paraId="327C049E"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40.</w:t>
      </w:r>
      <w:r w:rsidRPr="002657D1">
        <w:rPr>
          <w:rFonts w:ascii="Times New Roman" w:eastAsia="宋体" w:hAnsi="Times New Roman" w:cs="Times New Roman"/>
          <w:color w:val="000000" w:themeColor="text1"/>
          <w:sz w:val="24"/>
          <w:szCs w:val="24"/>
        </w:rPr>
        <w:tab/>
        <w:t xml:space="preserve">Zhou, L.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High areal capacity, long cycle life 4 V ceramic all-solid-state Li-ion batteries enabled by chloride solid electrolytes. </w:t>
      </w:r>
      <w:r w:rsidRPr="002657D1">
        <w:rPr>
          <w:rFonts w:ascii="Times New Roman" w:eastAsia="宋体" w:hAnsi="Times New Roman" w:cs="Times New Roman"/>
          <w:i/>
          <w:iCs/>
          <w:color w:val="000000" w:themeColor="text1"/>
          <w:sz w:val="24"/>
          <w:szCs w:val="24"/>
        </w:rPr>
        <w:t>Nat. Energy</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7</w:t>
      </w:r>
      <w:r w:rsidRPr="002657D1">
        <w:rPr>
          <w:rFonts w:ascii="Times New Roman" w:eastAsia="宋体" w:hAnsi="Times New Roman" w:cs="Times New Roman"/>
          <w:color w:val="000000" w:themeColor="text1"/>
          <w:sz w:val="24"/>
          <w:szCs w:val="24"/>
        </w:rPr>
        <w:t>, 83–93 (2022).</w:t>
      </w:r>
    </w:p>
    <w:p w14:paraId="5AC9E38F" w14:textId="0225CA7F"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41.</w:t>
      </w:r>
      <w:r w:rsidRPr="002657D1">
        <w:rPr>
          <w:rFonts w:ascii="Times New Roman" w:eastAsia="宋体" w:hAnsi="Times New Roman" w:cs="Times New Roman"/>
          <w:color w:val="000000" w:themeColor="text1"/>
          <w:sz w:val="24"/>
          <w:szCs w:val="24"/>
        </w:rPr>
        <w:tab/>
        <w:t xml:space="preserve">Kwak, H.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Li</w:t>
      </w:r>
      <w:r w:rsidRPr="002657D1">
        <w:rPr>
          <w:rFonts w:ascii="Times New Roman" w:eastAsia="宋体" w:hAnsi="Times New Roman" w:cs="Times New Roman"/>
          <w:color w:val="000000" w:themeColor="text1"/>
          <w:sz w:val="24"/>
          <w:szCs w:val="24"/>
          <w:vertAlign w:val="superscript"/>
        </w:rPr>
        <w:t>+</w:t>
      </w:r>
      <w:r w:rsidRPr="002657D1">
        <w:rPr>
          <w:rFonts w:ascii="Times New Roman" w:eastAsia="宋体" w:hAnsi="Times New Roman" w:cs="Times New Roman"/>
          <w:color w:val="000000" w:themeColor="text1"/>
          <w:sz w:val="24"/>
          <w:szCs w:val="24"/>
        </w:rPr>
        <w:t xml:space="preserve"> conduction in aliovalent-substituted monoclinic Li</w:t>
      </w:r>
      <w:r w:rsidRPr="002657D1">
        <w:rPr>
          <w:rFonts w:ascii="Times New Roman" w:eastAsia="宋体" w:hAnsi="Times New Roman" w:cs="Times New Roman"/>
          <w:color w:val="000000" w:themeColor="text1"/>
          <w:sz w:val="24"/>
          <w:szCs w:val="24"/>
          <w:vertAlign w:val="subscript"/>
        </w:rPr>
        <w:t>2</w:t>
      </w:r>
      <w:r w:rsidRPr="002657D1">
        <w:rPr>
          <w:rFonts w:ascii="Times New Roman" w:eastAsia="宋体" w:hAnsi="Times New Roman" w:cs="Times New Roman"/>
          <w:color w:val="000000" w:themeColor="text1"/>
          <w:sz w:val="24"/>
          <w:szCs w:val="24"/>
        </w:rPr>
        <w:t>ZrCl</w:t>
      </w:r>
      <w:r w:rsidRPr="002657D1">
        <w:rPr>
          <w:rFonts w:ascii="Times New Roman" w:eastAsia="宋体" w:hAnsi="Times New Roman" w:cs="Times New Roman"/>
          <w:color w:val="000000" w:themeColor="text1"/>
          <w:sz w:val="24"/>
          <w:szCs w:val="24"/>
          <w:vertAlign w:val="subscript"/>
        </w:rPr>
        <w:t>6</w:t>
      </w:r>
      <w:r w:rsidRPr="002657D1">
        <w:rPr>
          <w:rFonts w:ascii="Times New Roman" w:eastAsia="宋体" w:hAnsi="Times New Roman" w:cs="Times New Roman"/>
          <w:color w:val="000000" w:themeColor="text1"/>
          <w:sz w:val="24"/>
          <w:szCs w:val="24"/>
        </w:rPr>
        <w:t xml:space="preserve"> for all-solid-state batteries: Li</w:t>
      </w:r>
      <w:r w:rsidRPr="002657D1">
        <w:rPr>
          <w:rFonts w:ascii="Times New Roman" w:eastAsia="宋体" w:hAnsi="Times New Roman" w:cs="Times New Roman"/>
          <w:color w:val="000000" w:themeColor="text1"/>
          <w:sz w:val="24"/>
          <w:szCs w:val="24"/>
          <w:vertAlign w:val="subscript"/>
        </w:rPr>
        <w:t>2+x</w:t>
      </w:r>
      <w:r w:rsidRPr="002657D1">
        <w:rPr>
          <w:rFonts w:ascii="Times New Roman" w:eastAsia="宋体" w:hAnsi="Times New Roman" w:cs="Times New Roman"/>
          <w:color w:val="000000" w:themeColor="text1"/>
          <w:sz w:val="24"/>
          <w:szCs w:val="24"/>
        </w:rPr>
        <w:t>Zr</w:t>
      </w:r>
      <w:r w:rsidRPr="002657D1">
        <w:rPr>
          <w:rFonts w:ascii="Times New Roman" w:eastAsia="宋体" w:hAnsi="Times New Roman" w:cs="Times New Roman"/>
          <w:color w:val="000000" w:themeColor="text1"/>
          <w:sz w:val="24"/>
          <w:szCs w:val="24"/>
          <w:vertAlign w:val="subscript"/>
        </w:rPr>
        <w:t>1</w:t>
      </w:r>
      <w:r w:rsidR="00CE0C9A">
        <w:rPr>
          <w:rFonts w:ascii="Times New Roman" w:eastAsia="宋体" w:hAnsi="Times New Roman" w:cs="Times New Roman"/>
          <w:sz w:val="24"/>
          <w:szCs w:val="24"/>
          <w:vertAlign w:val="subscript"/>
        </w:rPr>
        <w:t>–</w:t>
      </w:r>
      <w:r w:rsidRPr="002657D1">
        <w:rPr>
          <w:rFonts w:ascii="Times New Roman" w:eastAsia="宋体" w:hAnsi="Times New Roman" w:cs="Times New Roman"/>
          <w:color w:val="000000" w:themeColor="text1"/>
          <w:sz w:val="24"/>
          <w:szCs w:val="24"/>
          <w:vertAlign w:val="subscript"/>
        </w:rPr>
        <w:t>x</w:t>
      </w:r>
      <w:r w:rsidRPr="002657D1">
        <w:rPr>
          <w:rFonts w:ascii="Times New Roman" w:eastAsia="宋体" w:hAnsi="Times New Roman" w:cs="Times New Roman"/>
          <w:color w:val="000000" w:themeColor="text1"/>
          <w:sz w:val="24"/>
          <w:szCs w:val="24"/>
        </w:rPr>
        <w:t>M</w:t>
      </w:r>
      <w:r w:rsidRPr="002657D1">
        <w:rPr>
          <w:rFonts w:ascii="Times New Roman" w:eastAsia="宋体" w:hAnsi="Times New Roman" w:cs="Times New Roman"/>
          <w:color w:val="000000" w:themeColor="text1"/>
          <w:sz w:val="24"/>
          <w:szCs w:val="24"/>
          <w:vertAlign w:val="subscript"/>
        </w:rPr>
        <w:t>x</w:t>
      </w:r>
      <w:r w:rsidRPr="002657D1">
        <w:rPr>
          <w:rFonts w:ascii="Times New Roman" w:eastAsia="宋体" w:hAnsi="Times New Roman" w:cs="Times New Roman"/>
          <w:color w:val="000000" w:themeColor="text1"/>
          <w:sz w:val="24"/>
          <w:szCs w:val="24"/>
        </w:rPr>
        <w:t>Cl</w:t>
      </w:r>
      <w:r w:rsidRPr="002657D1">
        <w:rPr>
          <w:rFonts w:ascii="Times New Roman" w:eastAsia="宋体" w:hAnsi="Times New Roman" w:cs="Times New Roman"/>
          <w:color w:val="000000" w:themeColor="text1"/>
          <w:sz w:val="24"/>
          <w:szCs w:val="24"/>
          <w:vertAlign w:val="subscript"/>
        </w:rPr>
        <w:t>6</w:t>
      </w:r>
      <w:r w:rsidRPr="002657D1">
        <w:rPr>
          <w:rFonts w:ascii="Times New Roman" w:eastAsia="宋体" w:hAnsi="Times New Roman" w:cs="Times New Roman"/>
          <w:color w:val="000000" w:themeColor="text1"/>
          <w:sz w:val="24"/>
          <w:szCs w:val="24"/>
        </w:rPr>
        <w:t xml:space="preserve"> (M = In, Sc). </w:t>
      </w:r>
      <w:r w:rsidRPr="002657D1">
        <w:rPr>
          <w:rFonts w:ascii="Times New Roman" w:eastAsia="宋体" w:hAnsi="Times New Roman" w:cs="Times New Roman"/>
          <w:i/>
          <w:iCs/>
          <w:color w:val="000000" w:themeColor="text1"/>
          <w:sz w:val="24"/>
          <w:szCs w:val="24"/>
        </w:rPr>
        <w:t>Chem. Eng. J.</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437</w:t>
      </w:r>
      <w:r w:rsidRPr="002657D1">
        <w:rPr>
          <w:rFonts w:ascii="Times New Roman" w:eastAsia="宋体" w:hAnsi="Times New Roman" w:cs="Times New Roman"/>
          <w:color w:val="000000" w:themeColor="text1"/>
          <w:sz w:val="24"/>
          <w:szCs w:val="24"/>
        </w:rPr>
        <w:t>, 135413 (2022).</w:t>
      </w:r>
    </w:p>
    <w:p w14:paraId="0E2BCDB4"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42.</w:t>
      </w:r>
      <w:r w:rsidRPr="002657D1">
        <w:rPr>
          <w:rFonts w:ascii="Times New Roman" w:eastAsia="宋体" w:hAnsi="Times New Roman" w:cs="Times New Roman"/>
          <w:color w:val="000000" w:themeColor="text1"/>
          <w:sz w:val="24"/>
          <w:szCs w:val="24"/>
        </w:rPr>
        <w:tab/>
        <w:t xml:space="preserve">Li, X.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Origin of Superionic Li</w:t>
      </w:r>
      <w:r w:rsidRPr="002657D1">
        <w:rPr>
          <w:rFonts w:ascii="Times New Roman" w:eastAsia="宋体" w:hAnsi="Times New Roman" w:cs="Times New Roman"/>
          <w:color w:val="000000" w:themeColor="text1"/>
          <w:sz w:val="24"/>
          <w:szCs w:val="24"/>
          <w:vertAlign w:val="subscript"/>
        </w:rPr>
        <w:t>3</w:t>
      </w:r>
      <w:r w:rsidRPr="002657D1">
        <w:rPr>
          <w:rFonts w:ascii="Times New Roman" w:eastAsia="宋体" w:hAnsi="Times New Roman" w:cs="Times New Roman"/>
          <w:color w:val="000000" w:themeColor="text1"/>
          <w:sz w:val="24"/>
          <w:szCs w:val="24"/>
        </w:rPr>
        <w:t>Y</w:t>
      </w:r>
      <w:r w:rsidRPr="002657D1">
        <w:rPr>
          <w:rFonts w:ascii="Times New Roman" w:eastAsia="宋体" w:hAnsi="Times New Roman" w:cs="Times New Roman"/>
          <w:color w:val="000000" w:themeColor="text1"/>
          <w:sz w:val="24"/>
          <w:szCs w:val="24"/>
          <w:vertAlign w:val="subscript"/>
        </w:rPr>
        <w:t>1–</w:t>
      </w:r>
      <w:r w:rsidRPr="002657D1">
        <w:rPr>
          <w:rFonts w:ascii="Times New Roman" w:eastAsia="宋体" w:hAnsi="Times New Roman" w:cs="Times New Roman"/>
          <w:i/>
          <w:iCs/>
          <w:color w:val="000000" w:themeColor="text1"/>
          <w:sz w:val="24"/>
          <w:szCs w:val="24"/>
          <w:vertAlign w:val="subscript"/>
        </w:rPr>
        <w:t>x</w:t>
      </w:r>
      <w:r w:rsidRPr="002657D1">
        <w:rPr>
          <w:rFonts w:ascii="Times New Roman" w:eastAsia="宋体" w:hAnsi="Times New Roman" w:cs="Times New Roman"/>
          <w:color w:val="000000" w:themeColor="text1"/>
          <w:sz w:val="24"/>
          <w:szCs w:val="24"/>
        </w:rPr>
        <w:t>In</w:t>
      </w:r>
      <w:r w:rsidRPr="002657D1">
        <w:rPr>
          <w:rFonts w:ascii="Times New Roman" w:eastAsia="宋体" w:hAnsi="Times New Roman" w:cs="Times New Roman"/>
          <w:i/>
          <w:iCs/>
          <w:color w:val="000000" w:themeColor="text1"/>
          <w:sz w:val="24"/>
          <w:szCs w:val="24"/>
          <w:vertAlign w:val="subscript"/>
        </w:rPr>
        <w:t>x</w:t>
      </w:r>
      <w:r w:rsidRPr="002657D1">
        <w:rPr>
          <w:rFonts w:ascii="Times New Roman" w:eastAsia="宋体" w:hAnsi="Times New Roman" w:cs="Times New Roman"/>
          <w:color w:val="000000" w:themeColor="text1"/>
          <w:sz w:val="24"/>
          <w:szCs w:val="24"/>
        </w:rPr>
        <w:t>Cl</w:t>
      </w:r>
      <w:r w:rsidRPr="002657D1">
        <w:rPr>
          <w:rFonts w:ascii="Times New Roman" w:eastAsia="宋体" w:hAnsi="Times New Roman" w:cs="Times New Roman"/>
          <w:color w:val="000000" w:themeColor="text1"/>
          <w:sz w:val="24"/>
          <w:szCs w:val="24"/>
          <w:vertAlign w:val="subscript"/>
        </w:rPr>
        <w:t>6</w:t>
      </w:r>
      <w:r w:rsidRPr="002657D1">
        <w:rPr>
          <w:rFonts w:ascii="Times New Roman" w:eastAsia="宋体" w:hAnsi="Times New Roman" w:cs="Times New Roman"/>
          <w:color w:val="000000" w:themeColor="text1"/>
          <w:sz w:val="24"/>
          <w:szCs w:val="24"/>
        </w:rPr>
        <w:t xml:space="preserve"> Halide Solid Electrolytes with High </w:t>
      </w:r>
      <w:r w:rsidRPr="002657D1">
        <w:rPr>
          <w:rFonts w:ascii="Times New Roman" w:eastAsia="宋体" w:hAnsi="Times New Roman" w:cs="Times New Roman"/>
          <w:color w:val="000000" w:themeColor="text1"/>
          <w:sz w:val="24"/>
          <w:szCs w:val="24"/>
        </w:rPr>
        <w:lastRenderedPageBreak/>
        <w:t xml:space="preserve">Humidity Tolerance. </w:t>
      </w:r>
      <w:r w:rsidRPr="002657D1">
        <w:rPr>
          <w:rFonts w:ascii="Times New Roman" w:eastAsia="宋体" w:hAnsi="Times New Roman" w:cs="Times New Roman"/>
          <w:i/>
          <w:iCs/>
          <w:color w:val="000000" w:themeColor="text1"/>
          <w:sz w:val="24"/>
          <w:szCs w:val="24"/>
        </w:rPr>
        <w:t>Nano Lett.</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20</w:t>
      </w:r>
      <w:r w:rsidRPr="002657D1">
        <w:rPr>
          <w:rFonts w:ascii="Times New Roman" w:eastAsia="宋体" w:hAnsi="Times New Roman" w:cs="Times New Roman"/>
          <w:color w:val="000000" w:themeColor="text1"/>
          <w:sz w:val="24"/>
          <w:szCs w:val="24"/>
        </w:rPr>
        <w:t>, 4384–4392 (2020).</w:t>
      </w:r>
    </w:p>
    <w:p w14:paraId="417F2352"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43.</w:t>
      </w:r>
      <w:r w:rsidRPr="002657D1">
        <w:rPr>
          <w:rFonts w:ascii="Times New Roman" w:eastAsia="宋体" w:hAnsi="Times New Roman" w:cs="Times New Roman"/>
          <w:color w:val="000000" w:themeColor="text1"/>
          <w:sz w:val="24"/>
          <w:szCs w:val="24"/>
        </w:rPr>
        <w:tab/>
        <w:t xml:space="preserve">Ye, Y.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High-Voltage Long-Cycling All-Solid-State Lithium Batteries with High-Valent-Element-Doped Halide Electrolytes. </w:t>
      </w:r>
      <w:r w:rsidRPr="002657D1">
        <w:rPr>
          <w:rFonts w:ascii="Times New Roman" w:eastAsia="宋体" w:hAnsi="Times New Roman" w:cs="Times New Roman"/>
          <w:i/>
          <w:iCs/>
          <w:color w:val="000000" w:themeColor="text1"/>
          <w:sz w:val="24"/>
          <w:szCs w:val="24"/>
        </w:rPr>
        <w:t>ACS Nano</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18</w:t>
      </w:r>
      <w:r w:rsidRPr="002657D1">
        <w:rPr>
          <w:rFonts w:ascii="Times New Roman" w:eastAsia="宋体" w:hAnsi="Times New Roman" w:cs="Times New Roman"/>
          <w:color w:val="000000" w:themeColor="text1"/>
          <w:sz w:val="24"/>
          <w:szCs w:val="24"/>
        </w:rPr>
        <w:t>, 18368–18378 (2024).</w:t>
      </w:r>
    </w:p>
    <w:p w14:paraId="457ACBB8"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44.</w:t>
      </w:r>
      <w:r w:rsidRPr="002657D1">
        <w:rPr>
          <w:rFonts w:ascii="Times New Roman" w:eastAsia="宋体" w:hAnsi="Times New Roman" w:cs="Times New Roman"/>
          <w:color w:val="000000" w:themeColor="text1"/>
          <w:sz w:val="24"/>
          <w:szCs w:val="24"/>
        </w:rPr>
        <w:tab/>
        <w:t xml:space="preserve">Song, Z.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Promoting high-voltage stability through local lattice distortion of halide solid electrolytes. </w:t>
      </w:r>
      <w:r w:rsidRPr="002657D1">
        <w:rPr>
          <w:rFonts w:ascii="Times New Roman" w:eastAsia="宋体" w:hAnsi="Times New Roman" w:cs="Times New Roman"/>
          <w:i/>
          <w:iCs/>
          <w:color w:val="000000" w:themeColor="text1"/>
          <w:sz w:val="24"/>
          <w:szCs w:val="24"/>
        </w:rPr>
        <w:t>Nat. Commun.</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15</w:t>
      </w:r>
      <w:r w:rsidRPr="002657D1">
        <w:rPr>
          <w:rFonts w:ascii="Times New Roman" w:eastAsia="宋体" w:hAnsi="Times New Roman" w:cs="Times New Roman"/>
          <w:color w:val="000000" w:themeColor="text1"/>
          <w:sz w:val="24"/>
          <w:szCs w:val="24"/>
        </w:rPr>
        <w:t>, 1481 (2024).</w:t>
      </w:r>
    </w:p>
    <w:p w14:paraId="12E61DE6"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45.</w:t>
      </w:r>
      <w:r w:rsidRPr="002657D1">
        <w:rPr>
          <w:rFonts w:ascii="Times New Roman" w:eastAsia="宋体" w:hAnsi="Times New Roman" w:cs="Times New Roman"/>
          <w:color w:val="000000" w:themeColor="text1"/>
          <w:sz w:val="24"/>
          <w:szCs w:val="24"/>
        </w:rPr>
        <w:tab/>
        <w:t xml:space="preserve">Wang, Q.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Designing lithium halide solid electrolytes. </w:t>
      </w:r>
      <w:r w:rsidRPr="002657D1">
        <w:rPr>
          <w:rFonts w:ascii="Times New Roman" w:eastAsia="宋体" w:hAnsi="Times New Roman" w:cs="Times New Roman"/>
          <w:i/>
          <w:iCs/>
          <w:color w:val="000000" w:themeColor="text1"/>
          <w:sz w:val="24"/>
          <w:szCs w:val="24"/>
        </w:rPr>
        <w:t>Nat. Commun.</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15</w:t>
      </w:r>
      <w:r w:rsidRPr="002657D1">
        <w:rPr>
          <w:rFonts w:ascii="Times New Roman" w:eastAsia="宋体" w:hAnsi="Times New Roman" w:cs="Times New Roman"/>
          <w:color w:val="000000" w:themeColor="text1"/>
          <w:sz w:val="24"/>
          <w:szCs w:val="24"/>
        </w:rPr>
        <w:t>, 1050 (2024).</w:t>
      </w:r>
    </w:p>
    <w:p w14:paraId="2115C20B"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46.</w:t>
      </w:r>
      <w:r w:rsidRPr="002657D1">
        <w:rPr>
          <w:rFonts w:ascii="Times New Roman" w:eastAsia="宋体" w:hAnsi="Times New Roman" w:cs="Times New Roman"/>
          <w:color w:val="000000" w:themeColor="text1"/>
          <w:sz w:val="24"/>
          <w:szCs w:val="24"/>
        </w:rPr>
        <w:tab/>
        <w:t xml:space="preserve">Ye, Y.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Advanced High-Entropy Halide Solid Electrolytes Enabling High-Voltage, Long-Cycling All-Solid-State Batteries. </w:t>
      </w:r>
      <w:r w:rsidRPr="002657D1">
        <w:rPr>
          <w:rFonts w:ascii="Times New Roman" w:eastAsia="宋体" w:hAnsi="Times New Roman" w:cs="Times New Roman"/>
          <w:i/>
          <w:iCs/>
          <w:color w:val="000000" w:themeColor="text1"/>
          <w:sz w:val="24"/>
          <w:szCs w:val="24"/>
        </w:rPr>
        <w:t>Nano Lett.</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25</w:t>
      </w:r>
      <w:r w:rsidRPr="002657D1">
        <w:rPr>
          <w:rFonts w:ascii="Times New Roman" w:eastAsia="宋体" w:hAnsi="Times New Roman" w:cs="Times New Roman"/>
          <w:color w:val="000000" w:themeColor="text1"/>
          <w:sz w:val="24"/>
          <w:szCs w:val="24"/>
        </w:rPr>
        <w:t>, 3747–3755 (2025).</w:t>
      </w:r>
    </w:p>
    <w:p w14:paraId="5AC1F065"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47.</w:t>
      </w:r>
      <w:r w:rsidRPr="002657D1">
        <w:rPr>
          <w:rFonts w:ascii="Times New Roman" w:eastAsia="宋体" w:hAnsi="Times New Roman" w:cs="Times New Roman"/>
          <w:color w:val="000000" w:themeColor="text1"/>
          <w:sz w:val="24"/>
          <w:szCs w:val="24"/>
        </w:rPr>
        <w:tab/>
        <w:t xml:space="preserve">Tong, Y.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w:t>
      </w:r>
      <w:bookmarkStart w:id="149" w:name="OLE_LINK123"/>
      <w:r w:rsidRPr="002657D1">
        <w:rPr>
          <w:rFonts w:ascii="Times New Roman" w:eastAsia="宋体" w:hAnsi="Times New Roman" w:cs="Times New Roman"/>
          <w:color w:val="000000" w:themeColor="text1"/>
          <w:sz w:val="24"/>
          <w:szCs w:val="24"/>
        </w:rPr>
        <w:t xml:space="preserve">Achieving an Ultrastable Halide‐Based All‐Solid‐State Lithium Battery via High‐Valent Doping‐Induced </w:t>
      </w:r>
      <w:r w:rsidRPr="002657D1">
        <w:rPr>
          <w:rFonts w:ascii="Times New Roman" w:eastAsia="宋体" w:hAnsi="Times New Roman" w:cs="Times New Roman"/>
          <w:i/>
          <w:iCs/>
          <w:color w:val="000000" w:themeColor="text1"/>
          <w:sz w:val="24"/>
          <w:szCs w:val="24"/>
        </w:rPr>
        <w:t>s‐p‐d</w:t>
      </w:r>
      <w:r w:rsidRPr="002657D1">
        <w:rPr>
          <w:rFonts w:ascii="Times New Roman" w:eastAsia="宋体" w:hAnsi="Times New Roman" w:cs="Times New Roman"/>
          <w:color w:val="000000" w:themeColor="text1"/>
          <w:sz w:val="24"/>
          <w:szCs w:val="24"/>
        </w:rPr>
        <w:t xml:space="preserve"> Hybridization.</w:t>
      </w:r>
      <w:bookmarkEnd w:id="149"/>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i/>
          <w:iCs/>
          <w:color w:val="000000" w:themeColor="text1"/>
          <w:sz w:val="24"/>
          <w:szCs w:val="24"/>
        </w:rPr>
        <w:t>Adv. Funct.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35</w:t>
      </w:r>
      <w:r w:rsidRPr="002657D1">
        <w:rPr>
          <w:rFonts w:ascii="Times New Roman" w:eastAsia="宋体" w:hAnsi="Times New Roman" w:cs="Times New Roman"/>
          <w:color w:val="000000" w:themeColor="text1"/>
          <w:sz w:val="24"/>
          <w:szCs w:val="24"/>
        </w:rPr>
        <w:t>, 2502201 (2025).</w:t>
      </w:r>
    </w:p>
    <w:p w14:paraId="5D3028B5"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48.</w:t>
      </w:r>
      <w:r w:rsidRPr="002657D1">
        <w:rPr>
          <w:rFonts w:ascii="Times New Roman" w:eastAsia="宋体" w:hAnsi="Times New Roman" w:cs="Times New Roman"/>
          <w:color w:val="000000" w:themeColor="text1"/>
          <w:sz w:val="24"/>
          <w:szCs w:val="24"/>
        </w:rPr>
        <w:tab/>
        <w:t xml:space="preserve">Zhou, L.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Li</w:t>
      </w:r>
      <w:r w:rsidRPr="002657D1">
        <w:rPr>
          <w:rFonts w:ascii="Times New Roman" w:eastAsia="宋体" w:hAnsi="Times New Roman" w:cs="Times New Roman"/>
          <w:color w:val="000000" w:themeColor="text1"/>
          <w:sz w:val="24"/>
          <w:szCs w:val="24"/>
          <w:vertAlign w:val="subscript"/>
        </w:rPr>
        <w:t xml:space="preserve">3– </w:t>
      </w:r>
      <w:r w:rsidRPr="002657D1">
        <w:rPr>
          <w:rFonts w:ascii="Times New Roman" w:eastAsia="宋体" w:hAnsi="Times New Roman" w:cs="Times New Roman"/>
          <w:i/>
          <w:iCs/>
          <w:color w:val="000000" w:themeColor="text1"/>
          <w:sz w:val="24"/>
          <w:szCs w:val="24"/>
          <w:vertAlign w:val="subscript"/>
        </w:rPr>
        <w:t>x</w:t>
      </w:r>
      <w:r w:rsidRPr="002657D1">
        <w:rPr>
          <w:rFonts w:ascii="Times New Roman" w:eastAsia="宋体" w:hAnsi="Times New Roman" w:cs="Times New Roman"/>
          <w:color w:val="000000" w:themeColor="text1"/>
          <w:sz w:val="24"/>
          <w:szCs w:val="24"/>
        </w:rPr>
        <w:t>Zr</w:t>
      </w:r>
      <w:r w:rsidRPr="002657D1">
        <w:rPr>
          <w:rFonts w:ascii="Times New Roman" w:eastAsia="宋体" w:hAnsi="Times New Roman" w:cs="Times New Roman"/>
          <w:i/>
          <w:iCs/>
          <w:color w:val="000000" w:themeColor="text1"/>
          <w:sz w:val="24"/>
          <w:szCs w:val="24"/>
          <w:vertAlign w:val="subscript"/>
        </w:rPr>
        <w:t>x</w:t>
      </w:r>
      <w:r w:rsidRPr="002657D1">
        <w:rPr>
          <w:rFonts w:ascii="Times New Roman" w:eastAsia="宋体" w:hAnsi="Times New Roman" w:cs="Times New Roman"/>
          <w:color w:val="000000" w:themeColor="text1"/>
          <w:sz w:val="24"/>
          <w:szCs w:val="24"/>
        </w:rPr>
        <w:t>(Ho/Lu)</w:t>
      </w:r>
      <w:r w:rsidRPr="002657D1">
        <w:rPr>
          <w:rFonts w:ascii="Times New Roman" w:eastAsia="宋体" w:hAnsi="Times New Roman" w:cs="Times New Roman"/>
          <w:color w:val="000000" w:themeColor="text1"/>
          <w:sz w:val="24"/>
          <w:szCs w:val="24"/>
          <w:vertAlign w:val="subscript"/>
        </w:rPr>
        <w:t>1–</w:t>
      </w:r>
      <w:r w:rsidRPr="002657D1">
        <w:rPr>
          <w:rFonts w:ascii="Times New Roman" w:eastAsia="宋体" w:hAnsi="Times New Roman" w:cs="Times New Roman"/>
          <w:i/>
          <w:iCs/>
          <w:color w:val="000000" w:themeColor="text1"/>
          <w:sz w:val="24"/>
          <w:szCs w:val="24"/>
          <w:vertAlign w:val="subscript"/>
        </w:rPr>
        <w:t>x</w:t>
      </w:r>
      <w:r w:rsidRPr="002657D1">
        <w:rPr>
          <w:rFonts w:ascii="Times New Roman" w:eastAsia="宋体" w:hAnsi="Times New Roman" w:cs="Times New Roman"/>
          <w:color w:val="000000" w:themeColor="text1"/>
          <w:sz w:val="24"/>
          <w:szCs w:val="24"/>
        </w:rPr>
        <w:t>Cl</w:t>
      </w:r>
      <w:r w:rsidRPr="002657D1">
        <w:rPr>
          <w:rFonts w:ascii="Times New Roman" w:eastAsia="宋体" w:hAnsi="Times New Roman" w:cs="Times New Roman"/>
          <w:color w:val="000000" w:themeColor="text1"/>
          <w:sz w:val="24"/>
          <w:szCs w:val="24"/>
          <w:vertAlign w:val="subscript"/>
        </w:rPr>
        <w:t>6</w:t>
      </w:r>
      <w:r w:rsidRPr="002657D1">
        <w:rPr>
          <w:rFonts w:ascii="Times New Roman" w:eastAsia="宋体" w:hAnsi="Times New Roman" w:cs="Times New Roman"/>
          <w:color w:val="000000" w:themeColor="text1"/>
          <w:sz w:val="24"/>
          <w:szCs w:val="24"/>
        </w:rPr>
        <w:t xml:space="preserve"> Solid Electrolytes Enable Ultrahigh-Loading Solid-State Batteries with a Prelithiated Si Anode. </w:t>
      </w:r>
      <w:r w:rsidRPr="002657D1">
        <w:rPr>
          <w:rFonts w:ascii="Times New Roman" w:eastAsia="宋体" w:hAnsi="Times New Roman" w:cs="Times New Roman"/>
          <w:i/>
          <w:iCs/>
          <w:color w:val="000000" w:themeColor="text1"/>
          <w:sz w:val="24"/>
          <w:szCs w:val="24"/>
        </w:rPr>
        <w:t>ACS Energy Lett.</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8</w:t>
      </w:r>
      <w:r w:rsidRPr="002657D1">
        <w:rPr>
          <w:rFonts w:ascii="Times New Roman" w:eastAsia="宋体" w:hAnsi="Times New Roman" w:cs="Times New Roman"/>
          <w:color w:val="000000" w:themeColor="text1"/>
          <w:sz w:val="24"/>
          <w:szCs w:val="24"/>
        </w:rPr>
        <w:t>, 3102–3111 (2023).</w:t>
      </w:r>
    </w:p>
    <w:p w14:paraId="1B9695AD"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49.</w:t>
      </w:r>
      <w:r w:rsidRPr="002657D1">
        <w:rPr>
          <w:rFonts w:ascii="Times New Roman" w:eastAsia="宋体" w:hAnsi="Times New Roman" w:cs="Times New Roman"/>
          <w:color w:val="000000" w:themeColor="text1"/>
          <w:sz w:val="24"/>
          <w:szCs w:val="24"/>
        </w:rPr>
        <w:tab/>
        <w:t xml:space="preserve">Hu, L.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Revealing the Pnma crystal structure and ion-transport mechanism of the Li</w:t>
      </w:r>
      <w:r w:rsidRPr="002657D1">
        <w:rPr>
          <w:rFonts w:ascii="Times New Roman" w:eastAsia="宋体" w:hAnsi="Times New Roman" w:cs="Times New Roman"/>
          <w:color w:val="000000" w:themeColor="text1"/>
          <w:sz w:val="24"/>
          <w:szCs w:val="24"/>
          <w:vertAlign w:val="subscript"/>
        </w:rPr>
        <w:t>3</w:t>
      </w:r>
      <w:r w:rsidRPr="002657D1">
        <w:rPr>
          <w:rFonts w:ascii="Times New Roman" w:eastAsia="宋体" w:hAnsi="Times New Roman" w:cs="Times New Roman"/>
          <w:color w:val="000000" w:themeColor="text1"/>
          <w:sz w:val="24"/>
          <w:szCs w:val="24"/>
        </w:rPr>
        <w:t>YCl</w:t>
      </w:r>
      <w:r w:rsidRPr="002657D1">
        <w:rPr>
          <w:rFonts w:ascii="Times New Roman" w:eastAsia="宋体" w:hAnsi="Times New Roman" w:cs="Times New Roman"/>
          <w:color w:val="000000" w:themeColor="text1"/>
          <w:sz w:val="24"/>
          <w:szCs w:val="24"/>
          <w:vertAlign w:val="subscript"/>
        </w:rPr>
        <w:t>6</w:t>
      </w:r>
      <w:r w:rsidRPr="002657D1">
        <w:rPr>
          <w:rFonts w:ascii="Times New Roman" w:eastAsia="宋体" w:hAnsi="Times New Roman" w:cs="Times New Roman"/>
          <w:color w:val="000000" w:themeColor="text1"/>
          <w:sz w:val="24"/>
          <w:szCs w:val="24"/>
        </w:rPr>
        <w:t xml:space="preserve"> solid electrolyte. </w:t>
      </w:r>
      <w:r w:rsidRPr="002657D1">
        <w:rPr>
          <w:rFonts w:ascii="Times New Roman" w:eastAsia="宋体" w:hAnsi="Times New Roman" w:cs="Times New Roman"/>
          <w:i/>
          <w:iCs/>
          <w:color w:val="000000" w:themeColor="text1"/>
          <w:sz w:val="24"/>
          <w:szCs w:val="24"/>
        </w:rPr>
        <w:t>Cell Rep. Phys. Sci.</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4</w:t>
      </w:r>
      <w:r w:rsidRPr="002657D1">
        <w:rPr>
          <w:rFonts w:ascii="Times New Roman" w:eastAsia="宋体" w:hAnsi="Times New Roman" w:cs="Times New Roman"/>
          <w:color w:val="000000" w:themeColor="text1"/>
          <w:sz w:val="24"/>
          <w:szCs w:val="24"/>
        </w:rPr>
        <w:t>, 101428 (2023).</w:t>
      </w:r>
    </w:p>
    <w:p w14:paraId="7AF8D33A"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50.</w:t>
      </w:r>
      <w:r w:rsidRPr="002657D1">
        <w:rPr>
          <w:rFonts w:ascii="Times New Roman" w:eastAsia="宋体" w:hAnsi="Times New Roman" w:cs="Times New Roman"/>
          <w:color w:val="000000" w:themeColor="text1"/>
          <w:sz w:val="24"/>
          <w:szCs w:val="24"/>
        </w:rPr>
        <w:tab/>
        <w:t xml:space="preserve">Park, J.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Heat treatment protocol for modulating ionic conductivity via structural evolution of Li</w:t>
      </w:r>
      <w:r w:rsidRPr="002657D1">
        <w:rPr>
          <w:rFonts w:ascii="Times New Roman" w:eastAsia="宋体" w:hAnsi="Times New Roman" w:cs="Times New Roman"/>
          <w:color w:val="000000" w:themeColor="text1"/>
          <w:sz w:val="24"/>
          <w:szCs w:val="24"/>
          <w:vertAlign w:val="subscript"/>
        </w:rPr>
        <w:t>3-x</w:t>
      </w:r>
      <w:r w:rsidRPr="002657D1">
        <w:rPr>
          <w:rFonts w:ascii="Times New Roman" w:eastAsia="宋体" w:hAnsi="Times New Roman" w:cs="Times New Roman"/>
          <w:color w:val="000000" w:themeColor="text1"/>
          <w:sz w:val="24"/>
          <w:szCs w:val="24"/>
        </w:rPr>
        <w:t>Yb</w:t>
      </w:r>
      <w:r w:rsidRPr="002657D1">
        <w:rPr>
          <w:rFonts w:ascii="Times New Roman" w:eastAsia="宋体" w:hAnsi="Times New Roman" w:cs="Times New Roman"/>
          <w:color w:val="000000" w:themeColor="text1"/>
          <w:sz w:val="24"/>
          <w:szCs w:val="24"/>
          <w:vertAlign w:val="subscript"/>
        </w:rPr>
        <w:t>1-x</w:t>
      </w:r>
      <w:r w:rsidRPr="002657D1">
        <w:rPr>
          <w:rFonts w:ascii="Times New Roman" w:eastAsia="宋体" w:hAnsi="Times New Roman" w:cs="Times New Roman"/>
          <w:color w:val="000000" w:themeColor="text1"/>
          <w:sz w:val="24"/>
          <w:szCs w:val="24"/>
        </w:rPr>
        <w:t>M</w:t>
      </w:r>
      <w:r w:rsidRPr="002657D1">
        <w:rPr>
          <w:rFonts w:ascii="Times New Roman" w:eastAsia="宋体" w:hAnsi="Times New Roman" w:cs="Times New Roman"/>
          <w:color w:val="000000" w:themeColor="text1"/>
          <w:sz w:val="24"/>
          <w:szCs w:val="24"/>
          <w:vertAlign w:val="subscript"/>
        </w:rPr>
        <w:t>x</w:t>
      </w:r>
      <w:r w:rsidRPr="002657D1">
        <w:rPr>
          <w:rFonts w:ascii="Times New Roman" w:eastAsia="宋体" w:hAnsi="Times New Roman" w:cs="Times New Roman"/>
          <w:color w:val="000000" w:themeColor="text1"/>
          <w:sz w:val="24"/>
          <w:szCs w:val="24"/>
        </w:rPr>
        <w:t>Cl</w:t>
      </w:r>
      <w:r w:rsidRPr="002657D1">
        <w:rPr>
          <w:rFonts w:ascii="Times New Roman" w:eastAsia="宋体" w:hAnsi="Times New Roman" w:cs="Times New Roman"/>
          <w:color w:val="000000" w:themeColor="text1"/>
          <w:sz w:val="24"/>
          <w:szCs w:val="24"/>
          <w:vertAlign w:val="subscript"/>
        </w:rPr>
        <w:t>6</w:t>
      </w:r>
      <w:r w:rsidRPr="002657D1">
        <w:rPr>
          <w:rFonts w:ascii="Times New Roman" w:eastAsia="宋体" w:hAnsi="Times New Roman" w:cs="Times New Roman"/>
          <w:color w:val="000000" w:themeColor="text1"/>
          <w:sz w:val="24"/>
          <w:szCs w:val="24"/>
        </w:rPr>
        <w:t xml:space="preserve"> (M = Hf</w:t>
      </w:r>
      <w:r w:rsidRPr="002657D1">
        <w:rPr>
          <w:rFonts w:ascii="Times New Roman" w:eastAsia="宋体" w:hAnsi="Times New Roman" w:cs="Times New Roman"/>
          <w:color w:val="000000" w:themeColor="text1"/>
          <w:sz w:val="24"/>
          <w:szCs w:val="24"/>
          <w:vertAlign w:val="superscript"/>
        </w:rPr>
        <w:t>4+</w:t>
      </w:r>
      <w:r w:rsidRPr="002657D1">
        <w:rPr>
          <w:rFonts w:ascii="Times New Roman" w:eastAsia="宋体" w:hAnsi="Times New Roman" w:cs="Times New Roman"/>
          <w:color w:val="000000" w:themeColor="text1"/>
          <w:sz w:val="24"/>
          <w:szCs w:val="24"/>
        </w:rPr>
        <w:t>, Zr</w:t>
      </w:r>
      <w:r w:rsidRPr="002657D1">
        <w:rPr>
          <w:rFonts w:ascii="Times New Roman" w:eastAsia="宋体" w:hAnsi="Times New Roman" w:cs="Times New Roman"/>
          <w:color w:val="000000" w:themeColor="text1"/>
          <w:sz w:val="24"/>
          <w:szCs w:val="24"/>
          <w:vertAlign w:val="superscript"/>
        </w:rPr>
        <w:t>4+</w:t>
      </w:r>
      <w:r w:rsidRPr="002657D1">
        <w:rPr>
          <w:rFonts w:ascii="Times New Roman" w:eastAsia="宋体" w:hAnsi="Times New Roman" w:cs="Times New Roman"/>
          <w:color w:val="000000" w:themeColor="text1"/>
          <w:sz w:val="24"/>
          <w:szCs w:val="24"/>
        </w:rPr>
        <w:t xml:space="preserve">) new halide superionic conductors for all-solid-state batteries. </w:t>
      </w:r>
      <w:r w:rsidRPr="002657D1">
        <w:rPr>
          <w:rFonts w:ascii="Times New Roman" w:eastAsia="宋体" w:hAnsi="Times New Roman" w:cs="Times New Roman"/>
          <w:i/>
          <w:iCs/>
          <w:color w:val="000000" w:themeColor="text1"/>
          <w:sz w:val="24"/>
          <w:szCs w:val="24"/>
        </w:rPr>
        <w:t>Chem. Eng. J.</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425</w:t>
      </w:r>
      <w:r w:rsidRPr="002657D1">
        <w:rPr>
          <w:rFonts w:ascii="Times New Roman" w:eastAsia="宋体" w:hAnsi="Times New Roman" w:cs="Times New Roman"/>
          <w:color w:val="000000" w:themeColor="text1"/>
          <w:sz w:val="24"/>
          <w:szCs w:val="24"/>
        </w:rPr>
        <w:t>, 130630 (2021).</w:t>
      </w:r>
    </w:p>
    <w:p w14:paraId="36CC5FEB"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51.</w:t>
      </w:r>
      <w:r w:rsidRPr="002657D1">
        <w:rPr>
          <w:rFonts w:ascii="Times New Roman" w:eastAsia="宋体" w:hAnsi="Times New Roman" w:cs="Times New Roman"/>
          <w:color w:val="000000" w:themeColor="text1"/>
          <w:sz w:val="24"/>
          <w:szCs w:val="24"/>
        </w:rPr>
        <w:tab/>
        <w:t xml:space="preserve">Xu, G.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Origin of high electrochemical stability of multi-metal chloride solid </w:t>
      </w:r>
      <w:r w:rsidRPr="002657D1">
        <w:rPr>
          <w:rFonts w:ascii="Times New Roman" w:eastAsia="宋体" w:hAnsi="Times New Roman" w:cs="Times New Roman"/>
          <w:color w:val="000000" w:themeColor="text1"/>
          <w:sz w:val="24"/>
          <w:szCs w:val="24"/>
        </w:rPr>
        <w:lastRenderedPageBreak/>
        <w:t xml:space="preserve">electrolytes for high energy all-solid-state lithium-ion batteries. </w:t>
      </w:r>
      <w:r w:rsidRPr="002657D1">
        <w:rPr>
          <w:rFonts w:ascii="Times New Roman" w:eastAsia="宋体" w:hAnsi="Times New Roman" w:cs="Times New Roman"/>
          <w:i/>
          <w:iCs/>
          <w:color w:val="000000" w:themeColor="text1"/>
          <w:sz w:val="24"/>
          <w:szCs w:val="24"/>
        </w:rPr>
        <w:t>Nano Energy</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92</w:t>
      </w:r>
      <w:r w:rsidRPr="002657D1">
        <w:rPr>
          <w:rFonts w:ascii="Times New Roman" w:eastAsia="宋体" w:hAnsi="Times New Roman" w:cs="Times New Roman"/>
          <w:color w:val="000000" w:themeColor="text1"/>
          <w:sz w:val="24"/>
          <w:szCs w:val="24"/>
        </w:rPr>
        <w:t>, 106674 (2022).</w:t>
      </w:r>
    </w:p>
    <w:p w14:paraId="598879FC"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52.</w:t>
      </w:r>
      <w:r w:rsidRPr="002657D1">
        <w:rPr>
          <w:rFonts w:ascii="Times New Roman" w:eastAsia="宋体" w:hAnsi="Times New Roman" w:cs="Times New Roman"/>
          <w:color w:val="000000" w:themeColor="text1"/>
          <w:sz w:val="24"/>
          <w:szCs w:val="24"/>
        </w:rPr>
        <w:tab/>
        <w:t xml:space="preserve">Park, K.-H.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High-Voltage Superionic Halide Solid Electrolytes for All-Solid-State Li-Ion Batteries. </w:t>
      </w:r>
      <w:r w:rsidRPr="002657D1">
        <w:rPr>
          <w:rFonts w:ascii="Times New Roman" w:eastAsia="宋体" w:hAnsi="Times New Roman" w:cs="Times New Roman"/>
          <w:i/>
          <w:iCs/>
          <w:color w:val="000000" w:themeColor="text1"/>
          <w:sz w:val="24"/>
          <w:szCs w:val="24"/>
        </w:rPr>
        <w:t>ACS Energy Lett.</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5</w:t>
      </w:r>
      <w:r w:rsidRPr="002657D1">
        <w:rPr>
          <w:rFonts w:ascii="Times New Roman" w:eastAsia="宋体" w:hAnsi="Times New Roman" w:cs="Times New Roman"/>
          <w:color w:val="000000" w:themeColor="text1"/>
          <w:sz w:val="24"/>
          <w:szCs w:val="24"/>
        </w:rPr>
        <w:t>, 533–539 (2020).</w:t>
      </w:r>
    </w:p>
    <w:p w14:paraId="63BC9A8D"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53.</w:t>
      </w:r>
      <w:r w:rsidRPr="002657D1">
        <w:rPr>
          <w:rFonts w:ascii="Times New Roman" w:eastAsia="宋体" w:hAnsi="Times New Roman" w:cs="Times New Roman"/>
          <w:color w:val="000000" w:themeColor="text1"/>
          <w:sz w:val="24"/>
          <w:szCs w:val="24"/>
        </w:rPr>
        <w:tab/>
        <w:t xml:space="preserve">Yin, Y.-C.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A LaCl</w:t>
      </w:r>
      <w:r w:rsidRPr="002657D1">
        <w:rPr>
          <w:rFonts w:ascii="Times New Roman" w:eastAsia="宋体" w:hAnsi="Times New Roman" w:cs="Times New Roman"/>
          <w:color w:val="000000" w:themeColor="text1"/>
          <w:sz w:val="24"/>
          <w:szCs w:val="24"/>
          <w:vertAlign w:val="subscript"/>
        </w:rPr>
        <w:t>3</w:t>
      </w:r>
      <w:r w:rsidRPr="002657D1">
        <w:rPr>
          <w:rFonts w:ascii="Times New Roman" w:eastAsia="宋体" w:hAnsi="Times New Roman" w:cs="Times New Roman"/>
          <w:color w:val="000000" w:themeColor="text1"/>
          <w:sz w:val="24"/>
          <w:szCs w:val="24"/>
        </w:rPr>
        <w:t xml:space="preserve">-based lithium superionic conductor compatible with lithium metal. </w:t>
      </w:r>
      <w:r w:rsidRPr="002657D1">
        <w:rPr>
          <w:rFonts w:ascii="Times New Roman" w:eastAsia="宋体" w:hAnsi="Times New Roman" w:cs="Times New Roman"/>
          <w:i/>
          <w:iCs/>
          <w:color w:val="000000" w:themeColor="text1"/>
          <w:sz w:val="24"/>
          <w:szCs w:val="24"/>
        </w:rPr>
        <w:t>Nature</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616</w:t>
      </w:r>
      <w:r w:rsidRPr="002657D1">
        <w:rPr>
          <w:rFonts w:ascii="Times New Roman" w:eastAsia="宋体" w:hAnsi="Times New Roman" w:cs="Times New Roman"/>
          <w:color w:val="000000" w:themeColor="text1"/>
          <w:sz w:val="24"/>
          <w:szCs w:val="24"/>
        </w:rPr>
        <w:t>, 77–83 (2023).</w:t>
      </w:r>
    </w:p>
    <w:p w14:paraId="5582038A"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54.</w:t>
      </w:r>
      <w:r w:rsidRPr="002657D1">
        <w:rPr>
          <w:rFonts w:ascii="Times New Roman" w:eastAsia="宋体" w:hAnsi="Times New Roman" w:cs="Times New Roman"/>
          <w:color w:val="000000" w:themeColor="text1"/>
          <w:sz w:val="24"/>
          <w:szCs w:val="24"/>
        </w:rPr>
        <w:tab/>
        <w:t xml:space="preserve">Zhang, S.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Cubic Iodide Li</w:t>
      </w:r>
      <w:r w:rsidRPr="002657D1">
        <w:rPr>
          <w:rFonts w:ascii="Times New Roman" w:eastAsia="宋体" w:hAnsi="Times New Roman" w:cs="Times New Roman"/>
          <w:color w:val="000000" w:themeColor="text1"/>
          <w:sz w:val="24"/>
          <w:szCs w:val="24"/>
          <w:vertAlign w:val="subscript"/>
        </w:rPr>
        <w:t>x</w:t>
      </w:r>
      <w:r w:rsidRPr="002657D1">
        <w:rPr>
          <w:rFonts w:ascii="Times New Roman" w:eastAsia="宋体" w:hAnsi="Times New Roman" w:cs="Times New Roman"/>
          <w:color w:val="000000" w:themeColor="text1"/>
          <w:sz w:val="24"/>
          <w:szCs w:val="24"/>
        </w:rPr>
        <w:t>YI</w:t>
      </w:r>
      <w:r w:rsidRPr="002657D1">
        <w:rPr>
          <w:rFonts w:ascii="Times New Roman" w:eastAsia="宋体" w:hAnsi="Times New Roman" w:cs="Times New Roman"/>
          <w:color w:val="000000" w:themeColor="text1"/>
          <w:sz w:val="24"/>
          <w:szCs w:val="24"/>
          <w:vertAlign w:val="subscript"/>
        </w:rPr>
        <w:t>3+x</w:t>
      </w:r>
      <w:r w:rsidRPr="002657D1">
        <w:rPr>
          <w:rFonts w:ascii="Times New Roman" w:eastAsia="宋体" w:hAnsi="Times New Roman" w:cs="Times New Roman"/>
          <w:color w:val="000000" w:themeColor="text1"/>
          <w:sz w:val="24"/>
          <w:szCs w:val="24"/>
        </w:rPr>
        <w:t xml:space="preserve"> Superionic Conductors through Defect Manipulation for All‐Solid‐State Li Batteries. </w:t>
      </w:r>
      <w:r w:rsidRPr="002657D1">
        <w:rPr>
          <w:rFonts w:ascii="Times New Roman" w:eastAsia="宋体" w:hAnsi="Times New Roman" w:cs="Times New Roman"/>
          <w:i/>
          <w:iCs/>
          <w:color w:val="000000" w:themeColor="text1"/>
          <w:sz w:val="24"/>
          <w:szCs w:val="24"/>
        </w:rPr>
        <w:t>Angew. Chem. Int. Ed.</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136</w:t>
      </w:r>
      <w:r w:rsidRPr="002657D1">
        <w:rPr>
          <w:rFonts w:ascii="Times New Roman" w:eastAsia="宋体" w:hAnsi="Times New Roman" w:cs="Times New Roman"/>
          <w:color w:val="000000" w:themeColor="text1"/>
          <w:sz w:val="24"/>
          <w:szCs w:val="24"/>
        </w:rPr>
        <w:t>, e202316360 (2024).</w:t>
      </w:r>
    </w:p>
    <w:p w14:paraId="77CEA9AF"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55.</w:t>
      </w:r>
      <w:r w:rsidRPr="002657D1">
        <w:rPr>
          <w:rFonts w:ascii="Times New Roman" w:eastAsia="宋体" w:hAnsi="Times New Roman" w:cs="Times New Roman"/>
          <w:color w:val="000000" w:themeColor="text1"/>
          <w:sz w:val="24"/>
          <w:szCs w:val="24"/>
        </w:rPr>
        <w:tab/>
        <w:t xml:space="preserve">Tanibata, N.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Metastable Chloride Solid Electrolyte with High Formability for Rechargeable All-Solid-State Lithium Metal Batteries. </w:t>
      </w:r>
      <w:r w:rsidRPr="002657D1">
        <w:rPr>
          <w:rFonts w:ascii="Times New Roman" w:eastAsia="宋体" w:hAnsi="Times New Roman" w:cs="Times New Roman"/>
          <w:i/>
          <w:iCs/>
          <w:color w:val="000000" w:themeColor="text1"/>
          <w:sz w:val="24"/>
          <w:szCs w:val="24"/>
        </w:rPr>
        <w:t>ACS Materials Lett.</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2</w:t>
      </w:r>
      <w:r w:rsidRPr="002657D1">
        <w:rPr>
          <w:rFonts w:ascii="Times New Roman" w:eastAsia="宋体" w:hAnsi="Times New Roman" w:cs="Times New Roman"/>
          <w:color w:val="000000" w:themeColor="text1"/>
          <w:sz w:val="24"/>
          <w:szCs w:val="24"/>
        </w:rPr>
        <w:t>, 880–886 (2020).</w:t>
      </w:r>
    </w:p>
    <w:p w14:paraId="4E5095A2"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56.</w:t>
      </w:r>
      <w:r w:rsidRPr="002657D1">
        <w:rPr>
          <w:rFonts w:ascii="Times New Roman" w:eastAsia="宋体" w:hAnsi="Times New Roman" w:cs="Times New Roman"/>
          <w:color w:val="000000" w:themeColor="text1"/>
          <w:sz w:val="24"/>
          <w:szCs w:val="24"/>
        </w:rPr>
        <w:tab/>
        <w:t>Li, B., Xian, L., Peng, J. &amp; Kong, L.-B. Improving the Stability of Li</w:t>
      </w:r>
      <w:r w:rsidRPr="002657D1">
        <w:rPr>
          <w:rFonts w:ascii="Times New Roman" w:eastAsia="宋体" w:hAnsi="Times New Roman" w:cs="Times New Roman"/>
          <w:color w:val="000000" w:themeColor="text1"/>
          <w:sz w:val="24"/>
          <w:szCs w:val="24"/>
          <w:vertAlign w:val="subscript"/>
        </w:rPr>
        <w:t>3</w:t>
      </w:r>
      <w:r w:rsidRPr="002657D1">
        <w:rPr>
          <w:rFonts w:ascii="Times New Roman" w:eastAsia="宋体" w:hAnsi="Times New Roman" w:cs="Times New Roman"/>
          <w:color w:val="000000" w:themeColor="text1"/>
          <w:sz w:val="24"/>
          <w:szCs w:val="24"/>
        </w:rPr>
        <w:t>HoBr</w:t>
      </w:r>
      <w:r w:rsidRPr="002657D1">
        <w:rPr>
          <w:rFonts w:ascii="Times New Roman" w:eastAsia="宋体" w:hAnsi="Times New Roman" w:cs="Times New Roman"/>
          <w:color w:val="000000" w:themeColor="text1"/>
          <w:sz w:val="24"/>
          <w:szCs w:val="24"/>
          <w:vertAlign w:val="subscript"/>
        </w:rPr>
        <w:t>6</w:t>
      </w:r>
      <w:r w:rsidRPr="002657D1">
        <w:rPr>
          <w:rFonts w:ascii="Times New Roman" w:eastAsia="宋体" w:hAnsi="Times New Roman" w:cs="Times New Roman"/>
          <w:color w:val="000000" w:themeColor="text1"/>
          <w:sz w:val="24"/>
          <w:szCs w:val="24"/>
        </w:rPr>
        <w:t xml:space="preserve"> on Metallic Lithium by Using a Double-Halogen Strategy. </w:t>
      </w:r>
      <w:r w:rsidRPr="002657D1">
        <w:rPr>
          <w:rFonts w:ascii="Times New Roman" w:eastAsia="宋体" w:hAnsi="Times New Roman" w:cs="Times New Roman"/>
          <w:i/>
          <w:iCs/>
          <w:color w:val="000000" w:themeColor="text1"/>
          <w:sz w:val="24"/>
          <w:szCs w:val="24"/>
        </w:rPr>
        <w:t>ACS Appl. Energy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7</w:t>
      </w:r>
      <w:r w:rsidRPr="002657D1">
        <w:rPr>
          <w:rFonts w:ascii="Times New Roman" w:eastAsia="宋体" w:hAnsi="Times New Roman" w:cs="Times New Roman"/>
          <w:color w:val="000000" w:themeColor="text1"/>
          <w:sz w:val="24"/>
          <w:szCs w:val="24"/>
        </w:rPr>
        <w:t>, 3550–3557 (2024).</w:t>
      </w:r>
    </w:p>
    <w:p w14:paraId="048959D2"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57.</w:t>
      </w:r>
      <w:r w:rsidRPr="002657D1">
        <w:rPr>
          <w:rFonts w:ascii="Times New Roman" w:eastAsia="宋体" w:hAnsi="Times New Roman" w:cs="Times New Roman"/>
          <w:color w:val="000000" w:themeColor="text1"/>
          <w:sz w:val="24"/>
          <w:szCs w:val="24"/>
        </w:rPr>
        <w:tab/>
        <w:t xml:space="preserve">Luo, X.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Effective regulation towards electrochemical stability of superionic solid electrolyte via facile dual-halogen strategy. </w:t>
      </w:r>
      <w:r w:rsidRPr="002657D1">
        <w:rPr>
          <w:rFonts w:ascii="Times New Roman" w:eastAsia="宋体" w:hAnsi="Times New Roman" w:cs="Times New Roman"/>
          <w:i/>
          <w:iCs/>
          <w:color w:val="000000" w:themeColor="text1"/>
          <w:sz w:val="24"/>
          <w:szCs w:val="24"/>
        </w:rPr>
        <w:t>Chem. Eng. J.</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465</w:t>
      </w:r>
      <w:r w:rsidRPr="002657D1">
        <w:rPr>
          <w:rFonts w:ascii="Times New Roman" w:eastAsia="宋体" w:hAnsi="Times New Roman" w:cs="Times New Roman"/>
          <w:color w:val="000000" w:themeColor="text1"/>
          <w:sz w:val="24"/>
          <w:szCs w:val="24"/>
        </w:rPr>
        <w:t>, 143036 (2023).</w:t>
      </w:r>
    </w:p>
    <w:p w14:paraId="24478B55"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58.</w:t>
      </w:r>
      <w:r w:rsidRPr="002657D1">
        <w:rPr>
          <w:rFonts w:ascii="Times New Roman" w:eastAsia="宋体" w:hAnsi="Times New Roman" w:cs="Times New Roman"/>
          <w:color w:val="000000" w:themeColor="text1"/>
          <w:sz w:val="24"/>
          <w:szCs w:val="24"/>
        </w:rPr>
        <w:tab/>
        <w:t>Hu, J., Lei, M., Zhu, C., Zhang, B. &amp; Li, C.</w:t>
      </w:r>
      <w:bookmarkStart w:id="150" w:name="OLE_LINK125"/>
      <w:r w:rsidRPr="002657D1">
        <w:rPr>
          <w:rFonts w:ascii="Times New Roman" w:eastAsia="宋体" w:hAnsi="Times New Roman" w:cs="Times New Roman"/>
          <w:color w:val="000000" w:themeColor="text1"/>
          <w:sz w:val="24"/>
          <w:szCs w:val="24"/>
        </w:rPr>
        <w:t xml:space="preserve"> Highly Conductive Doped Fluoride Solid Electrolytes with Solidified Ionic Liquid to Enable Reversible FeF</w:t>
      </w:r>
      <w:r w:rsidRPr="002657D1">
        <w:rPr>
          <w:rFonts w:ascii="Times New Roman" w:eastAsia="宋体" w:hAnsi="Times New Roman" w:cs="Times New Roman"/>
          <w:color w:val="000000" w:themeColor="text1"/>
          <w:sz w:val="24"/>
          <w:szCs w:val="24"/>
          <w:vertAlign w:val="subscript"/>
        </w:rPr>
        <w:t>3</w:t>
      </w:r>
      <w:r w:rsidRPr="002657D1">
        <w:rPr>
          <w:rFonts w:ascii="Times New Roman" w:eastAsia="宋体" w:hAnsi="Times New Roman" w:cs="Times New Roman"/>
          <w:color w:val="000000" w:themeColor="text1"/>
          <w:sz w:val="24"/>
          <w:szCs w:val="24"/>
        </w:rPr>
        <w:t xml:space="preserve"> Conversion Solid State Batteries.</w:t>
      </w:r>
      <w:bookmarkEnd w:id="150"/>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i/>
          <w:iCs/>
          <w:color w:val="000000" w:themeColor="text1"/>
          <w:sz w:val="24"/>
          <w:szCs w:val="24"/>
        </w:rPr>
        <w:t>Adv. Funct.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34</w:t>
      </w:r>
      <w:r w:rsidRPr="002657D1">
        <w:rPr>
          <w:rFonts w:ascii="Times New Roman" w:eastAsia="宋体" w:hAnsi="Times New Roman" w:cs="Times New Roman"/>
          <w:color w:val="000000" w:themeColor="text1"/>
          <w:sz w:val="24"/>
          <w:szCs w:val="24"/>
        </w:rPr>
        <w:t>, 2314044 (2024).</w:t>
      </w:r>
    </w:p>
    <w:p w14:paraId="67B8FEA3"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59.</w:t>
      </w:r>
      <w:r w:rsidRPr="002657D1">
        <w:rPr>
          <w:rFonts w:ascii="Times New Roman" w:eastAsia="宋体" w:hAnsi="Times New Roman" w:cs="Times New Roman"/>
          <w:color w:val="000000" w:themeColor="text1"/>
          <w:sz w:val="24"/>
          <w:szCs w:val="24"/>
        </w:rPr>
        <w:tab/>
        <w:t xml:space="preserve">Ma, B.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Stable Oxyhalide‐Nitride Fast Ionic Conductors for All‐Solid‐State </w:t>
      </w:r>
      <w:r w:rsidRPr="002657D1">
        <w:rPr>
          <w:rFonts w:ascii="Times New Roman" w:eastAsia="宋体" w:hAnsi="Times New Roman" w:cs="Times New Roman"/>
          <w:color w:val="000000" w:themeColor="text1"/>
          <w:sz w:val="24"/>
          <w:szCs w:val="24"/>
        </w:rPr>
        <w:lastRenderedPageBreak/>
        <w:t xml:space="preserve">Li Metal Batteries. </w:t>
      </w:r>
      <w:r w:rsidRPr="002657D1">
        <w:rPr>
          <w:rFonts w:ascii="Times New Roman" w:eastAsia="宋体" w:hAnsi="Times New Roman" w:cs="Times New Roman"/>
          <w:i/>
          <w:iCs/>
          <w:color w:val="000000" w:themeColor="text1"/>
          <w:sz w:val="24"/>
          <w:szCs w:val="24"/>
        </w:rPr>
        <w:t>Adv.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36</w:t>
      </w:r>
      <w:r w:rsidRPr="002657D1">
        <w:rPr>
          <w:rFonts w:ascii="Times New Roman" w:eastAsia="宋体" w:hAnsi="Times New Roman" w:cs="Times New Roman"/>
          <w:color w:val="000000" w:themeColor="text1"/>
          <w:sz w:val="24"/>
          <w:szCs w:val="24"/>
        </w:rPr>
        <w:t>, 2402324 (2024).</w:t>
      </w:r>
    </w:p>
    <w:p w14:paraId="3F0DAD59"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60.</w:t>
      </w:r>
      <w:r w:rsidRPr="002657D1">
        <w:rPr>
          <w:rFonts w:ascii="Times New Roman" w:eastAsia="宋体" w:hAnsi="Times New Roman" w:cs="Times New Roman"/>
          <w:color w:val="000000" w:themeColor="text1"/>
          <w:sz w:val="24"/>
          <w:szCs w:val="24"/>
        </w:rPr>
        <w:tab/>
        <w:t>Ji, W., Zheng, D., Zhang, X., Ding, T. &amp; Qu, D. A kinetically stable anode interface for Li</w:t>
      </w:r>
      <w:r w:rsidRPr="002657D1">
        <w:rPr>
          <w:rFonts w:ascii="Times New Roman" w:eastAsia="宋体" w:hAnsi="Times New Roman" w:cs="Times New Roman"/>
          <w:color w:val="000000" w:themeColor="text1"/>
          <w:sz w:val="24"/>
          <w:szCs w:val="24"/>
          <w:vertAlign w:val="subscript"/>
        </w:rPr>
        <w:t>3</w:t>
      </w:r>
      <w:r w:rsidRPr="002657D1">
        <w:rPr>
          <w:rFonts w:ascii="Times New Roman" w:eastAsia="宋体" w:hAnsi="Times New Roman" w:cs="Times New Roman"/>
          <w:color w:val="000000" w:themeColor="text1"/>
          <w:sz w:val="24"/>
          <w:szCs w:val="24"/>
        </w:rPr>
        <w:t>YCl</w:t>
      </w:r>
      <w:r w:rsidRPr="002657D1">
        <w:rPr>
          <w:rFonts w:ascii="Times New Roman" w:eastAsia="宋体" w:hAnsi="Times New Roman" w:cs="Times New Roman"/>
          <w:color w:val="000000" w:themeColor="text1"/>
          <w:sz w:val="24"/>
          <w:szCs w:val="24"/>
          <w:vertAlign w:val="subscript"/>
        </w:rPr>
        <w:t>6</w:t>
      </w:r>
      <w:r w:rsidRPr="002657D1">
        <w:rPr>
          <w:rFonts w:ascii="Times New Roman" w:eastAsia="宋体" w:hAnsi="Times New Roman" w:cs="Times New Roman"/>
          <w:color w:val="000000" w:themeColor="text1"/>
          <w:sz w:val="24"/>
          <w:szCs w:val="24"/>
        </w:rPr>
        <w:t xml:space="preserve"> -based all-solid-state lithium batteries. </w:t>
      </w:r>
      <w:r w:rsidRPr="002657D1">
        <w:rPr>
          <w:rFonts w:ascii="Times New Roman" w:eastAsia="宋体" w:hAnsi="Times New Roman" w:cs="Times New Roman"/>
          <w:i/>
          <w:iCs/>
          <w:color w:val="000000" w:themeColor="text1"/>
          <w:sz w:val="24"/>
          <w:szCs w:val="24"/>
        </w:rPr>
        <w:t>J. Mater. Chem. A</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9</w:t>
      </w:r>
      <w:r w:rsidRPr="002657D1">
        <w:rPr>
          <w:rFonts w:ascii="Times New Roman" w:eastAsia="宋体" w:hAnsi="Times New Roman" w:cs="Times New Roman"/>
          <w:color w:val="000000" w:themeColor="text1"/>
          <w:sz w:val="24"/>
          <w:szCs w:val="24"/>
        </w:rPr>
        <w:t>, 15012–15018 (2021).</w:t>
      </w:r>
    </w:p>
    <w:p w14:paraId="0AC00C06"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61.</w:t>
      </w:r>
      <w:r w:rsidRPr="002657D1">
        <w:rPr>
          <w:rFonts w:ascii="Times New Roman" w:eastAsia="宋体" w:hAnsi="Times New Roman" w:cs="Times New Roman"/>
          <w:color w:val="000000" w:themeColor="text1"/>
          <w:sz w:val="24"/>
          <w:szCs w:val="24"/>
        </w:rPr>
        <w:tab/>
        <w:t xml:space="preserve">Luo, J.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Rapidly In Situ Cross-Linked Poly(butylene oxide) Electrolyte Interface Enabling Halide-Based All-Solid-State Lithium Metal Batteries. </w:t>
      </w:r>
      <w:r w:rsidRPr="002657D1">
        <w:rPr>
          <w:rFonts w:ascii="Times New Roman" w:eastAsia="宋体" w:hAnsi="Times New Roman" w:cs="Times New Roman"/>
          <w:i/>
          <w:iCs/>
          <w:color w:val="000000" w:themeColor="text1"/>
          <w:sz w:val="24"/>
          <w:szCs w:val="24"/>
        </w:rPr>
        <w:t>ACS Energy Lett.</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8</w:t>
      </w:r>
      <w:r w:rsidRPr="002657D1">
        <w:rPr>
          <w:rFonts w:ascii="Times New Roman" w:eastAsia="宋体" w:hAnsi="Times New Roman" w:cs="Times New Roman"/>
          <w:color w:val="000000" w:themeColor="text1"/>
          <w:sz w:val="24"/>
          <w:szCs w:val="24"/>
        </w:rPr>
        <w:t>, 3676–3684 (2023).</w:t>
      </w:r>
    </w:p>
    <w:p w14:paraId="0499E9BF"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62.</w:t>
      </w:r>
      <w:r w:rsidRPr="002657D1">
        <w:rPr>
          <w:rFonts w:ascii="Times New Roman" w:eastAsia="宋体" w:hAnsi="Times New Roman" w:cs="Times New Roman"/>
          <w:color w:val="000000" w:themeColor="text1"/>
          <w:sz w:val="24"/>
          <w:szCs w:val="24"/>
        </w:rPr>
        <w:tab/>
        <w:t xml:space="preserve">Zhang, Y. &amp; Sun, C. Composite Lithium Protective Layer Formed In Situ for Stable Lithium Metal Batteries. </w:t>
      </w:r>
      <w:r w:rsidRPr="002657D1">
        <w:rPr>
          <w:rFonts w:ascii="Times New Roman" w:eastAsia="宋体" w:hAnsi="Times New Roman" w:cs="Times New Roman"/>
          <w:i/>
          <w:iCs/>
          <w:color w:val="000000" w:themeColor="text1"/>
          <w:sz w:val="24"/>
          <w:szCs w:val="24"/>
        </w:rPr>
        <w:t>ACS Appl. Mater. Interfaces</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13</w:t>
      </w:r>
      <w:r w:rsidRPr="002657D1">
        <w:rPr>
          <w:rFonts w:ascii="Times New Roman" w:eastAsia="宋体" w:hAnsi="Times New Roman" w:cs="Times New Roman"/>
          <w:color w:val="000000" w:themeColor="text1"/>
          <w:sz w:val="24"/>
          <w:szCs w:val="24"/>
        </w:rPr>
        <w:t>, 12099–12105 (2021).</w:t>
      </w:r>
    </w:p>
    <w:p w14:paraId="1FA8F445"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63.</w:t>
      </w:r>
      <w:r w:rsidRPr="002657D1">
        <w:rPr>
          <w:rFonts w:ascii="Times New Roman" w:eastAsia="宋体" w:hAnsi="Times New Roman" w:cs="Times New Roman"/>
          <w:color w:val="000000" w:themeColor="text1"/>
          <w:sz w:val="24"/>
          <w:szCs w:val="24"/>
        </w:rPr>
        <w:tab/>
        <w:t xml:space="preserve">Xu, X.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Stabilizing the Halide Solid Electrolyte to Lithium by a β-Li</w:t>
      </w:r>
      <w:r w:rsidRPr="002657D1">
        <w:rPr>
          <w:rFonts w:ascii="Times New Roman" w:eastAsia="宋体" w:hAnsi="Times New Roman" w:cs="Times New Roman"/>
          <w:color w:val="000000" w:themeColor="text1"/>
          <w:sz w:val="24"/>
          <w:szCs w:val="24"/>
          <w:vertAlign w:val="subscript"/>
        </w:rPr>
        <w:t>3</w:t>
      </w:r>
      <w:r w:rsidRPr="002657D1">
        <w:rPr>
          <w:rFonts w:ascii="Times New Roman" w:eastAsia="宋体" w:hAnsi="Times New Roman" w:cs="Times New Roman"/>
          <w:color w:val="000000" w:themeColor="text1"/>
          <w:sz w:val="24"/>
          <w:szCs w:val="24"/>
        </w:rPr>
        <w:t xml:space="preserve">N Interfacial Layer. </w:t>
      </w:r>
      <w:r w:rsidRPr="002657D1">
        <w:rPr>
          <w:rFonts w:ascii="Times New Roman" w:eastAsia="宋体" w:hAnsi="Times New Roman" w:cs="Times New Roman"/>
          <w:i/>
          <w:iCs/>
          <w:color w:val="000000" w:themeColor="text1"/>
          <w:sz w:val="24"/>
          <w:szCs w:val="24"/>
        </w:rPr>
        <w:t>ACS Appl. Mater. Interfaces</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14</w:t>
      </w:r>
      <w:r w:rsidRPr="002657D1">
        <w:rPr>
          <w:rFonts w:ascii="Times New Roman" w:eastAsia="宋体" w:hAnsi="Times New Roman" w:cs="Times New Roman"/>
          <w:color w:val="000000" w:themeColor="text1"/>
          <w:sz w:val="24"/>
          <w:szCs w:val="24"/>
        </w:rPr>
        <w:t>, 39951–39958 (2022).</w:t>
      </w:r>
    </w:p>
    <w:p w14:paraId="2FAFB12A"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64.</w:t>
      </w:r>
      <w:r w:rsidRPr="002657D1">
        <w:rPr>
          <w:rFonts w:ascii="Times New Roman" w:eastAsia="宋体" w:hAnsi="Times New Roman" w:cs="Times New Roman"/>
          <w:color w:val="000000" w:themeColor="text1"/>
          <w:sz w:val="24"/>
          <w:szCs w:val="24"/>
        </w:rPr>
        <w:tab/>
        <w:t xml:space="preserve">Zheng, X.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Li</w:t>
      </w:r>
      <w:r w:rsidRPr="002657D1">
        <w:rPr>
          <w:rFonts w:ascii="Times New Roman" w:eastAsia="宋体" w:hAnsi="Times New Roman" w:cs="Times New Roman"/>
          <w:color w:val="000000" w:themeColor="text1"/>
          <w:sz w:val="24"/>
          <w:szCs w:val="24"/>
          <w:vertAlign w:val="subscript"/>
        </w:rPr>
        <w:t>3</w:t>
      </w:r>
      <w:r w:rsidRPr="002657D1">
        <w:rPr>
          <w:rFonts w:ascii="Times New Roman" w:eastAsia="宋体" w:hAnsi="Times New Roman" w:cs="Times New Roman"/>
          <w:color w:val="000000" w:themeColor="text1"/>
          <w:sz w:val="24"/>
          <w:szCs w:val="24"/>
        </w:rPr>
        <w:t>InCl</w:t>
      </w:r>
      <w:r w:rsidRPr="002657D1">
        <w:rPr>
          <w:rFonts w:ascii="Times New Roman" w:eastAsia="宋体" w:hAnsi="Times New Roman" w:cs="Times New Roman"/>
          <w:color w:val="000000" w:themeColor="text1"/>
          <w:sz w:val="24"/>
          <w:szCs w:val="24"/>
          <w:vertAlign w:val="subscript"/>
        </w:rPr>
        <w:t>6</w:t>
      </w:r>
      <w:r w:rsidRPr="002657D1">
        <w:rPr>
          <w:rFonts w:ascii="Times New Roman" w:eastAsia="宋体" w:hAnsi="Times New Roman" w:cs="Times New Roman"/>
          <w:color w:val="000000" w:themeColor="text1"/>
          <w:sz w:val="24"/>
          <w:szCs w:val="24"/>
        </w:rPr>
        <w:t>-coated LiCoO</w:t>
      </w:r>
      <w:r w:rsidRPr="002657D1">
        <w:rPr>
          <w:rFonts w:ascii="Times New Roman" w:eastAsia="宋体" w:hAnsi="Times New Roman" w:cs="Times New Roman"/>
          <w:color w:val="000000" w:themeColor="text1"/>
          <w:sz w:val="24"/>
          <w:szCs w:val="24"/>
          <w:vertAlign w:val="subscript"/>
        </w:rPr>
        <w:t>2</w:t>
      </w:r>
      <w:r w:rsidRPr="002657D1">
        <w:rPr>
          <w:rFonts w:ascii="Times New Roman" w:eastAsia="宋体" w:hAnsi="Times New Roman" w:cs="Times New Roman"/>
          <w:color w:val="000000" w:themeColor="text1"/>
          <w:sz w:val="24"/>
          <w:szCs w:val="24"/>
        </w:rPr>
        <w:t xml:space="preserve"> for high-performance all solid-state batteries. </w:t>
      </w:r>
      <w:r w:rsidRPr="002657D1">
        <w:rPr>
          <w:rFonts w:ascii="Times New Roman" w:eastAsia="宋体" w:hAnsi="Times New Roman" w:cs="Times New Roman"/>
          <w:i/>
          <w:iCs/>
          <w:color w:val="000000" w:themeColor="text1"/>
          <w:sz w:val="24"/>
          <w:szCs w:val="24"/>
        </w:rPr>
        <w:t>Appl. Phys. Lett.</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121</w:t>
      </w:r>
      <w:r w:rsidRPr="002657D1">
        <w:rPr>
          <w:rFonts w:ascii="Times New Roman" w:eastAsia="宋体" w:hAnsi="Times New Roman" w:cs="Times New Roman"/>
          <w:color w:val="000000" w:themeColor="text1"/>
          <w:sz w:val="24"/>
          <w:szCs w:val="24"/>
        </w:rPr>
        <w:t>, 033902 (2022).</w:t>
      </w:r>
    </w:p>
    <w:p w14:paraId="022C77A5"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65.</w:t>
      </w:r>
      <w:r w:rsidRPr="002657D1">
        <w:rPr>
          <w:rFonts w:ascii="Times New Roman" w:eastAsia="宋体" w:hAnsi="Times New Roman" w:cs="Times New Roman"/>
          <w:color w:val="000000" w:themeColor="text1"/>
          <w:sz w:val="24"/>
          <w:szCs w:val="24"/>
        </w:rPr>
        <w:tab/>
        <w:t xml:space="preserve">Xu, S.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Performance Enhancement of the Li</w:t>
      </w:r>
      <w:r w:rsidRPr="002657D1">
        <w:rPr>
          <w:rFonts w:ascii="Times New Roman" w:eastAsia="宋体" w:hAnsi="Times New Roman" w:cs="Times New Roman"/>
          <w:color w:val="000000" w:themeColor="text1"/>
          <w:sz w:val="24"/>
          <w:szCs w:val="24"/>
          <w:vertAlign w:val="subscript"/>
        </w:rPr>
        <w:t>6</w:t>
      </w:r>
      <w:r w:rsidRPr="002657D1">
        <w:rPr>
          <w:rFonts w:ascii="Times New Roman" w:eastAsia="宋体" w:hAnsi="Times New Roman" w:cs="Times New Roman"/>
          <w:color w:val="000000" w:themeColor="text1"/>
          <w:sz w:val="24"/>
          <w:szCs w:val="24"/>
        </w:rPr>
        <w:t>PS</w:t>
      </w:r>
      <w:r w:rsidRPr="002657D1">
        <w:rPr>
          <w:rFonts w:ascii="Times New Roman" w:eastAsia="宋体" w:hAnsi="Times New Roman" w:cs="Times New Roman"/>
          <w:color w:val="000000" w:themeColor="text1"/>
          <w:sz w:val="24"/>
          <w:szCs w:val="24"/>
          <w:vertAlign w:val="subscript"/>
        </w:rPr>
        <w:t>5</w:t>
      </w:r>
      <w:r w:rsidRPr="002657D1">
        <w:rPr>
          <w:rFonts w:ascii="Times New Roman" w:eastAsia="宋体" w:hAnsi="Times New Roman" w:cs="Times New Roman"/>
          <w:color w:val="000000" w:themeColor="text1"/>
          <w:sz w:val="24"/>
          <w:szCs w:val="24"/>
        </w:rPr>
        <w:t>Cl‐Based Solid‐State Batteries by Scavenging Lithium Dendrites with LaCl</w:t>
      </w:r>
      <w:r w:rsidRPr="002657D1">
        <w:rPr>
          <w:rFonts w:ascii="Times New Roman" w:eastAsia="宋体" w:hAnsi="Times New Roman" w:cs="Times New Roman"/>
          <w:color w:val="000000" w:themeColor="text1"/>
          <w:sz w:val="24"/>
          <w:szCs w:val="24"/>
          <w:vertAlign w:val="subscript"/>
        </w:rPr>
        <w:t>3</w:t>
      </w:r>
      <w:r w:rsidRPr="002657D1">
        <w:rPr>
          <w:rFonts w:ascii="Times New Roman" w:eastAsia="宋体" w:hAnsi="Times New Roman" w:cs="Times New Roman"/>
          <w:color w:val="000000" w:themeColor="text1"/>
          <w:sz w:val="24"/>
          <w:szCs w:val="24"/>
        </w:rPr>
        <w:t xml:space="preserve">‐Based Electrolyte. </w:t>
      </w:r>
      <w:r w:rsidRPr="002657D1">
        <w:rPr>
          <w:rFonts w:ascii="Times New Roman" w:eastAsia="宋体" w:hAnsi="Times New Roman" w:cs="Times New Roman"/>
          <w:i/>
          <w:iCs/>
          <w:color w:val="000000" w:themeColor="text1"/>
          <w:sz w:val="24"/>
          <w:szCs w:val="24"/>
        </w:rPr>
        <w:t>Adv.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36</w:t>
      </w:r>
      <w:r w:rsidRPr="002657D1">
        <w:rPr>
          <w:rFonts w:ascii="Times New Roman" w:eastAsia="宋体" w:hAnsi="Times New Roman" w:cs="Times New Roman"/>
          <w:color w:val="000000" w:themeColor="text1"/>
          <w:sz w:val="24"/>
          <w:szCs w:val="24"/>
        </w:rPr>
        <w:t>, 2310356 (2024).</w:t>
      </w:r>
    </w:p>
    <w:p w14:paraId="7EF6B12E"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66.</w:t>
      </w:r>
      <w:r w:rsidRPr="002657D1">
        <w:rPr>
          <w:rFonts w:ascii="Times New Roman" w:eastAsia="宋体" w:hAnsi="Times New Roman" w:cs="Times New Roman"/>
          <w:color w:val="000000" w:themeColor="text1"/>
          <w:sz w:val="24"/>
          <w:szCs w:val="24"/>
        </w:rPr>
        <w:tab/>
        <w:t xml:space="preserve">Zhou, Y.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LiPON-enabled interfacial engineering: stabilizing lithium metal anodes in halide all‐solid‐state lithium batteries. </w:t>
      </w:r>
      <w:r w:rsidRPr="002657D1">
        <w:rPr>
          <w:rFonts w:ascii="Times New Roman" w:eastAsia="宋体" w:hAnsi="Times New Roman" w:cs="Times New Roman"/>
          <w:i/>
          <w:iCs/>
          <w:color w:val="000000" w:themeColor="text1"/>
          <w:sz w:val="24"/>
          <w:szCs w:val="24"/>
        </w:rPr>
        <w:t>Appl. Surf. Sci.</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720</w:t>
      </w:r>
      <w:r w:rsidRPr="002657D1">
        <w:rPr>
          <w:rFonts w:ascii="Times New Roman" w:eastAsia="宋体" w:hAnsi="Times New Roman" w:cs="Times New Roman"/>
          <w:color w:val="000000" w:themeColor="text1"/>
          <w:sz w:val="24"/>
          <w:szCs w:val="24"/>
        </w:rPr>
        <w:t>, 165292 (2026).</w:t>
      </w:r>
    </w:p>
    <w:p w14:paraId="58F8336A" w14:textId="3C56DCC1"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67.</w:t>
      </w:r>
      <w:r w:rsidRPr="002657D1">
        <w:rPr>
          <w:rFonts w:ascii="Times New Roman" w:eastAsia="宋体" w:hAnsi="Times New Roman" w:cs="Times New Roman"/>
          <w:color w:val="000000" w:themeColor="text1"/>
          <w:sz w:val="24"/>
          <w:szCs w:val="24"/>
        </w:rPr>
        <w:tab/>
        <w:t xml:space="preserve">Ren, W.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w:t>
      </w:r>
      <w:bookmarkStart w:id="151" w:name="OLE_LINK127"/>
      <w:r w:rsidRPr="002657D1">
        <w:rPr>
          <w:rFonts w:ascii="Times New Roman" w:eastAsia="宋体" w:hAnsi="Times New Roman" w:cs="Times New Roman"/>
          <w:color w:val="000000" w:themeColor="text1"/>
          <w:sz w:val="24"/>
          <w:szCs w:val="24"/>
        </w:rPr>
        <w:t>Promoting Ion Conduction and Li Metal Compatibility Through Nb</w:t>
      </w:r>
      <w:r w:rsidRPr="002657D1">
        <w:rPr>
          <w:rFonts w:ascii="Times New Roman" w:eastAsia="宋体" w:hAnsi="Times New Roman" w:cs="Times New Roman"/>
          <w:color w:val="000000" w:themeColor="text1"/>
          <w:sz w:val="24"/>
          <w:szCs w:val="24"/>
          <w:vertAlign w:val="superscript"/>
        </w:rPr>
        <w:t>5+</w:t>
      </w:r>
      <w:r w:rsidRPr="002657D1">
        <w:rPr>
          <w:rFonts w:ascii="Times New Roman" w:eastAsia="宋体" w:hAnsi="Times New Roman" w:cs="Times New Roman"/>
          <w:color w:val="000000" w:themeColor="text1"/>
          <w:sz w:val="24"/>
          <w:szCs w:val="24"/>
        </w:rPr>
        <w:t>‐Substituted Zirconium‐Based Chlorides for All‐Solid‐State Batteries.</w:t>
      </w:r>
      <w:bookmarkEnd w:id="151"/>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i/>
          <w:iCs/>
          <w:color w:val="000000" w:themeColor="text1"/>
          <w:sz w:val="24"/>
          <w:szCs w:val="24"/>
        </w:rPr>
        <w:lastRenderedPageBreak/>
        <w:t>Interdiscip.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4</w:t>
      </w:r>
      <w:r w:rsidRPr="002657D1">
        <w:rPr>
          <w:rFonts w:ascii="Times New Roman" w:eastAsia="宋体" w:hAnsi="Times New Roman" w:cs="Times New Roman"/>
          <w:color w:val="000000" w:themeColor="text1"/>
          <w:sz w:val="24"/>
          <w:szCs w:val="24"/>
        </w:rPr>
        <w:t>, 914–926 (2025).</w:t>
      </w:r>
    </w:p>
    <w:p w14:paraId="44D94419"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68.</w:t>
      </w:r>
      <w:r w:rsidRPr="002657D1">
        <w:rPr>
          <w:rFonts w:ascii="Times New Roman" w:eastAsia="宋体" w:hAnsi="Times New Roman" w:cs="Times New Roman"/>
          <w:color w:val="000000" w:themeColor="text1"/>
          <w:sz w:val="24"/>
          <w:szCs w:val="24"/>
        </w:rPr>
        <w:tab/>
        <w:t xml:space="preserve">Wang, Z.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Interlayer Design for Halide Electrolytes in All‐Solid‐State Lithium Metal Batteries. </w:t>
      </w:r>
      <w:r w:rsidRPr="002657D1">
        <w:rPr>
          <w:rFonts w:ascii="Times New Roman" w:eastAsia="宋体" w:hAnsi="Times New Roman" w:cs="Times New Roman"/>
          <w:i/>
          <w:iCs/>
          <w:color w:val="000000" w:themeColor="text1"/>
          <w:sz w:val="24"/>
          <w:szCs w:val="24"/>
        </w:rPr>
        <w:t>Adv.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37</w:t>
      </w:r>
      <w:r w:rsidRPr="002657D1">
        <w:rPr>
          <w:rFonts w:ascii="Times New Roman" w:eastAsia="宋体" w:hAnsi="Times New Roman" w:cs="Times New Roman"/>
          <w:color w:val="000000" w:themeColor="text1"/>
          <w:sz w:val="24"/>
          <w:szCs w:val="24"/>
        </w:rPr>
        <w:t>, 2501838 (2025).</w:t>
      </w:r>
    </w:p>
    <w:p w14:paraId="5E163DB6"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69.</w:t>
      </w:r>
      <w:r w:rsidRPr="002657D1">
        <w:rPr>
          <w:rFonts w:ascii="Times New Roman" w:eastAsia="宋体" w:hAnsi="Times New Roman" w:cs="Times New Roman"/>
          <w:color w:val="000000" w:themeColor="text1"/>
          <w:sz w:val="24"/>
          <w:szCs w:val="24"/>
        </w:rPr>
        <w:tab/>
        <w:t xml:space="preserve">Wang, S.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An Iodide-Chloride Solid Electrolyte Compatible with Lithium Metal for All-Solid-State Lithium Batteries. </w:t>
      </w:r>
      <w:r w:rsidRPr="002657D1">
        <w:rPr>
          <w:rFonts w:ascii="Times New Roman" w:eastAsia="宋体" w:hAnsi="Times New Roman" w:cs="Times New Roman"/>
          <w:i/>
          <w:iCs/>
          <w:color w:val="000000" w:themeColor="text1"/>
          <w:sz w:val="24"/>
          <w:szCs w:val="24"/>
        </w:rPr>
        <w:t>ACS Appl. Mater. Interfaces</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17</w:t>
      </w:r>
      <w:r w:rsidRPr="002657D1">
        <w:rPr>
          <w:rFonts w:ascii="Times New Roman" w:eastAsia="宋体" w:hAnsi="Times New Roman" w:cs="Times New Roman"/>
          <w:color w:val="000000" w:themeColor="text1"/>
          <w:sz w:val="24"/>
          <w:szCs w:val="24"/>
        </w:rPr>
        <w:t>, 44430-44439 (2025).</w:t>
      </w:r>
    </w:p>
    <w:p w14:paraId="164A45AA"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70.</w:t>
      </w:r>
      <w:r w:rsidRPr="002657D1">
        <w:rPr>
          <w:rFonts w:ascii="Times New Roman" w:eastAsia="宋体" w:hAnsi="Times New Roman" w:cs="Times New Roman"/>
          <w:color w:val="000000" w:themeColor="text1"/>
          <w:sz w:val="24"/>
          <w:szCs w:val="24"/>
        </w:rPr>
        <w:tab/>
        <w:t xml:space="preserve">Liu, F.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Li−Ag alloy anode with interfacial silver layer for all−solid−state lithium metal batteries utilizing Li</w:t>
      </w:r>
      <w:r w:rsidRPr="00CE0C9A">
        <w:rPr>
          <w:rFonts w:ascii="Times New Roman" w:eastAsia="宋体" w:hAnsi="Times New Roman" w:cs="Times New Roman"/>
          <w:color w:val="000000" w:themeColor="text1"/>
          <w:sz w:val="24"/>
          <w:szCs w:val="24"/>
          <w:vertAlign w:val="subscript"/>
        </w:rPr>
        <w:t>3</w:t>
      </w:r>
      <w:r w:rsidRPr="002657D1">
        <w:rPr>
          <w:rFonts w:ascii="Times New Roman" w:eastAsia="宋体" w:hAnsi="Times New Roman" w:cs="Times New Roman"/>
          <w:color w:val="000000" w:themeColor="text1"/>
          <w:sz w:val="24"/>
          <w:szCs w:val="24"/>
        </w:rPr>
        <w:t>InCl</w:t>
      </w:r>
      <w:r w:rsidRPr="00CE0C9A">
        <w:rPr>
          <w:rFonts w:ascii="Times New Roman" w:eastAsia="宋体" w:hAnsi="Times New Roman" w:cs="Times New Roman"/>
          <w:color w:val="000000" w:themeColor="text1"/>
          <w:sz w:val="24"/>
          <w:szCs w:val="24"/>
          <w:vertAlign w:val="subscript"/>
        </w:rPr>
        <w:t>6</w:t>
      </w:r>
      <w:r w:rsidRPr="002657D1">
        <w:rPr>
          <w:rFonts w:ascii="Times New Roman" w:eastAsia="宋体" w:hAnsi="Times New Roman" w:cs="Times New Roman"/>
          <w:color w:val="000000" w:themeColor="text1"/>
          <w:sz w:val="24"/>
          <w:szCs w:val="24"/>
        </w:rPr>
        <w:t xml:space="preserve"> halide solid electrolyte. </w:t>
      </w:r>
      <w:r w:rsidRPr="002657D1">
        <w:rPr>
          <w:rFonts w:ascii="Times New Roman" w:eastAsia="宋体" w:hAnsi="Times New Roman" w:cs="Times New Roman"/>
          <w:i/>
          <w:iCs/>
          <w:color w:val="000000" w:themeColor="text1"/>
          <w:sz w:val="24"/>
          <w:szCs w:val="24"/>
        </w:rPr>
        <w:t>J. Power Sources</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647</w:t>
      </w:r>
      <w:r w:rsidRPr="002657D1">
        <w:rPr>
          <w:rFonts w:ascii="Times New Roman" w:eastAsia="宋体" w:hAnsi="Times New Roman" w:cs="Times New Roman"/>
          <w:color w:val="000000" w:themeColor="text1"/>
          <w:sz w:val="24"/>
          <w:szCs w:val="24"/>
        </w:rPr>
        <w:t>, 237357 (2025).</w:t>
      </w:r>
    </w:p>
    <w:p w14:paraId="3A5F365E"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71.</w:t>
      </w:r>
      <w:r w:rsidRPr="002657D1">
        <w:rPr>
          <w:rFonts w:ascii="Times New Roman" w:eastAsia="宋体" w:hAnsi="Times New Roman" w:cs="Times New Roman"/>
          <w:color w:val="000000" w:themeColor="text1"/>
          <w:sz w:val="24"/>
          <w:szCs w:val="24"/>
        </w:rPr>
        <w:tab/>
        <w:t xml:space="preserve">Zhang, G.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Stabilizing Halide Electrolytes against Lithium Metal with a Self-Limiting Layer for All-Solid-State Lithium Metal Batteries. </w:t>
      </w:r>
      <w:r w:rsidRPr="002657D1">
        <w:rPr>
          <w:rFonts w:ascii="Times New Roman" w:eastAsia="宋体" w:hAnsi="Times New Roman" w:cs="Times New Roman"/>
          <w:i/>
          <w:iCs/>
          <w:color w:val="000000" w:themeColor="text1"/>
          <w:sz w:val="24"/>
          <w:szCs w:val="24"/>
        </w:rPr>
        <w:t>ACS Nano</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19</w:t>
      </w:r>
      <w:r w:rsidRPr="002657D1">
        <w:rPr>
          <w:rFonts w:ascii="Times New Roman" w:eastAsia="宋体" w:hAnsi="Times New Roman" w:cs="Times New Roman"/>
          <w:color w:val="000000" w:themeColor="text1"/>
          <w:sz w:val="24"/>
          <w:szCs w:val="24"/>
        </w:rPr>
        <w:t>, 14839–14847 (2025).</w:t>
      </w:r>
    </w:p>
    <w:p w14:paraId="71B5830C"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72.</w:t>
      </w:r>
      <w:r w:rsidRPr="002657D1">
        <w:rPr>
          <w:rFonts w:ascii="Times New Roman" w:eastAsia="宋体" w:hAnsi="Times New Roman" w:cs="Times New Roman"/>
          <w:color w:val="000000" w:themeColor="text1"/>
          <w:sz w:val="24"/>
          <w:szCs w:val="24"/>
        </w:rPr>
        <w:tab/>
        <w:t xml:space="preserve">Nie, X., Lei, M., Hu, J. &amp; Li, C. Cost-Effective and Humid Air-Stable Fluoride Solid Electrolyte with High Ionic Conductivity Induced by Microstructural Modulation. </w:t>
      </w:r>
      <w:r w:rsidRPr="002657D1">
        <w:rPr>
          <w:rFonts w:ascii="Times New Roman" w:eastAsia="宋体" w:hAnsi="Times New Roman" w:cs="Times New Roman"/>
          <w:i/>
          <w:iCs/>
          <w:color w:val="000000" w:themeColor="text1"/>
          <w:sz w:val="24"/>
          <w:szCs w:val="24"/>
        </w:rPr>
        <w:t>ACS Materials Lett.</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7</w:t>
      </w:r>
      <w:r w:rsidRPr="002657D1">
        <w:rPr>
          <w:rFonts w:ascii="Times New Roman" w:eastAsia="宋体" w:hAnsi="Times New Roman" w:cs="Times New Roman"/>
          <w:color w:val="000000" w:themeColor="text1"/>
          <w:sz w:val="24"/>
          <w:szCs w:val="24"/>
        </w:rPr>
        <w:t>, 1768–1776 (2025).</w:t>
      </w:r>
    </w:p>
    <w:p w14:paraId="5B714776"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73.</w:t>
      </w:r>
      <w:r w:rsidRPr="002657D1">
        <w:rPr>
          <w:rFonts w:ascii="Times New Roman" w:eastAsia="宋体" w:hAnsi="Times New Roman" w:cs="Times New Roman"/>
          <w:color w:val="000000" w:themeColor="text1"/>
          <w:sz w:val="24"/>
          <w:szCs w:val="24"/>
        </w:rPr>
        <w:tab/>
        <w:t xml:space="preserve">Liu, H.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Fluorinated coating stabilizing halide solid electrolytes for all-solid-state lithium metal batteries. </w:t>
      </w:r>
      <w:r w:rsidRPr="002657D1">
        <w:rPr>
          <w:rFonts w:ascii="Times New Roman" w:eastAsia="宋体" w:hAnsi="Times New Roman" w:cs="Times New Roman"/>
          <w:i/>
          <w:iCs/>
          <w:color w:val="000000" w:themeColor="text1"/>
          <w:sz w:val="24"/>
          <w:szCs w:val="24"/>
        </w:rPr>
        <w:t>Energy Storage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75</w:t>
      </w:r>
      <w:r w:rsidRPr="002657D1">
        <w:rPr>
          <w:rFonts w:ascii="Times New Roman" w:eastAsia="宋体" w:hAnsi="Times New Roman" w:cs="Times New Roman"/>
          <w:color w:val="000000" w:themeColor="text1"/>
          <w:sz w:val="24"/>
          <w:szCs w:val="24"/>
        </w:rPr>
        <w:t>, 104107 (2025).</w:t>
      </w:r>
    </w:p>
    <w:p w14:paraId="23CF6D7C"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74.</w:t>
      </w:r>
      <w:r w:rsidRPr="002657D1">
        <w:rPr>
          <w:rFonts w:ascii="Times New Roman" w:eastAsia="宋体" w:hAnsi="Times New Roman" w:cs="Times New Roman"/>
          <w:color w:val="000000" w:themeColor="text1"/>
          <w:sz w:val="24"/>
          <w:szCs w:val="24"/>
        </w:rPr>
        <w:tab/>
        <w:t xml:space="preserve">Sun, T., Wang, Q., Liao, J. &amp; Wang, S. Rational design for the potential substitute of sulfide in halide-based all solid-state lithium metal batteries. </w:t>
      </w:r>
      <w:r w:rsidRPr="002657D1">
        <w:rPr>
          <w:rFonts w:ascii="Times New Roman" w:eastAsia="宋体" w:hAnsi="Times New Roman" w:cs="Times New Roman"/>
          <w:i/>
          <w:iCs/>
          <w:color w:val="000000" w:themeColor="text1"/>
          <w:sz w:val="24"/>
          <w:szCs w:val="24"/>
        </w:rPr>
        <w:t>J. Colloid Interface Sci.</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679</w:t>
      </w:r>
      <w:r w:rsidRPr="002657D1">
        <w:rPr>
          <w:rFonts w:ascii="Times New Roman" w:eastAsia="宋体" w:hAnsi="Times New Roman" w:cs="Times New Roman"/>
          <w:color w:val="000000" w:themeColor="text1"/>
          <w:sz w:val="24"/>
          <w:szCs w:val="24"/>
        </w:rPr>
        <w:t>, 798–808 (2025).</w:t>
      </w:r>
    </w:p>
    <w:p w14:paraId="67A7EBF0"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75.</w:t>
      </w:r>
      <w:r w:rsidRPr="002657D1">
        <w:rPr>
          <w:rFonts w:ascii="Times New Roman" w:eastAsia="宋体" w:hAnsi="Times New Roman" w:cs="Times New Roman"/>
          <w:color w:val="000000" w:themeColor="text1"/>
          <w:sz w:val="24"/>
          <w:szCs w:val="24"/>
        </w:rPr>
        <w:tab/>
        <w:t xml:space="preserve">Hu, J.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Aliovalent sulfur-substitution regulated highly amorphous Li</w:t>
      </w:r>
      <w:r w:rsidRPr="002657D1">
        <w:rPr>
          <w:rFonts w:ascii="Times New Roman" w:eastAsia="宋体" w:hAnsi="Times New Roman" w:cs="Times New Roman"/>
          <w:color w:val="000000" w:themeColor="text1"/>
          <w:sz w:val="24"/>
          <w:szCs w:val="24"/>
          <w:vertAlign w:val="subscript"/>
        </w:rPr>
        <w:t>2</w:t>
      </w:r>
      <w:r w:rsidRPr="002657D1">
        <w:rPr>
          <w:rFonts w:ascii="Times New Roman" w:eastAsia="宋体" w:hAnsi="Times New Roman" w:cs="Times New Roman"/>
          <w:color w:val="000000" w:themeColor="text1"/>
          <w:sz w:val="24"/>
          <w:szCs w:val="24"/>
        </w:rPr>
        <w:t>ZrCl</w:t>
      </w:r>
      <w:r w:rsidRPr="002657D1">
        <w:rPr>
          <w:rFonts w:ascii="Times New Roman" w:eastAsia="宋体" w:hAnsi="Times New Roman" w:cs="Times New Roman"/>
          <w:color w:val="000000" w:themeColor="text1"/>
          <w:sz w:val="24"/>
          <w:szCs w:val="24"/>
          <w:vertAlign w:val="subscript"/>
        </w:rPr>
        <w:t>6</w:t>
      </w:r>
      <w:r w:rsidRPr="002657D1">
        <w:rPr>
          <w:rFonts w:ascii="Times New Roman" w:eastAsia="宋体" w:hAnsi="Times New Roman" w:cs="Times New Roman"/>
          <w:color w:val="000000" w:themeColor="text1"/>
          <w:sz w:val="24"/>
          <w:szCs w:val="24"/>
        </w:rPr>
        <w:t xml:space="preserve"> solid electrolytes for all-solid-state lithium metal batteries. </w:t>
      </w:r>
      <w:r w:rsidRPr="002657D1">
        <w:rPr>
          <w:rFonts w:ascii="Times New Roman" w:eastAsia="宋体" w:hAnsi="Times New Roman" w:cs="Times New Roman"/>
          <w:i/>
          <w:iCs/>
          <w:color w:val="000000" w:themeColor="text1"/>
          <w:sz w:val="24"/>
          <w:szCs w:val="24"/>
        </w:rPr>
        <w:t>J. Energy Chem.</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111</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color w:val="000000" w:themeColor="text1"/>
          <w:sz w:val="24"/>
          <w:szCs w:val="24"/>
        </w:rPr>
        <w:lastRenderedPageBreak/>
        <w:t>67–78 (2025).</w:t>
      </w:r>
    </w:p>
    <w:p w14:paraId="30133160"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76.</w:t>
      </w:r>
      <w:r w:rsidRPr="002657D1">
        <w:rPr>
          <w:rFonts w:ascii="Times New Roman" w:eastAsia="宋体" w:hAnsi="Times New Roman" w:cs="Times New Roman"/>
          <w:color w:val="000000" w:themeColor="text1"/>
          <w:sz w:val="24"/>
          <w:szCs w:val="24"/>
        </w:rPr>
        <w:tab/>
        <w:t xml:space="preserve">Nie, X.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Humid‐Air Stable and High‐conductivity Fluoride Solid Electrolytes Induced by Liquid Metal Activation and Ga</w:t>
      </w:r>
      <w:r w:rsidRPr="002657D1">
        <w:rPr>
          <w:rFonts w:ascii="Times New Roman" w:eastAsia="宋体" w:hAnsi="Times New Roman" w:cs="Times New Roman"/>
          <w:color w:val="000000" w:themeColor="text1"/>
          <w:sz w:val="24"/>
          <w:szCs w:val="24"/>
          <w:vertAlign w:val="subscript"/>
        </w:rPr>
        <w:t>2</w:t>
      </w:r>
      <w:r w:rsidRPr="002657D1">
        <w:rPr>
          <w:rFonts w:ascii="Times New Roman" w:eastAsia="宋体" w:hAnsi="Times New Roman" w:cs="Times New Roman"/>
          <w:color w:val="000000" w:themeColor="text1"/>
          <w:sz w:val="24"/>
          <w:szCs w:val="24"/>
        </w:rPr>
        <w:t>O</w:t>
      </w:r>
      <w:r w:rsidRPr="002657D1">
        <w:rPr>
          <w:rFonts w:ascii="Times New Roman" w:eastAsia="宋体" w:hAnsi="Times New Roman" w:cs="Times New Roman"/>
          <w:color w:val="000000" w:themeColor="text1"/>
          <w:sz w:val="24"/>
          <w:szCs w:val="24"/>
          <w:vertAlign w:val="subscript"/>
        </w:rPr>
        <w:t>3</w:t>
      </w:r>
      <w:r w:rsidRPr="002657D1">
        <w:rPr>
          <w:rFonts w:ascii="Times New Roman" w:eastAsia="宋体" w:hAnsi="Times New Roman" w:cs="Times New Roman"/>
          <w:color w:val="000000" w:themeColor="text1"/>
          <w:sz w:val="24"/>
          <w:szCs w:val="24"/>
        </w:rPr>
        <w:t xml:space="preserve"> in situ Catalysis. </w:t>
      </w:r>
      <w:r w:rsidRPr="002657D1">
        <w:rPr>
          <w:rFonts w:ascii="Times New Roman" w:eastAsia="宋体" w:hAnsi="Times New Roman" w:cs="Times New Roman"/>
          <w:i/>
          <w:iCs/>
          <w:color w:val="000000" w:themeColor="text1"/>
          <w:sz w:val="24"/>
          <w:szCs w:val="24"/>
        </w:rPr>
        <w:t>Adv. Energy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15</w:t>
      </w:r>
      <w:r w:rsidRPr="002657D1">
        <w:rPr>
          <w:rFonts w:ascii="Times New Roman" w:eastAsia="宋体" w:hAnsi="Times New Roman" w:cs="Times New Roman"/>
          <w:color w:val="000000" w:themeColor="text1"/>
          <w:sz w:val="24"/>
          <w:szCs w:val="24"/>
        </w:rPr>
        <w:t>, 2402997 (2025).</w:t>
      </w:r>
    </w:p>
    <w:p w14:paraId="6B5A0BE2"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77.</w:t>
      </w:r>
      <w:r w:rsidRPr="002657D1">
        <w:rPr>
          <w:rFonts w:ascii="Times New Roman" w:eastAsia="宋体" w:hAnsi="Times New Roman" w:cs="Times New Roman"/>
          <w:color w:val="000000" w:themeColor="text1"/>
          <w:sz w:val="24"/>
          <w:szCs w:val="24"/>
        </w:rPr>
        <w:tab/>
        <w:t xml:space="preserve">Yan, J.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Wet chemical synthesis of dianion-doped halide solid-state electrolytes for improved interface stability. </w:t>
      </w:r>
      <w:r w:rsidRPr="002657D1">
        <w:rPr>
          <w:rFonts w:ascii="Times New Roman" w:eastAsia="宋体" w:hAnsi="Times New Roman" w:cs="Times New Roman"/>
          <w:i/>
          <w:iCs/>
          <w:color w:val="000000" w:themeColor="text1"/>
          <w:sz w:val="24"/>
          <w:szCs w:val="24"/>
        </w:rPr>
        <w:t>J. Power Sources</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633</w:t>
      </w:r>
      <w:r w:rsidRPr="002657D1">
        <w:rPr>
          <w:rFonts w:ascii="Times New Roman" w:eastAsia="宋体" w:hAnsi="Times New Roman" w:cs="Times New Roman"/>
          <w:color w:val="000000" w:themeColor="text1"/>
          <w:sz w:val="24"/>
          <w:szCs w:val="24"/>
        </w:rPr>
        <w:t>, 236424 (2025).</w:t>
      </w:r>
    </w:p>
    <w:p w14:paraId="7886DF66"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78.</w:t>
      </w:r>
      <w:r w:rsidRPr="002657D1">
        <w:rPr>
          <w:rFonts w:ascii="Times New Roman" w:eastAsia="宋体" w:hAnsi="Times New Roman" w:cs="Times New Roman"/>
          <w:color w:val="000000" w:themeColor="text1"/>
          <w:sz w:val="24"/>
          <w:szCs w:val="24"/>
        </w:rPr>
        <w:tab/>
        <w:t xml:space="preserve">Lannelongue, P.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Stable cycling of halide solid state electrolyte enabled by a dynamic layered solid electrolyte interphase between Li metal and Li</w:t>
      </w:r>
      <w:r w:rsidRPr="002657D1">
        <w:rPr>
          <w:rFonts w:ascii="Times New Roman" w:eastAsia="宋体" w:hAnsi="Times New Roman" w:cs="Times New Roman"/>
          <w:color w:val="000000" w:themeColor="text1"/>
          <w:sz w:val="24"/>
          <w:szCs w:val="24"/>
          <w:vertAlign w:val="subscript"/>
        </w:rPr>
        <w:t>3</w:t>
      </w:r>
      <w:r w:rsidRPr="002657D1">
        <w:rPr>
          <w:rFonts w:ascii="Times New Roman" w:eastAsia="宋体" w:hAnsi="Times New Roman" w:cs="Times New Roman"/>
          <w:color w:val="000000" w:themeColor="text1"/>
          <w:sz w:val="24"/>
          <w:szCs w:val="24"/>
        </w:rPr>
        <w:t>YCl</w:t>
      </w:r>
      <w:r w:rsidRPr="002657D1">
        <w:rPr>
          <w:rFonts w:ascii="Times New Roman" w:eastAsia="宋体" w:hAnsi="Times New Roman" w:cs="Times New Roman"/>
          <w:color w:val="000000" w:themeColor="text1"/>
          <w:sz w:val="24"/>
          <w:szCs w:val="24"/>
          <w:vertAlign w:val="subscript"/>
        </w:rPr>
        <w:t>4</w:t>
      </w:r>
      <w:r w:rsidRPr="002657D1">
        <w:rPr>
          <w:rFonts w:ascii="Times New Roman" w:eastAsia="宋体" w:hAnsi="Times New Roman" w:cs="Times New Roman"/>
          <w:color w:val="000000" w:themeColor="text1"/>
          <w:sz w:val="24"/>
          <w:szCs w:val="24"/>
        </w:rPr>
        <w:t>Br</w:t>
      </w:r>
      <w:r w:rsidRPr="002657D1">
        <w:rPr>
          <w:rFonts w:ascii="Times New Roman" w:eastAsia="宋体" w:hAnsi="Times New Roman" w:cs="Times New Roman"/>
          <w:color w:val="000000" w:themeColor="text1"/>
          <w:sz w:val="24"/>
          <w:szCs w:val="24"/>
          <w:vertAlign w:val="subscript"/>
        </w:rPr>
        <w:t>2</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i/>
          <w:iCs/>
          <w:color w:val="000000" w:themeColor="text1"/>
          <w:sz w:val="24"/>
          <w:szCs w:val="24"/>
        </w:rPr>
        <w:t>Energy Storage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72</w:t>
      </w:r>
      <w:r w:rsidRPr="002657D1">
        <w:rPr>
          <w:rFonts w:ascii="Times New Roman" w:eastAsia="宋体" w:hAnsi="Times New Roman" w:cs="Times New Roman"/>
          <w:color w:val="000000" w:themeColor="text1"/>
          <w:sz w:val="24"/>
          <w:szCs w:val="24"/>
        </w:rPr>
        <w:t>, 103733 (2024).</w:t>
      </w:r>
    </w:p>
    <w:p w14:paraId="69354776"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79.</w:t>
      </w:r>
      <w:r w:rsidRPr="002657D1">
        <w:rPr>
          <w:rFonts w:ascii="Times New Roman" w:eastAsia="宋体" w:hAnsi="Times New Roman" w:cs="Times New Roman"/>
          <w:color w:val="000000" w:themeColor="text1"/>
          <w:sz w:val="24"/>
          <w:szCs w:val="24"/>
        </w:rPr>
        <w:tab/>
        <w:t xml:space="preserve">Zhao, F.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Anion sublattice design enables superionic conductivity in crystalline oxyhalides. </w:t>
      </w:r>
      <w:r w:rsidRPr="002657D1">
        <w:rPr>
          <w:rFonts w:ascii="Times New Roman" w:eastAsia="宋体" w:hAnsi="Times New Roman" w:cs="Times New Roman"/>
          <w:i/>
          <w:iCs/>
          <w:color w:val="000000" w:themeColor="text1"/>
          <w:sz w:val="24"/>
          <w:szCs w:val="24"/>
        </w:rPr>
        <w:t>Science</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390</w:t>
      </w:r>
      <w:r w:rsidRPr="002657D1">
        <w:rPr>
          <w:rFonts w:ascii="Times New Roman" w:eastAsia="宋体" w:hAnsi="Times New Roman" w:cs="Times New Roman"/>
          <w:color w:val="000000" w:themeColor="text1"/>
          <w:sz w:val="24"/>
          <w:szCs w:val="24"/>
        </w:rPr>
        <w:t>, 199-204 (2025).</w:t>
      </w:r>
    </w:p>
    <w:p w14:paraId="3C035A00"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80.</w:t>
      </w:r>
      <w:r w:rsidRPr="002657D1">
        <w:rPr>
          <w:rFonts w:ascii="Times New Roman" w:eastAsia="宋体" w:hAnsi="Times New Roman" w:cs="Times New Roman"/>
          <w:color w:val="000000" w:themeColor="text1"/>
          <w:sz w:val="24"/>
          <w:szCs w:val="24"/>
        </w:rPr>
        <w:tab/>
        <w:t xml:space="preserve">Li, W.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Precise Tailoring of Lithium‐Ion Transport for Ultralong‐Cycling Dendrite‐Free All‐Solid‐State Lithium Metal Batteries. </w:t>
      </w:r>
      <w:r w:rsidRPr="002657D1">
        <w:rPr>
          <w:rFonts w:ascii="Times New Roman" w:eastAsia="宋体" w:hAnsi="Times New Roman" w:cs="Times New Roman"/>
          <w:i/>
          <w:iCs/>
          <w:color w:val="000000" w:themeColor="text1"/>
          <w:sz w:val="24"/>
          <w:szCs w:val="24"/>
        </w:rPr>
        <w:t>Adv.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36</w:t>
      </w:r>
      <w:r w:rsidRPr="002657D1">
        <w:rPr>
          <w:rFonts w:ascii="Times New Roman" w:eastAsia="宋体" w:hAnsi="Times New Roman" w:cs="Times New Roman"/>
          <w:color w:val="000000" w:themeColor="text1"/>
          <w:sz w:val="24"/>
          <w:szCs w:val="24"/>
        </w:rPr>
        <w:t>, 2302647 (2024).</w:t>
      </w:r>
    </w:p>
    <w:p w14:paraId="67A08D8F"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81.</w:t>
      </w:r>
      <w:r w:rsidRPr="002657D1">
        <w:rPr>
          <w:rFonts w:ascii="Times New Roman" w:eastAsia="宋体" w:hAnsi="Times New Roman" w:cs="Times New Roman"/>
          <w:color w:val="000000" w:themeColor="text1"/>
          <w:sz w:val="24"/>
          <w:szCs w:val="24"/>
        </w:rPr>
        <w:tab/>
        <w:t xml:space="preserve">Liu, Y.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Inhibiting Dendrites by Uniformizing Microstructure of Superionic Lithium Argyrodites for All‐Solid‐State Lithium Metal Batteries. </w:t>
      </w:r>
      <w:r w:rsidRPr="002657D1">
        <w:rPr>
          <w:rFonts w:ascii="Times New Roman" w:eastAsia="宋体" w:hAnsi="Times New Roman" w:cs="Times New Roman"/>
          <w:i/>
          <w:iCs/>
          <w:color w:val="000000" w:themeColor="text1"/>
          <w:sz w:val="24"/>
          <w:szCs w:val="24"/>
        </w:rPr>
        <w:t>Adv. Energy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14</w:t>
      </w:r>
      <w:r w:rsidRPr="002657D1">
        <w:rPr>
          <w:rFonts w:ascii="Times New Roman" w:eastAsia="宋体" w:hAnsi="Times New Roman" w:cs="Times New Roman"/>
          <w:color w:val="000000" w:themeColor="text1"/>
          <w:sz w:val="24"/>
          <w:szCs w:val="24"/>
        </w:rPr>
        <w:t>, 2400783 (2024).</w:t>
      </w:r>
    </w:p>
    <w:p w14:paraId="1563A5CE"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82.</w:t>
      </w:r>
      <w:r w:rsidRPr="002657D1">
        <w:rPr>
          <w:rFonts w:ascii="Times New Roman" w:eastAsia="宋体" w:hAnsi="Times New Roman" w:cs="Times New Roman"/>
          <w:color w:val="000000" w:themeColor="text1"/>
          <w:sz w:val="24"/>
          <w:szCs w:val="24"/>
        </w:rPr>
        <w:tab/>
        <w:t>Shi, Y</w:t>
      </w:r>
      <w:bookmarkStart w:id="152" w:name="OLE_LINK129"/>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w:t>
      </w:r>
      <w:bookmarkEnd w:id="152"/>
      <w:r w:rsidRPr="002657D1">
        <w:rPr>
          <w:rFonts w:ascii="Times New Roman" w:eastAsia="宋体" w:hAnsi="Times New Roman" w:cs="Times New Roman"/>
          <w:color w:val="000000" w:themeColor="text1"/>
          <w:sz w:val="24"/>
          <w:szCs w:val="24"/>
        </w:rPr>
        <w:t xml:space="preserve">An optimizing hybrid interface architecture for unleashing the potential of sulfide-based all-solid-state battery. </w:t>
      </w:r>
      <w:r w:rsidRPr="002657D1">
        <w:rPr>
          <w:rFonts w:ascii="Times New Roman" w:eastAsia="宋体" w:hAnsi="Times New Roman" w:cs="Times New Roman"/>
          <w:i/>
          <w:iCs/>
          <w:color w:val="000000" w:themeColor="text1"/>
          <w:sz w:val="24"/>
          <w:szCs w:val="24"/>
        </w:rPr>
        <w:t>Energy Storage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63</w:t>
      </w:r>
      <w:r w:rsidRPr="002657D1">
        <w:rPr>
          <w:rFonts w:ascii="Times New Roman" w:eastAsia="宋体" w:hAnsi="Times New Roman" w:cs="Times New Roman"/>
          <w:color w:val="000000" w:themeColor="text1"/>
          <w:sz w:val="24"/>
          <w:szCs w:val="24"/>
        </w:rPr>
        <w:t>, 103009 (2023).</w:t>
      </w:r>
    </w:p>
    <w:p w14:paraId="2ADC972B"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83.</w:t>
      </w:r>
      <w:r w:rsidRPr="002657D1">
        <w:rPr>
          <w:rFonts w:ascii="Times New Roman" w:eastAsia="宋体" w:hAnsi="Times New Roman" w:cs="Times New Roman"/>
          <w:color w:val="000000" w:themeColor="text1"/>
          <w:sz w:val="24"/>
          <w:szCs w:val="24"/>
        </w:rPr>
        <w:tab/>
        <w:t xml:space="preserve">Shi, Y.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w:t>
      </w:r>
      <w:bookmarkStart w:id="153" w:name="OLE_LINK130"/>
      <w:r w:rsidRPr="002657D1">
        <w:rPr>
          <w:rFonts w:ascii="Times New Roman" w:eastAsia="宋体" w:hAnsi="Times New Roman" w:cs="Times New Roman"/>
          <w:color w:val="000000" w:themeColor="text1"/>
          <w:sz w:val="24"/>
          <w:szCs w:val="24"/>
        </w:rPr>
        <w:t>A tailored dual-layer electronic shielding interface enables highly stable and dendrite-free solid-state lithium metal batteries.</w:t>
      </w:r>
      <w:bookmarkEnd w:id="153"/>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i/>
          <w:iCs/>
          <w:color w:val="000000" w:themeColor="text1"/>
          <w:sz w:val="24"/>
          <w:szCs w:val="24"/>
        </w:rPr>
        <w:t>Nano Energy</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120</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color w:val="000000" w:themeColor="text1"/>
          <w:sz w:val="24"/>
          <w:szCs w:val="24"/>
        </w:rPr>
        <w:lastRenderedPageBreak/>
        <w:t>109150 (2024).</w:t>
      </w:r>
    </w:p>
    <w:p w14:paraId="6BA02376"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84.</w:t>
      </w:r>
      <w:r w:rsidRPr="002657D1">
        <w:rPr>
          <w:rFonts w:ascii="Times New Roman" w:eastAsia="宋体" w:hAnsi="Times New Roman" w:cs="Times New Roman"/>
          <w:color w:val="000000" w:themeColor="text1"/>
          <w:sz w:val="24"/>
          <w:szCs w:val="24"/>
        </w:rPr>
        <w:tab/>
        <w:t xml:space="preserve">Braks, L.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w:t>
      </w:r>
      <w:bookmarkStart w:id="154" w:name="OLE_LINK131"/>
      <w:r w:rsidRPr="002657D1">
        <w:rPr>
          <w:rFonts w:ascii="Times New Roman" w:eastAsia="宋体" w:hAnsi="Times New Roman" w:cs="Times New Roman"/>
          <w:color w:val="000000" w:themeColor="text1"/>
          <w:sz w:val="24"/>
          <w:szCs w:val="24"/>
        </w:rPr>
        <w:t>Interfacial Stabilization by Prelithiated Trithiocyanuric Acid as an Organic Additive in Sulfide‐Based All‐Solid‐State Lithium Metal Batteries.</w:t>
      </w:r>
      <w:bookmarkEnd w:id="154"/>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i/>
          <w:iCs/>
          <w:color w:val="000000" w:themeColor="text1"/>
          <w:sz w:val="24"/>
          <w:szCs w:val="24"/>
        </w:rPr>
        <w:t>Angew. Chem. Int. Ed.</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63</w:t>
      </w:r>
      <w:r w:rsidRPr="002657D1">
        <w:rPr>
          <w:rFonts w:ascii="Times New Roman" w:eastAsia="宋体" w:hAnsi="Times New Roman" w:cs="Times New Roman"/>
          <w:color w:val="000000" w:themeColor="text1"/>
          <w:sz w:val="24"/>
          <w:szCs w:val="24"/>
        </w:rPr>
        <w:t>, e202408238 (2024).</w:t>
      </w:r>
    </w:p>
    <w:p w14:paraId="797D53B5"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85.</w:t>
      </w:r>
      <w:r w:rsidRPr="002657D1">
        <w:rPr>
          <w:rFonts w:ascii="Times New Roman" w:eastAsia="宋体" w:hAnsi="Times New Roman" w:cs="Times New Roman"/>
          <w:color w:val="000000" w:themeColor="text1"/>
          <w:sz w:val="24"/>
          <w:szCs w:val="24"/>
        </w:rPr>
        <w:tab/>
        <w:t xml:space="preserve">Liang, Y.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Tailoring Conversion‐Reaction‐Induced Alloy Interlayer for Dendrite‐Free Sulfide‐Based All‐Solid‐State Lithium‐Metal Battery. </w:t>
      </w:r>
      <w:r w:rsidRPr="002657D1">
        <w:rPr>
          <w:rFonts w:ascii="Times New Roman" w:eastAsia="宋体" w:hAnsi="Times New Roman" w:cs="Times New Roman"/>
          <w:i/>
          <w:iCs/>
          <w:color w:val="000000" w:themeColor="text1"/>
          <w:sz w:val="24"/>
          <w:szCs w:val="24"/>
        </w:rPr>
        <w:t>Adv. Sci.</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10</w:t>
      </w:r>
      <w:r w:rsidRPr="002657D1">
        <w:rPr>
          <w:rFonts w:ascii="Times New Roman" w:eastAsia="宋体" w:hAnsi="Times New Roman" w:cs="Times New Roman"/>
          <w:color w:val="000000" w:themeColor="text1"/>
          <w:sz w:val="24"/>
          <w:szCs w:val="24"/>
        </w:rPr>
        <w:t>, 2300985 (2023).</w:t>
      </w:r>
    </w:p>
    <w:p w14:paraId="5801520B"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86.</w:t>
      </w:r>
      <w:r w:rsidRPr="002657D1">
        <w:rPr>
          <w:rFonts w:ascii="Times New Roman" w:eastAsia="宋体" w:hAnsi="Times New Roman" w:cs="Times New Roman"/>
          <w:color w:val="000000" w:themeColor="text1"/>
          <w:sz w:val="24"/>
          <w:szCs w:val="24"/>
        </w:rPr>
        <w:tab/>
        <w:t xml:space="preserve">Li, S.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A Dynamically Stable Mixed Conducting Interphase for All‐Solid‐State Lithium Metal Batteries. </w:t>
      </w:r>
      <w:r w:rsidRPr="002657D1">
        <w:rPr>
          <w:rFonts w:ascii="Times New Roman" w:eastAsia="宋体" w:hAnsi="Times New Roman" w:cs="Times New Roman"/>
          <w:i/>
          <w:iCs/>
          <w:color w:val="000000" w:themeColor="text1"/>
          <w:sz w:val="24"/>
          <w:szCs w:val="24"/>
        </w:rPr>
        <w:t>Adv.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36</w:t>
      </w:r>
      <w:r w:rsidRPr="002657D1">
        <w:rPr>
          <w:rFonts w:ascii="Times New Roman" w:eastAsia="宋体" w:hAnsi="Times New Roman" w:cs="Times New Roman"/>
          <w:color w:val="000000" w:themeColor="text1"/>
          <w:sz w:val="24"/>
          <w:szCs w:val="24"/>
        </w:rPr>
        <w:t>, 2307768 (2024).</w:t>
      </w:r>
    </w:p>
    <w:p w14:paraId="45B5639C"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87.</w:t>
      </w:r>
      <w:r w:rsidRPr="002657D1">
        <w:rPr>
          <w:rFonts w:ascii="Times New Roman" w:eastAsia="宋体" w:hAnsi="Times New Roman" w:cs="Times New Roman"/>
          <w:color w:val="000000" w:themeColor="text1"/>
          <w:sz w:val="24"/>
          <w:szCs w:val="24"/>
        </w:rPr>
        <w:tab/>
        <w:t xml:space="preserve">Wei, C.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SnF</w:t>
      </w:r>
      <w:r w:rsidRPr="002657D1">
        <w:rPr>
          <w:rFonts w:ascii="Times New Roman" w:eastAsia="宋体" w:hAnsi="Times New Roman" w:cs="Times New Roman"/>
          <w:color w:val="000000" w:themeColor="text1"/>
          <w:sz w:val="24"/>
          <w:szCs w:val="24"/>
          <w:vertAlign w:val="subscript"/>
        </w:rPr>
        <w:t>2</w:t>
      </w:r>
      <w:r w:rsidRPr="002657D1">
        <w:rPr>
          <w:rFonts w:ascii="Times New Roman" w:eastAsia="宋体" w:hAnsi="Times New Roman" w:cs="Times New Roman"/>
          <w:color w:val="000000" w:themeColor="text1"/>
          <w:sz w:val="24"/>
          <w:szCs w:val="24"/>
        </w:rPr>
        <w:t>‐Induced Multifunctional Interface‐Stabilized Li</w:t>
      </w:r>
      <w:r w:rsidRPr="002657D1">
        <w:rPr>
          <w:rFonts w:ascii="Times New Roman" w:eastAsia="宋体" w:hAnsi="Times New Roman" w:cs="Times New Roman"/>
          <w:color w:val="000000" w:themeColor="text1"/>
          <w:sz w:val="24"/>
          <w:szCs w:val="24"/>
          <w:vertAlign w:val="subscript"/>
        </w:rPr>
        <w:t>5.5</w:t>
      </w:r>
      <w:r w:rsidRPr="002657D1">
        <w:rPr>
          <w:rFonts w:ascii="Times New Roman" w:eastAsia="宋体" w:hAnsi="Times New Roman" w:cs="Times New Roman"/>
          <w:color w:val="000000" w:themeColor="text1"/>
          <w:sz w:val="24"/>
          <w:szCs w:val="24"/>
        </w:rPr>
        <w:t>PS</w:t>
      </w:r>
      <w:r w:rsidRPr="002657D1">
        <w:rPr>
          <w:rFonts w:ascii="Times New Roman" w:eastAsia="宋体" w:hAnsi="Times New Roman" w:cs="Times New Roman"/>
          <w:color w:val="000000" w:themeColor="text1"/>
          <w:sz w:val="24"/>
          <w:szCs w:val="24"/>
          <w:vertAlign w:val="subscript"/>
        </w:rPr>
        <w:t>4.5</w:t>
      </w:r>
      <w:r w:rsidRPr="002657D1">
        <w:rPr>
          <w:rFonts w:ascii="Times New Roman" w:eastAsia="宋体" w:hAnsi="Times New Roman" w:cs="Times New Roman"/>
          <w:color w:val="000000" w:themeColor="text1"/>
          <w:sz w:val="24"/>
          <w:szCs w:val="24"/>
        </w:rPr>
        <w:t>Cl</w:t>
      </w:r>
      <w:r w:rsidRPr="002657D1">
        <w:rPr>
          <w:rFonts w:ascii="Times New Roman" w:eastAsia="宋体" w:hAnsi="Times New Roman" w:cs="Times New Roman"/>
          <w:color w:val="000000" w:themeColor="text1"/>
          <w:sz w:val="24"/>
          <w:szCs w:val="24"/>
          <w:vertAlign w:val="subscript"/>
        </w:rPr>
        <w:t>1.5</w:t>
      </w:r>
      <w:r w:rsidRPr="002657D1">
        <w:rPr>
          <w:rFonts w:ascii="Times New Roman" w:eastAsia="宋体" w:hAnsi="Times New Roman" w:cs="Times New Roman"/>
          <w:color w:val="000000" w:themeColor="text1"/>
          <w:sz w:val="24"/>
          <w:szCs w:val="24"/>
        </w:rPr>
        <w:t xml:space="preserve">‐Based All‐Solid‐State Lithium Metal Batteries. </w:t>
      </w:r>
      <w:r w:rsidRPr="002657D1">
        <w:rPr>
          <w:rFonts w:ascii="Times New Roman" w:eastAsia="宋体" w:hAnsi="Times New Roman" w:cs="Times New Roman"/>
          <w:i/>
          <w:iCs/>
          <w:color w:val="000000" w:themeColor="text1"/>
          <w:sz w:val="24"/>
          <w:szCs w:val="24"/>
        </w:rPr>
        <w:t>Adv. Funct.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34</w:t>
      </w:r>
      <w:r w:rsidRPr="002657D1">
        <w:rPr>
          <w:rFonts w:ascii="Times New Roman" w:eastAsia="宋体" w:hAnsi="Times New Roman" w:cs="Times New Roman"/>
          <w:color w:val="000000" w:themeColor="text1"/>
          <w:sz w:val="24"/>
          <w:szCs w:val="24"/>
        </w:rPr>
        <w:t>, 2314306 (2024).</w:t>
      </w:r>
    </w:p>
    <w:p w14:paraId="5ABB3BED"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88.</w:t>
      </w:r>
      <w:r w:rsidRPr="002657D1">
        <w:rPr>
          <w:rFonts w:ascii="Times New Roman" w:eastAsia="宋体" w:hAnsi="Times New Roman" w:cs="Times New Roman"/>
          <w:color w:val="000000" w:themeColor="text1"/>
          <w:sz w:val="24"/>
          <w:szCs w:val="24"/>
        </w:rPr>
        <w:tab/>
        <w:t xml:space="preserve">Wang, Z.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Lithium anode interlayer design for all-solid-state lithium-metal batteries. </w:t>
      </w:r>
      <w:r w:rsidRPr="002657D1">
        <w:rPr>
          <w:rFonts w:ascii="Times New Roman" w:eastAsia="宋体" w:hAnsi="Times New Roman" w:cs="Times New Roman"/>
          <w:i/>
          <w:iCs/>
          <w:color w:val="000000" w:themeColor="text1"/>
          <w:sz w:val="24"/>
          <w:szCs w:val="24"/>
        </w:rPr>
        <w:t>Nat. Energy</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9</w:t>
      </w:r>
      <w:r w:rsidRPr="002657D1">
        <w:rPr>
          <w:rFonts w:ascii="Times New Roman" w:eastAsia="宋体" w:hAnsi="Times New Roman" w:cs="Times New Roman"/>
          <w:color w:val="000000" w:themeColor="text1"/>
          <w:sz w:val="24"/>
          <w:szCs w:val="24"/>
        </w:rPr>
        <w:t>, 251–262 (2024).</w:t>
      </w:r>
    </w:p>
    <w:p w14:paraId="5BF6CE49"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89.</w:t>
      </w:r>
      <w:r w:rsidRPr="002657D1">
        <w:rPr>
          <w:rFonts w:ascii="Times New Roman" w:eastAsia="宋体" w:hAnsi="Times New Roman" w:cs="Times New Roman"/>
          <w:color w:val="000000" w:themeColor="text1"/>
          <w:sz w:val="24"/>
          <w:szCs w:val="24"/>
        </w:rPr>
        <w:tab/>
        <w:t xml:space="preserve">Liu, C.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Electron Redistribution Enables Redox‐Resistible Li</w:t>
      </w:r>
      <w:r w:rsidRPr="002657D1">
        <w:rPr>
          <w:rFonts w:ascii="Times New Roman" w:eastAsia="宋体" w:hAnsi="Times New Roman" w:cs="Times New Roman"/>
          <w:color w:val="000000" w:themeColor="text1"/>
          <w:sz w:val="24"/>
          <w:szCs w:val="24"/>
          <w:vertAlign w:val="subscript"/>
        </w:rPr>
        <w:t>6</w:t>
      </w:r>
      <w:r w:rsidRPr="002657D1">
        <w:rPr>
          <w:rFonts w:ascii="Times New Roman" w:eastAsia="宋体" w:hAnsi="Times New Roman" w:cs="Times New Roman"/>
          <w:color w:val="000000" w:themeColor="text1"/>
          <w:sz w:val="24"/>
          <w:szCs w:val="24"/>
        </w:rPr>
        <w:t>PS</w:t>
      </w:r>
      <w:r w:rsidRPr="002657D1">
        <w:rPr>
          <w:rFonts w:ascii="Times New Roman" w:eastAsia="宋体" w:hAnsi="Times New Roman" w:cs="Times New Roman"/>
          <w:color w:val="000000" w:themeColor="text1"/>
          <w:sz w:val="24"/>
          <w:szCs w:val="24"/>
          <w:vertAlign w:val="subscript"/>
        </w:rPr>
        <w:t>5</w:t>
      </w:r>
      <w:r w:rsidRPr="002657D1">
        <w:rPr>
          <w:rFonts w:ascii="Times New Roman" w:eastAsia="宋体" w:hAnsi="Times New Roman" w:cs="Times New Roman"/>
          <w:color w:val="000000" w:themeColor="text1"/>
          <w:sz w:val="24"/>
          <w:szCs w:val="24"/>
        </w:rPr>
        <w:t xml:space="preserve">Cl towards High‐Performance All‐Solid‐State Lithium Batteries. </w:t>
      </w:r>
      <w:r w:rsidRPr="002657D1">
        <w:rPr>
          <w:rFonts w:ascii="Times New Roman" w:eastAsia="宋体" w:hAnsi="Times New Roman" w:cs="Times New Roman"/>
          <w:i/>
          <w:iCs/>
          <w:color w:val="000000" w:themeColor="text1"/>
          <w:sz w:val="24"/>
          <w:szCs w:val="24"/>
        </w:rPr>
        <w:t>Angew. Chem. Int. Ed.</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62</w:t>
      </w:r>
      <w:r w:rsidRPr="002657D1">
        <w:rPr>
          <w:rFonts w:ascii="Times New Roman" w:eastAsia="宋体" w:hAnsi="Times New Roman" w:cs="Times New Roman"/>
          <w:color w:val="000000" w:themeColor="text1"/>
          <w:sz w:val="24"/>
          <w:szCs w:val="24"/>
        </w:rPr>
        <w:t>, e202302655 (2023).</w:t>
      </w:r>
    </w:p>
    <w:p w14:paraId="2654A289"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90.</w:t>
      </w:r>
      <w:r w:rsidRPr="002657D1">
        <w:rPr>
          <w:rFonts w:ascii="Times New Roman" w:eastAsia="宋体" w:hAnsi="Times New Roman" w:cs="Times New Roman"/>
          <w:color w:val="000000" w:themeColor="text1"/>
          <w:sz w:val="24"/>
          <w:szCs w:val="24"/>
        </w:rPr>
        <w:tab/>
        <w:t xml:space="preserve">Xiong, B.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w:t>
      </w:r>
      <w:bookmarkStart w:id="155" w:name="OLE_LINK132"/>
      <w:r w:rsidRPr="002657D1">
        <w:rPr>
          <w:rFonts w:ascii="Times New Roman" w:eastAsia="宋体" w:hAnsi="Times New Roman" w:cs="Times New Roman"/>
          <w:color w:val="000000" w:themeColor="text1"/>
          <w:sz w:val="24"/>
          <w:szCs w:val="24"/>
        </w:rPr>
        <w:t>Long‐Life All‐Solid‐State Batteries Enabled by Cold‐Pressed Garnet Composite Electrolytes with Enhanced Li</w:t>
      </w:r>
      <w:r w:rsidRPr="002657D1">
        <w:rPr>
          <w:rFonts w:ascii="Times New Roman" w:eastAsia="宋体" w:hAnsi="Times New Roman" w:cs="Times New Roman"/>
          <w:color w:val="000000" w:themeColor="text1"/>
          <w:sz w:val="24"/>
          <w:szCs w:val="24"/>
          <w:vertAlign w:val="superscript"/>
        </w:rPr>
        <w:t>+</w:t>
      </w:r>
      <w:r w:rsidRPr="002657D1">
        <w:rPr>
          <w:rFonts w:ascii="Times New Roman" w:eastAsia="宋体" w:hAnsi="Times New Roman" w:cs="Times New Roman"/>
          <w:color w:val="000000" w:themeColor="text1"/>
          <w:sz w:val="24"/>
          <w:szCs w:val="24"/>
        </w:rPr>
        <w:t xml:space="preserve"> Conduction.</w:t>
      </w:r>
      <w:bookmarkEnd w:id="155"/>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i/>
          <w:iCs/>
          <w:color w:val="000000" w:themeColor="text1"/>
          <w:sz w:val="24"/>
          <w:szCs w:val="24"/>
        </w:rPr>
        <w:t>Angew. Chem. Int. Ed.</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137</w:t>
      </w:r>
      <w:r w:rsidRPr="002657D1">
        <w:rPr>
          <w:rFonts w:ascii="Times New Roman" w:eastAsia="宋体" w:hAnsi="Times New Roman" w:cs="Times New Roman"/>
          <w:color w:val="000000" w:themeColor="text1"/>
          <w:sz w:val="24"/>
          <w:szCs w:val="24"/>
        </w:rPr>
        <w:t>, e202413502 (2024).</w:t>
      </w:r>
    </w:p>
    <w:p w14:paraId="17EC1759"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91.</w:t>
      </w:r>
      <w:r w:rsidRPr="002657D1">
        <w:rPr>
          <w:rFonts w:ascii="Times New Roman" w:eastAsia="宋体" w:hAnsi="Times New Roman" w:cs="Times New Roman"/>
          <w:color w:val="000000" w:themeColor="text1"/>
          <w:sz w:val="24"/>
          <w:szCs w:val="24"/>
        </w:rPr>
        <w:tab/>
        <w:t xml:space="preserve">Liu, H.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G</w:t>
      </w:r>
      <w:bookmarkStart w:id="156" w:name="OLE_LINK133"/>
      <w:r w:rsidRPr="002657D1">
        <w:rPr>
          <w:rFonts w:ascii="Times New Roman" w:eastAsia="宋体" w:hAnsi="Times New Roman" w:cs="Times New Roman"/>
          <w:color w:val="000000" w:themeColor="text1"/>
          <w:sz w:val="24"/>
          <w:szCs w:val="24"/>
        </w:rPr>
        <w:t>eneralized Interphase Design for Stabilized Li/Inorganic Electrolyte Interfaces</w:t>
      </w:r>
      <w:bookmarkEnd w:id="156"/>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i/>
          <w:iCs/>
          <w:color w:val="000000" w:themeColor="text1"/>
          <w:sz w:val="24"/>
          <w:szCs w:val="24"/>
        </w:rPr>
        <w:t>Adv. Energy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14</w:t>
      </w:r>
      <w:r w:rsidRPr="002657D1">
        <w:rPr>
          <w:rFonts w:ascii="Times New Roman" w:eastAsia="宋体" w:hAnsi="Times New Roman" w:cs="Times New Roman"/>
          <w:color w:val="000000" w:themeColor="text1"/>
          <w:sz w:val="24"/>
          <w:szCs w:val="24"/>
        </w:rPr>
        <w:t>, 2402064 (2024).</w:t>
      </w:r>
    </w:p>
    <w:p w14:paraId="57485FF0"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lastRenderedPageBreak/>
        <w:t>92.</w:t>
      </w:r>
      <w:r w:rsidRPr="002657D1">
        <w:rPr>
          <w:rFonts w:ascii="Times New Roman" w:eastAsia="宋体" w:hAnsi="Times New Roman" w:cs="Times New Roman"/>
          <w:color w:val="000000" w:themeColor="text1"/>
          <w:sz w:val="24"/>
          <w:szCs w:val="24"/>
        </w:rPr>
        <w:tab/>
        <w:t xml:space="preserve">Duan, H.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In Situ Constructed 3D Lithium Anodes for Long‐Cycling All‐Solid‐State Batteries. </w:t>
      </w:r>
      <w:r w:rsidRPr="002657D1">
        <w:rPr>
          <w:rFonts w:ascii="Times New Roman" w:eastAsia="宋体" w:hAnsi="Times New Roman" w:cs="Times New Roman"/>
          <w:i/>
          <w:iCs/>
          <w:color w:val="000000" w:themeColor="text1"/>
          <w:sz w:val="24"/>
          <w:szCs w:val="24"/>
        </w:rPr>
        <w:t>Adv. Energy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13</w:t>
      </w:r>
      <w:r w:rsidRPr="002657D1">
        <w:rPr>
          <w:rFonts w:ascii="Times New Roman" w:eastAsia="宋体" w:hAnsi="Times New Roman" w:cs="Times New Roman"/>
          <w:color w:val="000000" w:themeColor="text1"/>
          <w:sz w:val="24"/>
          <w:szCs w:val="24"/>
        </w:rPr>
        <w:t>, 2300815 (2023).</w:t>
      </w:r>
    </w:p>
    <w:p w14:paraId="0E955348"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93.</w:t>
      </w:r>
      <w:r w:rsidRPr="002657D1">
        <w:rPr>
          <w:rFonts w:ascii="Times New Roman" w:eastAsia="宋体" w:hAnsi="Times New Roman" w:cs="Times New Roman"/>
          <w:color w:val="000000" w:themeColor="text1"/>
          <w:sz w:val="24"/>
          <w:szCs w:val="24"/>
        </w:rPr>
        <w:tab/>
        <w:t xml:space="preserve">Jiang, Z.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Insights on Bi-O dual-doped Li</w:t>
      </w:r>
      <w:r w:rsidRPr="002657D1">
        <w:rPr>
          <w:rFonts w:ascii="Times New Roman" w:eastAsia="宋体" w:hAnsi="Times New Roman" w:cs="Times New Roman"/>
          <w:color w:val="000000" w:themeColor="text1"/>
          <w:sz w:val="24"/>
          <w:szCs w:val="24"/>
          <w:vertAlign w:val="subscript"/>
        </w:rPr>
        <w:t>5.5</w:t>
      </w:r>
      <w:r w:rsidRPr="002657D1">
        <w:rPr>
          <w:rFonts w:ascii="Times New Roman" w:eastAsia="宋体" w:hAnsi="Times New Roman" w:cs="Times New Roman"/>
          <w:color w:val="000000" w:themeColor="text1"/>
          <w:sz w:val="24"/>
          <w:szCs w:val="24"/>
        </w:rPr>
        <w:t>PS</w:t>
      </w:r>
      <w:r w:rsidRPr="002657D1">
        <w:rPr>
          <w:rFonts w:ascii="Times New Roman" w:eastAsia="宋体" w:hAnsi="Times New Roman" w:cs="Times New Roman"/>
          <w:color w:val="000000" w:themeColor="text1"/>
          <w:sz w:val="24"/>
          <w:szCs w:val="24"/>
          <w:vertAlign w:val="subscript"/>
        </w:rPr>
        <w:t>4.5</w:t>
      </w:r>
      <w:r w:rsidRPr="002657D1">
        <w:rPr>
          <w:rFonts w:ascii="Times New Roman" w:eastAsia="宋体" w:hAnsi="Times New Roman" w:cs="Times New Roman"/>
          <w:color w:val="000000" w:themeColor="text1"/>
          <w:sz w:val="24"/>
          <w:szCs w:val="24"/>
        </w:rPr>
        <w:t>Cl</w:t>
      </w:r>
      <w:r w:rsidRPr="002657D1">
        <w:rPr>
          <w:rFonts w:ascii="Times New Roman" w:eastAsia="宋体" w:hAnsi="Times New Roman" w:cs="Times New Roman"/>
          <w:color w:val="000000" w:themeColor="text1"/>
          <w:sz w:val="24"/>
          <w:szCs w:val="24"/>
          <w:vertAlign w:val="subscript"/>
        </w:rPr>
        <w:t>1.5</w:t>
      </w:r>
      <w:r w:rsidRPr="002657D1">
        <w:rPr>
          <w:rFonts w:ascii="Times New Roman" w:eastAsia="宋体" w:hAnsi="Times New Roman" w:cs="Times New Roman"/>
          <w:color w:val="000000" w:themeColor="text1"/>
          <w:sz w:val="24"/>
          <w:szCs w:val="24"/>
        </w:rPr>
        <w:t xml:space="preserve"> electrolyte with enhanced electrochemical properties for all-solid-state lithium metal batteries. </w:t>
      </w:r>
      <w:r w:rsidRPr="002657D1">
        <w:rPr>
          <w:rFonts w:ascii="Times New Roman" w:eastAsia="宋体" w:hAnsi="Times New Roman" w:cs="Times New Roman"/>
          <w:i/>
          <w:iCs/>
          <w:color w:val="000000" w:themeColor="text1"/>
          <w:sz w:val="24"/>
          <w:szCs w:val="24"/>
        </w:rPr>
        <w:t>Nano Energy</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128</w:t>
      </w:r>
      <w:r w:rsidRPr="002657D1">
        <w:rPr>
          <w:rFonts w:ascii="Times New Roman" w:eastAsia="宋体" w:hAnsi="Times New Roman" w:cs="Times New Roman"/>
          <w:color w:val="000000" w:themeColor="text1"/>
          <w:sz w:val="24"/>
          <w:szCs w:val="24"/>
        </w:rPr>
        <w:t>, 109926 (2024).</w:t>
      </w:r>
    </w:p>
    <w:p w14:paraId="11A8A383"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94.</w:t>
      </w:r>
      <w:r w:rsidRPr="002657D1">
        <w:rPr>
          <w:rFonts w:ascii="Times New Roman" w:eastAsia="宋体" w:hAnsi="Times New Roman" w:cs="Times New Roman"/>
          <w:color w:val="000000" w:themeColor="text1"/>
          <w:sz w:val="24"/>
          <w:szCs w:val="24"/>
        </w:rPr>
        <w:tab/>
        <w:t xml:space="preserve">Hao, X.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Regulating Ion Diffusion and Stability in Amorphous Thiosilicate‐Based Solid Electrolytes Through Edge‐Sharing Local Structures. </w:t>
      </w:r>
      <w:r w:rsidRPr="002657D1">
        <w:rPr>
          <w:rFonts w:ascii="Times New Roman" w:eastAsia="宋体" w:hAnsi="Times New Roman" w:cs="Times New Roman"/>
          <w:i/>
          <w:iCs/>
          <w:color w:val="000000" w:themeColor="text1"/>
          <w:sz w:val="24"/>
          <w:szCs w:val="24"/>
        </w:rPr>
        <w:t>Adv. Energy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14</w:t>
      </w:r>
      <w:r w:rsidRPr="002657D1">
        <w:rPr>
          <w:rFonts w:ascii="Times New Roman" w:eastAsia="宋体" w:hAnsi="Times New Roman" w:cs="Times New Roman"/>
          <w:color w:val="000000" w:themeColor="text1"/>
          <w:sz w:val="24"/>
          <w:szCs w:val="24"/>
        </w:rPr>
        <w:t>, 2304556 (2024).</w:t>
      </w:r>
    </w:p>
    <w:p w14:paraId="0D958E77"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95.</w:t>
      </w:r>
      <w:r w:rsidRPr="002657D1">
        <w:rPr>
          <w:rFonts w:ascii="Times New Roman" w:eastAsia="宋体" w:hAnsi="Times New Roman" w:cs="Times New Roman"/>
          <w:color w:val="000000" w:themeColor="text1"/>
          <w:sz w:val="24"/>
          <w:szCs w:val="24"/>
        </w:rPr>
        <w:tab/>
        <w:t xml:space="preserve">Wang, C.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Enhanced Air Stability and Li Metal Compatibility of Li‐Argyrodite Electrolytes Triggered by In</w:t>
      </w:r>
      <w:r w:rsidRPr="002657D1">
        <w:rPr>
          <w:rFonts w:ascii="Times New Roman" w:eastAsia="宋体" w:hAnsi="Times New Roman" w:cs="Times New Roman"/>
          <w:color w:val="000000" w:themeColor="text1"/>
          <w:sz w:val="24"/>
          <w:szCs w:val="24"/>
          <w:vertAlign w:val="subscript"/>
        </w:rPr>
        <w:t>2</w:t>
      </w:r>
      <w:r w:rsidRPr="002657D1">
        <w:rPr>
          <w:rFonts w:ascii="Times New Roman" w:eastAsia="宋体" w:hAnsi="Times New Roman" w:cs="Times New Roman"/>
          <w:color w:val="000000" w:themeColor="text1"/>
          <w:sz w:val="24"/>
          <w:szCs w:val="24"/>
        </w:rPr>
        <w:t>O</w:t>
      </w:r>
      <w:r w:rsidRPr="002657D1">
        <w:rPr>
          <w:rFonts w:ascii="Times New Roman" w:eastAsia="宋体" w:hAnsi="Times New Roman" w:cs="Times New Roman"/>
          <w:color w:val="000000" w:themeColor="text1"/>
          <w:sz w:val="24"/>
          <w:szCs w:val="24"/>
          <w:vertAlign w:val="subscript"/>
        </w:rPr>
        <w:t>3</w:t>
      </w:r>
      <w:r w:rsidRPr="002657D1">
        <w:rPr>
          <w:rFonts w:ascii="Times New Roman" w:eastAsia="宋体" w:hAnsi="Times New Roman" w:cs="Times New Roman"/>
          <w:color w:val="000000" w:themeColor="text1"/>
          <w:sz w:val="24"/>
          <w:szCs w:val="24"/>
        </w:rPr>
        <w:t xml:space="preserve"> Co‐Doping for All‐Solid‐State Li Metal Batteries. </w:t>
      </w:r>
      <w:r w:rsidRPr="002657D1">
        <w:rPr>
          <w:rFonts w:ascii="Times New Roman" w:eastAsia="宋体" w:hAnsi="Times New Roman" w:cs="Times New Roman"/>
          <w:i/>
          <w:iCs/>
          <w:color w:val="000000" w:themeColor="text1"/>
          <w:sz w:val="24"/>
          <w:szCs w:val="24"/>
        </w:rPr>
        <w:t>Adv. Funct.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34</w:t>
      </w:r>
      <w:r w:rsidRPr="002657D1">
        <w:rPr>
          <w:rFonts w:ascii="Times New Roman" w:eastAsia="宋体" w:hAnsi="Times New Roman" w:cs="Times New Roman"/>
          <w:color w:val="000000" w:themeColor="text1"/>
          <w:sz w:val="24"/>
          <w:szCs w:val="24"/>
        </w:rPr>
        <w:t>, 2313308 (2024).</w:t>
      </w:r>
    </w:p>
    <w:p w14:paraId="3D8735B6"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96.</w:t>
      </w:r>
      <w:r w:rsidRPr="002657D1">
        <w:rPr>
          <w:rFonts w:ascii="Times New Roman" w:eastAsia="宋体" w:hAnsi="Times New Roman" w:cs="Times New Roman"/>
          <w:color w:val="000000" w:themeColor="text1"/>
          <w:sz w:val="24"/>
          <w:szCs w:val="24"/>
        </w:rPr>
        <w:tab/>
        <w:t>Park, S. H., Hwang, Y. Y., Park, I., Park, H. B. &amp; Lee, Y. J. Mechano-chemical solution process for Li</w:t>
      </w:r>
      <w:r w:rsidRPr="002657D1">
        <w:rPr>
          <w:rFonts w:ascii="Times New Roman" w:eastAsia="宋体" w:hAnsi="Times New Roman" w:cs="Times New Roman"/>
          <w:color w:val="000000" w:themeColor="text1"/>
          <w:sz w:val="24"/>
          <w:szCs w:val="24"/>
          <w:vertAlign w:val="subscript"/>
        </w:rPr>
        <w:t>3</w:t>
      </w:r>
      <w:r w:rsidRPr="002657D1">
        <w:rPr>
          <w:rFonts w:ascii="Times New Roman" w:eastAsia="宋体" w:hAnsi="Times New Roman" w:cs="Times New Roman"/>
          <w:color w:val="000000" w:themeColor="text1"/>
          <w:sz w:val="24"/>
          <w:szCs w:val="24"/>
        </w:rPr>
        <w:t>PS</w:t>
      </w:r>
      <w:r w:rsidRPr="002657D1">
        <w:rPr>
          <w:rFonts w:ascii="Times New Roman" w:eastAsia="宋体" w:hAnsi="Times New Roman" w:cs="Times New Roman"/>
          <w:color w:val="000000" w:themeColor="text1"/>
          <w:sz w:val="24"/>
          <w:szCs w:val="24"/>
          <w:vertAlign w:val="subscript"/>
        </w:rPr>
        <w:t>4</w:t>
      </w:r>
      <w:r w:rsidRPr="002657D1">
        <w:rPr>
          <w:rFonts w:ascii="Times New Roman" w:eastAsia="宋体" w:hAnsi="Times New Roman" w:cs="Times New Roman"/>
          <w:color w:val="000000" w:themeColor="text1"/>
          <w:sz w:val="24"/>
          <w:szCs w:val="24"/>
        </w:rPr>
        <w:t xml:space="preserve"> solid electrolyte using dibromomethane for enhanced conductivity and cyclability in all-solid-state batteries. </w:t>
      </w:r>
      <w:r w:rsidRPr="002657D1">
        <w:rPr>
          <w:rFonts w:ascii="Times New Roman" w:eastAsia="宋体" w:hAnsi="Times New Roman" w:cs="Times New Roman"/>
          <w:i/>
          <w:iCs/>
          <w:color w:val="000000" w:themeColor="text1"/>
          <w:sz w:val="24"/>
          <w:szCs w:val="24"/>
        </w:rPr>
        <w:t>Energy Storage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63</w:t>
      </w:r>
      <w:r w:rsidRPr="002657D1">
        <w:rPr>
          <w:rFonts w:ascii="Times New Roman" w:eastAsia="宋体" w:hAnsi="Times New Roman" w:cs="Times New Roman"/>
          <w:color w:val="000000" w:themeColor="text1"/>
          <w:sz w:val="24"/>
          <w:szCs w:val="24"/>
        </w:rPr>
        <w:t>, 102985 (2023).</w:t>
      </w:r>
    </w:p>
    <w:p w14:paraId="07244FBA"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97.</w:t>
      </w:r>
      <w:r w:rsidRPr="002657D1">
        <w:rPr>
          <w:rFonts w:ascii="Times New Roman" w:eastAsia="宋体" w:hAnsi="Times New Roman" w:cs="Times New Roman"/>
          <w:color w:val="000000" w:themeColor="text1"/>
          <w:sz w:val="24"/>
          <w:szCs w:val="24"/>
        </w:rPr>
        <w:tab/>
        <w:t xml:space="preserve">Liu, H.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High Air Stability and Excellent Li Metal Compatibility of Argyrodite‐Based Electrolyte Enabling Superior All‐Solid‐State Li Metal Batteries. </w:t>
      </w:r>
      <w:r w:rsidRPr="002657D1">
        <w:rPr>
          <w:rFonts w:ascii="Times New Roman" w:eastAsia="宋体" w:hAnsi="Times New Roman" w:cs="Times New Roman"/>
          <w:i/>
          <w:iCs/>
          <w:color w:val="000000" w:themeColor="text1"/>
          <w:sz w:val="24"/>
          <w:szCs w:val="24"/>
        </w:rPr>
        <w:t>Adv. Funct.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32</w:t>
      </w:r>
      <w:r w:rsidRPr="002657D1">
        <w:rPr>
          <w:rFonts w:ascii="Times New Roman" w:eastAsia="宋体" w:hAnsi="Times New Roman" w:cs="Times New Roman"/>
          <w:color w:val="000000" w:themeColor="text1"/>
          <w:sz w:val="24"/>
          <w:szCs w:val="24"/>
        </w:rPr>
        <w:t>, 2203858 (2022).</w:t>
      </w:r>
    </w:p>
    <w:p w14:paraId="1713466C" w14:textId="7DA60019"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98.</w:t>
      </w:r>
      <w:r w:rsidRPr="002657D1">
        <w:rPr>
          <w:rFonts w:ascii="Times New Roman" w:eastAsia="宋体" w:hAnsi="Times New Roman" w:cs="Times New Roman"/>
          <w:color w:val="000000" w:themeColor="text1"/>
          <w:sz w:val="24"/>
          <w:szCs w:val="24"/>
        </w:rPr>
        <w:tab/>
        <w:t>Ni, Y., Huang, C., Liu, H., Liang, Y. &amp; Fan, L. A High Air‐Stability and Li‐Metal‐Compatible Li</w:t>
      </w:r>
      <w:r w:rsidRPr="002657D1">
        <w:rPr>
          <w:rFonts w:ascii="Times New Roman" w:eastAsia="宋体" w:hAnsi="Times New Roman" w:cs="Times New Roman"/>
          <w:color w:val="000000" w:themeColor="text1"/>
          <w:sz w:val="24"/>
          <w:szCs w:val="24"/>
          <w:vertAlign w:val="subscript"/>
        </w:rPr>
        <w:t>3+2</w:t>
      </w:r>
      <w:r w:rsidR="00CE0C9A">
        <w:rPr>
          <w:rFonts w:ascii="Times New Roman" w:eastAsia="宋体" w:hAnsi="Times New Roman" w:cs="Times New Roman"/>
          <w:i/>
          <w:iCs/>
          <w:sz w:val="24"/>
          <w:szCs w:val="24"/>
          <w:vertAlign w:val="subscript"/>
        </w:rPr>
        <w:t>x</w:t>
      </w:r>
      <w:r w:rsidRPr="002657D1">
        <w:rPr>
          <w:rFonts w:ascii="Times New Roman" w:eastAsia="宋体" w:hAnsi="Times New Roman" w:cs="Times New Roman"/>
          <w:color w:val="000000" w:themeColor="text1"/>
          <w:sz w:val="24"/>
          <w:szCs w:val="24"/>
        </w:rPr>
        <w:t>P</w:t>
      </w:r>
      <w:r w:rsidRPr="002657D1">
        <w:rPr>
          <w:rFonts w:ascii="Times New Roman" w:eastAsia="宋体" w:hAnsi="Times New Roman" w:cs="Times New Roman"/>
          <w:color w:val="000000" w:themeColor="text1"/>
          <w:sz w:val="24"/>
          <w:szCs w:val="24"/>
          <w:vertAlign w:val="subscript"/>
        </w:rPr>
        <w:t>1−</w:t>
      </w:r>
      <w:r w:rsidR="00CE0C9A">
        <w:rPr>
          <w:rFonts w:ascii="Times New Roman" w:eastAsia="宋体" w:hAnsi="Times New Roman" w:cs="Times New Roman"/>
          <w:i/>
          <w:iCs/>
          <w:sz w:val="24"/>
          <w:szCs w:val="24"/>
          <w:vertAlign w:val="subscript"/>
        </w:rPr>
        <w:t>x</w:t>
      </w:r>
      <w:r w:rsidRPr="002657D1">
        <w:rPr>
          <w:rFonts w:ascii="Times New Roman" w:eastAsia="宋体" w:hAnsi="Times New Roman" w:cs="Times New Roman"/>
          <w:color w:val="000000" w:themeColor="text1"/>
          <w:sz w:val="24"/>
          <w:szCs w:val="24"/>
        </w:rPr>
        <w:t>Bi</w:t>
      </w:r>
      <w:r w:rsidR="00CE0C9A">
        <w:rPr>
          <w:rFonts w:ascii="Times New Roman" w:eastAsia="宋体" w:hAnsi="Times New Roman" w:cs="Times New Roman"/>
          <w:i/>
          <w:iCs/>
          <w:sz w:val="24"/>
          <w:szCs w:val="24"/>
          <w:vertAlign w:val="subscript"/>
        </w:rPr>
        <w:t>x</w:t>
      </w:r>
      <w:r w:rsidRPr="002657D1">
        <w:rPr>
          <w:rFonts w:ascii="Times New Roman" w:eastAsia="宋体" w:hAnsi="Times New Roman" w:cs="Times New Roman"/>
          <w:color w:val="000000" w:themeColor="text1"/>
          <w:sz w:val="24"/>
          <w:szCs w:val="24"/>
        </w:rPr>
        <w:t>S</w:t>
      </w:r>
      <w:r w:rsidRPr="002657D1">
        <w:rPr>
          <w:rFonts w:ascii="Times New Roman" w:eastAsia="宋体" w:hAnsi="Times New Roman" w:cs="Times New Roman"/>
          <w:color w:val="000000" w:themeColor="text1"/>
          <w:sz w:val="24"/>
          <w:szCs w:val="24"/>
          <w:vertAlign w:val="subscript"/>
        </w:rPr>
        <w:t>4−1.5x</w:t>
      </w:r>
      <w:r w:rsidRPr="002657D1">
        <w:rPr>
          <w:rFonts w:ascii="Times New Roman" w:eastAsia="宋体" w:hAnsi="Times New Roman" w:cs="Times New Roman"/>
          <w:color w:val="000000" w:themeColor="text1"/>
          <w:sz w:val="24"/>
          <w:szCs w:val="24"/>
        </w:rPr>
        <w:t>O</w:t>
      </w:r>
      <w:r w:rsidRPr="002657D1">
        <w:rPr>
          <w:rFonts w:ascii="Times New Roman" w:eastAsia="宋体" w:hAnsi="Times New Roman" w:cs="Times New Roman"/>
          <w:color w:val="000000" w:themeColor="text1"/>
          <w:sz w:val="24"/>
          <w:szCs w:val="24"/>
          <w:vertAlign w:val="subscript"/>
        </w:rPr>
        <w:t>1.5</w:t>
      </w:r>
      <w:r w:rsidR="00CE0C9A">
        <w:rPr>
          <w:rFonts w:ascii="Times New Roman" w:eastAsia="宋体" w:hAnsi="Times New Roman" w:cs="Times New Roman"/>
          <w:i/>
          <w:iCs/>
          <w:sz w:val="24"/>
          <w:szCs w:val="24"/>
          <w:vertAlign w:val="subscript"/>
        </w:rPr>
        <w:t>x</w:t>
      </w:r>
      <w:r w:rsidRPr="002657D1">
        <w:rPr>
          <w:rFonts w:ascii="Times New Roman" w:eastAsia="宋体" w:hAnsi="Times New Roman" w:cs="Times New Roman"/>
          <w:color w:val="000000" w:themeColor="text1"/>
          <w:sz w:val="24"/>
          <w:szCs w:val="24"/>
        </w:rPr>
        <w:t xml:space="preserve"> Sulfide Electrolyte for All‐Solid‐State Li–Metal Batteries. </w:t>
      </w:r>
      <w:r w:rsidRPr="002657D1">
        <w:rPr>
          <w:rFonts w:ascii="Times New Roman" w:eastAsia="宋体" w:hAnsi="Times New Roman" w:cs="Times New Roman"/>
          <w:i/>
          <w:iCs/>
          <w:color w:val="000000" w:themeColor="text1"/>
          <w:sz w:val="24"/>
          <w:szCs w:val="24"/>
        </w:rPr>
        <w:t>Adv. Funct.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32</w:t>
      </w:r>
      <w:r w:rsidRPr="002657D1">
        <w:rPr>
          <w:rFonts w:ascii="Times New Roman" w:eastAsia="宋体" w:hAnsi="Times New Roman" w:cs="Times New Roman"/>
          <w:color w:val="000000" w:themeColor="text1"/>
          <w:sz w:val="24"/>
          <w:szCs w:val="24"/>
        </w:rPr>
        <w:t>, 2205998 (2022).</w:t>
      </w:r>
    </w:p>
    <w:p w14:paraId="59816B62"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99.</w:t>
      </w:r>
      <w:r w:rsidRPr="002657D1">
        <w:rPr>
          <w:rFonts w:ascii="Times New Roman" w:eastAsia="宋体" w:hAnsi="Times New Roman" w:cs="Times New Roman"/>
          <w:color w:val="000000" w:themeColor="text1"/>
          <w:sz w:val="24"/>
          <w:szCs w:val="24"/>
        </w:rPr>
        <w:tab/>
        <w:t xml:space="preserve">Su, H.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Stabilizing the interphase between Li and Argyrodite electrolyte </w:t>
      </w:r>
      <w:r w:rsidRPr="002657D1">
        <w:rPr>
          <w:rFonts w:ascii="Times New Roman" w:eastAsia="宋体" w:hAnsi="Times New Roman" w:cs="Times New Roman"/>
          <w:color w:val="000000" w:themeColor="text1"/>
          <w:sz w:val="24"/>
          <w:szCs w:val="24"/>
        </w:rPr>
        <w:lastRenderedPageBreak/>
        <w:t xml:space="preserve">through synergistic phosphating process for all-solid-state lithium batteries. </w:t>
      </w:r>
      <w:r w:rsidRPr="002657D1">
        <w:rPr>
          <w:rFonts w:ascii="Times New Roman" w:eastAsia="宋体" w:hAnsi="Times New Roman" w:cs="Times New Roman"/>
          <w:i/>
          <w:iCs/>
          <w:color w:val="000000" w:themeColor="text1"/>
          <w:sz w:val="24"/>
          <w:szCs w:val="24"/>
        </w:rPr>
        <w:t>Nano Energy</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96</w:t>
      </w:r>
      <w:r w:rsidRPr="002657D1">
        <w:rPr>
          <w:rFonts w:ascii="Times New Roman" w:eastAsia="宋体" w:hAnsi="Times New Roman" w:cs="Times New Roman"/>
          <w:color w:val="000000" w:themeColor="text1"/>
          <w:sz w:val="24"/>
          <w:szCs w:val="24"/>
        </w:rPr>
        <w:t>, 107104 (2022).</w:t>
      </w:r>
    </w:p>
    <w:p w14:paraId="550179C0"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100. Liu, Y.</w:t>
      </w:r>
      <w:bookmarkStart w:id="157" w:name="OLE_LINK134"/>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w:t>
      </w:r>
      <w:bookmarkEnd w:id="157"/>
      <w:r w:rsidRPr="002657D1">
        <w:rPr>
          <w:rFonts w:ascii="Times New Roman" w:eastAsia="宋体" w:hAnsi="Times New Roman" w:cs="Times New Roman"/>
          <w:color w:val="000000" w:themeColor="text1"/>
          <w:sz w:val="24"/>
          <w:szCs w:val="24"/>
        </w:rPr>
        <w:t xml:space="preserve">Ultrafast Synthesis of I‐Rich Lithium Argyrodite Glass–Ceramic Electrolyte with High Ionic Conductivity. </w:t>
      </w:r>
      <w:r w:rsidRPr="002657D1">
        <w:rPr>
          <w:rFonts w:ascii="Times New Roman" w:eastAsia="宋体" w:hAnsi="Times New Roman" w:cs="Times New Roman"/>
          <w:i/>
          <w:iCs/>
          <w:color w:val="000000" w:themeColor="text1"/>
          <w:sz w:val="24"/>
          <w:szCs w:val="24"/>
        </w:rPr>
        <w:t>Adv.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34</w:t>
      </w:r>
      <w:r w:rsidRPr="002657D1">
        <w:rPr>
          <w:rFonts w:ascii="Times New Roman" w:eastAsia="宋体" w:hAnsi="Times New Roman" w:cs="Times New Roman"/>
          <w:color w:val="000000" w:themeColor="text1"/>
          <w:sz w:val="24"/>
          <w:szCs w:val="24"/>
        </w:rPr>
        <w:t>, 2107346 (2022).</w:t>
      </w:r>
    </w:p>
    <w:p w14:paraId="34A88AD9"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 xml:space="preserve">101. Su, H.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Deciphering the critical role of interstitial volume in glassy sulfide superionic conductors. </w:t>
      </w:r>
      <w:r w:rsidRPr="002657D1">
        <w:rPr>
          <w:rFonts w:ascii="Times New Roman" w:eastAsia="宋体" w:hAnsi="Times New Roman" w:cs="Times New Roman"/>
          <w:i/>
          <w:iCs/>
          <w:color w:val="000000" w:themeColor="text1"/>
          <w:sz w:val="24"/>
          <w:szCs w:val="24"/>
        </w:rPr>
        <w:t>Nat. Commun.</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15</w:t>
      </w:r>
      <w:r w:rsidRPr="002657D1">
        <w:rPr>
          <w:rFonts w:ascii="Times New Roman" w:eastAsia="宋体" w:hAnsi="Times New Roman" w:cs="Times New Roman"/>
          <w:color w:val="000000" w:themeColor="text1"/>
          <w:sz w:val="24"/>
          <w:szCs w:val="24"/>
        </w:rPr>
        <w:t>, 2552 (2024).</w:t>
      </w:r>
    </w:p>
    <w:p w14:paraId="40E38757"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 xml:space="preserve">102. Li, Y.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Engineering high-performance argyrodite sulfide electrolytes via metal halide doping for all-solid-state lithium metal batteries. </w:t>
      </w:r>
      <w:r w:rsidRPr="002657D1">
        <w:rPr>
          <w:rFonts w:ascii="Times New Roman" w:eastAsia="宋体" w:hAnsi="Times New Roman" w:cs="Times New Roman"/>
          <w:i/>
          <w:iCs/>
          <w:color w:val="000000" w:themeColor="text1"/>
          <w:sz w:val="24"/>
          <w:szCs w:val="24"/>
        </w:rPr>
        <w:t>Energy Storage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77</w:t>
      </w:r>
      <w:r w:rsidRPr="002657D1">
        <w:rPr>
          <w:rFonts w:ascii="Times New Roman" w:eastAsia="宋体" w:hAnsi="Times New Roman" w:cs="Times New Roman"/>
          <w:color w:val="000000" w:themeColor="text1"/>
          <w:sz w:val="24"/>
          <w:szCs w:val="24"/>
        </w:rPr>
        <w:t>, 104221 (2025).</w:t>
      </w:r>
    </w:p>
    <w:p w14:paraId="73CBECA5"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 xml:space="preserve">103. Hu, X.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A Lithium Intrusion‐Blocking Interfacial Shield for Wide‐Pressure‐Range Solid‐State Lithium Metal Batteries. </w:t>
      </w:r>
      <w:r w:rsidRPr="002657D1">
        <w:rPr>
          <w:rFonts w:ascii="Times New Roman" w:eastAsia="宋体" w:hAnsi="Times New Roman" w:cs="Times New Roman"/>
          <w:i/>
          <w:iCs/>
          <w:color w:val="000000" w:themeColor="text1"/>
          <w:sz w:val="24"/>
          <w:szCs w:val="24"/>
        </w:rPr>
        <w:t>Adv.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36</w:t>
      </w:r>
      <w:r w:rsidRPr="002657D1">
        <w:rPr>
          <w:rFonts w:ascii="Times New Roman" w:eastAsia="宋体" w:hAnsi="Times New Roman" w:cs="Times New Roman"/>
          <w:color w:val="000000" w:themeColor="text1"/>
          <w:sz w:val="24"/>
          <w:szCs w:val="24"/>
        </w:rPr>
        <w:t>, 2308275 (2024).</w:t>
      </w:r>
    </w:p>
    <w:p w14:paraId="71426030"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104.</w:t>
      </w:r>
      <w:r w:rsidRPr="002657D1">
        <w:rPr>
          <w:rFonts w:ascii="Times New Roman" w:eastAsia="宋体" w:hAnsi="Times New Roman" w:cs="Times New Roman"/>
          <w:color w:val="000000" w:themeColor="text1"/>
          <w:sz w:val="24"/>
          <w:szCs w:val="24"/>
        </w:rPr>
        <w:tab/>
        <w:t xml:space="preserve">Xiong, B.-Q.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Field-responsive grain boundary against dendrite penetration for all-solid-state batteries. </w:t>
      </w:r>
      <w:r w:rsidRPr="002657D1">
        <w:rPr>
          <w:rFonts w:ascii="Times New Roman" w:eastAsia="宋体" w:hAnsi="Times New Roman" w:cs="Times New Roman"/>
          <w:i/>
          <w:iCs/>
          <w:color w:val="000000" w:themeColor="text1"/>
          <w:sz w:val="24"/>
          <w:szCs w:val="24"/>
        </w:rPr>
        <w:t>Energy Environ. Sci.</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17</w:t>
      </w:r>
      <w:r w:rsidRPr="002657D1">
        <w:rPr>
          <w:rFonts w:ascii="Times New Roman" w:eastAsia="宋体" w:hAnsi="Times New Roman" w:cs="Times New Roman"/>
          <w:color w:val="000000" w:themeColor="text1"/>
          <w:sz w:val="24"/>
          <w:szCs w:val="24"/>
        </w:rPr>
        <w:t>, 6707–6716 (2024).</w:t>
      </w:r>
    </w:p>
    <w:p w14:paraId="1A710129"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 xml:space="preserve">105. Zou, P., Wang, C., He, Y. &amp; Xin, H. L. Broadening solid ionic conductor selection for sustainable and earth-abundant solid-state lithium metal batteries. </w:t>
      </w:r>
      <w:r w:rsidRPr="002657D1">
        <w:rPr>
          <w:rFonts w:ascii="Times New Roman" w:eastAsia="宋体" w:hAnsi="Times New Roman" w:cs="Times New Roman"/>
          <w:i/>
          <w:iCs/>
          <w:color w:val="000000" w:themeColor="text1"/>
          <w:sz w:val="24"/>
          <w:szCs w:val="24"/>
        </w:rPr>
        <w:t>Energy Environ. Sci.</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16</w:t>
      </w:r>
      <w:r w:rsidRPr="002657D1">
        <w:rPr>
          <w:rFonts w:ascii="Times New Roman" w:eastAsia="宋体" w:hAnsi="Times New Roman" w:cs="Times New Roman"/>
          <w:color w:val="000000" w:themeColor="text1"/>
          <w:sz w:val="24"/>
          <w:szCs w:val="24"/>
        </w:rPr>
        <w:t>, 5871–5880 (2023).</w:t>
      </w:r>
    </w:p>
    <w:p w14:paraId="7C462EC6"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 xml:space="preserve">106. Zhang, C.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An electron-blocking interface for garnet-based quasi-solid-state lithium-metal batteries to improve lifespan. </w:t>
      </w:r>
      <w:r w:rsidRPr="002657D1">
        <w:rPr>
          <w:rFonts w:ascii="Times New Roman" w:eastAsia="宋体" w:hAnsi="Times New Roman" w:cs="Times New Roman"/>
          <w:i/>
          <w:iCs/>
          <w:color w:val="000000" w:themeColor="text1"/>
          <w:sz w:val="24"/>
          <w:szCs w:val="24"/>
        </w:rPr>
        <w:t>Nat. Commun.</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15</w:t>
      </w:r>
      <w:r w:rsidRPr="002657D1">
        <w:rPr>
          <w:rFonts w:ascii="Times New Roman" w:eastAsia="宋体" w:hAnsi="Times New Roman" w:cs="Times New Roman"/>
          <w:color w:val="000000" w:themeColor="text1"/>
          <w:sz w:val="24"/>
          <w:szCs w:val="24"/>
        </w:rPr>
        <w:t>, 5325 (2024).</w:t>
      </w:r>
    </w:p>
    <w:p w14:paraId="2B7D5A91"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 xml:space="preserve">107. Zhu, F.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w:t>
      </w:r>
      <w:bookmarkStart w:id="158" w:name="OLE_LINK135"/>
      <w:r w:rsidRPr="002657D1">
        <w:rPr>
          <w:rFonts w:ascii="Times New Roman" w:eastAsia="宋体" w:hAnsi="Times New Roman" w:cs="Times New Roman"/>
          <w:color w:val="000000" w:themeColor="text1"/>
          <w:sz w:val="24"/>
          <w:szCs w:val="24"/>
        </w:rPr>
        <w:t>Harmonized Interphase Refinement for Robust Garnet Solid‐State Batteries.</w:t>
      </w:r>
      <w:bookmarkEnd w:id="158"/>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i/>
          <w:iCs/>
          <w:color w:val="000000" w:themeColor="text1"/>
          <w:sz w:val="24"/>
          <w:szCs w:val="24"/>
        </w:rPr>
        <w:t>Adv. Funct.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34</w:t>
      </w:r>
      <w:r w:rsidRPr="002657D1">
        <w:rPr>
          <w:rFonts w:ascii="Times New Roman" w:eastAsia="宋体" w:hAnsi="Times New Roman" w:cs="Times New Roman"/>
          <w:color w:val="000000" w:themeColor="text1"/>
          <w:sz w:val="24"/>
          <w:szCs w:val="24"/>
        </w:rPr>
        <w:t>, 2411737 (2024).</w:t>
      </w:r>
    </w:p>
    <w:p w14:paraId="0308313D"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 xml:space="preserve">108. Ji, W.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Interface engineering enabling thin lithium metal electrodes down to 0.78 μm for garnet-type solid-state batteries. </w:t>
      </w:r>
      <w:r w:rsidRPr="002657D1">
        <w:rPr>
          <w:rFonts w:ascii="Times New Roman" w:eastAsia="宋体" w:hAnsi="Times New Roman" w:cs="Times New Roman"/>
          <w:i/>
          <w:iCs/>
          <w:color w:val="000000" w:themeColor="text1"/>
          <w:sz w:val="24"/>
          <w:szCs w:val="24"/>
        </w:rPr>
        <w:t>Nat. Commun.</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15</w:t>
      </w:r>
      <w:r w:rsidRPr="002657D1">
        <w:rPr>
          <w:rFonts w:ascii="Times New Roman" w:eastAsia="宋体" w:hAnsi="Times New Roman" w:cs="Times New Roman"/>
          <w:color w:val="000000" w:themeColor="text1"/>
          <w:sz w:val="24"/>
          <w:szCs w:val="24"/>
        </w:rPr>
        <w:t>, 9920 (2024).</w:t>
      </w:r>
    </w:p>
    <w:p w14:paraId="6C55AC5A"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lastRenderedPageBreak/>
        <w:t xml:space="preserve">109. Huang, H.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Bonded Interface Enabled Durable Solid‐state Lithium Metal Batteries with Ultra‐low Interfacial Resistance of 0.25 Ω cm</w:t>
      </w:r>
      <w:r w:rsidRPr="002657D1">
        <w:rPr>
          <w:rFonts w:ascii="Times New Roman" w:eastAsia="宋体" w:hAnsi="Times New Roman" w:cs="Times New Roman"/>
          <w:color w:val="000000" w:themeColor="text1"/>
          <w:sz w:val="24"/>
          <w:szCs w:val="24"/>
          <w:vertAlign w:val="superscript"/>
        </w:rPr>
        <w:t>2</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i/>
          <w:iCs/>
          <w:color w:val="000000" w:themeColor="text1"/>
          <w:sz w:val="24"/>
          <w:szCs w:val="24"/>
        </w:rPr>
        <w:t>Adv. Funct.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34</w:t>
      </w:r>
      <w:r w:rsidRPr="002657D1">
        <w:rPr>
          <w:rFonts w:ascii="Times New Roman" w:eastAsia="宋体" w:hAnsi="Times New Roman" w:cs="Times New Roman"/>
          <w:color w:val="000000" w:themeColor="text1"/>
          <w:sz w:val="24"/>
          <w:szCs w:val="24"/>
        </w:rPr>
        <w:t>, 2407619 (2024).</w:t>
      </w:r>
    </w:p>
    <w:p w14:paraId="2DC1E592"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110.</w:t>
      </w:r>
      <w:r w:rsidRPr="002657D1">
        <w:rPr>
          <w:rFonts w:ascii="Times New Roman" w:eastAsia="宋体" w:hAnsi="Times New Roman" w:cs="Times New Roman"/>
          <w:color w:val="000000" w:themeColor="text1"/>
          <w:sz w:val="24"/>
          <w:szCs w:val="24"/>
        </w:rPr>
        <w:tab/>
        <w:t xml:space="preserve">Wang, L.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In Situ Construction of a Lithiophilic and Electronically Insulating Multifunctional Hybrid Layer Based on the Principle of Hydrolysis for a Stable Garnet/Li Interface. </w:t>
      </w:r>
      <w:r w:rsidRPr="002657D1">
        <w:rPr>
          <w:rFonts w:ascii="Times New Roman" w:eastAsia="宋体" w:hAnsi="Times New Roman" w:cs="Times New Roman"/>
          <w:i/>
          <w:iCs/>
          <w:color w:val="000000" w:themeColor="text1"/>
          <w:sz w:val="24"/>
          <w:szCs w:val="24"/>
        </w:rPr>
        <w:t>Adv. Funct.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34</w:t>
      </w:r>
      <w:r w:rsidRPr="002657D1">
        <w:rPr>
          <w:rFonts w:ascii="Times New Roman" w:eastAsia="宋体" w:hAnsi="Times New Roman" w:cs="Times New Roman"/>
          <w:color w:val="000000" w:themeColor="text1"/>
          <w:sz w:val="24"/>
          <w:szCs w:val="24"/>
        </w:rPr>
        <w:t>, 2402971 (2024).</w:t>
      </w:r>
    </w:p>
    <w:p w14:paraId="0290D99A"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111.</w:t>
      </w:r>
      <w:r w:rsidRPr="002657D1">
        <w:rPr>
          <w:rFonts w:ascii="Times New Roman" w:eastAsia="宋体" w:hAnsi="Times New Roman" w:cs="Times New Roman"/>
          <w:color w:val="000000" w:themeColor="text1"/>
          <w:sz w:val="24"/>
          <w:szCs w:val="24"/>
        </w:rPr>
        <w:tab/>
        <w:t xml:space="preserve">Lu, F.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Microstructural engineering for Ta-doped Li-garnet solid electrolyte toward enhancing performance. </w:t>
      </w:r>
      <w:r w:rsidRPr="002657D1">
        <w:rPr>
          <w:rFonts w:ascii="Times New Roman" w:eastAsia="宋体" w:hAnsi="Times New Roman" w:cs="Times New Roman"/>
          <w:i/>
          <w:iCs/>
          <w:color w:val="000000" w:themeColor="text1"/>
          <w:sz w:val="24"/>
          <w:szCs w:val="24"/>
        </w:rPr>
        <w:t>Energy Storage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65</w:t>
      </w:r>
      <w:r w:rsidRPr="002657D1">
        <w:rPr>
          <w:rFonts w:ascii="Times New Roman" w:eastAsia="宋体" w:hAnsi="Times New Roman" w:cs="Times New Roman"/>
          <w:color w:val="000000" w:themeColor="text1"/>
          <w:sz w:val="24"/>
          <w:szCs w:val="24"/>
        </w:rPr>
        <w:t>, 103101 (2024).</w:t>
      </w:r>
    </w:p>
    <w:p w14:paraId="09F887F8"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112.</w:t>
      </w:r>
      <w:r w:rsidRPr="002657D1">
        <w:rPr>
          <w:rFonts w:ascii="Times New Roman" w:eastAsia="宋体" w:hAnsi="Times New Roman" w:cs="Times New Roman"/>
          <w:color w:val="000000" w:themeColor="text1"/>
          <w:sz w:val="24"/>
          <w:szCs w:val="24"/>
        </w:rPr>
        <w:tab/>
      </w:r>
      <w:r w:rsidRPr="002657D1">
        <w:rPr>
          <w:rFonts w:ascii="Times New Roman" w:eastAsia="宋体" w:hAnsi="Times New Roman" w:cs="Times New Roman" w:hint="eastAsia"/>
          <w:color w:val="000000" w:themeColor="text1"/>
          <w:sz w:val="24"/>
          <w:szCs w:val="24"/>
        </w:rPr>
        <w:t xml:space="preserve"> </w:t>
      </w:r>
      <w:r w:rsidRPr="002657D1">
        <w:rPr>
          <w:rFonts w:ascii="Times New Roman" w:eastAsia="宋体" w:hAnsi="Times New Roman" w:cs="Times New Roman"/>
          <w:color w:val="000000" w:themeColor="text1"/>
          <w:sz w:val="24"/>
          <w:szCs w:val="24"/>
        </w:rPr>
        <w:t xml:space="preserve">Li, Z.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Superionic Conductor Enabled Composite Lithium with High Ionic Conductivity and Interfacial Wettability for Solid‐State Lithium Batteries. </w:t>
      </w:r>
      <w:r w:rsidRPr="002657D1">
        <w:rPr>
          <w:rFonts w:ascii="Times New Roman" w:eastAsia="宋体" w:hAnsi="Times New Roman" w:cs="Times New Roman"/>
          <w:i/>
          <w:iCs/>
          <w:color w:val="000000" w:themeColor="text1"/>
          <w:sz w:val="24"/>
          <w:szCs w:val="24"/>
        </w:rPr>
        <w:t>Adv. Funct.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34</w:t>
      </w:r>
      <w:r w:rsidRPr="002657D1">
        <w:rPr>
          <w:rFonts w:ascii="Times New Roman" w:eastAsia="宋体" w:hAnsi="Times New Roman" w:cs="Times New Roman"/>
          <w:color w:val="000000" w:themeColor="text1"/>
          <w:sz w:val="24"/>
          <w:szCs w:val="24"/>
        </w:rPr>
        <w:t>, 2309751 (2024).</w:t>
      </w:r>
    </w:p>
    <w:p w14:paraId="1E84F038"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113.</w:t>
      </w:r>
      <w:r w:rsidRPr="002657D1">
        <w:rPr>
          <w:rFonts w:ascii="Times New Roman" w:eastAsia="宋体" w:hAnsi="Times New Roman" w:cs="Times New Roman"/>
          <w:color w:val="000000" w:themeColor="text1"/>
          <w:sz w:val="24"/>
          <w:szCs w:val="24"/>
        </w:rPr>
        <w:tab/>
      </w:r>
      <w:r w:rsidRPr="002657D1">
        <w:rPr>
          <w:rFonts w:ascii="Times New Roman" w:eastAsia="宋体" w:hAnsi="Times New Roman" w:cs="Times New Roman" w:hint="eastAsia"/>
          <w:color w:val="000000" w:themeColor="text1"/>
          <w:sz w:val="24"/>
          <w:szCs w:val="24"/>
        </w:rPr>
        <w:t xml:space="preserve"> </w:t>
      </w:r>
      <w:r w:rsidRPr="002657D1">
        <w:rPr>
          <w:rFonts w:ascii="Times New Roman" w:eastAsia="宋体" w:hAnsi="Times New Roman" w:cs="Times New Roman"/>
          <w:color w:val="000000" w:themeColor="text1"/>
          <w:sz w:val="24"/>
          <w:szCs w:val="24"/>
        </w:rPr>
        <w:t xml:space="preserve">Jiang, H.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Regulation Mechanism on A Bilayer Li</w:t>
      </w:r>
      <w:r w:rsidRPr="002657D1">
        <w:rPr>
          <w:rFonts w:ascii="Times New Roman" w:eastAsia="宋体" w:hAnsi="Times New Roman" w:cs="Times New Roman"/>
          <w:color w:val="000000" w:themeColor="text1"/>
          <w:sz w:val="24"/>
          <w:szCs w:val="24"/>
          <w:vertAlign w:val="subscript"/>
        </w:rPr>
        <w:t>2</w:t>
      </w:r>
      <w:r w:rsidRPr="002657D1">
        <w:rPr>
          <w:rFonts w:ascii="Times New Roman" w:eastAsia="宋体" w:hAnsi="Times New Roman" w:cs="Times New Roman"/>
          <w:color w:val="000000" w:themeColor="text1"/>
          <w:sz w:val="24"/>
          <w:szCs w:val="24"/>
        </w:rPr>
        <w:t xml:space="preserve">O‐Rich Interface between Lithium Metal and Garnet‐Type Solid Electrolytes. </w:t>
      </w:r>
      <w:r w:rsidRPr="002657D1">
        <w:rPr>
          <w:rFonts w:ascii="Times New Roman" w:eastAsia="宋体" w:hAnsi="Times New Roman" w:cs="Times New Roman"/>
          <w:i/>
          <w:iCs/>
          <w:color w:val="000000" w:themeColor="text1"/>
          <w:sz w:val="24"/>
          <w:szCs w:val="24"/>
        </w:rPr>
        <w:t>Adv. Funct.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34</w:t>
      </w:r>
      <w:r w:rsidRPr="002657D1">
        <w:rPr>
          <w:rFonts w:ascii="Times New Roman" w:eastAsia="宋体" w:hAnsi="Times New Roman" w:cs="Times New Roman"/>
          <w:color w:val="000000" w:themeColor="text1"/>
          <w:sz w:val="24"/>
          <w:szCs w:val="24"/>
        </w:rPr>
        <w:t>, 2306399 (2024).</w:t>
      </w:r>
    </w:p>
    <w:p w14:paraId="6D004483"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114.</w:t>
      </w:r>
      <w:r w:rsidRPr="002657D1">
        <w:rPr>
          <w:rFonts w:ascii="Times New Roman" w:eastAsia="宋体" w:hAnsi="Times New Roman" w:cs="Times New Roman"/>
          <w:color w:val="000000" w:themeColor="text1"/>
          <w:sz w:val="24"/>
          <w:szCs w:val="24"/>
        </w:rPr>
        <w:tab/>
      </w:r>
      <w:r w:rsidRPr="002657D1">
        <w:rPr>
          <w:rFonts w:ascii="Times New Roman" w:eastAsia="宋体" w:hAnsi="Times New Roman" w:cs="Times New Roman" w:hint="eastAsia"/>
          <w:color w:val="000000" w:themeColor="text1"/>
          <w:sz w:val="24"/>
          <w:szCs w:val="24"/>
        </w:rPr>
        <w:t xml:space="preserve"> </w:t>
      </w:r>
      <w:r w:rsidRPr="002657D1">
        <w:rPr>
          <w:rFonts w:ascii="Times New Roman" w:eastAsia="宋体" w:hAnsi="Times New Roman" w:cs="Times New Roman"/>
          <w:color w:val="000000" w:themeColor="text1"/>
          <w:sz w:val="24"/>
          <w:szCs w:val="24"/>
        </w:rPr>
        <w:t xml:space="preserve">Zhang, L.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Ion/electron conductive layer with double-layer-like structure for dendrite-free solid-state lithium metal batteries. </w:t>
      </w:r>
      <w:r w:rsidRPr="002657D1">
        <w:rPr>
          <w:rFonts w:ascii="Times New Roman" w:eastAsia="宋体" w:hAnsi="Times New Roman" w:cs="Times New Roman"/>
          <w:i/>
          <w:iCs/>
          <w:color w:val="000000" w:themeColor="text1"/>
          <w:sz w:val="24"/>
          <w:szCs w:val="24"/>
        </w:rPr>
        <w:t>Nano Energy</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113</w:t>
      </w:r>
      <w:r w:rsidRPr="002657D1">
        <w:rPr>
          <w:rFonts w:ascii="Times New Roman" w:eastAsia="宋体" w:hAnsi="Times New Roman" w:cs="Times New Roman"/>
          <w:color w:val="000000" w:themeColor="text1"/>
          <w:sz w:val="24"/>
          <w:szCs w:val="24"/>
        </w:rPr>
        <w:t>, 108573 (2023).</w:t>
      </w:r>
    </w:p>
    <w:p w14:paraId="3E513EAD"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115.</w:t>
      </w:r>
      <w:r w:rsidRPr="002657D1">
        <w:rPr>
          <w:rFonts w:ascii="Times New Roman" w:eastAsia="宋体" w:hAnsi="Times New Roman" w:cs="Times New Roman" w:hint="eastAsia"/>
          <w:color w:val="000000" w:themeColor="text1"/>
          <w:sz w:val="24"/>
          <w:szCs w:val="24"/>
        </w:rPr>
        <w:t xml:space="preserve"> </w:t>
      </w:r>
      <w:r w:rsidRPr="002657D1">
        <w:rPr>
          <w:rFonts w:ascii="Times New Roman" w:eastAsia="宋体" w:hAnsi="Times New Roman" w:cs="Times New Roman"/>
          <w:color w:val="000000" w:themeColor="text1"/>
          <w:sz w:val="24"/>
          <w:szCs w:val="24"/>
        </w:rPr>
        <w:t xml:space="preserve">Zhu, F.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In-situ construction of multifunctional interlayer enabled dendrite-free garnet-based solid-state batteries. </w:t>
      </w:r>
      <w:r w:rsidRPr="002657D1">
        <w:rPr>
          <w:rFonts w:ascii="Times New Roman" w:eastAsia="宋体" w:hAnsi="Times New Roman" w:cs="Times New Roman"/>
          <w:i/>
          <w:iCs/>
          <w:color w:val="000000" w:themeColor="text1"/>
          <w:sz w:val="24"/>
          <w:szCs w:val="24"/>
        </w:rPr>
        <w:t>Nano Energy</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111</w:t>
      </w:r>
      <w:r w:rsidRPr="002657D1">
        <w:rPr>
          <w:rFonts w:ascii="Times New Roman" w:eastAsia="宋体" w:hAnsi="Times New Roman" w:cs="Times New Roman"/>
          <w:color w:val="000000" w:themeColor="text1"/>
          <w:sz w:val="24"/>
          <w:szCs w:val="24"/>
        </w:rPr>
        <w:t>, 108416 (2023).</w:t>
      </w:r>
    </w:p>
    <w:p w14:paraId="4DDE566D"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116.</w:t>
      </w:r>
      <w:r w:rsidRPr="002657D1">
        <w:rPr>
          <w:rFonts w:ascii="Times New Roman" w:eastAsia="宋体" w:hAnsi="Times New Roman" w:cs="Times New Roman" w:hint="eastAsia"/>
          <w:color w:val="000000" w:themeColor="text1"/>
          <w:sz w:val="24"/>
          <w:szCs w:val="24"/>
        </w:rPr>
        <w:t xml:space="preserve"> </w:t>
      </w:r>
      <w:r w:rsidRPr="002657D1">
        <w:rPr>
          <w:rFonts w:ascii="Times New Roman" w:eastAsia="宋体" w:hAnsi="Times New Roman" w:cs="Times New Roman"/>
          <w:color w:val="000000" w:themeColor="text1"/>
          <w:sz w:val="24"/>
          <w:szCs w:val="24"/>
        </w:rPr>
        <w:t xml:space="preserve">Yang, X.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w:t>
      </w:r>
      <w:bookmarkStart w:id="159" w:name="OLE_LINK136"/>
      <w:r w:rsidRPr="002657D1">
        <w:rPr>
          <w:rFonts w:ascii="Times New Roman" w:eastAsia="宋体" w:hAnsi="Times New Roman" w:cs="Times New Roman"/>
          <w:color w:val="000000" w:themeColor="text1"/>
          <w:sz w:val="24"/>
          <w:szCs w:val="24"/>
        </w:rPr>
        <w:t xml:space="preserve">From Contaminated to Highly Lithiated Interfaces: A Versatile Modification Strategy for Garnet Solid Electrolytes. </w:t>
      </w:r>
      <w:bookmarkEnd w:id="159"/>
      <w:r w:rsidRPr="002657D1">
        <w:rPr>
          <w:rFonts w:ascii="Times New Roman" w:eastAsia="宋体" w:hAnsi="Times New Roman" w:cs="Times New Roman"/>
          <w:i/>
          <w:iCs/>
          <w:color w:val="000000" w:themeColor="text1"/>
          <w:sz w:val="24"/>
          <w:szCs w:val="24"/>
        </w:rPr>
        <w:t>Adv. Funct.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33</w:t>
      </w:r>
      <w:r w:rsidRPr="002657D1">
        <w:rPr>
          <w:rFonts w:ascii="Times New Roman" w:eastAsia="宋体" w:hAnsi="Times New Roman" w:cs="Times New Roman"/>
          <w:color w:val="000000" w:themeColor="text1"/>
          <w:sz w:val="24"/>
          <w:szCs w:val="24"/>
        </w:rPr>
        <w:t>, 2209120 (2023).</w:t>
      </w:r>
    </w:p>
    <w:p w14:paraId="65A67CCC"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117.</w:t>
      </w:r>
      <w:r w:rsidRPr="002657D1">
        <w:rPr>
          <w:rFonts w:ascii="Times New Roman" w:eastAsia="宋体" w:hAnsi="Times New Roman" w:cs="Times New Roman"/>
          <w:color w:val="000000" w:themeColor="text1"/>
          <w:sz w:val="24"/>
          <w:szCs w:val="24"/>
        </w:rPr>
        <w:tab/>
      </w:r>
      <w:r w:rsidRPr="002657D1">
        <w:rPr>
          <w:rFonts w:ascii="Times New Roman" w:eastAsia="宋体" w:hAnsi="Times New Roman" w:cs="Times New Roman" w:hint="eastAsia"/>
          <w:color w:val="000000" w:themeColor="text1"/>
          <w:sz w:val="24"/>
          <w:szCs w:val="24"/>
        </w:rPr>
        <w:t xml:space="preserve"> </w:t>
      </w:r>
      <w:r w:rsidRPr="002657D1">
        <w:rPr>
          <w:rFonts w:ascii="Times New Roman" w:eastAsia="宋体" w:hAnsi="Times New Roman" w:cs="Times New Roman"/>
          <w:color w:val="000000" w:themeColor="text1"/>
          <w:sz w:val="24"/>
          <w:szCs w:val="24"/>
        </w:rPr>
        <w:t xml:space="preserve">Leng, J.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A facile and low-cost wet-chemistry artificial interface engineering </w:t>
      </w:r>
      <w:r w:rsidRPr="002657D1">
        <w:rPr>
          <w:rFonts w:ascii="Times New Roman" w:eastAsia="宋体" w:hAnsi="Times New Roman" w:cs="Times New Roman"/>
          <w:color w:val="000000" w:themeColor="text1"/>
          <w:sz w:val="24"/>
          <w:szCs w:val="24"/>
        </w:rPr>
        <w:lastRenderedPageBreak/>
        <w:t xml:space="preserve">for garnet-based solid-state Li metal batteries. </w:t>
      </w:r>
      <w:r w:rsidRPr="002657D1">
        <w:rPr>
          <w:rFonts w:ascii="Times New Roman" w:eastAsia="宋体" w:hAnsi="Times New Roman" w:cs="Times New Roman"/>
          <w:i/>
          <w:iCs/>
          <w:color w:val="000000" w:themeColor="text1"/>
          <w:sz w:val="24"/>
          <w:szCs w:val="24"/>
        </w:rPr>
        <w:t>Nano Energy</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101</w:t>
      </w:r>
      <w:r w:rsidRPr="002657D1">
        <w:rPr>
          <w:rFonts w:ascii="Times New Roman" w:eastAsia="宋体" w:hAnsi="Times New Roman" w:cs="Times New Roman"/>
          <w:color w:val="000000" w:themeColor="text1"/>
          <w:sz w:val="24"/>
          <w:szCs w:val="24"/>
        </w:rPr>
        <w:t>, 107603 (2022).</w:t>
      </w:r>
    </w:p>
    <w:p w14:paraId="3F0E78D9"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118.</w:t>
      </w:r>
      <w:r w:rsidRPr="002657D1">
        <w:rPr>
          <w:rFonts w:ascii="Times New Roman" w:eastAsia="宋体" w:hAnsi="Times New Roman" w:cs="Times New Roman" w:hint="eastAsia"/>
          <w:color w:val="000000" w:themeColor="text1"/>
          <w:sz w:val="24"/>
          <w:szCs w:val="24"/>
        </w:rPr>
        <w:t xml:space="preserve"> </w:t>
      </w:r>
      <w:r w:rsidRPr="002657D1">
        <w:rPr>
          <w:rFonts w:ascii="Times New Roman" w:eastAsia="宋体" w:hAnsi="Times New Roman" w:cs="Times New Roman"/>
          <w:color w:val="000000" w:themeColor="text1"/>
          <w:sz w:val="24"/>
          <w:szCs w:val="24"/>
        </w:rPr>
        <w:t xml:space="preserve">Zhou, Q.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Atomic welding enhancing the electromechanical performance of Li</w:t>
      </w:r>
      <w:r w:rsidRPr="002657D1">
        <w:rPr>
          <w:rFonts w:ascii="Times New Roman" w:eastAsia="宋体" w:hAnsi="Times New Roman" w:cs="Times New Roman"/>
          <w:color w:val="000000" w:themeColor="text1"/>
          <w:sz w:val="24"/>
          <w:szCs w:val="24"/>
          <w:vertAlign w:val="subscript"/>
        </w:rPr>
        <w:t>1.3</w:t>
      </w:r>
      <w:r w:rsidRPr="002657D1">
        <w:rPr>
          <w:rFonts w:ascii="Times New Roman" w:eastAsia="宋体" w:hAnsi="Times New Roman" w:cs="Times New Roman"/>
          <w:color w:val="000000" w:themeColor="text1"/>
          <w:sz w:val="24"/>
          <w:szCs w:val="24"/>
        </w:rPr>
        <w:t>Al</w:t>
      </w:r>
      <w:r w:rsidRPr="002657D1">
        <w:rPr>
          <w:rFonts w:ascii="Times New Roman" w:eastAsia="宋体" w:hAnsi="Times New Roman" w:cs="Times New Roman"/>
          <w:color w:val="000000" w:themeColor="text1"/>
          <w:sz w:val="24"/>
          <w:szCs w:val="24"/>
          <w:vertAlign w:val="subscript"/>
        </w:rPr>
        <w:t>0.3</w:t>
      </w:r>
      <w:r w:rsidRPr="002657D1">
        <w:rPr>
          <w:rFonts w:ascii="Times New Roman" w:eastAsia="宋体" w:hAnsi="Times New Roman" w:cs="Times New Roman"/>
          <w:color w:val="000000" w:themeColor="text1"/>
          <w:sz w:val="24"/>
          <w:szCs w:val="24"/>
        </w:rPr>
        <w:t>Ti</w:t>
      </w:r>
      <w:r w:rsidRPr="002657D1">
        <w:rPr>
          <w:rFonts w:ascii="Times New Roman" w:eastAsia="宋体" w:hAnsi="Times New Roman" w:cs="Times New Roman"/>
          <w:color w:val="000000" w:themeColor="text1"/>
          <w:sz w:val="24"/>
          <w:szCs w:val="24"/>
          <w:vertAlign w:val="subscript"/>
        </w:rPr>
        <w:t>1.7</w:t>
      </w:r>
      <w:r w:rsidRPr="002657D1">
        <w:rPr>
          <w:rFonts w:ascii="Times New Roman" w:eastAsia="宋体" w:hAnsi="Times New Roman" w:cs="Times New Roman"/>
          <w:color w:val="000000" w:themeColor="text1"/>
          <w:sz w:val="24"/>
          <w:szCs w:val="24"/>
        </w:rPr>
        <w:t>(PO</w:t>
      </w:r>
      <w:r w:rsidRPr="002657D1">
        <w:rPr>
          <w:rFonts w:ascii="Times New Roman" w:eastAsia="宋体" w:hAnsi="Times New Roman" w:cs="Times New Roman"/>
          <w:color w:val="000000" w:themeColor="text1"/>
          <w:sz w:val="24"/>
          <w:szCs w:val="24"/>
          <w:vertAlign w:val="subscript"/>
        </w:rPr>
        <w:t>4</w:t>
      </w:r>
      <w:r w:rsidRPr="002657D1">
        <w:rPr>
          <w:rFonts w:ascii="Times New Roman" w:eastAsia="宋体" w:hAnsi="Times New Roman" w:cs="Times New Roman"/>
          <w:color w:val="000000" w:themeColor="text1"/>
          <w:sz w:val="24"/>
          <w:szCs w:val="24"/>
        </w:rPr>
        <w:t>)</w:t>
      </w:r>
      <w:r w:rsidRPr="002657D1">
        <w:rPr>
          <w:rFonts w:ascii="Times New Roman" w:eastAsia="宋体" w:hAnsi="Times New Roman" w:cs="Times New Roman"/>
          <w:color w:val="000000" w:themeColor="text1"/>
          <w:sz w:val="24"/>
          <w:szCs w:val="24"/>
          <w:vertAlign w:val="subscript"/>
        </w:rPr>
        <w:t>3</w:t>
      </w:r>
      <w:r w:rsidRPr="002657D1">
        <w:rPr>
          <w:rFonts w:ascii="Times New Roman" w:eastAsia="宋体" w:hAnsi="Times New Roman" w:cs="Times New Roman"/>
          <w:color w:val="000000" w:themeColor="text1"/>
          <w:sz w:val="24"/>
          <w:szCs w:val="24"/>
        </w:rPr>
        <w:t xml:space="preserve"> (LATP) solid electrolyte. </w:t>
      </w:r>
      <w:r w:rsidRPr="002657D1">
        <w:rPr>
          <w:rFonts w:ascii="Times New Roman" w:eastAsia="宋体" w:hAnsi="Times New Roman" w:cs="Times New Roman"/>
          <w:i/>
          <w:iCs/>
          <w:color w:val="000000" w:themeColor="text1"/>
          <w:sz w:val="24"/>
          <w:szCs w:val="24"/>
        </w:rPr>
        <w:t>Energy Storage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74</w:t>
      </w:r>
      <w:r w:rsidRPr="002657D1">
        <w:rPr>
          <w:rFonts w:ascii="Times New Roman" w:eastAsia="宋体" w:hAnsi="Times New Roman" w:cs="Times New Roman"/>
          <w:color w:val="000000" w:themeColor="text1"/>
          <w:sz w:val="24"/>
          <w:szCs w:val="24"/>
        </w:rPr>
        <w:t>, 103932 (2025).</w:t>
      </w:r>
    </w:p>
    <w:p w14:paraId="293EF566"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119.</w:t>
      </w:r>
      <w:r w:rsidRPr="002657D1">
        <w:rPr>
          <w:rFonts w:ascii="Times New Roman" w:eastAsia="宋体" w:hAnsi="Times New Roman" w:cs="Times New Roman"/>
          <w:color w:val="000000" w:themeColor="text1"/>
          <w:sz w:val="24"/>
          <w:szCs w:val="24"/>
        </w:rPr>
        <w:tab/>
      </w:r>
      <w:r w:rsidRPr="002657D1">
        <w:rPr>
          <w:rFonts w:ascii="Times New Roman" w:eastAsia="宋体" w:hAnsi="Times New Roman" w:cs="Times New Roman" w:hint="eastAsia"/>
          <w:color w:val="000000" w:themeColor="text1"/>
          <w:sz w:val="24"/>
          <w:szCs w:val="24"/>
        </w:rPr>
        <w:t xml:space="preserve"> </w:t>
      </w:r>
      <w:r w:rsidRPr="002657D1">
        <w:rPr>
          <w:rFonts w:ascii="Times New Roman" w:eastAsia="宋体" w:hAnsi="Times New Roman" w:cs="Times New Roman"/>
          <w:color w:val="000000" w:themeColor="text1"/>
          <w:sz w:val="24"/>
          <w:szCs w:val="24"/>
        </w:rPr>
        <w:t>Ding, D., Tao, H., Fan, X., Yang, X. &amp; Fan, L. A Hybrid LiCl/Li</w:t>
      </w:r>
      <w:r w:rsidRPr="002657D1">
        <w:rPr>
          <w:rFonts w:ascii="Times New Roman" w:eastAsia="宋体" w:hAnsi="Times New Roman" w:cs="Times New Roman"/>
          <w:i/>
          <w:iCs/>
          <w:color w:val="000000" w:themeColor="text1"/>
          <w:sz w:val="24"/>
          <w:szCs w:val="24"/>
          <w:vertAlign w:val="subscript"/>
        </w:rPr>
        <w:t>x</w:t>
      </w:r>
      <w:r w:rsidRPr="002657D1">
        <w:rPr>
          <w:rFonts w:ascii="Times New Roman" w:eastAsia="宋体" w:hAnsi="Times New Roman" w:cs="Times New Roman"/>
          <w:color w:val="000000" w:themeColor="text1"/>
          <w:sz w:val="24"/>
          <w:szCs w:val="24"/>
        </w:rPr>
        <w:t xml:space="preserve">Sn Conductive Interlayer to Unlock the Potential of Solid‐State Lithium Metal Batteries. </w:t>
      </w:r>
      <w:r w:rsidRPr="002657D1">
        <w:rPr>
          <w:rFonts w:ascii="Times New Roman" w:eastAsia="宋体" w:hAnsi="Times New Roman" w:cs="Times New Roman"/>
          <w:i/>
          <w:iCs/>
          <w:color w:val="000000" w:themeColor="text1"/>
          <w:sz w:val="24"/>
          <w:szCs w:val="24"/>
        </w:rPr>
        <w:t>Adv. Funct.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34</w:t>
      </w:r>
      <w:r w:rsidRPr="002657D1">
        <w:rPr>
          <w:rFonts w:ascii="Times New Roman" w:eastAsia="宋体" w:hAnsi="Times New Roman" w:cs="Times New Roman"/>
          <w:color w:val="000000" w:themeColor="text1"/>
          <w:sz w:val="24"/>
          <w:szCs w:val="24"/>
        </w:rPr>
        <w:t>, 2401457 (2024).</w:t>
      </w:r>
    </w:p>
    <w:p w14:paraId="6F59185A"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120.</w:t>
      </w:r>
      <w:r w:rsidRPr="002657D1">
        <w:rPr>
          <w:rFonts w:ascii="Times New Roman" w:eastAsia="宋体" w:hAnsi="Times New Roman" w:cs="Times New Roman" w:hint="eastAsia"/>
          <w:color w:val="000000" w:themeColor="text1"/>
          <w:sz w:val="24"/>
          <w:szCs w:val="24"/>
        </w:rPr>
        <w:t xml:space="preserve"> </w:t>
      </w:r>
      <w:r w:rsidRPr="002657D1">
        <w:rPr>
          <w:rFonts w:ascii="Times New Roman" w:eastAsia="宋体" w:hAnsi="Times New Roman" w:cs="Times New Roman"/>
          <w:color w:val="000000" w:themeColor="text1"/>
          <w:sz w:val="24"/>
          <w:szCs w:val="24"/>
        </w:rPr>
        <w:t>Gu, Y., Hu, J., Lai, C. &amp; Li, C. NASICON‐Based Solid State Li‐Fluoride Conversion Batteries Enabled by Constructing a Fluorine‐Rich Trap for Ti</w:t>
      </w:r>
      <w:r w:rsidRPr="002657D1">
        <w:rPr>
          <w:rFonts w:ascii="Times New Roman" w:eastAsia="宋体" w:hAnsi="Times New Roman" w:cs="Times New Roman"/>
          <w:color w:val="000000" w:themeColor="text1"/>
          <w:sz w:val="24"/>
          <w:szCs w:val="24"/>
          <w:vertAlign w:val="superscript"/>
        </w:rPr>
        <w:t>4+</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i/>
          <w:iCs/>
          <w:color w:val="000000" w:themeColor="text1"/>
          <w:sz w:val="24"/>
          <w:szCs w:val="24"/>
        </w:rPr>
        <w:t>Adv. Energy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13</w:t>
      </w:r>
      <w:r w:rsidRPr="002657D1">
        <w:rPr>
          <w:rFonts w:ascii="Times New Roman" w:eastAsia="宋体" w:hAnsi="Times New Roman" w:cs="Times New Roman"/>
          <w:color w:val="000000" w:themeColor="text1"/>
          <w:sz w:val="24"/>
          <w:szCs w:val="24"/>
        </w:rPr>
        <w:t>, 2203679 (2023).</w:t>
      </w:r>
    </w:p>
    <w:p w14:paraId="48082DC7"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121.</w:t>
      </w:r>
      <w:r w:rsidRPr="002657D1">
        <w:rPr>
          <w:rFonts w:ascii="Times New Roman" w:eastAsia="宋体" w:hAnsi="Times New Roman" w:cs="Times New Roman" w:hint="eastAsia"/>
          <w:color w:val="000000" w:themeColor="text1"/>
          <w:sz w:val="24"/>
          <w:szCs w:val="24"/>
        </w:rPr>
        <w:t xml:space="preserve"> </w:t>
      </w:r>
      <w:r w:rsidRPr="002657D1">
        <w:rPr>
          <w:rFonts w:ascii="Times New Roman" w:eastAsia="宋体" w:hAnsi="Times New Roman" w:cs="Times New Roman"/>
          <w:color w:val="000000" w:themeColor="text1"/>
          <w:sz w:val="24"/>
          <w:szCs w:val="24"/>
        </w:rPr>
        <w:t xml:space="preserve">Kong, W.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w:t>
      </w:r>
      <w:bookmarkStart w:id="160" w:name="OLE_LINK137"/>
      <w:r w:rsidRPr="002657D1">
        <w:rPr>
          <w:rFonts w:ascii="Times New Roman" w:eastAsia="宋体" w:hAnsi="Times New Roman" w:cs="Times New Roman"/>
          <w:color w:val="000000" w:themeColor="text1"/>
          <w:sz w:val="24"/>
          <w:szCs w:val="24"/>
        </w:rPr>
        <w:t>Stabilizing Li</w:t>
      </w:r>
      <w:r w:rsidRPr="002657D1">
        <w:rPr>
          <w:rFonts w:ascii="Times New Roman" w:eastAsia="宋体" w:hAnsi="Times New Roman" w:cs="Times New Roman"/>
          <w:color w:val="000000" w:themeColor="text1"/>
          <w:sz w:val="24"/>
          <w:szCs w:val="24"/>
          <w:vertAlign w:val="subscript"/>
        </w:rPr>
        <w:t>1.3</w:t>
      </w:r>
      <w:r w:rsidRPr="002657D1">
        <w:rPr>
          <w:rFonts w:ascii="Times New Roman" w:eastAsia="宋体" w:hAnsi="Times New Roman" w:cs="Times New Roman"/>
          <w:color w:val="000000" w:themeColor="text1"/>
          <w:sz w:val="24"/>
          <w:szCs w:val="24"/>
        </w:rPr>
        <w:t>Al</w:t>
      </w:r>
      <w:r w:rsidRPr="002657D1">
        <w:rPr>
          <w:rFonts w:ascii="Times New Roman" w:eastAsia="宋体" w:hAnsi="Times New Roman" w:cs="Times New Roman"/>
          <w:color w:val="000000" w:themeColor="text1"/>
          <w:sz w:val="24"/>
          <w:szCs w:val="24"/>
          <w:vertAlign w:val="subscript"/>
        </w:rPr>
        <w:t>0.3</w:t>
      </w:r>
      <w:r w:rsidRPr="002657D1">
        <w:rPr>
          <w:rFonts w:ascii="Times New Roman" w:eastAsia="宋体" w:hAnsi="Times New Roman" w:cs="Times New Roman"/>
          <w:color w:val="000000" w:themeColor="text1"/>
          <w:sz w:val="24"/>
          <w:szCs w:val="24"/>
        </w:rPr>
        <w:t>Ti</w:t>
      </w:r>
      <w:r w:rsidRPr="002657D1">
        <w:rPr>
          <w:rFonts w:ascii="Times New Roman" w:eastAsia="宋体" w:hAnsi="Times New Roman" w:cs="Times New Roman"/>
          <w:color w:val="000000" w:themeColor="text1"/>
          <w:sz w:val="24"/>
          <w:szCs w:val="24"/>
          <w:vertAlign w:val="subscript"/>
        </w:rPr>
        <w:t>1.7</w:t>
      </w:r>
      <w:r w:rsidRPr="002657D1">
        <w:rPr>
          <w:rFonts w:ascii="Times New Roman" w:eastAsia="宋体" w:hAnsi="Times New Roman" w:cs="Times New Roman"/>
          <w:color w:val="000000" w:themeColor="text1"/>
          <w:sz w:val="24"/>
          <w:szCs w:val="24"/>
        </w:rPr>
        <w:t>(PO</w:t>
      </w:r>
      <w:r w:rsidRPr="002657D1">
        <w:rPr>
          <w:rFonts w:ascii="Times New Roman" w:eastAsia="宋体" w:hAnsi="Times New Roman" w:cs="Times New Roman"/>
          <w:color w:val="000000" w:themeColor="text1"/>
          <w:sz w:val="24"/>
          <w:szCs w:val="24"/>
          <w:vertAlign w:val="subscript"/>
        </w:rPr>
        <w:t>4</w:t>
      </w:r>
      <w:r w:rsidRPr="002657D1">
        <w:rPr>
          <w:rFonts w:ascii="Times New Roman" w:eastAsia="宋体" w:hAnsi="Times New Roman" w:cs="Times New Roman"/>
          <w:color w:val="000000" w:themeColor="text1"/>
          <w:sz w:val="24"/>
          <w:szCs w:val="24"/>
        </w:rPr>
        <w:t>)</w:t>
      </w:r>
      <w:r w:rsidRPr="002657D1">
        <w:rPr>
          <w:rFonts w:ascii="Times New Roman" w:eastAsia="宋体" w:hAnsi="Times New Roman" w:cs="Times New Roman"/>
          <w:color w:val="000000" w:themeColor="text1"/>
          <w:sz w:val="24"/>
          <w:szCs w:val="24"/>
          <w:vertAlign w:val="subscript"/>
        </w:rPr>
        <w:t>3</w:t>
      </w:r>
      <w:r w:rsidRPr="002657D1">
        <w:rPr>
          <w:rFonts w:ascii="Times New Roman" w:eastAsia="宋体" w:hAnsi="Times New Roman" w:cs="Times New Roman"/>
          <w:color w:val="000000" w:themeColor="text1"/>
          <w:sz w:val="24"/>
          <w:szCs w:val="24"/>
        </w:rPr>
        <w:t>|Li Metal Anode Interface in Solid‐State Batteries by Kevlar Aramid Nanofiber‐Based Protective Coating.</w:t>
      </w:r>
      <w:bookmarkEnd w:id="160"/>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i/>
          <w:iCs/>
          <w:color w:val="000000" w:themeColor="text1"/>
          <w:sz w:val="24"/>
          <w:szCs w:val="24"/>
        </w:rPr>
        <w:t>Adv. Funct.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33</w:t>
      </w:r>
      <w:r w:rsidRPr="002657D1">
        <w:rPr>
          <w:rFonts w:ascii="Times New Roman" w:eastAsia="宋体" w:hAnsi="Times New Roman" w:cs="Times New Roman"/>
          <w:color w:val="000000" w:themeColor="text1"/>
          <w:sz w:val="24"/>
          <w:szCs w:val="24"/>
        </w:rPr>
        <w:t>, 2306748. (2023).</w:t>
      </w:r>
    </w:p>
    <w:p w14:paraId="7CD11982"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122.</w:t>
      </w:r>
      <w:r w:rsidRPr="002657D1">
        <w:rPr>
          <w:rFonts w:ascii="Times New Roman" w:eastAsia="宋体" w:hAnsi="Times New Roman" w:cs="Times New Roman" w:hint="eastAsia"/>
          <w:color w:val="000000" w:themeColor="text1"/>
          <w:sz w:val="24"/>
          <w:szCs w:val="24"/>
        </w:rPr>
        <w:t xml:space="preserve"> </w:t>
      </w:r>
      <w:r w:rsidRPr="002657D1">
        <w:rPr>
          <w:rFonts w:ascii="Times New Roman" w:eastAsia="宋体" w:hAnsi="Times New Roman" w:cs="Times New Roman"/>
          <w:color w:val="000000" w:themeColor="text1"/>
          <w:sz w:val="24"/>
          <w:szCs w:val="24"/>
        </w:rPr>
        <w:t xml:space="preserve">Luo, L.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Insights into the Enhanced Interfacial Stability Enabled by Electronic Conductor Layers in Solid‐State Li Batteries. </w:t>
      </w:r>
      <w:r w:rsidRPr="002657D1">
        <w:rPr>
          <w:rFonts w:ascii="Times New Roman" w:eastAsia="宋体" w:hAnsi="Times New Roman" w:cs="Times New Roman"/>
          <w:i/>
          <w:iCs/>
          <w:color w:val="000000" w:themeColor="text1"/>
          <w:sz w:val="24"/>
          <w:szCs w:val="24"/>
        </w:rPr>
        <w:t>Adv. Energy Mater.</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13</w:t>
      </w:r>
      <w:r w:rsidRPr="002657D1">
        <w:rPr>
          <w:rFonts w:ascii="Times New Roman" w:eastAsia="宋体" w:hAnsi="Times New Roman" w:cs="Times New Roman"/>
          <w:color w:val="000000" w:themeColor="text1"/>
          <w:sz w:val="24"/>
          <w:szCs w:val="24"/>
        </w:rPr>
        <w:t>, 2203517 (2023).</w:t>
      </w:r>
    </w:p>
    <w:p w14:paraId="7CCC97D8" w14:textId="77777777" w:rsidR="00946A9F" w:rsidRPr="002657D1" w:rsidRDefault="00946A9F" w:rsidP="00946A9F">
      <w:pPr>
        <w:pStyle w:val="af8"/>
        <w:ind w:left="480" w:hangingChars="200" w:hanging="480"/>
        <w:rPr>
          <w:rFonts w:ascii="Times New Roman" w:eastAsia="宋体" w:hAnsi="Times New Roman" w:cs="Times New Roman"/>
          <w:color w:val="000000" w:themeColor="text1"/>
          <w:sz w:val="24"/>
          <w:szCs w:val="24"/>
        </w:rPr>
      </w:pPr>
      <w:r w:rsidRPr="002657D1">
        <w:rPr>
          <w:rFonts w:ascii="Times New Roman" w:eastAsia="宋体" w:hAnsi="Times New Roman" w:cs="Times New Roman"/>
          <w:color w:val="000000" w:themeColor="text1"/>
          <w:sz w:val="24"/>
          <w:szCs w:val="24"/>
        </w:rPr>
        <w:t>123.</w:t>
      </w:r>
      <w:r w:rsidRPr="002657D1">
        <w:rPr>
          <w:rFonts w:ascii="Times New Roman" w:eastAsia="宋体" w:hAnsi="Times New Roman" w:cs="Times New Roman" w:hint="eastAsia"/>
          <w:color w:val="000000" w:themeColor="text1"/>
          <w:sz w:val="24"/>
          <w:szCs w:val="24"/>
        </w:rPr>
        <w:t xml:space="preserve"> </w:t>
      </w:r>
      <w:r w:rsidRPr="002657D1">
        <w:rPr>
          <w:rFonts w:ascii="Times New Roman" w:eastAsia="宋体" w:hAnsi="Times New Roman" w:cs="Times New Roman"/>
          <w:color w:val="000000" w:themeColor="text1"/>
          <w:sz w:val="24"/>
          <w:szCs w:val="24"/>
        </w:rPr>
        <w:t xml:space="preserve">Zhao, X.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Addressing the interface issues of all‐solid‐state lithium batteries by ultra‐thin composite solid‐state electrolyte combined with the integrated preparation technology. </w:t>
      </w:r>
      <w:r w:rsidRPr="002657D1">
        <w:rPr>
          <w:rFonts w:ascii="Times New Roman" w:eastAsia="宋体" w:hAnsi="Times New Roman" w:cs="Times New Roman"/>
          <w:i/>
          <w:iCs/>
          <w:color w:val="000000" w:themeColor="text1"/>
          <w:sz w:val="24"/>
          <w:szCs w:val="24"/>
        </w:rPr>
        <w:t>InfoMat</w:t>
      </w:r>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b/>
          <w:bCs/>
          <w:color w:val="000000" w:themeColor="text1"/>
          <w:sz w:val="24"/>
          <w:szCs w:val="24"/>
        </w:rPr>
        <w:t>7</w:t>
      </w:r>
      <w:r w:rsidRPr="002657D1">
        <w:rPr>
          <w:rFonts w:ascii="Times New Roman" w:eastAsia="宋体" w:hAnsi="Times New Roman" w:cs="Times New Roman"/>
          <w:color w:val="000000" w:themeColor="text1"/>
          <w:sz w:val="24"/>
          <w:szCs w:val="24"/>
        </w:rPr>
        <w:t>, e70012 (2025).</w:t>
      </w:r>
    </w:p>
    <w:p w14:paraId="4D3B2146" w14:textId="5A7759E2" w:rsidR="00265DB9" w:rsidRPr="002657D1" w:rsidRDefault="00946A9F" w:rsidP="0000732D">
      <w:pPr>
        <w:pStyle w:val="af8"/>
        <w:ind w:left="480" w:hangingChars="200" w:hanging="480"/>
        <w:rPr>
          <w:rFonts w:ascii="Times New Roman" w:hAnsi="Times New Roman" w:cs="Times New Roman"/>
          <w:color w:val="000000" w:themeColor="text1"/>
          <w:sz w:val="20"/>
          <w:szCs w:val="20"/>
        </w:rPr>
      </w:pPr>
      <w:r w:rsidRPr="002657D1">
        <w:rPr>
          <w:rFonts w:ascii="Times New Roman" w:eastAsia="宋体" w:hAnsi="Times New Roman" w:cs="Times New Roman"/>
          <w:color w:val="000000" w:themeColor="text1"/>
          <w:sz w:val="24"/>
          <w:szCs w:val="24"/>
        </w:rPr>
        <w:t>124.</w:t>
      </w:r>
      <w:r w:rsidRPr="002657D1">
        <w:rPr>
          <w:rFonts w:ascii="Times New Roman" w:eastAsia="宋体" w:hAnsi="Times New Roman" w:cs="Times New Roman" w:hint="eastAsia"/>
          <w:color w:val="000000" w:themeColor="text1"/>
          <w:sz w:val="24"/>
          <w:szCs w:val="24"/>
        </w:rPr>
        <w:t xml:space="preserve"> </w:t>
      </w:r>
      <w:r w:rsidRPr="002657D1">
        <w:rPr>
          <w:rFonts w:ascii="Times New Roman" w:eastAsia="宋体" w:hAnsi="Times New Roman" w:cs="Times New Roman"/>
          <w:color w:val="000000" w:themeColor="text1"/>
          <w:sz w:val="24"/>
          <w:szCs w:val="24"/>
        </w:rPr>
        <w:t xml:space="preserve">Wu, J. </w:t>
      </w:r>
      <w:r w:rsidRPr="002657D1">
        <w:rPr>
          <w:rFonts w:ascii="Times New Roman" w:eastAsia="宋体" w:hAnsi="Times New Roman" w:cs="Times New Roman"/>
          <w:i/>
          <w:iCs/>
          <w:color w:val="000000" w:themeColor="text1"/>
          <w:sz w:val="24"/>
          <w:szCs w:val="24"/>
        </w:rPr>
        <w:t>et al.</w:t>
      </w:r>
      <w:r w:rsidRPr="002657D1">
        <w:rPr>
          <w:rFonts w:ascii="Times New Roman" w:eastAsia="宋体" w:hAnsi="Times New Roman" w:cs="Times New Roman"/>
          <w:color w:val="000000" w:themeColor="text1"/>
          <w:sz w:val="24"/>
          <w:szCs w:val="24"/>
        </w:rPr>
        <w:t xml:space="preserve"> </w:t>
      </w:r>
      <w:bookmarkStart w:id="161" w:name="OLE_LINK138"/>
      <w:r w:rsidRPr="002657D1">
        <w:rPr>
          <w:rFonts w:ascii="Times New Roman" w:eastAsia="宋体" w:hAnsi="Times New Roman" w:cs="Times New Roman"/>
          <w:color w:val="000000" w:themeColor="text1"/>
          <w:sz w:val="24"/>
          <w:szCs w:val="24"/>
        </w:rPr>
        <w:t>Deciphering Solid‐State Battery Interface Failure: Plasma‐Assisted Bulk‐Interface Lithium Diffusion Kinetics Regulation.</w:t>
      </w:r>
      <w:bookmarkEnd w:id="161"/>
      <w:r w:rsidRPr="002657D1">
        <w:rPr>
          <w:rFonts w:ascii="Times New Roman" w:eastAsia="宋体" w:hAnsi="Times New Roman" w:cs="Times New Roman"/>
          <w:color w:val="000000" w:themeColor="text1"/>
          <w:sz w:val="24"/>
          <w:szCs w:val="24"/>
        </w:rPr>
        <w:t xml:space="preserve"> </w:t>
      </w:r>
      <w:r w:rsidRPr="002657D1">
        <w:rPr>
          <w:rFonts w:ascii="Times New Roman" w:eastAsia="宋体" w:hAnsi="Times New Roman" w:cs="Times New Roman"/>
          <w:i/>
          <w:iCs/>
          <w:color w:val="000000" w:themeColor="text1"/>
          <w:sz w:val="24"/>
          <w:szCs w:val="24"/>
        </w:rPr>
        <w:t>Adv. Funct. Mater.</w:t>
      </w:r>
      <w:r w:rsidRPr="002657D1">
        <w:rPr>
          <w:rFonts w:ascii="Times New Roman" w:eastAsia="宋体" w:hAnsi="Times New Roman" w:cs="Times New Roman"/>
          <w:color w:val="000000" w:themeColor="text1"/>
          <w:sz w:val="24"/>
          <w:szCs w:val="24"/>
        </w:rPr>
        <w:t xml:space="preserve"> e21740 (2025).</w:t>
      </w:r>
      <w:r w:rsidRPr="002657D1">
        <w:rPr>
          <w:rFonts w:ascii="Times New Roman" w:eastAsia="宋体" w:hAnsi="Times New Roman" w:cs="Times New Roman"/>
          <w:color w:val="000000" w:themeColor="text1"/>
          <w:sz w:val="24"/>
          <w:szCs w:val="24"/>
        </w:rPr>
        <w:fldChar w:fldCharType="end"/>
      </w:r>
    </w:p>
    <w:sectPr w:rsidR="00265DB9" w:rsidRPr="002657D1">
      <w:pgSz w:w="11906" w:h="16838"/>
      <w:pgMar w:top="1440" w:right="1800" w:bottom="1440" w:left="1800" w:header="851" w:footer="992" w:gutter="0"/>
      <w:lnNumType w:countBy="1" w:restart="continuou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4288CA" w14:textId="77777777" w:rsidR="00F20239" w:rsidRDefault="00F20239">
      <w:pPr>
        <w:rPr>
          <w:rFonts w:hint="eastAsia"/>
        </w:rPr>
      </w:pPr>
      <w:r>
        <w:separator/>
      </w:r>
    </w:p>
  </w:endnote>
  <w:endnote w:type="continuationSeparator" w:id="0">
    <w:p w14:paraId="427953EE" w14:textId="77777777" w:rsidR="00F20239" w:rsidRDefault="00F20239">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203" w:usb1="288F0000" w:usb2="00000016" w:usb3="00000000" w:csb0="00040001" w:csb1="00000000"/>
  </w:font>
  <w:font w:name="ArnoPro-Regular">
    <w:altName w:val="Cambria"/>
    <w:charset w:val="00"/>
    <w:family w:val="roman"/>
    <w:pitch w:val="default"/>
  </w:font>
  <w:font w:name="Calibri">
    <w:panose1 w:val="020F0502020204030204"/>
    <w:charset w:val="00"/>
    <w:family w:val="swiss"/>
    <w:pitch w:val="variable"/>
    <w:sig w:usb0="E4002EFF" w:usb1="C200247B" w:usb2="00000009" w:usb3="00000000" w:csb0="000001FF" w:csb1="00000000"/>
  </w:font>
  <w:font w:name="Arial Unicode MS">
    <w:altName w:val="Malgun Gothic Semilight"/>
    <w:panose1 w:val="020B0604020202020204"/>
    <w:charset w:val="86"/>
    <w:family w:val="swiss"/>
    <w:pitch w:val="variable"/>
    <w:sig w:usb0="F7FFAFFF" w:usb1="E9DFFFFF" w:usb2="0000003F" w:usb3="00000000" w:csb0="003F01F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n-cs">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0"/>
      </w:rPr>
      <w:id w:val="1547644178"/>
    </w:sdtPr>
    <w:sdtContent>
      <w:p w14:paraId="36778E68" w14:textId="77777777" w:rsidR="004E79BF" w:rsidRDefault="00C4196E">
        <w:pPr>
          <w:pStyle w:val="a8"/>
          <w:framePr w:wrap="around" w:vAnchor="text" w:hAnchor="margin" w:xAlign="right" w:y="1"/>
          <w:rPr>
            <w:rStyle w:val="af0"/>
            <w:rFonts w:hint="eastAsia"/>
          </w:rPr>
        </w:pPr>
        <w:r>
          <w:rPr>
            <w:rStyle w:val="af0"/>
          </w:rPr>
          <w:fldChar w:fldCharType="begin"/>
        </w:r>
        <w:r>
          <w:rPr>
            <w:rStyle w:val="af0"/>
          </w:rPr>
          <w:instrText xml:space="preserve"> PAGE </w:instrText>
        </w:r>
        <w:r>
          <w:rPr>
            <w:rStyle w:val="af0"/>
          </w:rPr>
          <w:fldChar w:fldCharType="end"/>
        </w:r>
      </w:p>
    </w:sdtContent>
  </w:sdt>
  <w:p w14:paraId="239EEF4B" w14:textId="77777777" w:rsidR="004E79BF" w:rsidRDefault="004E79BF">
    <w:pPr>
      <w:pStyle w:val="a8"/>
      <w:ind w:right="360"/>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0"/>
      </w:rPr>
      <w:id w:val="486059393"/>
    </w:sdtPr>
    <w:sdtContent>
      <w:p w14:paraId="2380164C" w14:textId="77777777" w:rsidR="004E79BF" w:rsidRDefault="00C4196E">
        <w:pPr>
          <w:pStyle w:val="a8"/>
          <w:framePr w:wrap="around" w:vAnchor="text" w:hAnchor="margin" w:xAlign="right" w:y="1"/>
          <w:rPr>
            <w:rStyle w:val="af0"/>
            <w:rFonts w:hint="eastAsia"/>
          </w:rPr>
        </w:pPr>
        <w:r>
          <w:rPr>
            <w:rStyle w:val="af0"/>
          </w:rPr>
          <w:fldChar w:fldCharType="begin"/>
        </w:r>
        <w:r>
          <w:rPr>
            <w:rStyle w:val="af0"/>
          </w:rPr>
          <w:instrText xml:space="preserve"> PAGE </w:instrText>
        </w:r>
        <w:r>
          <w:rPr>
            <w:rStyle w:val="af0"/>
          </w:rPr>
          <w:fldChar w:fldCharType="separate"/>
        </w:r>
        <w:r>
          <w:rPr>
            <w:rStyle w:val="af0"/>
          </w:rPr>
          <w:t>6</w:t>
        </w:r>
        <w:r>
          <w:rPr>
            <w:rStyle w:val="af0"/>
          </w:rPr>
          <w:fldChar w:fldCharType="end"/>
        </w:r>
      </w:p>
    </w:sdtContent>
  </w:sdt>
  <w:p w14:paraId="03E43349" w14:textId="77777777" w:rsidR="004E79BF" w:rsidRDefault="004E79BF">
    <w:pPr>
      <w:pStyle w:val="a8"/>
      <w:ind w:right="360"/>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1B3F6C" w14:textId="77777777" w:rsidR="00F20239" w:rsidRDefault="00F20239">
      <w:pPr>
        <w:rPr>
          <w:rFonts w:hint="eastAsia"/>
        </w:rPr>
      </w:pPr>
      <w:r>
        <w:separator/>
      </w:r>
    </w:p>
  </w:footnote>
  <w:footnote w:type="continuationSeparator" w:id="0">
    <w:p w14:paraId="586BEB78" w14:textId="77777777" w:rsidR="00F20239" w:rsidRDefault="00F20239">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DE98AF" w14:textId="77777777" w:rsidR="004E79BF" w:rsidRDefault="004E79BF" w:rsidP="000F1516">
    <w:pPr>
      <w:pStyle w:val="aa"/>
      <w:pBdr>
        <w:bottom w:val="none" w:sz="0" w:space="0" w:color="auto"/>
      </w:pBdr>
      <w:rPr>
        <w:rFonts w:hint="eastAsi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5DA136" w14:textId="77777777" w:rsidR="000F1516" w:rsidRDefault="000F1516" w:rsidP="000F1516">
    <w:pPr>
      <w:pStyle w:val="aa"/>
      <w:pBdr>
        <w:bottom w:val="none" w:sz="0" w:space="0" w:color="auto"/>
      </w:pBdr>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DC40004"/>
    <w:multiLevelType w:val="multilevel"/>
    <w:tmpl w:val="5DC40004"/>
    <w:lvl w:ilvl="0">
      <w:start w:val="1"/>
      <w:numFmt w:val="decimal"/>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16cid:durableId="171746386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bordersDoNotSurroundHeader/>
  <w:bordersDoNotSurroundFooter/>
  <w:hideSpellingErrors/>
  <w:hideGrammaticalError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4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2tDAwMDcwsjAwsTAytzRT0lEKTi0uzszPAykws6wFAKGscdgtAAAA"/>
    <w:docVar w:name="EN.InstantFormat" w:val="&lt;ENInstantFormat&gt;&lt;Enabled&gt;0&lt;/Enabled&gt;&lt;ScanUnformatted&gt;1&lt;/ScanUnformatted&gt;&lt;ScanChanges&gt;1&lt;/ScanChanges&gt;&lt;Suspended&gt;0&lt;/Suspended&gt;&lt;/ENInstantFormat&gt;"/>
    <w:docVar w:name="EN.Layout" w:val="&lt;ENLayout&gt;&lt;Style&gt;Nature&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5wfdzre49wxpuex2em5dd9dd0ed9wr2095p&quot;&gt;Liangyuhan lib&lt;record-ids&gt;&lt;item&gt;101&lt;/item&gt;&lt;item&gt;105&lt;/item&gt;&lt;item&gt;106&lt;/item&gt;&lt;item&gt;123&lt;/item&gt;&lt;item&gt;124&lt;/item&gt;&lt;item&gt;140&lt;/item&gt;&lt;item&gt;145&lt;/item&gt;&lt;item&gt;149&lt;/item&gt;&lt;item&gt;179&lt;/item&gt;&lt;item&gt;180&lt;/item&gt;&lt;item&gt;187&lt;/item&gt;&lt;item&gt;203&lt;/item&gt;&lt;item&gt;204&lt;/item&gt;&lt;item&gt;221&lt;/item&gt;&lt;item&gt;224&lt;/item&gt;&lt;item&gt;225&lt;/item&gt;&lt;item&gt;230&lt;/item&gt;&lt;item&gt;231&lt;/item&gt;&lt;item&gt;238&lt;/item&gt;&lt;item&gt;239&lt;/item&gt;&lt;item&gt;241&lt;/item&gt;&lt;item&gt;244&lt;/item&gt;&lt;item&gt;246&lt;/item&gt;&lt;item&gt;248&lt;/item&gt;&lt;item&gt;262&lt;/item&gt;&lt;item&gt;263&lt;/item&gt;&lt;item&gt;264&lt;/item&gt;&lt;item&gt;266&lt;/item&gt;&lt;/record-ids&gt;&lt;/item&gt;&lt;/Libraries&gt;"/>
  </w:docVars>
  <w:rsids>
    <w:rsidRoot w:val="007F3299"/>
    <w:rsid w:val="0000048A"/>
    <w:rsid w:val="00000DF3"/>
    <w:rsid w:val="00000E5D"/>
    <w:rsid w:val="00000F68"/>
    <w:rsid w:val="000025F1"/>
    <w:rsid w:val="000025FB"/>
    <w:rsid w:val="0000286B"/>
    <w:rsid w:val="00002893"/>
    <w:rsid w:val="00002C8E"/>
    <w:rsid w:val="00002CA8"/>
    <w:rsid w:val="00002CE7"/>
    <w:rsid w:val="00002E93"/>
    <w:rsid w:val="00002FE2"/>
    <w:rsid w:val="000030EE"/>
    <w:rsid w:val="00003168"/>
    <w:rsid w:val="00003291"/>
    <w:rsid w:val="0000396E"/>
    <w:rsid w:val="000040C4"/>
    <w:rsid w:val="000045BD"/>
    <w:rsid w:val="0000488C"/>
    <w:rsid w:val="00004B97"/>
    <w:rsid w:val="00004D5F"/>
    <w:rsid w:val="00005191"/>
    <w:rsid w:val="0000579B"/>
    <w:rsid w:val="0000590D"/>
    <w:rsid w:val="000059E5"/>
    <w:rsid w:val="0000732D"/>
    <w:rsid w:val="00007C55"/>
    <w:rsid w:val="00010057"/>
    <w:rsid w:val="00010114"/>
    <w:rsid w:val="00010996"/>
    <w:rsid w:val="00010C02"/>
    <w:rsid w:val="00010EEF"/>
    <w:rsid w:val="00011556"/>
    <w:rsid w:val="00011906"/>
    <w:rsid w:val="000119FB"/>
    <w:rsid w:val="000126C0"/>
    <w:rsid w:val="000127A6"/>
    <w:rsid w:val="000129FF"/>
    <w:rsid w:val="00012B9A"/>
    <w:rsid w:val="00012D6E"/>
    <w:rsid w:val="00012DAC"/>
    <w:rsid w:val="0001312B"/>
    <w:rsid w:val="00013339"/>
    <w:rsid w:val="000133FD"/>
    <w:rsid w:val="000134CF"/>
    <w:rsid w:val="00013777"/>
    <w:rsid w:val="000140FC"/>
    <w:rsid w:val="00014102"/>
    <w:rsid w:val="0001478D"/>
    <w:rsid w:val="000149E2"/>
    <w:rsid w:val="00014A53"/>
    <w:rsid w:val="00014AF2"/>
    <w:rsid w:val="00014D29"/>
    <w:rsid w:val="000152BE"/>
    <w:rsid w:val="000152D4"/>
    <w:rsid w:val="000153E6"/>
    <w:rsid w:val="00015434"/>
    <w:rsid w:val="00015955"/>
    <w:rsid w:val="000159C3"/>
    <w:rsid w:val="00015A07"/>
    <w:rsid w:val="00015CCE"/>
    <w:rsid w:val="00015EEA"/>
    <w:rsid w:val="00016097"/>
    <w:rsid w:val="0001616D"/>
    <w:rsid w:val="000169DC"/>
    <w:rsid w:val="000174DF"/>
    <w:rsid w:val="00020689"/>
    <w:rsid w:val="00020A6E"/>
    <w:rsid w:val="00020BFF"/>
    <w:rsid w:val="00021EA5"/>
    <w:rsid w:val="000223CB"/>
    <w:rsid w:val="00022526"/>
    <w:rsid w:val="0002274A"/>
    <w:rsid w:val="00022D2A"/>
    <w:rsid w:val="00023FCF"/>
    <w:rsid w:val="000244C5"/>
    <w:rsid w:val="000252ED"/>
    <w:rsid w:val="0002533E"/>
    <w:rsid w:val="000254F6"/>
    <w:rsid w:val="00025558"/>
    <w:rsid w:val="00025586"/>
    <w:rsid w:val="00025860"/>
    <w:rsid w:val="000259E7"/>
    <w:rsid w:val="00025CE6"/>
    <w:rsid w:val="00025E77"/>
    <w:rsid w:val="00025E94"/>
    <w:rsid w:val="0002606A"/>
    <w:rsid w:val="000260DF"/>
    <w:rsid w:val="00026527"/>
    <w:rsid w:val="00026A32"/>
    <w:rsid w:val="00026A93"/>
    <w:rsid w:val="00026E01"/>
    <w:rsid w:val="00026EF1"/>
    <w:rsid w:val="00027103"/>
    <w:rsid w:val="0002732D"/>
    <w:rsid w:val="00027506"/>
    <w:rsid w:val="0002789F"/>
    <w:rsid w:val="000278A3"/>
    <w:rsid w:val="00027F32"/>
    <w:rsid w:val="000306D9"/>
    <w:rsid w:val="00030712"/>
    <w:rsid w:val="00030C50"/>
    <w:rsid w:val="00030E64"/>
    <w:rsid w:val="00031696"/>
    <w:rsid w:val="000316D7"/>
    <w:rsid w:val="000319C1"/>
    <w:rsid w:val="000319F2"/>
    <w:rsid w:val="00031B22"/>
    <w:rsid w:val="00031F62"/>
    <w:rsid w:val="00032041"/>
    <w:rsid w:val="0003214A"/>
    <w:rsid w:val="00032741"/>
    <w:rsid w:val="000327C6"/>
    <w:rsid w:val="00032E99"/>
    <w:rsid w:val="000339A4"/>
    <w:rsid w:val="00034451"/>
    <w:rsid w:val="0003452C"/>
    <w:rsid w:val="00035163"/>
    <w:rsid w:val="000354CE"/>
    <w:rsid w:val="000354DA"/>
    <w:rsid w:val="000357A9"/>
    <w:rsid w:val="00035C38"/>
    <w:rsid w:val="00035DBE"/>
    <w:rsid w:val="00035F10"/>
    <w:rsid w:val="000368A4"/>
    <w:rsid w:val="0003693A"/>
    <w:rsid w:val="000375EA"/>
    <w:rsid w:val="000376F3"/>
    <w:rsid w:val="000377BC"/>
    <w:rsid w:val="00037A93"/>
    <w:rsid w:val="00037D04"/>
    <w:rsid w:val="000400DA"/>
    <w:rsid w:val="00040A21"/>
    <w:rsid w:val="00040BAF"/>
    <w:rsid w:val="00041A2F"/>
    <w:rsid w:val="00041A7A"/>
    <w:rsid w:val="00041B13"/>
    <w:rsid w:val="00041D10"/>
    <w:rsid w:val="000421A8"/>
    <w:rsid w:val="000424DE"/>
    <w:rsid w:val="00042A10"/>
    <w:rsid w:val="00042B2C"/>
    <w:rsid w:val="00042DA9"/>
    <w:rsid w:val="0004301A"/>
    <w:rsid w:val="00043054"/>
    <w:rsid w:val="00043316"/>
    <w:rsid w:val="00043529"/>
    <w:rsid w:val="00043C56"/>
    <w:rsid w:val="00043C71"/>
    <w:rsid w:val="00043ED5"/>
    <w:rsid w:val="000440FA"/>
    <w:rsid w:val="00044323"/>
    <w:rsid w:val="00044461"/>
    <w:rsid w:val="00044EA1"/>
    <w:rsid w:val="00045115"/>
    <w:rsid w:val="00045AA5"/>
    <w:rsid w:val="00046581"/>
    <w:rsid w:val="0004662C"/>
    <w:rsid w:val="000467EC"/>
    <w:rsid w:val="00046A50"/>
    <w:rsid w:val="00046AD6"/>
    <w:rsid w:val="000470D4"/>
    <w:rsid w:val="00047431"/>
    <w:rsid w:val="0004765F"/>
    <w:rsid w:val="00047745"/>
    <w:rsid w:val="00047AC2"/>
    <w:rsid w:val="00047C3A"/>
    <w:rsid w:val="00047D97"/>
    <w:rsid w:val="00047FC0"/>
    <w:rsid w:val="00050647"/>
    <w:rsid w:val="00050752"/>
    <w:rsid w:val="00050849"/>
    <w:rsid w:val="00050F8B"/>
    <w:rsid w:val="00051092"/>
    <w:rsid w:val="000512B7"/>
    <w:rsid w:val="000512FF"/>
    <w:rsid w:val="00051E60"/>
    <w:rsid w:val="00052C22"/>
    <w:rsid w:val="00052D09"/>
    <w:rsid w:val="00052D8E"/>
    <w:rsid w:val="00053095"/>
    <w:rsid w:val="0005350C"/>
    <w:rsid w:val="00053E06"/>
    <w:rsid w:val="00054036"/>
    <w:rsid w:val="000541EB"/>
    <w:rsid w:val="00054CD9"/>
    <w:rsid w:val="00054FDD"/>
    <w:rsid w:val="00055241"/>
    <w:rsid w:val="0005583E"/>
    <w:rsid w:val="00055C5E"/>
    <w:rsid w:val="00055E4F"/>
    <w:rsid w:val="00056102"/>
    <w:rsid w:val="00056300"/>
    <w:rsid w:val="00056642"/>
    <w:rsid w:val="000566FD"/>
    <w:rsid w:val="00056ABE"/>
    <w:rsid w:val="00056E42"/>
    <w:rsid w:val="00056E48"/>
    <w:rsid w:val="000575D9"/>
    <w:rsid w:val="00057C99"/>
    <w:rsid w:val="00057D30"/>
    <w:rsid w:val="00057E2F"/>
    <w:rsid w:val="00057E99"/>
    <w:rsid w:val="00057FD4"/>
    <w:rsid w:val="00060116"/>
    <w:rsid w:val="00060453"/>
    <w:rsid w:val="0006048B"/>
    <w:rsid w:val="0006091B"/>
    <w:rsid w:val="00060946"/>
    <w:rsid w:val="00060A11"/>
    <w:rsid w:val="000610F6"/>
    <w:rsid w:val="00061A87"/>
    <w:rsid w:val="00061BC6"/>
    <w:rsid w:val="00061E2C"/>
    <w:rsid w:val="00061F6D"/>
    <w:rsid w:val="00061FDB"/>
    <w:rsid w:val="000622AA"/>
    <w:rsid w:val="000622B2"/>
    <w:rsid w:val="000623DF"/>
    <w:rsid w:val="00062425"/>
    <w:rsid w:val="000624A1"/>
    <w:rsid w:val="00062A6C"/>
    <w:rsid w:val="00064038"/>
    <w:rsid w:val="00064335"/>
    <w:rsid w:val="00064667"/>
    <w:rsid w:val="00064703"/>
    <w:rsid w:val="00064E52"/>
    <w:rsid w:val="00065142"/>
    <w:rsid w:val="0006515E"/>
    <w:rsid w:val="00065480"/>
    <w:rsid w:val="000657E3"/>
    <w:rsid w:val="00065A2C"/>
    <w:rsid w:val="00065CB5"/>
    <w:rsid w:val="000662A9"/>
    <w:rsid w:val="000664BB"/>
    <w:rsid w:val="00066848"/>
    <w:rsid w:val="00066A2F"/>
    <w:rsid w:val="00066C94"/>
    <w:rsid w:val="00066DCD"/>
    <w:rsid w:val="00067645"/>
    <w:rsid w:val="00067C9C"/>
    <w:rsid w:val="000702A1"/>
    <w:rsid w:val="000703FE"/>
    <w:rsid w:val="00070DEA"/>
    <w:rsid w:val="00070DEB"/>
    <w:rsid w:val="00070E49"/>
    <w:rsid w:val="00071912"/>
    <w:rsid w:val="000720D2"/>
    <w:rsid w:val="00072468"/>
    <w:rsid w:val="0007253F"/>
    <w:rsid w:val="00072613"/>
    <w:rsid w:val="000726C3"/>
    <w:rsid w:val="00072749"/>
    <w:rsid w:val="00072F1C"/>
    <w:rsid w:val="0007347B"/>
    <w:rsid w:val="00073581"/>
    <w:rsid w:val="00073E92"/>
    <w:rsid w:val="00073EF3"/>
    <w:rsid w:val="00074CC2"/>
    <w:rsid w:val="00074FBA"/>
    <w:rsid w:val="00075414"/>
    <w:rsid w:val="0007557B"/>
    <w:rsid w:val="000755BB"/>
    <w:rsid w:val="00075984"/>
    <w:rsid w:val="00076347"/>
    <w:rsid w:val="00076BAA"/>
    <w:rsid w:val="00076C0E"/>
    <w:rsid w:val="00076CE3"/>
    <w:rsid w:val="00076FCA"/>
    <w:rsid w:val="00077084"/>
    <w:rsid w:val="00077543"/>
    <w:rsid w:val="00077726"/>
    <w:rsid w:val="00077B42"/>
    <w:rsid w:val="00077EA5"/>
    <w:rsid w:val="00077EB3"/>
    <w:rsid w:val="00077F12"/>
    <w:rsid w:val="00080579"/>
    <w:rsid w:val="000807A7"/>
    <w:rsid w:val="00080A8A"/>
    <w:rsid w:val="00080E8A"/>
    <w:rsid w:val="00081666"/>
    <w:rsid w:val="00081DFB"/>
    <w:rsid w:val="00082029"/>
    <w:rsid w:val="00082042"/>
    <w:rsid w:val="00082539"/>
    <w:rsid w:val="00082761"/>
    <w:rsid w:val="00082EE6"/>
    <w:rsid w:val="00082F13"/>
    <w:rsid w:val="000835B7"/>
    <w:rsid w:val="00083AD6"/>
    <w:rsid w:val="00083F76"/>
    <w:rsid w:val="0008431E"/>
    <w:rsid w:val="000846BF"/>
    <w:rsid w:val="000848F4"/>
    <w:rsid w:val="00084A96"/>
    <w:rsid w:val="00084AF1"/>
    <w:rsid w:val="00084F54"/>
    <w:rsid w:val="000852A3"/>
    <w:rsid w:val="00085423"/>
    <w:rsid w:val="000854B9"/>
    <w:rsid w:val="00085BF7"/>
    <w:rsid w:val="0008618F"/>
    <w:rsid w:val="00086B58"/>
    <w:rsid w:val="000874DF"/>
    <w:rsid w:val="000876E5"/>
    <w:rsid w:val="0008774C"/>
    <w:rsid w:val="00087923"/>
    <w:rsid w:val="00087C3C"/>
    <w:rsid w:val="00087F91"/>
    <w:rsid w:val="000900D7"/>
    <w:rsid w:val="0009087C"/>
    <w:rsid w:val="00090D23"/>
    <w:rsid w:val="00090D80"/>
    <w:rsid w:val="00090E50"/>
    <w:rsid w:val="0009115F"/>
    <w:rsid w:val="00091704"/>
    <w:rsid w:val="00091994"/>
    <w:rsid w:val="000922F9"/>
    <w:rsid w:val="0009234E"/>
    <w:rsid w:val="00092921"/>
    <w:rsid w:val="000929D0"/>
    <w:rsid w:val="00092CD8"/>
    <w:rsid w:val="00093182"/>
    <w:rsid w:val="00093514"/>
    <w:rsid w:val="0009379F"/>
    <w:rsid w:val="00093AEE"/>
    <w:rsid w:val="00094315"/>
    <w:rsid w:val="00094CAA"/>
    <w:rsid w:val="000952A0"/>
    <w:rsid w:val="0009580D"/>
    <w:rsid w:val="00095852"/>
    <w:rsid w:val="00096873"/>
    <w:rsid w:val="00096DCC"/>
    <w:rsid w:val="00096FA7"/>
    <w:rsid w:val="000971CD"/>
    <w:rsid w:val="000971EA"/>
    <w:rsid w:val="000975D2"/>
    <w:rsid w:val="00097725"/>
    <w:rsid w:val="00097931"/>
    <w:rsid w:val="000A018C"/>
    <w:rsid w:val="000A01F1"/>
    <w:rsid w:val="000A04C8"/>
    <w:rsid w:val="000A06F4"/>
    <w:rsid w:val="000A08E2"/>
    <w:rsid w:val="000A1036"/>
    <w:rsid w:val="000A104B"/>
    <w:rsid w:val="000A10A0"/>
    <w:rsid w:val="000A10E4"/>
    <w:rsid w:val="000A1208"/>
    <w:rsid w:val="000A19C6"/>
    <w:rsid w:val="000A1CFF"/>
    <w:rsid w:val="000A2EB2"/>
    <w:rsid w:val="000A3162"/>
    <w:rsid w:val="000A3CE7"/>
    <w:rsid w:val="000A3D13"/>
    <w:rsid w:val="000A3E66"/>
    <w:rsid w:val="000A3FAE"/>
    <w:rsid w:val="000A41CF"/>
    <w:rsid w:val="000A42FD"/>
    <w:rsid w:val="000A47E2"/>
    <w:rsid w:val="000A4F2E"/>
    <w:rsid w:val="000A4F3A"/>
    <w:rsid w:val="000A514E"/>
    <w:rsid w:val="000A5151"/>
    <w:rsid w:val="000A5D2D"/>
    <w:rsid w:val="000A6293"/>
    <w:rsid w:val="000A6855"/>
    <w:rsid w:val="000A6E73"/>
    <w:rsid w:val="000A6FDD"/>
    <w:rsid w:val="000A77AC"/>
    <w:rsid w:val="000A7A1B"/>
    <w:rsid w:val="000A7BC2"/>
    <w:rsid w:val="000A7CEA"/>
    <w:rsid w:val="000A7DD2"/>
    <w:rsid w:val="000B01D8"/>
    <w:rsid w:val="000B0573"/>
    <w:rsid w:val="000B06C3"/>
    <w:rsid w:val="000B06F3"/>
    <w:rsid w:val="000B1074"/>
    <w:rsid w:val="000B144F"/>
    <w:rsid w:val="000B1B54"/>
    <w:rsid w:val="000B2301"/>
    <w:rsid w:val="000B342C"/>
    <w:rsid w:val="000B3F76"/>
    <w:rsid w:val="000B44C3"/>
    <w:rsid w:val="000B4CB5"/>
    <w:rsid w:val="000B53A0"/>
    <w:rsid w:val="000B5DBC"/>
    <w:rsid w:val="000B601E"/>
    <w:rsid w:val="000B6290"/>
    <w:rsid w:val="000B64AF"/>
    <w:rsid w:val="000B6EAD"/>
    <w:rsid w:val="000B7061"/>
    <w:rsid w:val="000B70D9"/>
    <w:rsid w:val="000B7213"/>
    <w:rsid w:val="000B754F"/>
    <w:rsid w:val="000B7815"/>
    <w:rsid w:val="000B79D2"/>
    <w:rsid w:val="000B7ADF"/>
    <w:rsid w:val="000B7BD7"/>
    <w:rsid w:val="000B7F32"/>
    <w:rsid w:val="000B7F7F"/>
    <w:rsid w:val="000C01C5"/>
    <w:rsid w:val="000C01CD"/>
    <w:rsid w:val="000C02A5"/>
    <w:rsid w:val="000C045B"/>
    <w:rsid w:val="000C09C1"/>
    <w:rsid w:val="000C0F77"/>
    <w:rsid w:val="000C1094"/>
    <w:rsid w:val="000C17B6"/>
    <w:rsid w:val="000C17C8"/>
    <w:rsid w:val="000C1881"/>
    <w:rsid w:val="000C1D50"/>
    <w:rsid w:val="000C1E24"/>
    <w:rsid w:val="000C1F30"/>
    <w:rsid w:val="000C2422"/>
    <w:rsid w:val="000C25E3"/>
    <w:rsid w:val="000C2602"/>
    <w:rsid w:val="000C26D0"/>
    <w:rsid w:val="000C27CA"/>
    <w:rsid w:val="000C2D0C"/>
    <w:rsid w:val="000C302C"/>
    <w:rsid w:val="000C31F6"/>
    <w:rsid w:val="000C3C20"/>
    <w:rsid w:val="000C3C4F"/>
    <w:rsid w:val="000C4464"/>
    <w:rsid w:val="000C4E8A"/>
    <w:rsid w:val="000C50F1"/>
    <w:rsid w:val="000C5378"/>
    <w:rsid w:val="000C5C67"/>
    <w:rsid w:val="000C5D89"/>
    <w:rsid w:val="000C5FDA"/>
    <w:rsid w:val="000C77EB"/>
    <w:rsid w:val="000C7A8B"/>
    <w:rsid w:val="000C7C92"/>
    <w:rsid w:val="000D0292"/>
    <w:rsid w:val="000D0ACE"/>
    <w:rsid w:val="000D0D0E"/>
    <w:rsid w:val="000D0D8C"/>
    <w:rsid w:val="000D0F7F"/>
    <w:rsid w:val="000D108A"/>
    <w:rsid w:val="000D12CB"/>
    <w:rsid w:val="000D1CC1"/>
    <w:rsid w:val="000D207D"/>
    <w:rsid w:val="000D20B6"/>
    <w:rsid w:val="000D24F1"/>
    <w:rsid w:val="000D271F"/>
    <w:rsid w:val="000D288A"/>
    <w:rsid w:val="000D2FDE"/>
    <w:rsid w:val="000D3536"/>
    <w:rsid w:val="000D42D9"/>
    <w:rsid w:val="000D47CD"/>
    <w:rsid w:val="000D488E"/>
    <w:rsid w:val="000D493B"/>
    <w:rsid w:val="000D542A"/>
    <w:rsid w:val="000D558A"/>
    <w:rsid w:val="000D6796"/>
    <w:rsid w:val="000D6CF9"/>
    <w:rsid w:val="000D6ECA"/>
    <w:rsid w:val="000D6ED9"/>
    <w:rsid w:val="000D7167"/>
    <w:rsid w:val="000D7428"/>
    <w:rsid w:val="000D7547"/>
    <w:rsid w:val="000D767B"/>
    <w:rsid w:val="000D7E1D"/>
    <w:rsid w:val="000D7F74"/>
    <w:rsid w:val="000E0465"/>
    <w:rsid w:val="000E05D4"/>
    <w:rsid w:val="000E1462"/>
    <w:rsid w:val="000E14E3"/>
    <w:rsid w:val="000E1607"/>
    <w:rsid w:val="000E169B"/>
    <w:rsid w:val="000E1BBD"/>
    <w:rsid w:val="000E1D48"/>
    <w:rsid w:val="000E249A"/>
    <w:rsid w:val="000E2572"/>
    <w:rsid w:val="000E2730"/>
    <w:rsid w:val="000E2DCB"/>
    <w:rsid w:val="000E3027"/>
    <w:rsid w:val="000E3224"/>
    <w:rsid w:val="000E3762"/>
    <w:rsid w:val="000E381C"/>
    <w:rsid w:val="000E39D9"/>
    <w:rsid w:val="000E3AAB"/>
    <w:rsid w:val="000E3DBD"/>
    <w:rsid w:val="000E4185"/>
    <w:rsid w:val="000E4272"/>
    <w:rsid w:val="000E42B2"/>
    <w:rsid w:val="000E432E"/>
    <w:rsid w:val="000E4954"/>
    <w:rsid w:val="000E5240"/>
    <w:rsid w:val="000E526C"/>
    <w:rsid w:val="000E630A"/>
    <w:rsid w:val="000E6718"/>
    <w:rsid w:val="000E6AB5"/>
    <w:rsid w:val="000E6AC6"/>
    <w:rsid w:val="000E6BC2"/>
    <w:rsid w:val="000E71F8"/>
    <w:rsid w:val="000E73F7"/>
    <w:rsid w:val="000E747C"/>
    <w:rsid w:val="000E7532"/>
    <w:rsid w:val="000E77C4"/>
    <w:rsid w:val="000E7D30"/>
    <w:rsid w:val="000F05E1"/>
    <w:rsid w:val="000F0623"/>
    <w:rsid w:val="000F07C9"/>
    <w:rsid w:val="000F08F2"/>
    <w:rsid w:val="000F0A3F"/>
    <w:rsid w:val="000F0B8E"/>
    <w:rsid w:val="000F0C84"/>
    <w:rsid w:val="000F0CDE"/>
    <w:rsid w:val="000F1516"/>
    <w:rsid w:val="000F1AD4"/>
    <w:rsid w:val="000F1F32"/>
    <w:rsid w:val="000F2223"/>
    <w:rsid w:val="000F228F"/>
    <w:rsid w:val="000F244E"/>
    <w:rsid w:val="000F2513"/>
    <w:rsid w:val="000F29C8"/>
    <w:rsid w:val="000F2CD6"/>
    <w:rsid w:val="000F3B61"/>
    <w:rsid w:val="000F40DD"/>
    <w:rsid w:val="000F4433"/>
    <w:rsid w:val="000F4511"/>
    <w:rsid w:val="000F4983"/>
    <w:rsid w:val="000F4A7B"/>
    <w:rsid w:val="000F4C84"/>
    <w:rsid w:val="000F4FB6"/>
    <w:rsid w:val="000F5176"/>
    <w:rsid w:val="000F5218"/>
    <w:rsid w:val="000F59AB"/>
    <w:rsid w:val="000F5AF5"/>
    <w:rsid w:val="000F5D0C"/>
    <w:rsid w:val="000F5E66"/>
    <w:rsid w:val="000F5FD8"/>
    <w:rsid w:val="000F61AF"/>
    <w:rsid w:val="000F65A2"/>
    <w:rsid w:val="000F65C5"/>
    <w:rsid w:val="000F66B8"/>
    <w:rsid w:val="000F7182"/>
    <w:rsid w:val="000F7718"/>
    <w:rsid w:val="00100288"/>
    <w:rsid w:val="00100452"/>
    <w:rsid w:val="0010054C"/>
    <w:rsid w:val="0010055D"/>
    <w:rsid w:val="001005EC"/>
    <w:rsid w:val="00100857"/>
    <w:rsid w:val="00100B59"/>
    <w:rsid w:val="00100C29"/>
    <w:rsid w:val="00100CDB"/>
    <w:rsid w:val="00100D4D"/>
    <w:rsid w:val="00100E06"/>
    <w:rsid w:val="00101230"/>
    <w:rsid w:val="00101291"/>
    <w:rsid w:val="00101292"/>
    <w:rsid w:val="00101825"/>
    <w:rsid w:val="0010183F"/>
    <w:rsid w:val="0010191E"/>
    <w:rsid w:val="00101B09"/>
    <w:rsid w:val="00101C73"/>
    <w:rsid w:val="00102043"/>
    <w:rsid w:val="00102352"/>
    <w:rsid w:val="0010242B"/>
    <w:rsid w:val="00102A7E"/>
    <w:rsid w:val="00102B75"/>
    <w:rsid w:val="00102C92"/>
    <w:rsid w:val="00103241"/>
    <w:rsid w:val="001035B9"/>
    <w:rsid w:val="00103858"/>
    <w:rsid w:val="00103D61"/>
    <w:rsid w:val="00103EB3"/>
    <w:rsid w:val="001041DA"/>
    <w:rsid w:val="00104988"/>
    <w:rsid w:val="00104D06"/>
    <w:rsid w:val="001050FE"/>
    <w:rsid w:val="001052FE"/>
    <w:rsid w:val="00105924"/>
    <w:rsid w:val="00105BC7"/>
    <w:rsid w:val="001061E6"/>
    <w:rsid w:val="00106B83"/>
    <w:rsid w:val="00106D15"/>
    <w:rsid w:val="00106EB9"/>
    <w:rsid w:val="001074B9"/>
    <w:rsid w:val="0010799A"/>
    <w:rsid w:val="00110283"/>
    <w:rsid w:val="001104F7"/>
    <w:rsid w:val="001105DB"/>
    <w:rsid w:val="0011069C"/>
    <w:rsid w:val="00110A9D"/>
    <w:rsid w:val="00110EDE"/>
    <w:rsid w:val="00111300"/>
    <w:rsid w:val="0011154B"/>
    <w:rsid w:val="00111695"/>
    <w:rsid w:val="00111B7B"/>
    <w:rsid w:val="00111B98"/>
    <w:rsid w:val="00111CC4"/>
    <w:rsid w:val="00111EC1"/>
    <w:rsid w:val="00112052"/>
    <w:rsid w:val="0011252B"/>
    <w:rsid w:val="00112663"/>
    <w:rsid w:val="00112C0F"/>
    <w:rsid w:val="00112F5D"/>
    <w:rsid w:val="00112FC7"/>
    <w:rsid w:val="00113090"/>
    <w:rsid w:val="00113521"/>
    <w:rsid w:val="00113688"/>
    <w:rsid w:val="00113852"/>
    <w:rsid w:val="00113D9F"/>
    <w:rsid w:val="001143F0"/>
    <w:rsid w:val="001148A6"/>
    <w:rsid w:val="00114BE9"/>
    <w:rsid w:val="00115BB7"/>
    <w:rsid w:val="00116384"/>
    <w:rsid w:val="0011683F"/>
    <w:rsid w:val="00116C69"/>
    <w:rsid w:val="00117114"/>
    <w:rsid w:val="00117210"/>
    <w:rsid w:val="001172B7"/>
    <w:rsid w:val="001174E2"/>
    <w:rsid w:val="00117AE1"/>
    <w:rsid w:val="00117B81"/>
    <w:rsid w:val="0012006F"/>
    <w:rsid w:val="0012007D"/>
    <w:rsid w:val="0012053F"/>
    <w:rsid w:val="001206C3"/>
    <w:rsid w:val="0012097A"/>
    <w:rsid w:val="0012123A"/>
    <w:rsid w:val="00121312"/>
    <w:rsid w:val="00121681"/>
    <w:rsid w:val="001219F2"/>
    <w:rsid w:val="001220D7"/>
    <w:rsid w:val="0012215E"/>
    <w:rsid w:val="00122199"/>
    <w:rsid w:val="0012237E"/>
    <w:rsid w:val="001225F3"/>
    <w:rsid w:val="0012279A"/>
    <w:rsid w:val="00122B2F"/>
    <w:rsid w:val="00122C32"/>
    <w:rsid w:val="001234AB"/>
    <w:rsid w:val="0012389F"/>
    <w:rsid w:val="0012395B"/>
    <w:rsid w:val="001240E7"/>
    <w:rsid w:val="0012413B"/>
    <w:rsid w:val="001246AB"/>
    <w:rsid w:val="00124B78"/>
    <w:rsid w:val="00124C76"/>
    <w:rsid w:val="00124F47"/>
    <w:rsid w:val="00124F8D"/>
    <w:rsid w:val="00125629"/>
    <w:rsid w:val="00125828"/>
    <w:rsid w:val="00125A57"/>
    <w:rsid w:val="00125D25"/>
    <w:rsid w:val="0012627A"/>
    <w:rsid w:val="00126349"/>
    <w:rsid w:val="00126360"/>
    <w:rsid w:val="0012645E"/>
    <w:rsid w:val="001265E2"/>
    <w:rsid w:val="00126ADE"/>
    <w:rsid w:val="00126CD0"/>
    <w:rsid w:val="00126D71"/>
    <w:rsid w:val="00126E85"/>
    <w:rsid w:val="001276AB"/>
    <w:rsid w:val="00127796"/>
    <w:rsid w:val="00127C04"/>
    <w:rsid w:val="00127D9E"/>
    <w:rsid w:val="00130711"/>
    <w:rsid w:val="00130914"/>
    <w:rsid w:val="00130B49"/>
    <w:rsid w:val="00130F0D"/>
    <w:rsid w:val="0013103A"/>
    <w:rsid w:val="00131B09"/>
    <w:rsid w:val="0013219C"/>
    <w:rsid w:val="001329CC"/>
    <w:rsid w:val="00132D10"/>
    <w:rsid w:val="00132FF5"/>
    <w:rsid w:val="001339C4"/>
    <w:rsid w:val="00134080"/>
    <w:rsid w:val="00134157"/>
    <w:rsid w:val="00134339"/>
    <w:rsid w:val="001349AD"/>
    <w:rsid w:val="00134B9A"/>
    <w:rsid w:val="0013587B"/>
    <w:rsid w:val="00135E50"/>
    <w:rsid w:val="00135FCF"/>
    <w:rsid w:val="00136131"/>
    <w:rsid w:val="0013677C"/>
    <w:rsid w:val="00136D17"/>
    <w:rsid w:val="00136D95"/>
    <w:rsid w:val="001371E7"/>
    <w:rsid w:val="00137853"/>
    <w:rsid w:val="00137FF0"/>
    <w:rsid w:val="001403A2"/>
    <w:rsid w:val="0014052C"/>
    <w:rsid w:val="00140538"/>
    <w:rsid w:val="00140E5B"/>
    <w:rsid w:val="00140FB7"/>
    <w:rsid w:val="00141435"/>
    <w:rsid w:val="001415A1"/>
    <w:rsid w:val="001415FF"/>
    <w:rsid w:val="00141C5D"/>
    <w:rsid w:val="00142437"/>
    <w:rsid w:val="00142841"/>
    <w:rsid w:val="00142B5C"/>
    <w:rsid w:val="00143C14"/>
    <w:rsid w:val="00143D35"/>
    <w:rsid w:val="0014432C"/>
    <w:rsid w:val="001444A7"/>
    <w:rsid w:val="0014451B"/>
    <w:rsid w:val="00144BFE"/>
    <w:rsid w:val="00144CBA"/>
    <w:rsid w:val="00144F38"/>
    <w:rsid w:val="0014538E"/>
    <w:rsid w:val="001455C0"/>
    <w:rsid w:val="00145BCA"/>
    <w:rsid w:val="00145D8C"/>
    <w:rsid w:val="00145ED9"/>
    <w:rsid w:val="00145F79"/>
    <w:rsid w:val="001463C4"/>
    <w:rsid w:val="00146A76"/>
    <w:rsid w:val="00146BCC"/>
    <w:rsid w:val="00146EE0"/>
    <w:rsid w:val="00147D7C"/>
    <w:rsid w:val="00147FA5"/>
    <w:rsid w:val="00150A92"/>
    <w:rsid w:val="00150E18"/>
    <w:rsid w:val="001511C3"/>
    <w:rsid w:val="00151221"/>
    <w:rsid w:val="00151CCD"/>
    <w:rsid w:val="00151EF0"/>
    <w:rsid w:val="00152584"/>
    <w:rsid w:val="0015270B"/>
    <w:rsid w:val="00152875"/>
    <w:rsid w:val="00152F65"/>
    <w:rsid w:val="00153D92"/>
    <w:rsid w:val="00153E9B"/>
    <w:rsid w:val="00154019"/>
    <w:rsid w:val="0015408F"/>
    <w:rsid w:val="001544FD"/>
    <w:rsid w:val="00154861"/>
    <w:rsid w:val="0015497A"/>
    <w:rsid w:val="00155040"/>
    <w:rsid w:val="0015562B"/>
    <w:rsid w:val="001559AD"/>
    <w:rsid w:val="00155C85"/>
    <w:rsid w:val="00155FBE"/>
    <w:rsid w:val="001560A0"/>
    <w:rsid w:val="0015638B"/>
    <w:rsid w:val="001567AD"/>
    <w:rsid w:val="001568A4"/>
    <w:rsid w:val="00156C92"/>
    <w:rsid w:val="00156CEC"/>
    <w:rsid w:val="00156F86"/>
    <w:rsid w:val="00157200"/>
    <w:rsid w:val="00157265"/>
    <w:rsid w:val="001575EB"/>
    <w:rsid w:val="001576E0"/>
    <w:rsid w:val="00157A8C"/>
    <w:rsid w:val="00160D78"/>
    <w:rsid w:val="001611BE"/>
    <w:rsid w:val="00161A07"/>
    <w:rsid w:val="00161C36"/>
    <w:rsid w:val="00162450"/>
    <w:rsid w:val="00162537"/>
    <w:rsid w:val="00162FC1"/>
    <w:rsid w:val="0016344E"/>
    <w:rsid w:val="00163E1F"/>
    <w:rsid w:val="001644D8"/>
    <w:rsid w:val="00164557"/>
    <w:rsid w:val="00164839"/>
    <w:rsid w:val="001649F4"/>
    <w:rsid w:val="00164F08"/>
    <w:rsid w:val="00164FA7"/>
    <w:rsid w:val="00165083"/>
    <w:rsid w:val="001651E3"/>
    <w:rsid w:val="0016558C"/>
    <w:rsid w:val="00165E03"/>
    <w:rsid w:val="00165F87"/>
    <w:rsid w:val="00165F8A"/>
    <w:rsid w:val="00166DA5"/>
    <w:rsid w:val="00166FB5"/>
    <w:rsid w:val="00167067"/>
    <w:rsid w:val="00167414"/>
    <w:rsid w:val="00167835"/>
    <w:rsid w:val="001678D7"/>
    <w:rsid w:val="00167AFE"/>
    <w:rsid w:val="00167BB9"/>
    <w:rsid w:val="00167BE2"/>
    <w:rsid w:val="00167C8B"/>
    <w:rsid w:val="00167DD9"/>
    <w:rsid w:val="0017074C"/>
    <w:rsid w:val="001708AC"/>
    <w:rsid w:val="00170AE1"/>
    <w:rsid w:val="00170C84"/>
    <w:rsid w:val="00170D94"/>
    <w:rsid w:val="00170FFA"/>
    <w:rsid w:val="00171096"/>
    <w:rsid w:val="00171D6B"/>
    <w:rsid w:val="00171F7E"/>
    <w:rsid w:val="001723DF"/>
    <w:rsid w:val="0017290C"/>
    <w:rsid w:val="00172DFC"/>
    <w:rsid w:val="00173452"/>
    <w:rsid w:val="001736FC"/>
    <w:rsid w:val="00173871"/>
    <w:rsid w:val="00173C17"/>
    <w:rsid w:val="00174A09"/>
    <w:rsid w:val="00174F32"/>
    <w:rsid w:val="00175100"/>
    <w:rsid w:val="00175820"/>
    <w:rsid w:val="00175B39"/>
    <w:rsid w:val="00175E4F"/>
    <w:rsid w:val="00176043"/>
    <w:rsid w:val="001760ED"/>
    <w:rsid w:val="0017610E"/>
    <w:rsid w:val="001767D6"/>
    <w:rsid w:val="00177142"/>
    <w:rsid w:val="00177592"/>
    <w:rsid w:val="00177CFC"/>
    <w:rsid w:val="00177ED2"/>
    <w:rsid w:val="0018011A"/>
    <w:rsid w:val="00180164"/>
    <w:rsid w:val="00180B9B"/>
    <w:rsid w:val="00180E86"/>
    <w:rsid w:val="00181032"/>
    <w:rsid w:val="00181660"/>
    <w:rsid w:val="00181843"/>
    <w:rsid w:val="001818DF"/>
    <w:rsid w:val="00181B25"/>
    <w:rsid w:val="00181C38"/>
    <w:rsid w:val="00181EB1"/>
    <w:rsid w:val="00182416"/>
    <w:rsid w:val="00182438"/>
    <w:rsid w:val="001829CC"/>
    <w:rsid w:val="00182E1C"/>
    <w:rsid w:val="00183E54"/>
    <w:rsid w:val="00183EB0"/>
    <w:rsid w:val="0018453A"/>
    <w:rsid w:val="0018466C"/>
    <w:rsid w:val="00184A11"/>
    <w:rsid w:val="001850AA"/>
    <w:rsid w:val="00185234"/>
    <w:rsid w:val="001854CF"/>
    <w:rsid w:val="001856CC"/>
    <w:rsid w:val="00185B37"/>
    <w:rsid w:val="001868A5"/>
    <w:rsid w:val="00186B4F"/>
    <w:rsid w:val="00186B50"/>
    <w:rsid w:val="001876D0"/>
    <w:rsid w:val="00187827"/>
    <w:rsid w:val="00187B36"/>
    <w:rsid w:val="0019004C"/>
    <w:rsid w:val="00190903"/>
    <w:rsid w:val="00190A23"/>
    <w:rsid w:val="0019173D"/>
    <w:rsid w:val="00191AD6"/>
    <w:rsid w:val="00191C92"/>
    <w:rsid w:val="00191D52"/>
    <w:rsid w:val="001920A9"/>
    <w:rsid w:val="00192648"/>
    <w:rsid w:val="00192F46"/>
    <w:rsid w:val="00193049"/>
    <w:rsid w:val="00193BD6"/>
    <w:rsid w:val="00194003"/>
    <w:rsid w:val="001942DB"/>
    <w:rsid w:val="0019529D"/>
    <w:rsid w:val="00195406"/>
    <w:rsid w:val="00195CC2"/>
    <w:rsid w:val="00195D21"/>
    <w:rsid w:val="00195D94"/>
    <w:rsid w:val="00196041"/>
    <w:rsid w:val="001960A6"/>
    <w:rsid w:val="00196375"/>
    <w:rsid w:val="001964CD"/>
    <w:rsid w:val="001964DC"/>
    <w:rsid w:val="00196D1B"/>
    <w:rsid w:val="001979C3"/>
    <w:rsid w:val="00197E8E"/>
    <w:rsid w:val="001A0131"/>
    <w:rsid w:val="001A069B"/>
    <w:rsid w:val="001A0846"/>
    <w:rsid w:val="001A08F0"/>
    <w:rsid w:val="001A0920"/>
    <w:rsid w:val="001A1549"/>
    <w:rsid w:val="001A1C35"/>
    <w:rsid w:val="001A1D36"/>
    <w:rsid w:val="001A20ED"/>
    <w:rsid w:val="001A2503"/>
    <w:rsid w:val="001A2683"/>
    <w:rsid w:val="001A2796"/>
    <w:rsid w:val="001A36BF"/>
    <w:rsid w:val="001A3A3C"/>
    <w:rsid w:val="001A3F20"/>
    <w:rsid w:val="001A42CE"/>
    <w:rsid w:val="001A459F"/>
    <w:rsid w:val="001A45FC"/>
    <w:rsid w:val="001A45FE"/>
    <w:rsid w:val="001A4FB5"/>
    <w:rsid w:val="001A53D7"/>
    <w:rsid w:val="001A553C"/>
    <w:rsid w:val="001A5673"/>
    <w:rsid w:val="001A5955"/>
    <w:rsid w:val="001A59D9"/>
    <w:rsid w:val="001A5DC3"/>
    <w:rsid w:val="001A62C2"/>
    <w:rsid w:val="001A6443"/>
    <w:rsid w:val="001A6750"/>
    <w:rsid w:val="001A68BA"/>
    <w:rsid w:val="001A7354"/>
    <w:rsid w:val="001A7370"/>
    <w:rsid w:val="001A7D7B"/>
    <w:rsid w:val="001A7E32"/>
    <w:rsid w:val="001A7EE6"/>
    <w:rsid w:val="001B034F"/>
    <w:rsid w:val="001B03BA"/>
    <w:rsid w:val="001B0408"/>
    <w:rsid w:val="001B051E"/>
    <w:rsid w:val="001B0F26"/>
    <w:rsid w:val="001B13C2"/>
    <w:rsid w:val="001B156D"/>
    <w:rsid w:val="001B1F30"/>
    <w:rsid w:val="001B20AC"/>
    <w:rsid w:val="001B2443"/>
    <w:rsid w:val="001B2481"/>
    <w:rsid w:val="001B2F8E"/>
    <w:rsid w:val="001B3751"/>
    <w:rsid w:val="001B38F3"/>
    <w:rsid w:val="001B3C04"/>
    <w:rsid w:val="001B3D5B"/>
    <w:rsid w:val="001B3FC6"/>
    <w:rsid w:val="001B45AB"/>
    <w:rsid w:val="001B4622"/>
    <w:rsid w:val="001B4668"/>
    <w:rsid w:val="001B4885"/>
    <w:rsid w:val="001B49A5"/>
    <w:rsid w:val="001B4A1E"/>
    <w:rsid w:val="001B5104"/>
    <w:rsid w:val="001B5178"/>
    <w:rsid w:val="001B575E"/>
    <w:rsid w:val="001B580F"/>
    <w:rsid w:val="001B5CCD"/>
    <w:rsid w:val="001B622D"/>
    <w:rsid w:val="001B6610"/>
    <w:rsid w:val="001B68E7"/>
    <w:rsid w:val="001B6C7A"/>
    <w:rsid w:val="001B6CBB"/>
    <w:rsid w:val="001B6E1C"/>
    <w:rsid w:val="001B6FE5"/>
    <w:rsid w:val="001B7315"/>
    <w:rsid w:val="001B76EC"/>
    <w:rsid w:val="001B781D"/>
    <w:rsid w:val="001B7CCF"/>
    <w:rsid w:val="001B7CD2"/>
    <w:rsid w:val="001C005D"/>
    <w:rsid w:val="001C098C"/>
    <w:rsid w:val="001C0AF8"/>
    <w:rsid w:val="001C1034"/>
    <w:rsid w:val="001C1964"/>
    <w:rsid w:val="001C1CA9"/>
    <w:rsid w:val="001C1E76"/>
    <w:rsid w:val="001C229E"/>
    <w:rsid w:val="001C23B0"/>
    <w:rsid w:val="001C255B"/>
    <w:rsid w:val="001C2A71"/>
    <w:rsid w:val="001C2A87"/>
    <w:rsid w:val="001C2DE9"/>
    <w:rsid w:val="001C3397"/>
    <w:rsid w:val="001C3453"/>
    <w:rsid w:val="001C3982"/>
    <w:rsid w:val="001C3CA8"/>
    <w:rsid w:val="001C3F35"/>
    <w:rsid w:val="001C4369"/>
    <w:rsid w:val="001C4E61"/>
    <w:rsid w:val="001C50F8"/>
    <w:rsid w:val="001C5501"/>
    <w:rsid w:val="001C55AC"/>
    <w:rsid w:val="001C6E26"/>
    <w:rsid w:val="001C7234"/>
    <w:rsid w:val="001C750A"/>
    <w:rsid w:val="001C75A6"/>
    <w:rsid w:val="001C7C94"/>
    <w:rsid w:val="001C7EA7"/>
    <w:rsid w:val="001D03C7"/>
    <w:rsid w:val="001D06C4"/>
    <w:rsid w:val="001D0D72"/>
    <w:rsid w:val="001D0F7C"/>
    <w:rsid w:val="001D127E"/>
    <w:rsid w:val="001D13CF"/>
    <w:rsid w:val="001D15A7"/>
    <w:rsid w:val="001D3A52"/>
    <w:rsid w:val="001D3AB5"/>
    <w:rsid w:val="001D3B22"/>
    <w:rsid w:val="001D3C0F"/>
    <w:rsid w:val="001D3DF2"/>
    <w:rsid w:val="001D3E5D"/>
    <w:rsid w:val="001D4101"/>
    <w:rsid w:val="001D415C"/>
    <w:rsid w:val="001D429A"/>
    <w:rsid w:val="001D469D"/>
    <w:rsid w:val="001D4E28"/>
    <w:rsid w:val="001D50AA"/>
    <w:rsid w:val="001D58FA"/>
    <w:rsid w:val="001D5D15"/>
    <w:rsid w:val="001D5D91"/>
    <w:rsid w:val="001D632D"/>
    <w:rsid w:val="001D66DA"/>
    <w:rsid w:val="001D6A1F"/>
    <w:rsid w:val="001D780F"/>
    <w:rsid w:val="001E0E19"/>
    <w:rsid w:val="001E113C"/>
    <w:rsid w:val="001E14BC"/>
    <w:rsid w:val="001E16C7"/>
    <w:rsid w:val="001E1863"/>
    <w:rsid w:val="001E2C4A"/>
    <w:rsid w:val="001E2D31"/>
    <w:rsid w:val="001E2D58"/>
    <w:rsid w:val="001E2E84"/>
    <w:rsid w:val="001E394F"/>
    <w:rsid w:val="001E3DD4"/>
    <w:rsid w:val="001E3E9C"/>
    <w:rsid w:val="001E3F2F"/>
    <w:rsid w:val="001E3F9B"/>
    <w:rsid w:val="001E45C8"/>
    <w:rsid w:val="001E538C"/>
    <w:rsid w:val="001E55B9"/>
    <w:rsid w:val="001E5832"/>
    <w:rsid w:val="001E5CD7"/>
    <w:rsid w:val="001E5D7E"/>
    <w:rsid w:val="001E63FB"/>
    <w:rsid w:val="001E681B"/>
    <w:rsid w:val="001E68FB"/>
    <w:rsid w:val="001E6A5E"/>
    <w:rsid w:val="001E6D04"/>
    <w:rsid w:val="001E722B"/>
    <w:rsid w:val="001E73EC"/>
    <w:rsid w:val="001E74D6"/>
    <w:rsid w:val="001E7649"/>
    <w:rsid w:val="001E7789"/>
    <w:rsid w:val="001E7CBC"/>
    <w:rsid w:val="001F0038"/>
    <w:rsid w:val="001F0135"/>
    <w:rsid w:val="001F0421"/>
    <w:rsid w:val="001F0428"/>
    <w:rsid w:val="001F0960"/>
    <w:rsid w:val="001F09FD"/>
    <w:rsid w:val="001F0BF9"/>
    <w:rsid w:val="001F0E4C"/>
    <w:rsid w:val="001F15B7"/>
    <w:rsid w:val="001F15CE"/>
    <w:rsid w:val="001F1653"/>
    <w:rsid w:val="001F184F"/>
    <w:rsid w:val="001F1C35"/>
    <w:rsid w:val="001F1F85"/>
    <w:rsid w:val="001F22FE"/>
    <w:rsid w:val="001F25BA"/>
    <w:rsid w:val="001F25DC"/>
    <w:rsid w:val="001F2CE5"/>
    <w:rsid w:val="001F2EB3"/>
    <w:rsid w:val="001F3F14"/>
    <w:rsid w:val="001F462C"/>
    <w:rsid w:val="001F46EE"/>
    <w:rsid w:val="001F5858"/>
    <w:rsid w:val="001F6248"/>
    <w:rsid w:val="001F63B4"/>
    <w:rsid w:val="001F64BF"/>
    <w:rsid w:val="001F6D5C"/>
    <w:rsid w:val="001F7214"/>
    <w:rsid w:val="001F7CC1"/>
    <w:rsid w:val="001F7D64"/>
    <w:rsid w:val="002000F8"/>
    <w:rsid w:val="00200580"/>
    <w:rsid w:val="00200B34"/>
    <w:rsid w:val="00200DD5"/>
    <w:rsid w:val="00201159"/>
    <w:rsid w:val="00201649"/>
    <w:rsid w:val="0020185B"/>
    <w:rsid w:val="00201D42"/>
    <w:rsid w:val="002022BB"/>
    <w:rsid w:val="002026FB"/>
    <w:rsid w:val="00203172"/>
    <w:rsid w:val="002035EE"/>
    <w:rsid w:val="00203671"/>
    <w:rsid w:val="00204869"/>
    <w:rsid w:val="00204984"/>
    <w:rsid w:val="00204A38"/>
    <w:rsid w:val="00204D4C"/>
    <w:rsid w:val="00204D7B"/>
    <w:rsid w:val="00204E73"/>
    <w:rsid w:val="002054A3"/>
    <w:rsid w:val="00205C53"/>
    <w:rsid w:val="00205EAE"/>
    <w:rsid w:val="00206210"/>
    <w:rsid w:val="00206387"/>
    <w:rsid w:val="002065D6"/>
    <w:rsid w:val="00206D23"/>
    <w:rsid w:val="00206D32"/>
    <w:rsid w:val="002071A0"/>
    <w:rsid w:val="002074AA"/>
    <w:rsid w:val="002074E4"/>
    <w:rsid w:val="002078EF"/>
    <w:rsid w:val="00207953"/>
    <w:rsid w:val="0020797D"/>
    <w:rsid w:val="00207A39"/>
    <w:rsid w:val="00207BD1"/>
    <w:rsid w:val="002101E6"/>
    <w:rsid w:val="0021046A"/>
    <w:rsid w:val="002104AF"/>
    <w:rsid w:val="00210717"/>
    <w:rsid w:val="002108A8"/>
    <w:rsid w:val="00210EE4"/>
    <w:rsid w:val="00210F7C"/>
    <w:rsid w:val="0021109A"/>
    <w:rsid w:val="002110EF"/>
    <w:rsid w:val="00211201"/>
    <w:rsid w:val="002117AB"/>
    <w:rsid w:val="00212BD9"/>
    <w:rsid w:val="00212E78"/>
    <w:rsid w:val="00213744"/>
    <w:rsid w:val="00213C95"/>
    <w:rsid w:val="002140D4"/>
    <w:rsid w:val="0021447C"/>
    <w:rsid w:val="00214648"/>
    <w:rsid w:val="00214829"/>
    <w:rsid w:val="002148A1"/>
    <w:rsid w:val="00214946"/>
    <w:rsid w:val="00214A78"/>
    <w:rsid w:val="00214D71"/>
    <w:rsid w:val="00214F99"/>
    <w:rsid w:val="002151EC"/>
    <w:rsid w:val="00215D63"/>
    <w:rsid w:val="00215DCC"/>
    <w:rsid w:val="00215FC0"/>
    <w:rsid w:val="00216277"/>
    <w:rsid w:val="00216492"/>
    <w:rsid w:val="00216679"/>
    <w:rsid w:val="002168C2"/>
    <w:rsid w:val="00216F89"/>
    <w:rsid w:val="0021721B"/>
    <w:rsid w:val="0021738C"/>
    <w:rsid w:val="0021777F"/>
    <w:rsid w:val="0022043F"/>
    <w:rsid w:val="002206D3"/>
    <w:rsid w:val="0022079E"/>
    <w:rsid w:val="00220C4E"/>
    <w:rsid w:val="00220D4B"/>
    <w:rsid w:val="00220DBE"/>
    <w:rsid w:val="0022123C"/>
    <w:rsid w:val="002212AF"/>
    <w:rsid w:val="00221329"/>
    <w:rsid w:val="0022138E"/>
    <w:rsid w:val="002216C5"/>
    <w:rsid w:val="00221B57"/>
    <w:rsid w:val="00221E7D"/>
    <w:rsid w:val="0022267F"/>
    <w:rsid w:val="00222864"/>
    <w:rsid w:val="00222975"/>
    <w:rsid w:val="0022372A"/>
    <w:rsid w:val="00223919"/>
    <w:rsid w:val="00223A47"/>
    <w:rsid w:val="00223A7F"/>
    <w:rsid w:val="00223AA6"/>
    <w:rsid w:val="00223F3F"/>
    <w:rsid w:val="0022429B"/>
    <w:rsid w:val="002246C7"/>
    <w:rsid w:val="00224B3F"/>
    <w:rsid w:val="00225356"/>
    <w:rsid w:val="002255DF"/>
    <w:rsid w:val="002257B1"/>
    <w:rsid w:val="00225A8A"/>
    <w:rsid w:val="002260CC"/>
    <w:rsid w:val="0022696A"/>
    <w:rsid w:val="00226B27"/>
    <w:rsid w:val="002270DD"/>
    <w:rsid w:val="002278FE"/>
    <w:rsid w:val="00230175"/>
    <w:rsid w:val="0023039E"/>
    <w:rsid w:val="00231709"/>
    <w:rsid w:val="0023213A"/>
    <w:rsid w:val="00232869"/>
    <w:rsid w:val="00232952"/>
    <w:rsid w:val="00232D2C"/>
    <w:rsid w:val="00233578"/>
    <w:rsid w:val="002335BD"/>
    <w:rsid w:val="002338F5"/>
    <w:rsid w:val="00233CC4"/>
    <w:rsid w:val="00233E3F"/>
    <w:rsid w:val="00233F87"/>
    <w:rsid w:val="00234065"/>
    <w:rsid w:val="002347AA"/>
    <w:rsid w:val="002348F3"/>
    <w:rsid w:val="00234C42"/>
    <w:rsid w:val="00235953"/>
    <w:rsid w:val="00235A62"/>
    <w:rsid w:val="00235B5A"/>
    <w:rsid w:val="002365CA"/>
    <w:rsid w:val="00236664"/>
    <w:rsid w:val="00236919"/>
    <w:rsid w:val="00236A36"/>
    <w:rsid w:val="00236CA3"/>
    <w:rsid w:val="00236CD1"/>
    <w:rsid w:val="00236DBD"/>
    <w:rsid w:val="002371F4"/>
    <w:rsid w:val="0023743F"/>
    <w:rsid w:val="00237452"/>
    <w:rsid w:val="00237547"/>
    <w:rsid w:val="002375F7"/>
    <w:rsid w:val="002379F7"/>
    <w:rsid w:val="00237EBB"/>
    <w:rsid w:val="00240B4C"/>
    <w:rsid w:val="00240CFE"/>
    <w:rsid w:val="00241286"/>
    <w:rsid w:val="0024139B"/>
    <w:rsid w:val="0024139C"/>
    <w:rsid w:val="00241602"/>
    <w:rsid w:val="0024188F"/>
    <w:rsid w:val="00241E7A"/>
    <w:rsid w:val="00242495"/>
    <w:rsid w:val="002426BC"/>
    <w:rsid w:val="00242AE1"/>
    <w:rsid w:val="00242B45"/>
    <w:rsid w:val="002430EA"/>
    <w:rsid w:val="002431B6"/>
    <w:rsid w:val="00243309"/>
    <w:rsid w:val="00243604"/>
    <w:rsid w:val="00243D82"/>
    <w:rsid w:val="002440DA"/>
    <w:rsid w:val="0024498C"/>
    <w:rsid w:val="00244F5F"/>
    <w:rsid w:val="00244FB1"/>
    <w:rsid w:val="00245515"/>
    <w:rsid w:val="0024564C"/>
    <w:rsid w:val="00245704"/>
    <w:rsid w:val="00245D86"/>
    <w:rsid w:val="00245E75"/>
    <w:rsid w:val="0024600D"/>
    <w:rsid w:val="0024666D"/>
    <w:rsid w:val="00246B80"/>
    <w:rsid w:val="00246C31"/>
    <w:rsid w:val="00247282"/>
    <w:rsid w:val="002475CA"/>
    <w:rsid w:val="0024778F"/>
    <w:rsid w:val="0025061D"/>
    <w:rsid w:val="0025070B"/>
    <w:rsid w:val="00250793"/>
    <w:rsid w:val="00251801"/>
    <w:rsid w:val="00252425"/>
    <w:rsid w:val="00252430"/>
    <w:rsid w:val="00252527"/>
    <w:rsid w:val="002527FF"/>
    <w:rsid w:val="002529B9"/>
    <w:rsid w:val="00253232"/>
    <w:rsid w:val="002536EF"/>
    <w:rsid w:val="0025390A"/>
    <w:rsid w:val="00254B97"/>
    <w:rsid w:val="00254BFF"/>
    <w:rsid w:val="00254D8E"/>
    <w:rsid w:val="00254EAC"/>
    <w:rsid w:val="002550DD"/>
    <w:rsid w:val="00255750"/>
    <w:rsid w:val="00255B06"/>
    <w:rsid w:val="00255BD1"/>
    <w:rsid w:val="00255BF8"/>
    <w:rsid w:val="00255DB9"/>
    <w:rsid w:val="002568BD"/>
    <w:rsid w:val="002568F1"/>
    <w:rsid w:val="00256B2D"/>
    <w:rsid w:val="00256BA3"/>
    <w:rsid w:val="00256DD1"/>
    <w:rsid w:val="00257062"/>
    <w:rsid w:val="00257202"/>
    <w:rsid w:val="0025784F"/>
    <w:rsid w:val="00257F97"/>
    <w:rsid w:val="002601F4"/>
    <w:rsid w:val="0026030F"/>
    <w:rsid w:val="002608EC"/>
    <w:rsid w:val="00261FA5"/>
    <w:rsid w:val="00261FC5"/>
    <w:rsid w:val="002620E2"/>
    <w:rsid w:val="0026227C"/>
    <w:rsid w:val="0026258F"/>
    <w:rsid w:val="00262E9F"/>
    <w:rsid w:val="0026360A"/>
    <w:rsid w:val="002637DB"/>
    <w:rsid w:val="002638B2"/>
    <w:rsid w:val="00263CB0"/>
    <w:rsid w:val="0026406E"/>
    <w:rsid w:val="002641A7"/>
    <w:rsid w:val="002647AB"/>
    <w:rsid w:val="00264A88"/>
    <w:rsid w:val="00264BFE"/>
    <w:rsid w:val="00264EBB"/>
    <w:rsid w:val="00264FCB"/>
    <w:rsid w:val="00265119"/>
    <w:rsid w:val="0026515F"/>
    <w:rsid w:val="002657D1"/>
    <w:rsid w:val="00265DB9"/>
    <w:rsid w:val="0026638F"/>
    <w:rsid w:val="0026673E"/>
    <w:rsid w:val="00266882"/>
    <w:rsid w:val="00266C3B"/>
    <w:rsid w:val="00266E0B"/>
    <w:rsid w:val="002670C9"/>
    <w:rsid w:val="002672E3"/>
    <w:rsid w:val="0026797A"/>
    <w:rsid w:val="00267B93"/>
    <w:rsid w:val="00267DA9"/>
    <w:rsid w:val="0027089C"/>
    <w:rsid w:val="0027108C"/>
    <w:rsid w:val="00271107"/>
    <w:rsid w:val="002717BC"/>
    <w:rsid w:val="002718F9"/>
    <w:rsid w:val="00271A2D"/>
    <w:rsid w:val="00271B7B"/>
    <w:rsid w:val="00271D01"/>
    <w:rsid w:val="00271EC9"/>
    <w:rsid w:val="00271FD9"/>
    <w:rsid w:val="00272A24"/>
    <w:rsid w:val="00272A6D"/>
    <w:rsid w:val="00272B2A"/>
    <w:rsid w:val="00273161"/>
    <w:rsid w:val="0027423F"/>
    <w:rsid w:val="002743EC"/>
    <w:rsid w:val="0027440B"/>
    <w:rsid w:val="00274492"/>
    <w:rsid w:val="002744DF"/>
    <w:rsid w:val="00274A7D"/>
    <w:rsid w:val="00274DB4"/>
    <w:rsid w:val="0027504E"/>
    <w:rsid w:val="0027511E"/>
    <w:rsid w:val="00275CEB"/>
    <w:rsid w:val="00275F59"/>
    <w:rsid w:val="00276859"/>
    <w:rsid w:val="002771D8"/>
    <w:rsid w:val="002779D0"/>
    <w:rsid w:val="00277A34"/>
    <w:rsid w:val="00277B11"/>
    <w:rsid w:val="00277EAF"/>
    <w:rsid w:val="00277F8D"/>
    <w:rsid w:val="002805AF"/>
    <w:rsid w:val="00280964"/>
    <w:rsid w:val="00280E62"/>
    <w:rsid w:val="00281050"/>
    <w:rsid w:val="00281713"/>
    <w:rsid w:val="00281875"/>
    <w:rsid w:val="002818A4"/>
    <w:rsid w:val="00281B6B"/>
    <w:rsid w:val="00281DA1"/>
    <w:rsid w:val="00281E09"/>
    <w:rsid w:val="002822C9"/>
    <w:rsid w:val="00282374"/>
    <w:rsid w:val="00282532"/>
    <w:rsid w:val="002826C6"/>
    <w:rsid w:val="002828B9"/>
    <w:rsid w:val="00282B1F"/>
    <w:rsid w:val="00282BB5"/>
    <w:rsid w:val="00282C92"/>
    <w:rsid w:val="00282EF0"/>
    <w:rsid w:val="00282FF8"/>
    <w:rsid w:val="00283447"/>
    <w:rsid w:val="00283952"/>
    <w:rsid w:val="00284313"/>
    <w:rsid w:val="00284675"/>
    <w:rsid w:val="002846A2"/>
    <w:rsid w:val="00284C17"/>
    <w:rsid w:val="00284C66"/>
    <w:rsid w:val="00284C93"/>
    <w:rsid w:val="00284E39"/>
    <w:rsid w:val="002851F7"/>
    <w:rsid w:val="00285642"/>
    <w:rsid w:val="00285723"/>
    <w:rsid w:val="00285CB3"/>
    <w:rsid w:val="00285ED9"/>
    <w:rsid w:val="00286098"/>
    <w:rsid w:val="002861E9"/>
    <w:rsid w:val="002863FA"/>
    <w:rsid w:val="00286664"/>
    <w:rsid w:val="00286F5B"/>
    <w:rsid w:val="0028718F"/>
    <w:rsid w:val="002872D8"/>
    <w:rsid w:val="00287DCF"/>
    <w:rsid w:val="00290B2E"/>
    <w:rsid w:val="00291CFD"/>
    <w:rsid w:val="00291D00"/>
    <w:rsid w:val="00291DAB"/>
    <w:rsid w:val="00291FE2"/>
    <w:rsid w:val="0029275E"/>
    <w:rsid w:val="0029291D"/>
    <w:rsid w:val="00292A88"/>
    <w:rsid w:val="0029319D"/>
    <w:rsid w:val="00293E7D"/>
    <w:rsid w:val="00293ED1"/>
    <w:rsid w:val="00294034"/>
    <w:rsid w:val="002940D5"/>
    <w:rsid w:val="00294147"/>
    <w:rsid w:val="00294A73"/>
    <w:rsid w:val="0029503A"/>
    <w:rsid w:val="002950B2"/>
    <w:rsid w:val="002951C7"/>
    <w:rsid w:val="002951FA"/>
    <w:rsid w:val="00295CAC"/>
    <w:rsid w:val="00296052"/>
    <w:rsid w:val="00296395"/>
    <w:rsid w:val="00296583"/>
    <w:rsid w:val="0029673E"/>
    <w:rsid w:val="002967A0"/>
    <w:rsid w:val="00296853"/>
    <w:rsid w:val="00296C08"/>
    <w:rsid w:val="0029707E"/>
    <w:rsid w:val="002971B0"/>
    <w:rsid w:val="002973A7"/>
    <w:rsid w:val="0029743E"/>
    <w:rsid w:val="00297B55"/>
    <w:rsid w:val="00297C58"/>
    <w:rsid w:val="00297F2C"/>
    <w:rsid w:val="00297F6D"/>
    <w:rsid w:val="002A07DD"/>
    <w:rsid w:val="002A0992"/>
    <w:rsid w:val="002A09EA"/>
    <w:rsid w:val="002A0AF7"/>
    <w:rsid w:val="002A0B39"/>
    <w:rsid w:val="002A0FA7"/>
    <w:rsid w:val="002A0FD0"/>
    <w:rsid w:val="002A13FD"/>
    <w:rsid w:val="002A1657"/>
    <w:rsid w:val="002A1963"/>
    <w:rsid w:val="002A1C25"/>
    <w:rsid w:val="002A1D84"/>
    <w:rsid w:val="002A2344"/>
    <w:rsid w:val="002A261E"/>
    <w:rsid w:val="002A281C"/>
    <w:rsid w:val="002A2BCB"/>
    <w:rsid w:val="002A32B8"/>
    <w:rsid w:val="002A424B"/>
    <w:rsid w:val="002A443E"/>
    <w:rsid w:val="002A4693"/>
    <w:rsid w:val="002A46FB"/>
    <w:rsid w:val="002A4B6A"/>
    <w:rsid w:val="002A4F04"/>
    <w:rsid w:val="002A4F1C"/>
    <w:rsid w:val="002A5006"/>
    <w:rsid w:val="002A5163"/>
    <w:rsid w:val="002A5173"/>
    <w:rsid w:val="002A51EB"/>
    <w:rsid w:val="002A578C"/>
    <w:rsid w:val="002A5904"/>
    <w:rsid w:val="002A666A"/>
    <w:rsid w:val="002A6821"/>
    <w:rsid w:val="002A6AB4"/>
    <w:rsid w:val="002A6FDB"/>
    <w:rsid w:val="002A7020"/>
    <w:rsid w:val="002A7236"/>
    <w:rsid w:val="002A728C"/>
    <w:rsid w:val="002A7510"/>
    <w:rsid w:val="002A76A0"/>
    <w:rsid w:val="002A76DE"/>
    <w:rsid w:val="002B0573"/>
    <w:rsid w:val="002B06B3"/>
    <w:rsid w:val="002B0909"/>
    <w:rsid w:val="002B1019"/>
    <w:rsid w:val="002B128B"/>
    <w:rsid w:val="002B1607"/>
    <w:rsid w:val="002B186A"/>
    <w:rsid w:val="002B1A24"/>
    <w:rsid w:val="002B299F"/>
    <w:rsid w:val="002B2CF3"/>
    <w:rsid w:val="002B301E"/>
    <w:rsid w:val="002B314A"/>
    <w:rsid w:val="002B32F0"/>
    <w:rsid w:val="002B3736"/>
    <w:rsid w:val="002B3E10"/>
    <w:rsid w:val="002B4058"/>
    <w:rsid w:val="002B4653"/>
    <w:rsid w:val="002B49B2"/>
    <w:rsid w:val="002B4A66"/>
    <w:rsid w:val="002B5471"/>
    <w:rsid w:val="002B67BD"/>
    <w:rsid w:val="002B6BF1"/>
    <w:rsid w:val="002B6C69"/>
    <w:rsid w:val="002B6F64"/>
    <w:rsid w:val="002B6F95"/>
    <w:rsid w:val="002B7672"/>
    <w:rsid w:val="002B7A77"/>
    <w:rsid w:val="002B7B15"/>
    <w:rsid w:val="002B7F0E"/>
    <w:rsid w:val="002C0B58"/>
    <w:rsid w:val="002C0B9D"/>
    <w:rsid w:val="002C0E37"/>
    <w:rsid w:val="002C0EEA"/>
    <w:rsid w:val="002C19C2"/>
    <w:rsid w:val="002C1CED"/>
    <w:rsid w:val="002C23D9"/>
    <w:rsid w:val="002C31D1"/>
    <w:rsid w:val="002C3B33"/>
    <w:rsid w:val="002C3BBA"/>
    <w:rsid w:val="002C439F"/>
    <w:rsid w:val="002C4571"/>
    <w:rsid w:val="002C45DD"/>
    <w:rsid w:val="002C4A44"/>
    <w:rsid w:val="002C4D10"/>
    <w:rsid w:val="002C4DCE"/>
    <w:rsid w:val="002C52C5"/>
    <w:rsid w:val="002C52D1"/>
    <w:rsid w:val="002C58AB"/>
    <w:rsid w:val="002C5960"/>
    <w:rsid w:val="002C6288"/>
    <w:rsid w:val="002C65CA"/>
    <w:rsid w:val="002C6A75"/>
    <w:rsid w:val="002C6B4B"/>
    <w:rsid w:val="002C6F21"/>
    <w:rsid w:val="002C7065"/>
    <w:rsid w:val="002C7E72"/>
    <w:rsid w:val="002C7F35"/>
    <w:rsid w:val="002D0255"/>
    <w:rsid w:val="002D0E91"/>
    <w:rsid w:val="002D11D4"/>
    <w:rsid w:val="002D17C5"/>
    <w:rsid w:val="002D1BA0"/>
    <w:rsid w:val="002D1E85"/>
    <w:rsid w:val="002D1EDC"/>
    <w:rsid w:val="002D1EF6"/>
    <w:rsid w:val="002D23AA"/>
    <w:rsid w:val="002D2CCE"/>
    <w:rsid w:val="002D361D"/>
    <w:rsid w:val="002D3863"/>
    <w:rsid w:val="002D3B24"/>
    <w:rsid w:val="002D3E6B"/>
    <w:rsid w:val="002D4355"/>
    <w:rsid w:val="002D46FD"/>
    <w:rsid w:val="002D4CE6"/>
    <w:rsid w:val="002D4D52"/>
    <w:rsid w:val="002D4E1C"/>
    <w:rsid w:val="002D53AD"/>
    <w:rsid w:val="002D5E9C"/>
    <w:rsid w:val="002D68E7"/>
    <w:rsid w:val="002D6BE7"/>
    <w:rsid w:val="002D7030"/>
    <w:rsid w:val="002D71E2"/>
    <w:rsid w:val="002D7889"/>
    <w:rsid w:val="002D79E0"/>
    <w:rsid w:val="002D7F9D"/>
    <w:rsid w:val="002E1232"/>
    <w:rsid w:val="002E15A2"/>
    <w:rsid w:val="002E18F6"/>
    <w:rsid w:val="002E195E"/>
    <w:rsid w:val="002E1A15"/>
    <w:rsid w:val="002E2C03"/>
    <w:rsid w:val="002E2E83"/>
    <w:rsid w:val="002E349E"/>
    <w:rsid w:val="002E3D69"/>
    <w:rsid w:val="002E42D5"/>
    <w:rsid w:val="002E5219"/>
    <w:rsid w:val="002E5393"/>
    <w:rsid w:val="002E5648"/>
    <w:rsid w:val="002E5C10"/>
    <w:rsid w:val="002E5EB0"/>
    <w:rsid w:val="002E656C"/>
    <w:rsid w:val="002E673F"/>
    <w:rsid w:val="002E6C98"/>
    <w:rsid w:val="002E79DC"/>
    <w:rsid w:val="002E7B35"/>
    <w:rsid w:val="002F010F"/>
    <w:rsid w:val="002F01EA"/>
    <w:rsid w:val="002F02AC"/>
    <w:rsid w:val="002F0A0B"/>
    <w:rsid w:val="002F0A55"/>
    <w:rsid w:val="002F0DA1"/>
    <w:rsid w:val="002F14A1"/>
    <w:rsid w:val="002F1816"/>
    <w:rsid w:val="002F1F22"/>
    <w:rsid w:val="002F2928"/>
    <w:rsid w:val="002F2FE5"/>
    <w:rsid w:val="002F39CD"/>
    <w:rsid w:val="002F3E70"/>
    <w:rsid w:val="002F3FCD"/>
    <w:rsid w:val="002F411C"/>
    <w:rsid w:val="002F4732"/>
    <w:rsid w:val="002F49CF"/>
    <w:rsid w:val="002F4BC0"/>
    <w:rsid w:val="002F5099"/>
    <w:rsid w:val="002F55DE"/>
    <w:rsid w:val="002F5BE1"/>
    <w:rsid w:val="002F5CD0"/>
    <w:rsid w:val="002F5DAB"/>
    <w:rsid w:val="002F754A"/>
    <w:rsid w:val="002F7A87"/>
    <w:rsid w:val="002F7EC2"/>
    <w:rsid w:val="002F7EFE"/>
    <w:rsid w:val="003001CF"/>
    <w:rsid w:val="00300686"/>
    <w:rsid w:val="00300B73"/>
    <w:rsid w:val="00300EBE"/>
    <w:rsid w:val="00300FDA"/>
    <w:rsid w:val="00301930"/>
    <w:rsid w:val="003019C1"/>
    <w:rsid w:val="00301C92"/>
    <w:rsid w:val="00301D08"/>
    <w:rsid w:val="00301F67"/>
    <w:rsid w:val="003020C3"/>
    <w:rsid w:val="0030284A"/>
    <w:rsid w:val="00302A26"/>
    <w:rsid w:val="00302C1B"/>
    <w:rsid w:val="00302D59"/>
    <w:rsid w:val="00302EC4"/>
    <w:rsid w:val="00303226"/>
    <w:rsid w:val="0030431A"/>
    <w:rsid w:val="00304562"/>
    <w:rsid w:val="00304667"/>
    <w:rsid w:val="00304B99"/>
    <w:rsid w:val="00304E28"/>
    <w:rsid w:val="00305246"/>
    <w:rsid w:val="00305299"/>
    <w:rsid w:val="00305483"/>
    <w:rsid w:val="0030591E"/>
    <w:rsid w:val="00305CD5"/>
    <w:rsid w:val="00306656"/>
    <w:rsid w:val="0030672B"/>
    <w:rsid w:val="00306B69"/>
    <w:rsid w:val="00307C6D"/>
    <w:rsid w:val="00307E97"/>
    <w:rsid w:val="00307F71"/>
    <w:rsid w:val="00310796"/>
    <w:rsid w:val="00311325"/>
    <w:rsid w:val="00311547"/>
    <w:rsid w:val="00311C66"/>
    <w:rsid w:val="00311DE9"/>
    <w:rsid w:val="003131BD"/>
    <w:rsid w:val="0031366A"/>
    <w:rsid w:val="00313D69"/>
    <w:rsid w:val="00313F6F"/>
    <w:rsid w:val="00313F7B"/>
    <w:rsid w:val="00314086"/>
    <w:rsid w:val="00314180"/>
    <w:rsid w:val="00314A12"/>
    <w:rsid w:val="0031516F"/>
    <w:rsid w:val="00315339"/>
    <w:rsid w:val="00315747"/>
    <w:rsid w:val="00315851"/>
    <w:rsid w:val="003164B7"/>
    <w:rsid w:val="00316585"/>
    <w:rsid w:val="00316A06"/>
    <w:rsid w:val="00317183"/>
    <w:rsid w:val="003173FE"/>
    <w:rsid w:val="0031759A"/>
    <w:rsid w:val="00317893"/>
    <w:rsid w:val="003178D0"/>
    <w:rsid w:val="00317B22"/>
    <w:rsid w:val="00317BE7"/>
    <w:rsid w:val="00320062"/>
    <w:rsid w:val="003201C5"/>
    <w:rsid w:val="00320567"/>
    <w:rsid w:val="003208AB"/>
    <w:rsid w:val="003208DD"/>
    <w:rsid w:val="00320BCD"/>
    <w:rsid w:val="003214C6"/>
    <w:rsid w:val="00321A85"/>
    <w:rsid w:val="00321F8E"/>
    <w:rsid w:val="003228FC"/>
    <w:rsid w:val="0032296A"/>
    <w:rsid w:val="0032298F"/>
    <w:rsid w:val="00322D5B"/>
    <w:rsid w:val="00322E20"/>
    <w:rsid w:val="00323196"/>
    <w:rsid w:val="003232CD"/>
    <w:rsid w:val="00323505"/>
    <w:rsid w:val="003235DA"/>
    <w:rsid w:val="00323A3C"/>
    <w:rsid w:val="00323ADD"/>
    <w:rsid w:val="0032411F"/>
    <w:rsid w:val="003241BE"/>
    <w:rsid w:val="00324323"/>
    <w:rsid w:val="00324640"/>
    <w:rsid w:val="003247A3"/>
    <w:rsid w:val="0032481A"/>
    <w:rsid w:val="00324D5D"/>
    <w:rsid w:val="00324EC3"/>
    <w:rsid w:val="00324F50"/>
    <w:rsid w:val="0032523F"/>
    <w:rsid w:val="003252FD"/>
    <w:rsid w:val="00325726"/>
    <w:rsid w:val="00325990"/>
    <w:rsid w:val="003259F8"/>
    <w:rsid w:val="00326411"/>
    <w:rsid w:val="003269FB"/>
    <w:rsid w:val="00326A68"/>
    <w:rsid w:val="00326BDE"/>
    <w:rsid w:val="003271C9"/>
    <w:rsid w:val="00327766"/>
    <w:rsid w:val="003277C5"/>
    <w:rsid w:val="003279F4"/>
    <w:rsid w:val="00327A42"/>
    <w:rsid w:val="00327DAF"/>
    <w:rsid w:val="00327EE0"/>
    <w:rsid w:val="00330120"/>
    <w:rsid w:val="00330470"/>
    <w:rsid w:val="00330AD3"/>
    <w:rsid w:val="00330C30"/>
    <w:rsid w:val="00331864"/>
    <w:rsid w:val="003319BA"/>
    <w:rsid w:val="00331DA0"/>
    <w:rsid w:val="00332004"/>
    <w:rsid w:val="00332057"/>
    <w:rsid w:val="0033299C"/>
    <w:rsid w:val="00332E14"/>
    <w:rsid w:val="003331DD"/>
    <w:rsid w:val="003332A8"/>
    <w:rsid w:val="00333533"/>
    <w:rsid w:val="00333893"/>
    <w:rsid w:val="00333BC8"/>
    <w:rsid w:val="00333C5B"/>
    <w:rsid w:val="00333D04"/>
    <w:rsid w:val="00334399"/>
    <w:rsid w:val="00334A7A"/>
    <w:rsid w:val="00334CEC"/>
    <w:rsid w:val="00334E66"/>
    <w:rsid w:val="00334E74"/>
    <w:rsid w:val="00335551"/>
    <w:rsid w:val="00335A97"/>
    <w:rsid w:val="00335B0D"/>
    <w:rsid w:val="00335FD3"/>
    <w:rsid w:val="0033614C"/>
    <w:rsid w:val="003366F2"/>
    <w:rsid w:val="00336B22"/>
    <w:rsid w:val="00336D3C"/>
    <w:rsid w:val="00337568"/>
    <w:rsid w:val="003375D4"/>
    <w:rsid w:val="00337602"/>
    <w:rsid w:val="0033771E"/>
    <w:rsid w:val="003379A6"/>
    <w:rsid w:val="00337B43"/>
    <w:rsid w:val="00337C69"/>
    <w:rsid w:val="00340311"/>
    <w:rsid w:val="0034051E"/>
    <w:rsid w:val="0034056D"/>
    <w:rsid w:val="003406AF"/>
    <w:rsid w:val="0034085B"/>
    <w:rsid w:val="003409EA"/>
    <w:rsid w:val="0034144B"/>
    <w:rsid w:val="003414FE"/>
    <w:rsid w:val="00342C2A"/>
    <w:rsid w:val="00342D41"/>
    <w:rsid w:val="00342EA8"/>
    <w:rsid w:val="00342FDB"/>
    <w:rsid w:val="00343068"/>
    <w:rsid w:val="003430E1"/>
    <w:rsid w:val="0034348F"/>
    <w:rsid w:val="003435B2"/>
    <w:rsid w:val="00343804"/>
    <w:rsid w:val="003439CD"/>
    <w:rsid w:val="003439EE"/>
    <w:rsid w:val="00343C99"/>
    <w:rsid w:val="0034484A"/>
    <w:rsid w:val="00344983"/>
    <w:rsid w:val="00344E6C"/>
    <w:rsid w:val="00344FF2"/>
    <w:rsid w:val="0034534E"/>
    <w:rsid w:val="0034541A"/>
    <w:rsid w:val="003456CA"/>
    <w:rsid w:val="00345B42"/>
    <w:rsid w:val="00346800"/>
    <w:rsid w:val="00346DF7"/>
    <w:rsid w:val="00346EBB"/>
    <w:rsid w:val="00346FE6"/>
    <w:rsid w:val="00347B69"/>
    <w:rsid w:val="00350026"/>
    <w:rsid w:val="00350736"/>
    <w:rsid w:val="0035080F"/>
    <w:rsid w:val="00350AD3"/>
    <w:rsid w:val="00350BFE"/>
    <w:rsid w:val="00351374"/>
    <w:rsid w:val="00351446"/>
    <w:rsid w:val="0035159D"/>
    <w:rsid w:val="003516A2"/>
    <w:rsid w:val="00351795"/>
    <w:rsid w:val="003518CC"/>
    <w:rsid w:val="00351974"/>
    <w:rsid w:val="0035229F"/>
    <w:rsid w:val="003524A2"/>
    <w:rsid w:val="00352F1F"/>
    <w:rsid w:val="00353000"/>
    <w:rsid w:val="00353A09"/>
    <w:rsid w:val="00354432"/>
    <w:rsid w:val="00354ADF"/>
    <w:rsid w:val="00354D41"/>
    <w:rsid w:val="00354F18"/>
    <w:rsid w:val="00355031"/>
    <w:rsid w:val="00355CA2"/>
    <w:rsid w:val="00356196"/>
    <w:rsid w:val="003568E1"/>
    <w:rsid w:val="0035761E"/>
    <w:rsid w:val="00357695"/>
    <w:rsid w:val="00357711"/>
    <w:rsid w:val="00360A9C"/>
    <w:rsid w:val="00360F24"/>
    <w:rsid w:val="00360FCF"/>
    <w:rsid w:val="00361335"/>
    <w:rsid w:val="003613CF"/>
    <w:rsid w:val="003616BF"/>
    <w:rsid w:val="00361DAB"/>
    <w:rsid w:val="003623A6"/>
    <w:rsid w:val="0036261B"/>
    <w:rsid w:val="00362F1B"/>
    <w:rsid w:val="0036319B"/>
    <w:rsid w:val="00363277"/>
    <w:rsid w:val="00363628"/>
    <w:rsid w:val="003636AE"/>
    <w:rsid w:val="00363BA2"/>
    <w:rsid w:val="00363FDF"/>
    <w:rsid w:val="00364155"/>
    <w:rsid w:val="0036451B"/>
    <w:rsid w:val="00364846"/>
    <w:rsid w:val="00364A20"/>
    <w:rsid w:val="00365108"/>
    <w:rsid w:val="00365726"/>
    <w:rsid w:val="003661EE"/>
    <w:rsid w:val="0036681F"/>
    <w:rsid w:val="00366BDA"/>
    <w:rsid w:val="003672DA"/>
    <w:rsid w:val="0036758B"/>
    <w:rsid w:val="00367A84"/>
    <w:rsid w:val="00367F70"/>
    <w:rsid w:val="00367FE7"/>
    <w:rsid w:val="003707C8"/>
    <w:rsid w:val="00370AF6"/>
    <w:rsid w:val="00370FDB"/>
    <w:rsid w:val="00370FDC"/>
    <w:rsid w:val="0037134A"/>
    <w:rsid w:val="00371EB3"/>
    <w:rsid w:val="0037270E"/>
    <w:rsid w:val="00372E83"/>
    <w:rsid w:val="003730C3"/>
    <w:rsid w:val="00373560"/>
    <w:rsid w:val="00373E3E"/>
    <w:rsid w:val="00373E5A"/>
    <w:rsid w:val="00374178"/>
    <w:rsid w:val="003741B4"/>
    <w:rsid w:val="003742EF"/>
    <w:rsid w:val="003745C1"/>
    <w:rsid w:val="00374AEB"/>
    <w:rsid w:val="00374B83"/>
    <w:rsid w:val="00374ED7"/>
    <w:rsid w:val="0037500B"/>
    <w:rsid w:val="0037517E"/>
    <w:rsid w:val="0037544E"/>
    <w:rsid w:val="00375574"/>
    <w:rsid w:val="003757EB"/>
    <w:rsid w:val="003758C9"/>
    <w:rsid w:val="00375D59"/>
    <w:rsid w:val="00375DCE"/>
    <w:rsid w:val="00375FD2"/>
    <w:rsid w:val="003762FF"/>
    <w:rsid w:val="00376565"/>
    <w:rsid w:val="0037669D"/>
    <w:rsid w:val="003778B7"/>
    <w:rsid w:val="00377961"/>
    <w:rsid w:val="003804D3"/>
    <w:rsid w:val="00380937"/>
    <w:rsid w:val="00380D46"/>
    <w:rsid w:val="0038181E"/>
    <w:rsid w:val="003821D1"/>
    <w:rsid w:val="00382650"/>
    <w:rsid w:val="00382721"/>
    <w:rsid w:val="003828BD"/>
    <w:rsid w:val="003829B6"/>
    <w:rsid w:val="00382A6B"/>
    <w:rsid w:val="00382F5F"/>
    <w:rsid w:val="00383604"/>
    <w:rsid w:val="003836BF"/>
    <w:rsid w:val="0038370F"/>
    <w:rsid w:val="003838F1"/>
    <w:rsid w:val="00383AB8"/>
    <w:rsid w:val="00383D01"/>
    <w:rsid w:val="00384689"/>
    <w:rsid w:val="00384954"/>
    <w:rsid w:val="00384C6E"/>
    <w:rsid w:val="00385188"/>
    <w:rsid w:val="00385662"/>
    <w:rsid w:val="00386573"/>
    <w:rsid w:val="00386786"/>
    <w:rsid w:val="00387035"/>
    <w:rsid w:val="003870EE"/>
    <w:rsid w:val="00387507"/>
    <w:rsid w:val="00387692"/>
    <w:rsid w:val="00387A1B"/>
    <w:rsid w:val="00387C98"/>
    <w:rsid w:val="00390321"/>
    <w:rsid w:val="003903E2"/>
    <w:rsid w:val="00390C74"/>
    <w:rsid w:val="00390D2B"/>
    <w:rsid w:val="00390FA2"/>
    <w:rsid w:val="00391460"/>
    <w:rsid w:val="003915C1"/>
    <w:rsid w:val="0039186E"/>
    <w:rsid w:val="003919E3"/>
    <w:rsid w:val="003921E9"/>
    <w:rsid w:val="0039248F"/>
    <w:rsid w:val="00392518"/>
    <w:rsid w:val="0039251F"/>
    <w:rsid w:val="00392BC2"/>
    <w:rsid w:val="00392FB2"/>
    <w:rsid w:val="00393007"/>
    <w:rsid w:val="003934CA"/>
    <w:rsid w:val="003936F9"/>
    <w:rsid w:val="0039373E"/>
    <w:rsid w:val="00393AD6"/>
    <w:rsid w:val="00393F9F"/>
    <w:rsid w:val="0039444F"/>
    <w:rsid w:val="00394641"/>
    <w:rsid w:val="0039467C"/>
    <w:rsid w:val="00394A43"/>
    <w:rsid w:val="00394AFB"/>
    <w:rsid w:val="00394B55"/>
    <w:rsid w:val="003950F7"/>
    <w:rsid w:val="003952B3"/>
    <w:rsid w:val="0039548D"/>
    <w:rsid w:val="00395980"/>
    <w:rsid w:val="00395F02"/>
    <w:rsid w:val="00396375"/>
    <w:rsid w:val="003966F2"/>
    <w:rsid w:val="00396724"/>
    <w:rsid w:val="0039676F"/>
    <w:rsid w:val="0039721E"/>
    <w:rsid w:val="00397DB8"/>
    <w:rsid w:val="003A006D"/>
    <w:rsid w:val="003A0520"/>
    <w:rsid w:val="003A0580"/>
    <w:rsid w:val="003A0726"/>
    <w:rsid w:val="003A0817"/>
    <w:rsid w:val="003A090C"/>
    <w:rsid w:val="003A0EB8"/>
    <w:rsid w:val="003A0FB3"/>
    <w:rsid w:val="003A12FC"/>
    <w:rsid w:val="003A16DA"/>
    <w:rsid w:val="003A1827"/>
    <w:rsid w:val="003A1E3E"/>
    <w:rsid w:val="003A1E51"/>
    <w:rsid w:val="003A2488"/>
    <w:rsid w:val="003A271A"/>
    <w:rsid w:val="003A2C75"/>
    <w:rsid w:val="003A2F32"/>
    <w:rsid w:val="003A2F66"/>
    <w:rsid w:val="003A327C"/>
    <w:rsid w:val="003A34A3"/>
    <w:rsid w:val="003A3740"/>
    <w:rsid w:val="003A37ED"/>
    <w:rsid w:val="003A3AAE"/>
    <w:rsid w:val="003A3EBE"/>
    <w:rsid w:val="003A41AC"/>
    <w:rsid w:val="003A437A"/>
    <w:rsid w:val="003A4756"/>
    <w:rsid w:val="003A4EAC"/>
    <w:rsid w:val="003A4ED0"/>
    <w:rsid w:val="003A5F38"/>
    <w:rsid w:val="003A62E3"/>
    <w:rsid w:val="003A65C7"/>
    <w:rsid w:val="003A69BF"/>
    <w:rsid w:val="003A6E5B"/>
    <w:rsid w:val="003A6F63"/>
    <w:rsid w:val="003A6F78"/>
    <w:rsid w:val="003A7149"/>
    <w:rsid w:val="003A75FD"/>
    <w:rsid w:val="003A7A08"/>
    <w:rsid w:val="003A7A70"/>
    <w:rsid w:val="003A7EB7"/>
    <w:rsid w:val="003B0379"/>
    <w:rsid w:val="003B03AA"/>
    <w:rsid w:val="003B0904"/>
    <w:rsid w:val="003B0DD1"/>
    <w:rsid w:val="003B1539"/>
    <w:rsid w:val="003B153D"/>
    <w:rsid w:val="003B1605"/>
    <w:rsid w:val="003B1C3F"/>
    <w:rsid w:val="003B1C4E"/>
    <w:rsid w:val="003B1FA1"/>
    <w:rsid w:val="003B22A6"/>
    <w:rsid w:val="003B28CE"/>
    <w:rsid w:val="003B2EAE"/>
    <w:rsid w:val="003B302A"/>
    <w:rsid w:val="003B3BED"/>
    <w:rsid w:val="003B3C63"/>
    <w:rsid w:val="003B3CDE"/>
    <w:rsid w:val="003B4D55"/>
    <w:rsid w:val="003B4F35"/>
    <w:rsid w:val="003B4F4B"/>
    <w:rsid w:val="003B4F95"/>
    <w:rsid w:val="003B4F9E"/>
    <w:rsid w:val="003B564A"/>
    <w:rsid w:val="003B5C55"/>
    <w:rsid w:val="003B5C6B"/>
    <w:rsid w:val="003B5D15"/>
    <w:rsid w:val="003B5FC9"/>
    <w:rsid w:val="003B60B9"/>
    <w:rsid w:val="003B649C"/>
    <w:rsid w:val="003B6CD5"/>
    <w:rsid w:val="003C08D3"/>
    <w:rsid w:val="003C0C61"/>
    <w:rsid w:val="003C0DB7"/>
    <w:rsid w:val="003C0DC6"/>
    <w:rsid w:val="003C0F6C"/>
    <w:rsid w:val="003C173D"/>
    <w:rsid w:val="003C1A74"/>
    <w:rsid w:val="003C1B4E"/>
    <w:rsid w:val="003C1C80"/>
    <w:rsid w:val="003C1DA3"/>
    <w:rsid w:val="003C2797"/>
    <w:rsid w:val="003C2A20"/>
    <w:rsid w:val="003C2A67"/>
    <w:rsid w:val="003C2E57"/>
    <w:rsid w:val="003C2E7D"/>
    <w:rsid w:val="003C325F"/>
    <w:rsid w:val="003C380D"/>
    <w:rsid w:val="003C390E"/>
    <w:rsid w:val="003C3CD0"/>
    <w:rsid w:val="003C3DCF"/>
    <w:rsid w:val="003C3FA0"/>
    <w:rsid w:val="003C42EB"/>
    <w:rsid w:val="003C448A"/>
    <w:rsid w:val="003C44F4"/>
    <w:rsid w:val="003C4658"/>
    <w:rsid w:val="003C4B91"/>
    <w:rsid w:val="003C4DDE"/>
    <w:rsid w:val="003C4F02"/>
    <w:rsid w:val="003C4F91"/>
    <w:rsid w:val="003C5093"/>
    <w:rsid w:val="003C5C46"/>
    <w:rsid w:val="003C5F1B"/>
    <w:rsid w:val="003C6CA0"/>
    <w:rsid w:val="003C6CAF"/>
    <w:rsid w:val="003C6FFB"/>
    <w:rsid w:val="003C7432"/>
    <w:rsid w:val="003C767E"/>
    <w:rsid w:val="003C7785"/>
    <w:rsid w:val="003C7B87"/>
    <w:rsid w:val="003C7FC7"/>
    <w:rsid w:val="003D0531"/>
    <w:rsid w:val="003D0C72"/>
    <w:rsid w:val="003D1464"/>
    <w:rsid w:val="003D1A03"/>
    <w:rsid w:val="003D1A86"/>
    <w:rsid w:val="003D1E48"/>
    <w:rsid w:val="003D286A"/>
    <w:rsid w:val="003D2E66"/>
    <w:rsid w:val="003D2EBF"/>
    <w:rsid w:val="003D32A0"/>
    <w:rsid w:val="003D3AAC"/>
    <w:rsid w:val="003D3B73"/>
    <w:rsid w:val="003D3BD5"/>
    <w:rsid w:val="003D3BED"/>
    <w:rsid w:val="003D4806"/>
    <w:rsid w:val="003D4AE0"/>
    <w:rsid w:val="003D4D72"/>
    <w:rsid w:val="003D4F43"/>
    <w:rsid w:val="003D55EC"/>
    <w:rsid w:val="003D6296"/>
    <w:rsid w:val="003D6B82"/>
    <w:rsid w:val="003D6C50"/>
    <w:rsid w:val="003D6C58"/>
    <w:rsid w:val="003D7063"/>
    <w:rsid w:val="003D7587"/>
    <w:rsid w:val="003D794B"/>
    <w:rsid w:val="003D7AD9"/>
    <w:rsid w:val="003D7D90"/>
    <w:rsid w:val="003E0663"/>
    <w:rsid w:val="003E080E"/>
    <w:rsid w:val="003E0F20"/>
    <w:rsid w:val="003E132C"/>
    <w:rsid w:val="003E17F3"/>
    <w:rsid w:val="003E1CDB"/>
    <w:rsid w:val="003E1CFB"/>
    <w:rsid w:val="003E2257"/>
    <w:rsid w:val="003E233C"/>
    <w:rsid w:val="003E23F3"/>
    <w:rsid w:val="003E2476"/>
    <w:rsid w:val="003E2938"/>
    <w:rsid w:val="003E2A6B"/>
    <w:rsid w:val="003E2B72"/>
    <w:rsid w:val="003E2CB2"/>
    <w:rsid w:val="003E30EA"/>
    <w:rsid w:val="003E3724"/>
    <w:rsid w:val="003E38BE"/>
    <w:rsid w:val="003E390A"/>
    <w:rsid w:val="003E3B39"/>
    <w:rsid w:val="003E3FB0"/>
    <w:rsid w:val="003E43F7"/>
    <w:rsid w:val="003E481B"/>
    <w:rsid w:val="003E4836"/>
    <w:rsid w:val="003E4E1D"/>
    <w:rsid w:val="003E5400"/>
    <w:rsid w:val="003E5415"/>
    <w:rsid w:val="003E5452"/>
    <w:rsid w:val="003E5875"/>
    <w:rsid w:val="003E59C1"/>
    <w:rsid w:val="003E678D"/>
    <w:rsid w:val="003E6BBD"/>
    <w:rsid w:val="003E7137"/>
    <w:rsid w:val="003E722A"/>
    <w:rsid w:val="003E75AE"/>
    <w:rsid w:val="003E75E4"/>
    <w:rsid w:val="003E7878"/>
    <w:rsid w:val="003E7A44"/>
    <w:rsid w:val="003E7C1F"/>
    <w:rsid w:val="003E7C33"/>
    <w:rsid w:val="003F0182"/>
    <w:rsid w:val="003F0459"/>
    <w:rsid w:val="003F0790"/>
    <w:rsid w:val="003F1CEE"/>
    <w:rsid w:val="003F20FF"/>
    <w:rsid w:val="003F256D"/>
    <w:rsid w:val="003F268B"/>
    <w:rsid w:val="003F29B6"/>
    <w:rsid w:val="003F3202"/>
    <w:rsid w:val="003F32DC"/>
    <w:rsid w:val="003F32E0"/>
    <w:rsid w:val="003F37A1"/>
    <w:rsid w:val="003F3A17"/>
    <w:rsid w:val="003F4393"/>
    <w:rsid w:val="003F4B68"/>
    <w:rsid w:val="003F4E03"/>
    <w:rsid w:val="003F5101"/>
    <w:rsid w:val="003F52A5"/>
    <w:rsid w:val="003F5676"/>
    <w:rsid w:val="003F5739"/>
    <w:rsid w:val="003F59A7"/>
    <w:rsid w:val="003F5C43"/>
    <w:rsid w:val="003F62F0"/>
    <w:rsid w:val="003F66E3"/>
    <w:rsid w:val="003F6992"/>
    <w:rsid w:val="003F6BC7"/>
    <w:rsid w:val="003F6D02"/>
    <w:rsid w:val="003F6DF4"/>
    <w:rsid w:val="003F731E"/>
    <w:rsid w:val="00400259"/>
    <w:rsid w:val="00400430"/>
    <w:rsid w:val="0040111C"/>
    <w:rsid w:val="0040116B"/>
    <w:rsid w:val="0040156B"/>
    <w:rsid w:val="00401571"/>
    <w:rsid w:val="00402002"/>
    <w:rsid w:val="0040284D"/>
    <w:rsid w:val="00402DAD"/>
    <w:rsid w:val="00402E7A"/>
    <w:rsid w:val="00402F42"/>
    <w:rsid w:val="004034D8"/>
    <w:rsid w:val="00403812"/>
    <w:rsid w:val="00403882"/>
    <w:rsid w:val="00403CE5"/>
    <w:rsid w:val="00403DDC"/>
    <w:rsid w:val="004048FD"/>
    <w:rsid w:val="00404D2A"/>
    <w:rsid w:val="00404DA8"/>
    <w:rsid w:val="00404EC7"/>
    <w:rsid w:val="00404FF1"/>
    <w:rsid w:val="00405100"/>
    <w:rsid w:val="004053AB"/>
    <w:rsid w:val="004057CA"/>
    <w:rsid w:val="00405E62"/>
    <w:rsid w:val="00405F97"/>
    <w:rsid w:val="0040622F"/>
    <w:rsid w:val="00406353"/>
    <w:rsid w:val="00406BD6"/>
    <w:rsid w:val="00407203"/>
    <w:rsid w:val="00407F84"/>
    <w:rsid w:val="004101AE"/>
    <w:rsid w:val="004104AF"/>
    <w:rsid w:val="0041078E"/>
    <w:rsid w:val="00410AF5"/>
    <w:rsid w:val="00410D94"/>
    <w:rsid w:val="00410DDC"/>
    <w:rsid w:val="00410E64"/>
    <w:rsid w:val="0041126B"/>
    <w:rsid w:val="004114D0"/>
    <w:rsid w:val="00411806"/>
    <w:rsid w:val="00411AF0"/>
    <w:rsid w:val="004122B3"/>
    <w:rsid w:val="00413451"/>
    <w:rsid w:val="0041394D"/>
    <w:rsid w:val="00413DF2"/>
    <w:rsid w:val="004140A0"/>
    <w:rsid w:val="004145E9"/>
    <w:rsid w:val="00414C9B"/>
    <w:rsid w:val="00414EC5"/>
    <w:rsid w:val="00414F72"/>
    <w:rsid w:val="00414FA2"/>
    <w:rsid w:val="004158CB"/>
    <w:rsid w:val="004159B4"/>
    <w:rsid w:val="00415D11"/>
    <w:rsid w:val="00415F74"/>
    <w:rsid w:val="0041640D"/>
    <w:rsid w:val="00416F57"/>
    <w:rsid w:val="00416FFA"/>
    <w:rsid w:val="00417127"/>
    <w:rsid w:val="0041739D"/>
    <w:rsid w:val="00417875"/>
    <w:rsid w:val="0042016D"/>
    <w:rsid w:val="00420513"/>
    <w:rsid w:val="004216D6"/>
    <w:rsid w:val="00422030"/>
    <w:rsid w:val="00422A0D"/>
    <w:rsid w:val="00424219"/>
    <w:rsid w:val="0042436A"/>
    <w:rsid w:val="004244D9"/>
    <w:rsid w:val="00424596"/>
    <w:rsid w:val="00424900"/>
    <w:rsid w:val="00424D58"/>
    <w:rsid w:val="00425D89"/>
    <w:rsid w:val="004260A1"/>
    <w:rsid w:val="004263CD"/>
    <w:rsid w:val="00426480"/>
    <w:rsid w:val="00426C0A"/>
    <w:rsid w:val="00426D1D"/>
    <w:rsid w:val="00426F0C"/>
    <w:rsid w:val="0042757A"/>
    <w:rsid w:val="00427615"/>
    <w:rsid w:val="004276D7"/>
    <w:rsid w:val="00427882"/>
    <w:rsid w:val="00427A6C"/>
    <w:rsid w:val="00427C7E"/>
    <w:rsid w:val="0043059A"/>
    <w:rsid w:val="00431772"/>
    <w:rsid w:val="00431868"/>
    <w:rsid w:val="00431D37"/>
    <w:rsid w:val="004321C5"/>
    <w:rsid w:val="00432251"/>
    <w:rsid w:val="004327CE"/>
    <w:rsid w:val="004327DD"/>
    <w:rsid w:val="0043297A"/>
    <w:rsid w:val="004334D1"/>
    <w:rsid w:val="00433BB2"/>
    <w:rsid w:val="00434104"/>
    <w:rsid w:val="004343D3"/>
    <w:rsid w:val="004349DA"/>
    <w:rsid w:val="00434A76"/>
    <w:rsid w:val="00434F59"/>
    <w:rsid w:val="004350C5"/>
    <w:rsid w:val="004352A9"/>
    <w:rsid w:val="004353A8"/>
    <w:rsid w:val="0043575F"/>
    <w:rsid w:val="00435C9C"/>
    <w:rsid w:val="00435D74"/>
    <w:rsid w:val="00435DF7"/>
    <w:rsid w:val="004362D8"/>
    <w:rsid w:val="0043687E"/>
    <w:rsid w:val="00437007"/>
    <w:rsid w:val="00437588"/>
    <w:rsid w:val="00437ACA"/>
    <w:rsid w:val="0044001B"/>
    <w:rsid w:val="0044005F"/>
    <w:rsid w:val="00440641"/>
    <w:rsid w:val="00440729"/>
    <w:rsid w:val="004407AF"/>
    <w:rsid w:val="00440A81"/>
    <w:rsid w:val="00441007"/>
    <w:rsid w:val="0044104E"/>
    <w:rsid w:val="004411F1"/>
    <w:rsid w:val="00441491"/>
    <w:rsid w:val="00441892"/>
    <w:rsid w:val="00442C48"/>
    <w:rsid w:val="00442C76"/>
    <w:rsid w:val="00443C25"/>
    <w:rsid w:val="004443C3"/>
    <w:rsid w:val="00444585"/>
    <w:rsid w:val="004449D6"/>
    <w:rsid w:val="00445365"/>
    <w:rsid w:val="0044581C"/>
    <w:rsid w:val="00445A58"/>
    <w:rsid w:val="00445F98"/>
    <w:rsid w:val="00446220"/>
    <w:rsid w:val="004469B0"/>
    <w:rsid w:val="004469D6"/>
    <w:rsid w:val="00446B2A"/>
    <w:rsid w:val="0044767A"/>
    <w:rsid w:val="004478E7"/>
    <w:rsid w:val="00447D30"/>
    <w:rsid w:val="00447D8B"/>
    <w:rsid w:val="004501A2"/>
    <w:rsid w:val="00450414"/>
    <w:rsid w:val="00450B92"/>
    <w:rsid w:val="00450DD5"/>
    <w:rsid w:val="00451080"/>
    <w:rsid w:val="00451184"/>
    <w:rsid w:val="004513A7"/>
    <w:rsid w:val="00451ABC"/>
    <w:rsid w:val="0045299D"/>
    <w:rsid w:val="00452BF4"/>
    <w:rsid w:val="00452DAB"/>
    <w:rsid w:val="004535AB"/>
    <w:rsid w:val="004536CA"/>
    <w:rsid w:val="004536F8"/>
    <w:rsid w:val="00453A6E"/>
    <w:rsid w:val="00453B4F"/>
    <w:rsid w:val="0045415E"/>
    <w:rsid w:val="004541C3"/>
    <w:rsid w:val="004544D0"/>
    <w:rsid w:val="004546A4"/>
    <w:rsid w:val="00454819"/>
    <w:rsid w:val="00454975"/>
    <w:rsid w:val="00454A5A"/>
    <w:rsid w:val="00454F42"/>
    <w:rsid w:val="004550D8"/>
    <w:rsid w:val="0045538C"/>
    <w:rsid w:val="004553E4"/>
    <w:rsid w:val="00455951"/>
    <w:rsid w:val="004559F5"/>
    <w:rsid w:val="00455A88"/>
    <w:rsid w:val="00455E87"/>
    <w:rsid w:val="004562BC"/>
    <w:rsid w:val="004567B5"/>
    <w:rsid w:val="00456F03"/>
    <w:rsid w:val="00457214"/>
    <w:rsid w:val="0045758D"/>
    <w:rsid w:val="004579BF"/>
    <w:rsid w:val="00457B56"/>
    <w:rsid w:val="00457BCF"/>
    <w:rsid w:val="00457EAA"/>
    <w:rsid w:val="00457EB5"/>
    <w:rsid w:val="0046020E"/>
    <w:rsid w:val="004603F2"/>
    <w:rsid w:val="00460843"/>
    <w:rsid w:val="00460CA7"/>
    <w:rsid w:val="00460F5A"/>
    <w:rsid w:val="004613DB"/>
    <w:rsid w:val="00461589"/>
    <w:rsid w:val="004615D0"/>
    <w:rsid w:val="004615DA"/>
    <w:rsid w:val="004616F3"/>
    <w:rsid w:val="004618FE"/>
    <w:rsid w:val="00461A49"/>
    <w:rsid w:val="00461FE5"/>
    <w:rsid w:val="00462C28"/>
    <w:rsid w:val="00463892"/>
    <w:rsid w:val="00463AB3"/>
    <w:rsid w:val="00463DA0"/>
    <w:rsid w:val="00463EFD"/>
    <w:rsid w:val="00464010"/>
    <w:rsid w:val="004641FA"/>
    <w:rsid w:val="004647EF"/>
    <w:rsid w:val="0046493D"/>
    <w:rsid w:val="00464A06"/>
    <w:rsid w:val="00464C84"/>
    <w:rsid w:val="0046513C"/>
    <w:rsid w:val="0046574E"/>
    <w:rsid w:val="00465FB6"/>
    <w:rsid w:val="00466016"/>
    <w:rsid w:val="004660BC"/>
    <w:rsid w:val="0046663B"/>
    <w:rsid w:val="004670C5"/>
    <w:rsid w:val="004678F1"/>
    <w:rsid w:val="0047034C"/>
    <w:rsid w:val="004704DC"/>
    <w:rsid w:val="00470A93"/>
    <w:rsid w:val="00470AB3"/>
    <w:rsid w:val="00470BDF"/>
    <w:rsid w:val="00470C1C"/>
    <w:rsid w:val="00470C79"/>
    <w:rsid w:val="0047102B"/>
    <w:rsid w:val="0047152A"/>
    <w:rsid w:val="00471602"/>
    <w:rsid w:val="00472BDD"/>
    <w:rsid w:val="00473280"/>
    <w:rsid w:val="00473408"/>
    <w:rsid w:val="0047392F"/>
    <w:rsid w:val="0047396D"/>
    <w:rsid w:val="0047416E"/>
    <w:rsid w:val="00474544"/>
    <w:rsid w:val="00474578"/>
    <w:rsid w:val="00474A5D"/>
    <w:rsid w:val="00474B55"/>
    <w:rsid w:val="00474EBB"/>
    <w:rsid w:val="0047523F"/>
    <w:rsid w:val="00475250"/>
    <w:rsid w:val="00475663"/>
    <w:rsid w:val="00475A75"/>
    <w:rsid w:val="00475B2D"/>
    <w:rsid w:val="00475BA7"/>
    <w:rsid w:val="00475D2A"/>
    <w:rsid w:val="00475E72"/>
    <w:rsid w:val="00476565"/>
    <w:rsid w:val="004766AC"/>
    <w:rsid w:val="00476D6A"/>
    <w:rsid w:val="00476E1C"/>
    <w:rsid w:val="0047722A"/>
    <w:rsid w:val="0047790F"/>
    <w:rsid w:val="00477A48"/>
    <w:rsid w:val="00477C2B"/>
    <w:rsid w:val="00477F4C"/>
    <w:rsid w:val="00480136"/>
    <w:rsid w:val="0048031E"/>
    <w:rsid w:val="004803A3"/>
    <w:rsid w:val="00480587"/>
    <w:rsid w:val="00480B3B"/>
    <w:rsid w:val="00480EE9"/>
    <w:rsid w:val="0048153B"/>
    <w:rsid w:val="004816CE"/>
    <w:rsid w:val="00481759"/>
    <w:rsid w:val="004818E6"/>
    <w:rsid w:val="00481CCA"/>
    <w:rsid w:val="004820FF"/>
    <w:rsid w:val="00482902"/>
    <w:rsid w:val="004838DB"/>
    <w:rsid w:val="00483AE7"/>
    <w:rsid w:val="004841FD"/>
    <w:rsid w:val="0048436C"/>
    <w:rsid w:val="00484CAA"/>
    <w:rsid w:val="00484DAF"/>
    <w:rsid w:val="004853AE"/>
    <w:rsid w:val="004853C9"/>
    <w:rsid w:val="00485BBC"/>
    <w:rsid w:val="00485F5D"/>
    <w:rsid w:val="004865D2"/>
    <w:rsid w:val="00486A6D"/>
    <w:rsid w:val="00486AB5"/>
    <w:rsid w:val="00486F56"/>
    <w:rsid w:val="0048713A"/>
    <w:rsid w:val="00487439"/>
    <w:rsid w:val="00487816"/>
    <w:rsid w:val="0048794A"/>
    <w:rsid w:val="00487A45"/>
    <w:rsid w:val="00487E03"/>
    <w:rsid w:val="00490482"/>
    <w:rsid w:val="004904F1"/>
    <w:rsid w:val="00490703"/>
    <w:rsid w:val="00490E53"/>
    <w:rsid w:val="00492797"/>
    <w:rsid w:val="0049287C"/>
    <w:rsid w:val="00492EAB"/>
    <w:rsid w:val="00493543"/>
    <w:rsid w:val="00493C28"/>
    <w:rsid w:val="00493C46"/>
    <w:rsid w:val="00493D1F"/>
    <w:rsid w:val="00493FA0"/>
    <w:rsid w:val="004944C7"/>
    <w:rsid w:val="00494924"/>
    <w:rsid w:val="00495215"/>
    <w:rsid w:val="0049565A"/>
    <w:rsid w:val="004959AB"/>
    <w:rsid w:val="00495BE2"/>
    <w:rsid w:val="00495ED5"/>
    <w:rsid w:val="0049654B"/>
    <w:rsid w:val="00496E9B"/>
    <w:rsid w:val="00497060"/>
    <w:rsid w:val="004978F5"/>
    <w:rsid w:val="00497ED2"/>
    <w:rsid w:val="004A03AE"/>
    <w:rsid w:val="004A0592"/>
    <w:rsid w:val="004A06EA"/>
    <w:rsid w:val="004A0A04"/>
    <w:rsid w:val="004A0B8B"/>
    <w:rsid w:val="004A0C04"/>
    <w:rsid w:val="004A0ED0"/>
    <w:rsid w:val="004A0F69"/>
    <w:rsid w:val="004A113B"/>
    <w:rsid w:val="004A113E"/>
    <w:rsid w:val="004A1804"/>
    <w:rsid w:val="004A1B2B"/>
    <w:rsid w:val="004A1EC1"/>
    <w:rsid w:val="004A28B5"/>
    <w:rsid w:val="004A290D"/>
    <w:rsid w:val="004A2AF3"/>
    <w:rsid w:val="004A30F5"/>
    <w:rsid w:val="004A3369"/>
    <w:rsid w:val="004A3BC4"/>
    <w:rsid w:val="004A3C4C"/>
    <w:rsid w:val="004A3E92"/>
    <w:rsid w:val="004A4658"/>
    <w:rsid w:val="004A4722"/>
    <w:rsid w:val="004A4E6D"/>
    <w:rsid w:val="004A5156"/>
    <w:rsid w:val="004A54A6"/>
    <w:rsid w:val="004A5517"/>
    <w:rsid w:val="004A55E9"/>
    <w:rsid w:val="004A5660"/>
    <w:rsid w:val="004A570C"/>
    <w:rsid w:val="004A6391"/>
    <w:rsid w:val="004A63A6"/>
    <w:rsid w:val="004A69C0"/>
    <w:rsid w:val="004A6BB3"/>
    <w:rsid w:val="004A7047"/>
    <w:rsid w:val="004A7329"/>
    <w:rsid w:val="004A7540"/>
    <w:rsid w:val="004A7A26"/>
    <w:rsid w:val="004A7A8E"/>
    <w:rsid w:val="004A7CBF"/>
    <w:rsid w:val="004A7FED"/>
    <w:rsid w:val="004B007E"/>
    <w:rsid w:val="004B07BF"/>
    <w:rsid w:val="004B0DE1"/>
    <w:rsid w:val="004B13C3"/>
    <w:rsid w:val="004B1464"/>
    <w:rsid w:val="004B1533"/>
    <w:rsid w:val="004B159C"/>
    <w:rsid w:val="004B1BD2"/>
    <w:rsid w:val="004B1CA1"/>
    <w:rsid w:val="004B1CB5"/>
    <w:rsid w:val="004B203E"/>
    <w:rsid w:val="004B23CE"/>
    <w:rsid w:val="004B2825"/>
    <w:rsid w:val="004B2A3F"/>
    <w:rsid w:val="004B2C18"/>
    <w:rsid w:val="004B37CA"/>
    <w:rsid w:val="004B37DA"/>
    <w:rsid w:val="004B40CE"/>
    <w:rsid w:val="004B43B2"/>
    <w:rsid w:val="004B48C3"/>
    <w:rsid w:val="004B4C91"/>
    <w:rsid w:val="004B4DB7"/>
    <w:rsid w:val="004B4F81"/>
    <w:rsid w:val="004B5185"/>
    <w:rsid w:val="004B5524"/>
    <w:rsid w:val="004B564F"/>
    <w:rsid w:val="004B64A5"/>
    <w:rsid w:val="004B65CD"/>
    <w:rsid w:val="004B6674"/>
    <w:rsid w:val="004B69D3"/>
    <w:rsid w:val="004B7012"/>
    <w:rsid w:val="004B76DE"/>
    <w:rsid w:val="004B77B0"/>
    <w:rsid w:val="004B77EC"/>
    <w:rsid w:val="004B7900"/>
    <w:rsid w:val="004B7DD5"/>
    <w:rsid w:val="004B7F00"/>
    <w:rsid w:val="004C056C"/>
    <w:rsid w:val="004C062F"/>
    <w:rsid w:val="004C0823"/>
    <w:rsid w:val="004C0964"/>
    <w:rsid w:val="004C0A92"/>
    <w:rsid w:val="004C0BB4"/>
    <w:rsid w:val="004C0BFC"/>
    <w:rsid w:val="004C0C3D"/>
    <w:rsid w:val="004C0F5F"/>
    <w:rsid w:val="004C12E5"/>
    <w:rsid w:val="004C1341"/>
    <w:rsid w:val="004C1AC8"/>
    <w:rsid w:val="004C1BD7"/>
    <w:rsid w:val="004C2490"/>
    <w:rsid w:val="004C269A"/>
    <w:rsid w:val="004C2BF1"/>
    <w:rsid w:val="004C31D9"/>
    <w:rsid w:val="004C32A7"/>
    <w:rsid w:val="004C32B3"/>
    <w:rsid w:val="004C34AB"/>
    <w:rsid w:val="004C387A"/>
    <w:rsid w:val="004C3B32"/>
    <w:rsid w:val="004C40FB"/>
    <w:rsid w:val="004C421B"/>
    <w:rsid w:val="004C4B55"/>
    <w:rsid w:val="004C5353"/>
    <w:rsid w:val="004C5924"/>
    <w:rsid w:val="004C5BA1"/>
    <w:rsid w:val="004C5BE9"/>
    <w:rsid w:val="004C5DA0"/>
    <w:rsid w:val="004C5E94"/>
    <w:rsid w:val="004C682A"/>
    <w:rsid w:val="004C6E3F"/>
    <w:rsid w:val="004C7AAB"/>
    <w:rsid w:val="004C7CB1"/>
    <w:rsid w:val="004D0132"/>
    <w:rsid w:val="004D06B5"/>
    <w:rsid w:val="004D0802"/>
    <w:rsid w:val="004D0B8B"/>
    <w:rsid w:val="004D0CCC"/>
    <w:rsid w:val="004D0D51"/>
    <w:rsid w:val="004D1120"/>
    <w:rsid w:val="004D1B18"/>
    <w:rsid w:val="004D1E70"/>
    <w:rsid w:val="004D21C3"/>
    <w:rsid w:val="004D2312"/>
    <w:rsid w:val="004D239F"/>
    <w:rsid w:val="004D2A60"/>
    <w:rsid w:val="004D2B44"/>
    <w:rsid w:val="004D2BD1"/>
    <w:rsid w:val="004D2EC1"/>
    <w:rsid w:val="004D304D"/>
    <w:rsid w:val="004D3467"/>
    <w:rsid w:val="004D3740"/>
    <w:rsid w:val="004D398F"/>
    <w:rsid w:val="004D4355"/>
    <w:rsid w:val="004D47E7"/>
    <w:rsid w:val="004D4CA8"/>
    <w:rsid w:val="004D4DAA"/>
    <w:rsid w:val="004D4F6D"/>
    <w:rsid w:val="004D52BB"/>
    <w:rsid w:val="004D598E"/>
    <w:rsid w:val="004D5E12"/>
    <w:rsid w:val="004D60A8"/>
    <w:rsid w:val="004D6114"/>
    <w:rsid w:val="004D6909"/>
    <w:rsid w:val="004D69AD"/>
    <w:rsid w:val="004D6A6B"/>
    <w:rsid w:val="004D70E9"/>
    <w:rsid w:val="004D72D9"/>
    <w:rsid w:val="004D7533"/>
    <w:rsid w:val="004E039F"/>
    <w:rsid w:val="004E0815"/>
    <w:rsid w:val="004E0A3A"/>
    <w:rsid w:val="004E0AFB"/>
    <w:rsid w:val="004E1022"/>
    <w:rsid w:val="004E13B0"/>
    <w:rsid w:val="004E1437"/>
    <w:rsid w:val="004E1B3D"/>
    <w:rsid w:val="004E2F51"/>
    <w:rsid w:val="004E300A"/>
    <w:rsid w:val="004E334D"/>
    <w:rsid w:val="004E3395"/>
    <w:rsid w:val="004E37E1"/>
    <w:rsid w:val="004E39A8"/>
    <w:rsid w:val="004E3D56"/>
    <w:rsid w:val="004E4114"/>
    <w:rsid w:val="004E4621"/>
    <w:rsid w:val="004E477F"/>
    <w:rsid w:val="004E47D2"/>
    <w:rsid w:val="004E4A09"/>
    <w:rsid w:val="004E4C1C"/>
    <w:rsid w:val="004E57AD"/>
    <w:rsid w:val="004E587E"/>
    <w:rsid w:val="004E5945"/>
    <w:rsid w:val="004E5B82"/>
    <w:rsid w:val="004E6186"/>
    <w:rsid w:val="004E63A7"/>
    <w:rsid w:val="004E66AE"/>
    <w:rsid w:val="004E6A0C"/>
    <w:rsid w:val="004E6BBE"/>
    <w:rsid w:val="004E7410"/>
    <w:rsid w:val="004E79BF"/>
    <w:rsid w:val="004F0886"/>
    <w:rsid w:val="004F0932"/>
    <w:rsid w:val="004F0A4A"/>
    <w:rsid w:val="004F0B7C"/>
    <w:rsid w:val="004F0DDE"/>
    <w:rsid w:val="004F0F45"/>
    <w:rsid w:val="004F19EE"/>
    <w:rsid w:val="004F1FF9"/>
    <w:rsid w:val="004F24B5"/>
    <w:rsid w:val="004F26C7"/>
    <w:rsid w:val="004F2928"/>
    <w:rsid w:val="004F2A3E"/>
    <w:rsid w:val="004F2B5B"/>
    <w:rsid w:val="004F2B72"/>
    <w:rsid w:val="004F356D"/>
    <w:rsid w:val="004F37AD"/>
    <w:rsid w:val="004F3A67"/>
    <w:rsid w:val="004F3B51"/>
    <w:rsid w:val="004F4151"/>
    <w:rsid w:val="004F4483"/>
    <w:rsid w:val="004F4580"/>
    <w:rsid w:val="004F4732"/>
    <w:rsid w:val="004F47E1"/>
    <w:rsid w:val="004F4AC7"/>
    <w:rsid w:val="004F4CC5"/>
    <w:rsid w:val="004F4E04"/>
    <w:rsid w:val="004F4FE1"/>
    <w:rsid w:val="004F515D"/>
    <w:rsid w:val="004F54D8"/>
    <w:rsid w:val="004F54DF"/>
    <w:rsid w:val="004F5963"/>
    <w:rsid w:val="004F598C"/>
    <w:rsid w:val="004F5AF6"/>
    <w:rsid w:val="004F5CF1"/>
    <w:rsid w:val="004F5E77"/>
    <w:rsid w:val="004F60B8"/>
    <w:rsid w:val="004F66FE"/>
    <w:rsid w:val="004F6798"/>
    <w:rsid w:val="004F6C58"/>
    <w:rsid w:val="004F6D28"/>
    <w:rsid w:val="004F6D48"/>
    <w:rsid w:val="004F6DB9"/>
    <w:rsid w:val="004F6E0F"/>
    <w:rsid w:val="004F6E1A"/>
    <w:rsid w:val="004F6E2C"/>
    <w:rsid w:val="004F6FEB"/>
    <w:rsid w:val="004F70A0"/>
    <w:rsid w:val="004F75C8"/>
    <w:rsid w:val="004F7A67"/>
    <w:rsid w:val="005001A9"/>
    <w:rsid w:val="00500454"/>
    <w:rsid w:val="005006C7"/>
    <w:rsid w:val="00500A09"/>
    <w:rsid w:val="00500A70"/>
    <w:rsid w:val="005011F2"/>
    <w:rsid w:val="00501558"/>
    <w:rsid w:val="005021F5"/>
    <w:rsid w:val="005025DF"/>
    <w:rsid w:val="0050269B"/>
    <w:rsid w:val="00502C48"/>
    <w:rsid w:val="005031F3"/>
    <w:rsid w:val="00503508"/>
    <w:rsid w:val="00503AC2"/>
    <w:rsid w:val="00503F30"/>
    <w:rsid w:val="00504259"/>
    <w:rsid w:val="005045D5"/>
    <w:rsid w:val="00504914"/>
    <w:rsid w:val="00504A42"/>
    <w:rsid w:val="00504BD9"/>
    <w:rsid w:val="00505346"/>
    <w:rsid w:val="00505807"/>
    <w:rsid w:val="005072C7"/>
    <w:rsid w:val="00507543"/>
    <w:rsid w:val="005077C3"/>
    <w:rsid w:val="00507B6A"/>
    <w:rsid w:val="00507B9F"/>
    <w:rsid w:val="0051026B"/>
    <w:rsid w:val="005103AB"/>
    <w:rsid w:val="005104E8"/>
    <w:rsid w:val="0051057A"/>
    <w:rsid w:val="00510DC2"/>
    <w:rsid w:val="005116E6"/>
    <w:rsid w:val="00512185"/>
    <w:rsid w:val="00512813"/>
    <w:rsid w:val="00512C22"/>
    <w:rsid w:val="00512C9A"/>
    <w:rsid w:val="00512F0C"/>
    <w:rsid w:val="0051391E"/>
    <w:rsid w:val="00513932"/>
    <w:rsid w:val="00513E07"/>
    <w:rsid w:val="00514044"/>
    <w:rsid w:val="0051413E"/>
    <w:rsid w:val="00514C1B"/>
    <w:rsid w:val="00515533"/>
    <w:rsid w:val="0051579C"/>
    <w:rsid w:val="00515AE0"/>
    <w:rsid w:val="00515DF8"/>
    <w:rsid w:val="00515F53"/>
    <w:rsid w:val="0051607B"/>
    <w:rsid w:val="00516262"/>
    <w:rsid w:val="00516497"/>
    <w:rsid w:val="00516DA8"/>
    <w:rsid w:val="00516E01"/>
    <w:rsid w:val="0051747E"/>
    <w:rsid w:val="00517704"/>
    <w:rsid w:val="00517761"/>
    <w:rsid w:val="0051782B"/>
    <w:rsid w:val="0051794E"/>
    <w:rsid w:val="00520BE2"/>
    <w:rsid w:val="0052119A"/>
    <w:rsid w:val="005216A7"/>
    <w:rsid w:val="005219E0"/>
    <w:rsid w:val="005226CD"/>
    <w:rsid w:val="005228E7"/>
    <w:rsid w:val="00522AF3"/>
    <w:rsid w:val="00522DE5"/>
    <w:rsid w:val="00522F6F"/>
    <w:rsid w:val="005230C1"/>
    <w:rsid w:val="00523275"/>
    <w:rsid w:val="0052330F"/>
    <w:rsid w:val="005234B8"/>
    <w:rsid w:val="00523AC6"/>
    <w:rsid w:val="00523CF1"/>
    <w:rsid w:val="00523FD1"/>
    <w:rsid w:val="00524103"/>
    <w:rsid w:val="0052433E"/>
    <w:rsid w:val="005243B9"/>
    <w:rsid w:val="005246CC"/>
    <w:rsid w:val="00524DFC"/>
    <w:rsid w:val="00525045"/>
    <w:rsid w:val="0052542A"/>
    <w:rsid w:val="00525515"/>
    <w:rsid w:val="005257B0"/>
    <w:rsid w:val="00525F5E"/>
    <w:rsid w:val="00525FB3"/>
    <w:rsid w:val="0052607E"/>
    <w:rsid w:val="00526144"/>
    <w:rsid w:val="005262A1"/>
    <w:rsid w:val="00526330"/>
    <w:rsid w:val="00526355"/>
    <w:rsid w:val="00526C54"/>
    <w:rsid w:val="00526C96"/>
    <w:rsid w:val="00526DAC"/>
    <w:rsid w:val="00526F02"/>
    <w:rsid w:val="0052713F"/>
    <w:rsid w:val="00527453"/>
    <w:rsid w:val="00527DC3"/>
    <w:rsid w:val="0053009C"/>
    <w:rsid w:val="00530108"/>
    <w:rsid w:val="0053013A"/>
    <w:rsid w:val="0053025D"/>
    <w:rsid w:val="0053051B"/>
    <w:rsid w:val="00530B55"/>
    <w:rsid w:val="00530D9F"/>
    <w:rsid w:val="005310D7"/>
    <w:rsid w:val="005311CD"/>
    <w:rsid w:val="005312D5"/>
    <w:rsid w:val="00531739"/>
    <w:rsid w:val="00531774"/>
    <w:rsid w:val="00531A3B"/>
    <w:rsid w:val="00531F7C"/>
    <w:rsid w:val="0053243D"/>
    <w:rsid w:val="005326EF"/>
    <w:rsid w:val="00532997"/>
    <w:rsid w:val="00532B4E"/>
    <w:rsid w:val="00532EEB"/>
    <w:rsid w:val="005331D2"/>
    <w:rsid w:val="00533ACB"/>
    <w:rsid w:val="00533D2F"/>
    <w:rsid w:val="00533DD6"/>
    <w:rsid w:val="0053424B"/>
    <w:rsid w:val="005342E4"/>
    <w:rsid w:val="0053460B"/>
    <w:rsid w:val="00535310"/>
    <w:rsid w:val="00535619"/>
    <w:rsid w:val="005357AC"/>
    <w:rsid w:val="0053593B"/>
    <w:rsid w:val="00535A9D"/>
    <w:rsid w:val="00535E07"/>
    <w:rsid w:val="00536D0E"/>
    <w:rsid w:val="00537366"/>
    <w:rsid w:val="00537B12"/>
    <w:rsid w:val="00537C10"/>
    <w:rsid w:val="005401E8"/>
    <w:rsid w:val="00540629"/>
    <w:rsid w:val="00540935"/>
    <w:rsid w:val="00540A27"/>
    <w:rsid w:val="00540DAF"/>
    <w:rsid w:val="0054191A"/>
    <w:rsid w:val="00541CAD"/>
    <w:rsid w:val="00542668"/>
    <w:rsid w:val="00542D37"/>
    <w:rsid w:val="00542E10"/>
    <w:rsid w:val="005432FB"/>
    <w:rsid w:val="00543555"/>
    <w:rsid w:val="0054382F"/>
    <w:rsid w:val="00544582"/>
    <w:rsid w:val="005448A8"/>
    <w:rsid w:val="00544914"/>
    <w:rsid w:val="005449FE"/>
    <w:rsid w:val="0054545C"/>
    <w:rsid w:val="00545832"/>
    <w:rsid w:val="00545925"/>
    <w:rsid w:val="00545F15"/>
    <w:rsid w:val="00546469"/>
    <w:rsid w:val="00546DA1"/>
    <w:rsid w:val="00546F4D"/>
    <w:rsid w:val="00547410"/>
    <w:rsid w:val="005474F8"/>
    <w:rsid w:val="00547F4B"/>
    <w:rsid w:val="005500C3"/>
    <w:rsid w:val="005502FC"/>
    <w:rsid w:val="0055051A"/>
    <w:rsid w:val="0055078E"/>
    <w:rsid w:val="00550A30"/>
    <w:rsid w:val="00550B29"/>
    <w:rsid w:val="00550C59"/>
    <w:rsid w:val="00550D41"/>
    <w:rsid w:val="00550FEF"/>
    <w:rsid w:val="00551760"/>
    <w:rsid w:val="00551A9D"/>
    <w:rsid w:val="0055224C"/>
    <w:rsid w:val="0055273B"/>
    <w:rsid w:val="00552751"/>
    <w:rsid w:val="00552ABB"/>
    <w:rsid w:val="00552CAD"/>
    <w:rsid w:val="00552CB7"/>
    <w:rsid w:val="00552E09"/>
    <w:rsid w:val="005531AF"/>
    <w:rsid w:val="00553330"/>
    <w:rsid w:val="0055333F"/>
    <w:rsid w:val="00553574"/>
    <w:rsid w:val="00553923"/>
    <w:rsid w:val="005539A4"/>
    <w:rsid w:val="00553D91"/>
    <w:rsid w:val="00553DF8"/>
    <w:rsid w:val="00553F7D"/>
    <w:rsid w:val="0055415F"/>
    <w:rsid w:val="0055433C"/>
    <w:rsid w:val="0055440B"/>
    <w:rsid w:val="00554C71"/>
    <w:rsid w:val="00554F39"/>
    <w:rsid w:val="00555289"/>
    <w:rsid w:val="00555405"/>
    <w:rsid w:val="005554BE"/>
    <w:rsid w:val="00555791"/>
    <w:rsid w:val="00555B32"/>
    <w:rsid w:val="00555B47"/>
    <w:rsid w:val="00555CC3"/>
    <w:rsid w:val="00555DDC"/>
    <w:rsid w:val="0055602B"/>
    <w:rsid w:val="00556309"/>
    <w:rsid w:val="00556C7B"/>
    <w:rsid w:val="00557289"/>
    <w:rsid w:val="005575B4"/>
    <w:rsid w:val="005578C2"/>
    <w:rsid w:val="00557D17"/>
    <w:rsid w:val="005600B2"/>
    <w:rsid w:val="0056017D"/>
    <w:rsid w:val="00560653"/>
    <w:rsid w:val="005606CC"/>
    <w:rsid w:val="00560936"/>
    <w:rsid w:val="00560D9F"/>
    <w:rsid w:val="00560F1D"/>
    <w:rsid w:val="00561DF5"/>
    <w:rsid w:val="00562278"/>
    <w:rsid w:val="0056228E"/>
    <w:rsid w:val="00562FAB"/>
    <w:rsid w:val="00563161"/>
    <w:rsid w:val="0056323C"/>
    <w:rsid w:val="0056349E"/>
    <w:rsid w:val="00563AB0"/>
    <w:rsid w:val="00563BE6"/>
    <w:rsid w:val="005641DF"/>
    <w:rsid w:val="00564632"/>
    <w:rsid w:val="00564937"/>
    <w:rsid w:val="00564FAC"/>
    <w:rsid w:val="00565AFC"/>
    <w:rsid w:val="0056610F"/>
    <w:rsid w:val="00566265"/>
    <w:rsid w:val="00566451"/>
    <w:rsid w:val="005664DC"/>
    <w:rsid w:val="0056664E"/>
    <w:rsid w:val="005670E9"/>
    <w:rsid w:val="00567120"/>
    <w:rsid w:val="00567477"/>
    <w:rsid w:val="005679D9"/>
    <w:rsid w:val="00567AB9"/>
    <w:rsid w:val="00567DB3"/>
    <w:rsid w:val="00570292"/>
    <w:rsid w:val="005702F6"/>
    <w:rsid w:val="00570566"/>
    <w:rsid w:val="0057096E"/>
    <w:rsid w:val="005713C5"/>
    <w:rsid w:val="00571509"/>
    <w:rsid w:val="00571620"/>
    <w:rsid w:val="0057180D"/>
    <w:rsid w:val="005720C4"/>
    <w:rsid w:val="005724CC"/>
    <w:rsid w:val="005726D3"/>
    <w:rsid w:val="00572B0A"/>
    <w:rsid w:val="00572D66"/>
    <w:rsid w:val="005732C1"/>
    <w:rsid w:val="00573703"/>
    <w:rsid w:val="00573860"/>
    <w:rsid w:val="0057472B"/>
    <w:rsid w:val="00574A5C"/>
    <w:rsid w:val="00574B18"/>
    <w:rsid w:val="00575011"/>
    <w:rsid w:val="005759D9"/>
    <w:rsid w:val="00575A8C"/>
    <w:rsid w:val="00576078"/>
    <w:rsid w:val="00576321"/>
    <w:rsid w:val="00576357"/>
    <w:rsid w:val="005764C4"/>
    <w:rsid w:val="005766A8"/>
    <w:rsid w:val="00576EBC"/>
    <w:rsid w:val="005772FA"/>
    <w:rsid w:val="005774B2"/>
    <w:rsid w:val="00577FB0"/>
    <w:rsid w:val="00580238"/>
    <w:rsid w:val="005805C3"/>
    <w:rsid w:val="00580971"/>
    <w:rsid w:val="005809C7"/>
    <w:rsid w:val="00580C2E"/>
    <w:rsid w:val="00580D4A"/>
    <w:rsid w:val="005813F3"/>
    <w:rsid w:val="00581D15"/>
    <w:rsid w:val="00581DA6"/>
    <w:rsid w:val="00581E9F"/>
    <w:rsid w:val="005821BC"/>
    <w:rsid w:val="00582248"/>
    <w:rsid w:val="00582453"/>
    <w:rsid w:val="0058265F"/>
    <w:rsid w:val="00582B36"/>
    <w:rsid w:val="00583718"/>
    <w:rsid w:val="00583A22"/>
    <w:rsid w:val="00583E16"/>
    <w:rsid w:val="0058440D"/>
    <w:rsid w:val="00584434"/>
    <w:rsid w:val="005845B7"/>
    <w:rsid w:val="005845E3"/>
    <w:rsid w:val="00584660"/>
    <w:rsid w:val="005849D9"/>
    <w:rsid w:val="00584D00"/>
    <w:rsid w:val="00585426"/>
    <w:rsid w:val="0058566F"/>
    <w:rsid w:val="005858B8"/>
    <w:rsid w:val="00585CBC"/>
    <w:rsid w:val="00585CF1"/>
    <w:rsid w:val="005862B9"/>
    <w:rsid w:val="005862F5"/>
    <w:rsid w:val="0058668F"/>
    <w:rsid w:val="0058712E"/>
    <w:rsid w:val="0058771A"/>
    <w:rsid w:val="00587767"/>
    <w:rsid w:val="00590981"/>
    <w:rsid w:val="00590E71"/>
    <w:rsid w:val="00590EC7"/>
    <w:rsid w:val="00591238"/>
    <w:rsid w:val="00591387"/>
    <w:rsid w:val="00591C88"/>
    <w:rsid w:val="00591CBF"/>
    <w:rsid w:val="005924D5"/>
    <w:rsid w:val="00592743"/>
    <w:rsid w:val="00592A9D"/>
    <w:rsid w:val="00592AB2"/>
    <w:rsid w:val="00592D7E"/>
    <w:rsid w:val="00593329"/>
    <w:rsid w:val="00593531"/>
    <w:rsid w:val="00593594"/>
    <w:rsid w:val="005936FB"/>
    <w:rsid w:val="00593A5F"/>
    <w:rsid w:val="005940CB"/>
    <w:rsid w:val="00594169"/>
    <w:rsid w:val="00594452"/>
    <w:rsid w:val="0059477F"/>
    <w:rsid w:val="005953DE"/>
    <w:rsid w:val="005953FD"/>
    <w:rsid w:val="005957C4"/>
    <w:rsid w:val="00595D94"/>
    <w:rsid w:val="00595F45"/>
    <w:rsid w:val="00596040"/>
    <w:rsid w:val="005967A7"/>
    <w:rsid w:val="005967CA"/>
    <w:rsid w:val="0059783F"/>
    <w:rsid w:val="005A01EF"/>
    <w:rsid w:val="005A04D8"/>
    <w:rsid w:val="005A056E"/>
    <w:rsid w:val="005A0734"/>
    <w:rsid w:val="005A09A2"/>
    <w:rsid w:val="005A0A4A"/>
    <w:rsid w:val="005A0DCD"/>
    <w:rsid w:val="005A11E7"/>
    <w:rsid w:val="005A1644"/>
    <w:rsid w:val="005A1E0E"/>
    <w:rsid w:val="005A1E2B"/>
    <w:rsid w:val="005A2505"/>
    <w:rsid w:val="005A2523"/>
    <w:rsid w:val="005A289D"/>
    <w:rsid w:val="005A31EA"/>
    <w:rsid w:val="005A324E"/>
    <w:rsid w:val="005A3319"/>
    <w:rsid w:val="005A3355"/>
    <w:rsid w:val="005A343F"/>
    <w:rsid w:val="005A39C3"/>
    <w:rsid w:val="005A3E3E"/>
    <w:rsid w:val="005A3FA5"/>
    <w:rsid w:val="005A4722"/>
    <w:rsid w:val="005A4AE9"/>
    <w:rsid w:val="005A4ED5"/>
    <w:rsid w:val="005A4F43"/>
    <w:rsid w:val="005A500F"/>
    <w:rsid w:val="005A5C69"/>
    <w:rsid w:val="005A5EF5"/>
    <w:rsid w:val="005A613B"/>
    <w:rsid w:val="005A63D0"/>
    <w:rsid w:val="005A6AF8"/>
    <w:rsid w:val="005A6B47"/>
    <w:rsid w:val="005A7AB0"/>
    <w:rsid w:val="005A7FBD"/>
    <w:rsid w:val="005B04D3"/>
    <w:rsid w:val="005B0643"/>
    <w:rsid w:val="005B06EE"/>
    <w:rsid w:val="005B081D"/>
    <w:rsid w:val="005B09E9"/>
    <w:rsid w:val="005B0A2E"/>
    <w:rsid w:val="005B0EBF"/>
    <w:rsid w:val="005B0EF5"/>
    <w:rsid w:val="005B1428"/>
    <w:rsid w:val="005B1533"/>
    <w:rsid w:val="005B166E"/>
    <w:rsid w:val="005B19A8"/>
    <w:rsid w:val="005B1AA6"/>
    <w:rsid w:val="005B1B97"/>
    <w:rsid w:val="005B1FCC"/>
    <w:rsid w:val="005B2437"/>
    <w:rsid w:val="005B263E"/>
    <w:rsid w:val="005B2D24"/>
    <w:rsid w:val="005B2F57"/>
    <w:rsid w:val="005B32A9"/>
    <w:rsid w:val="005B33A3"/>
    <w:rsid w:val="005B371A"/>
    <w:rsid w:val="005B3A98"/>
    <w:rsid w:val="005B3E5D"/>
    <w:rsid w:val="005B3FAC"/>
    <w:rsid w:val="005B3FF4"/>
    <w:rsid w:val="005B414A"/>
    <w:rsid w:val="005B4228"/>
    <w:rsid w:val="005B4290"/>
    <w:rsid w:val="005B43CB"/>
    <w:rsid w:val="005B4401"/>
    <w:rsid w:val="005B4732"/>
    <w:rsid w:val="005B496A"/>
    <w:rsid w:val="005B496C"/>
    <w:rsid w:val="005B4EB9"/>
    <w:rsid w:val="005B548D"/>
    <w:rsid w:val="005B6035"/>
    <w:rsid w:val="005B68C8"/>
    <w:rsid w:val="005B710B"/>
    <w:rsid w:val="005B713B"/>
    <w:rsid w:val="005B7306"/>
    <w:rsid w:val="005B78C0"/>
    <w:rsid w:val="005B7B3F"/>
    <w:rsid w:val="005C077D"/>
    <w:rsid w:val="005C11B7"/>
    <w:rsid w:val="005C1331"/>
    <w:rsid w:val="005C14EF"/>
    <w:rsid w:val="005C1806"/>
    <w:rsid w:val="005C198B"/>
    <w:rsid w:val="005C19F2"/>
    <w:rsid w:val="005C1EC1"/>
    <w:rsid w:val="005C27DF"/>
    <w:rsid w:val="005C2A8D"/>
    <w:rsid w:val="005C349C"/>
    <w:rsid w:val="005C39C8"/>
    <w:rsid w:val="005C3DF1"/>
    <w:rsid w:val="005C4674"/>
    <w:rsid w:val="005C46AA"/>
    <w:rsid w:val="005C47B4"/>
    <w:rsid w:val="005C528B"/>
    <w:rsid w:val="005C5FD8"/>
    <w:rsid w:val="005C6DD2"/>
    <w:rsid w:val="005C6E94"/>
    <w:rsid w:val="005C6EFA"/>
    <w:rsid w:val="005C6F69"/>
    <w:rsid w:val="005C71AF"/>
    <w:rsid w:val="005C7203"/>
    <w:rsid w:val="005C7346"/>
    <w:rsid w:val="005C73B2"/>
    <w:rsid w:val="005C73F7"/>
    <w:rsid w:val="005C7475"/>
    <w:rsid w:val="005C758E"/>
    <w:rsid w:val="005C7B1C"/>
    <w:rsid w:val="005D03CD"/>
    <w:rsid w:val="005D0646"/>
    <w:rsid w:val="005D0CF9"/>
    <w:rsid w:val="005D114E"/>
    <w:rsid w:val="005D166B"/>
    <w:rsid w:val="005D1671"/>
    <w:rsid w:val="005D1B1E"/>
    <w:rsid w:val="005D1B3A"/>
    <w:rsid w:val="005D2519"/>
    <w:rsid w:val="005D2792"/>
    <w:rsid w:val="005D36C9"/>
    <w:rsid w:val="005D3AD7"/>
    <w:rsid w:val="005D3ED3"/>
    <w:rsid w:val="005D3F30"/>
    <w:rsid w:val="005D40D2"/>
    <w:rsid w:val="005D450F"/>
    <w:rsid w:val="005D5E46"/>
    <w:rsid w:val="005D664E"/>
    <w:rsid w:val="005D66A3"/>
    <w:rsid w:val="005D6C82"/>
    <w:rsid w:val="005D7116"/>
    <w:rsid w:val="005D7149"/>
    <w:rsid w:val="005D73BC"/>
    <w:rsid w:val="005D763E"/>
    <w:rsid w:val="005E0002"/>
    <w:rsid w:val="005E002F"/>
    <w:rsid w:val="005E021C"/>
    <w:rsid w:val="005E0524"/>
    <w:rsid w:val="005E05E4"/>
    <w:rsid w:val="005E09E5"/>
    <w:rsid w:val="005E0E55"/>
    <w:rsid w:val="005E1367"/>
    <w:rsid w:val="005E1B50"/>
    <w:rsid w:val="005E20A9"/>
    <w:rsid w:val="005E229E"/>
    <w:rsid w:val="005E3041"/>
    <w:rsid w:val="005E3631"/>
    <w:rsid w:val="005E39E9"/>
    <w:rsid w:val="005E4242"/>
    <w:rsid w:val="005E458C"/>
    <w:rsid w:val="005E568B"/>
    <w:rsid w:val="005E5911"/>
    <w:rsid w:val="005E5BC5"/>
    <w:rsid w:val="005E6198"/>
    <w:rsid w:val="005E650E"/>
    <w:rsid w:val="005E65C2"/>
    <w:rsid w:val="005E690B"/>
    <w:rsid w:val="005E6AD6"/>
    <w:rsid w:val="005E6BEB"/>
    <w:rsid w:val="005E7EA4"/>
    <w:rsid w:val="005E7F9A"/>
    <w:rsid w:val="005F031E"/>
    <w:rsid w:val="005F03BC"/>
    <w:rsid w:val="005F0D55"/>
    <w:rsid w:val="005F0E52"/>
    <w:rsid w:val="005F0EF2"/>
    <w:rsid w:val="005F10CE"/>
    <w:rsid w:val="005F1114"/>
    <w:rsid w:val="005F1AC5"/>
    <w:rsid w:val="005F2117"/>
    <w:rsid w:val="005F25BE"/>
    <w:rsid w:val="005F2EAA"/>
    <w:rsid w:val="005F336E"/>
    <w:rsid w:val="005F351E"/>
    <w:rsid w:val="005F3F6D"/>
    <w:rsid w:val="005F558E"/>
    <w:rsid w:val="005F5716"/>
    <w:rsid w:val="005F5C97"/>
    <w:rsid w:val="005F5CB6"/>
    <w:rsid w:val="005F5F3A"/>
    <w:rsid w:val="005F61BA"/>
    <w:rsid w:val="005F625E"/>
    <w:rsid w:val="005F6D03"/>
    <w:rsid w:val="005F7715"/>
    <w:rsid w:val="005F775B"/>
    <w:rsid w:val="005F7E28"/>
    <w:rsid w:val="006002A6"/>
    <w:rsid w:val="00600778"/>
    <w:rsid w:val="0060091F"/>
    <w:rsid w:val="00600B1B"/>
    <w:rsid w:val="00600D52"/>
    <w:rsid w:val="00601006"/>
    <w:rsid w:val="006010E9"/>
    <w:rsid w:val="006010EC"/>
    <w:rsid w:val="006014FF"/>
    <w:rsid w:val="00601691"/>
    <w:rsid w:val="00601CE7"/>
    <w:rsid w:val="00601DCE"/>
    <w:rsid w:val="0060207D"/>
    <w:rsid w:val="0060247E"/>
    <w:rsid w:val="00602529"/>
    <w:rsid w:val="00602723"/>
    <w:rsid w:val="00602A20"/>
    <w:rsid w:val="00602DCA"/>
    <w:rsid w:val="006035DE"/>
    <w:rsid w:val="0060396D"/>
    <w:rsid w:val="00603BA8"/>
    <w:rsid w:val="00604B75"/>
    <w:rsid w:val="00604C12"/>
    <w:rsid w:val="00604ECC"/>
    <w:rsid w:val="006050EC"/>
    <w:rsid w:val="006058DD"/>
    <w:rsid w:val="00605F0C"/>
    <w:rsid w:val="006060A7"/>
    <w:rsid w:val="00606975"/>
    <w:rsid w:val="00606C38"/>
    <w:rsid w:val="00606D2C"/>
    <w:rsid w:val="0060718C"/>
    <w:rsid w:val="006072B1"/>
    <w:rsid w:val="006079D8"/>
    <w:rsid w:val="00607B98"/>
    <w:rsid w:val="00607D0F"/>
    <w:rsid w:val="0061028C"/>
    <w:rsid w:val="006105B5"/>
    <w:rsid w:val="0061070D"/>
    <w:rsid w:val="00610890"/>
    <w:rsid w:val="00610A82"/>
    <w:rsid w:val="006112CC"/>
    <w:rsid w:val="006114D3"/>
    <w:rsid w:val="006117D6"/>
    <w:rsid w:val="00611971"/>
    <w:rsid w:val="00611C36"/>
    <w:rsid w:val="00611D70"/>
    <w:rsid w:val="00612D13"/>
    <w:rsid w:val="00612DA6"/>
    <w:rsid w:val="00612EE9"/>
    <w:rsid w:val="00613467"/>
    <w:rsid w:val="00613E8E"/>
    <w:rsid w:val="00613FCE"/>
    <w:rsid w:val="00614419"/>
    <w:rsid w:val="006148B0"/>
    <w:rsid w:val="00614CA5"/>
    <w:rsid w:val="00614F54"/>
    <w:rsid w:val="0061528F"/>
    <w:rsid w:val="0061529A"/>
    <w:rsid w:val="00615321"/>
    <w:rsid w:val="0061540D"/>
    <w:rsid w:val="006155A7"/>
    <w:rsid w:val="006157C5"/>
    <w:rsid w:val="00615945"/>
    <w:rsid w:val="00615BA5"/>
    <w:rsid w:val="006162E5"/>
    <w:rsid w:val="0061644F"/>
    <w:rsid w:val="00616AC7"/>
    <w:rsid w:val="00616E92"/>
    <w:rsid w:val="0061712D"/>
    <w:rsid w:val="00617509"/>
    <w:rsid w:val="006201D0"/>
    <w:rsid w:val="00620E49"/>
    <w:rsid w:val="006211D8"/>
    <w:rsid w:val="0062138B"/>
    <w:rsid w:val="006217F5"/>
    <w:rsid w:val="006224E5"/>
    <w:rsid w:val="0062253B"/>
    <w:rsid w:val="0062295D"/>
    <w:rsid w:val="00623025"/>
    <w:rsid w:val="006232EF"/>
    <w:rsid w:val="006233FF"/>
    <w:rsid w:val="00623538"/>
    <w:rsid w:val="00623633"/>
    <w:rsid w:val="006239B8"/>
    <w:rsid w:val="00623E95"/>
    <w:rsid w:val="00623F5F"/>
    <w:rsid w:val="00624493"/>
    <w:rsid w:val="0062494E"/>
    <w:rsid w:val="006249E5"/>
    <w:rsid w:val="00624B14"/>
    <w:rsid w:val="00624DDD"/>
    <w:rsid w:val="00624E57"/>
    <w:rsid w:val="00624EEE"/>
    <w:rsid w:val="00625B60"/>
    <w:rsid w:val="00626459"/>
    <w:rsid w:val="0062649E"/>
    <w:rsid w:val="006269AB"/>
    <w:rsid w:val="00626A1B"/>
    <w:rsid w:val="00626D3C"/>
    <w:rsid w:val="00626DB6"/>
    <w:rsid w:val="00627233"/>
    <w:rsid w:val="006274B4"/>
    <w:rsid w:val="006276CF"/>
    <w:rsid w:val="006277E5"/>
    <w:rsid w:val="00627A03"/>
    <w:rsid w:val="00627A26"/>
    <w:rsid w:val="00627AA4"/>
    <w:rsid w:val="00627D2F"/>
    <w:rsid w:val="00627FA2"/>
    <w:rsid w:val="00630266"/>
    <w:rsid w:val="00630B5D"/>
    <w:rsid w:val="00630D44"/>
    <w:rsid w:val="00630E56"/>
    <w:rsid w:val="00630EDC"/>
    <w:rsid w:val="00631086"/>
    <w:rsid w:val="006311F4"/>
    <w:rsid w:val="0063123A"/>
    <w:rsid w:val="006314B8"/>
    <w:rsid w:val="00631D7D"/>
    <w:rsid w:val="00631D97"/>
    <w:rsid w:val="006320C2"/>
    <w:rsid w:val="00632144"/>
    <w:rsid w:val="00632A71"/>
    <w:rsid w:val="00632B26"/>
    <w:rsid w:val="00632FB2"/>
    <w:rsid w:val="00633248"/>
    <w:rsid w:val="00633627"/>
    <w:rsid w:val="00633B6E"/>
    <w:rsid w:val="00634789"/>
    <w:rsid w:val="006348FE"/>
    <w:rsid w:val="00634C79"/>
    <w:rsid w:val="006352D2"/>
    <w:rsid w:val="006355F4"/>
    <w:rsid w:val="00635917"/>
    <w:rsid w:val="0063594D"/>
    <w:rsid w:val="00635BA4"/>
    <w:rsid w:val="00636EB2"/>
    <w:rsid w:val="00636EF5"/>
    <w:rsid w:val="00636F58"/>
    <w:rsid w:val="00637006"/>
    <w:rsid w:val="0063759F"/>
    <w:rsid w:val="006376CB"/>
    <w:rsid w:val="0063783F"/>
    <w:rsid w:val="00637A82"/>
    <w:rsid w:val="00637C28"/>
    <w:rsid w:val="00637C5C"/>
    <w:rsid w:val="00637D4B"/>
    <w:rsid w:val="006403CA"/>
    <w:rsid w:val="00641EE9"/>
    <w:rsid w:val="0064220C"/>
    <w:rsid w:val="0064239E"/>
    <w:rsid w:val="006425DB"/>
    <w:rsid w:val="0064260D"/>
    <w:rsid w:val="0064260E"/>
    <w:rsid w:val="006428D9"/>
    <w:rsid w:val="00642AD5"/>
    <w:rsid w:val="00642B12"/>
    <w:rsid w:val="00643A9D"/>
    <w:rsid w:val="00643BF5"/>
    <w:rsid w:val="00643CC8"/>
    <w:rsid w:val="006440C2"/>
    <w:rsid w:val="006442FF"/>
    <w:rsid w:val="0064431C"/>
    <w:rsid w:val="00645099"/>
    <w:rsid w:val="006450AD"/>
    <w:rsid w:val="00645C4B"/>
    <w:rsid w:val="00645E23"/>
    <w:rsid w:val="00645FED"/>
    <w:rsid w:val="0064605E"/>
    <w:rsid w:val="006465F7"/>
    <w:rsid w:val="00646C97"/>
    <w:rsid w:val="00646ECF"/>
    <w:rsid w:val="0064761A"/>
    <w:rsid w:val="00647928"/>
    <w:rsid w:val="00647A6C"/>
    <w:rsid w:val="00650051"/>
    <w:rsid w:val="006500A8"/>
    <w:rsid w:val="0065016E"/>
    <w:rsid w:val="006502EB"/>
    <w:rsid w:val="00650485"/>
    <w:rsid w:val="0065078F"/>
    <w:rsid w:val="00650B3B"/>
    <w:rsid w:val="00650CAB"/>
    <w:rsid w:val="00650D98"/>
    <w:rsid w:val="006511F2"/>
    <w:rsid w:val="006513BD"/>
    <w:rsid w:val="006519C1"/>
    <w:rsid w:val="006524BA"/>
    <w:rsid w:val="0065259B"/>
    <w:rsid w:val="00652B57"/>
    <w:rsid w:val="00652D47"/>
    <w:rsid w:val="00652F25"/>
    <w:rsid w:val="006532BB"/>
    <w:rsid w:val="006534F4"/>
    <w:rsid w:val="0065352F"/>
    <w:rsid w:val="006537E0"/>
    <w:rsid w:val="00653CDD"/>
    <w:rsid w:val="00653D0F"/>
    <w:rsid w:val="00653D79"/>
    <w:rsid w:val="00653D8B"/>
    <w:rsid w:val="00653E6F"/>
    <w:rsid w:val="0065421C"/>
    <w:rsid w:val="006543FD"/>
    <w:rsid w:val="006547C5"/>
    <w:rsid w:val="006548A3"/>
    <w:rsid w:val="00654B51"/>
    <w:rsid w:val="00654DD7"/>
    <w:rsid w:val="00655246"/>
    <w:rsid w:val="006556A5"/>
    <w:rsid w:val="00655BD0"/>
    <w:rsid w:val="00655C9D"/>
    <w:rsid w:val="00655FFD"/>
    <w:rsid w:val="0065600C"/>
    <w:rsid w:val="006561B1"/>
    <w:rsid w:val="006563E6"/>
    <w:rsid w:val="006565E6"/>
    <w:rsid w:val="006566A9"/>
    <w:rsid w:val="0065684F"/>
    <w:rsid w:val="00656CA6"/>
    <w:rsid w:val="00656DC5"/>
    <w:rsid w:val="0065722C"/>
    <w:rsid w:val="006574D5"/>
    <w:rsid w:val="0065751E"/>
    <w:rsid w:val="00657A91"/>
    <w:rsid w:val="00657B39"/>
    <w:rsid w:val="00660480"/>
    <w:rsid w:val="00660497"/>
    <w:rsid w:val="00660517"/>
    <w:rsid w:val="0066057A"/>
    <w:rsid w:val="00660E08"/>
    <w:rsid w:val="00660F1A"/>
    <w:rsid w:val="0066118A"/>
    <w:rsid w:val="006611FC"/>
    <w:rsid w:val="00661826"/>
    <w:rsid w:val="00661BB9"/>
    <w:rsid w:val="006621FA"/>
    <w:rsid w:val="00662258"/>
    <w:rsid w:val="00662676"/>
    <w:rsid w:val="006627C1"/>
    <w:rsid w:val="00663BCB"/>
    <w:rsid w:val="00663E61"/>
    <w:rsid w:val="0066408D"/>
    <w:rsid w:val="006647D3"/>
    <w:rsid w:val="00664B24"/>
    <w:rsid w:val="00664CA7"/>
    <w:rsid w:val="00664D52"/>
    <w:rsid w:val="00665597"/>
    <w:rsid w:val="006655E3"/>
    <w:rsid w:val="00665687"/>
    <w:rsid w:val="006664C8"/>
    <w:rsid w:val="006667C7"/>
    <w:rsid w:val="00666844"/>
    <w:rsid w:val="006672BB"/>
    <w:rsid w:val="00667321"/>
    <w:rsid w:val="00667413"/>
    <w:rsid w:val="006675D7"/>
    <w:rsid w:val="006675FC"/>
    <w:rsid w:val="0066778E"/>
    <w:rsid w:val="00667954"/>
    <w:rsid w:val="00670285"/>
    <w:rsid w:val="006705FE"/>
    <w:rsid w:val="0067064B"/>
    <w:rsid w:val="00670DBA"/>
    <w:rsid w:val="00670E91"/>
    <w:rsid w:val="00671301"/>
    <w:rsid w:val="00671837"/>
    <w:rsid w:val="00671DBD"/>
    <w:rsid w:val="00671E52"/>
    <w:rsid w:val="00672531"/>
    <w:rsid w:val="0067285B"/>
    <w:rsid w:val="0067291A"/>
    <w:rsid w:val="00672B2F"/>
    <w:rsid w:val="00673086"/>
    <w:rsid w:val="00673290"/>
    <w:rsid w:val="00673BCB"/>
    <w:rsid w:val="00673FE0"/>
    <w:rsid w:val="006744D7"/>
    <w:rsid w:val="006750D1"/>
    <w:rsid w:val="0067526C"/>
    <w:rsid w:val="00675772"/>
    <w:rsid w:val="00675BDA"/>
    <w:rsid w:val="00675CD3"/>
    <w:rsid w:val="00675DB6"/>
    <w:rsid w:val="00675DD4"/>
    <w:rsid w:val="00675F7D"/>
    <w:rsid w:val="00675FDE"/>
    <w:rsid w:val="006760E9"/>
    <w:rsid w:val="00676491"/>
    <w:rsid w:val="00676A51"/>
    <w:rsid w:val="00677AB5"/>
    <w:rsid w:val="00677B0D"/>
    <w:rsid w:val="00677B80"/>
    <w:rsid w:val="00680309"/>
    <w:rsid w:val="00680322"/>
    <w:rsid w:val="0068036F"/>
    <w:rsid w:val="006807C3"/>
    <w:rsid w:val="00680AE9"/>
    <w:rsid w:val="00681289"/>
    <w:rsid w:val="00681728"/>
    <w:rsid w:val="00681737"/>
    <w:rsid w:val="00681C8B"/>
    <w:rsid w:val="00681CBA"/>
    <w:rsid w:val="00681D51"/>
    <w:rsid w:val="00681DF7"/>
    <w:rsid w:val="00682C7E"/>
    <w:rsid w:val="00682CB0"/>
    <w:rsid w:val="00682D09"/>
    <w:rsid w:val="0068312D"/>
    <w:rsid w:val="006835E2"/>
    <w:rsid w:val="006836DA"/>
    <w:rsid w:val="0068373B"/>
    <w:rsid w:val="00683A8D"/>
    <w:rsid w:val="00684008"/>
    <w:rsid w:val="006844EB"/>
    <w:rsid w:val="0068468F"/>
    <w:rsid w:val="00684908"/>
    <w:rsid w:val="00684B6F"/>
    <w:rsid w:val="00684C64"/>
    <w:rsid w:val="006850F4"/>
    <w:rsid w:val="00685145"/>
    <w:rsid w:val="00685B3E"/>
    <w:rsid w:val="00685BB0"/>
    <w:rsid w:val="00685C29"/>
    <w:rsid w:val="0068626B"/>
    <w:rsid w:val="0068638E"/>
    <w:rsid w:val="00686959"/>
    <w:rsid w:val="00687230"/>
    <w:rsid w:val="00687600"/>
    <w:rsid w:val="0068795D"/>
    <w:rsid w:val="00687A22"/>
    <w:rsid w:val="00687F0C"/>
    <w:rsid w:val="0069039D"/>
    <w:rsid w:val="006906F7"/>
    <w:rsid w:val="00690D52"/>
    <w:rsid w:val="006912C3"/>
    <w:rsid w:val="00691411"/>
    <w:rsid w:val="0069162E"/>
    <w:rsid w:val="00691C3E"/>
    <w:rsid w:val="00691DE4"/>
    <w:rsid w:val="006925BA"/>
    <w:rsid w:val="00692967"/>
    <w:rsid w:val="00692D05"/>
    <w:rsid w:val="00692E7A"/>
    <w:rsid w:val="00692EDB"/>
    <w:rsid w:val="00693041"/>
    <w:rsid w:val="00693444"/>
    <w:rsid w:val="00693526"/>
    <w:rsid w:val="0069364E"/>
    <w:rsid w:val="00693840"/>
    <w:rsid w:val="006938B2"/>
    <w:rsid w:val="0069400B"/>
    <w:rsid w:val="0069433B"/>
    <w:rsid w:val="00694367"/>
    <w:rsid w:val="0069499D"/>
    <w:rsid w:val="00694BAF"/>
    <w:rsid w:val="00694BB3"/>
    <w:rsid w:val="00694CB4"/>
    <w:rsid w:val="00694D14"/>
    <w:rsid w:val="006950C7"/>
    <w:rsid w:val="00695473"/>
    <w:rsid w:val="00695797"/>
    <w:rsid w:val="006962D4"/>
    <w:rsid w:val="00696573"/>
    <w:rsid w:val="00696C85"/>
    <w:rsid w:val="00696C8A"/>
    <w:rsid w:val="00696D77"/>
    <w:rsid w:val="006970B6"/>
    <w:rsid w:val="006970CE"/>
    <w:rsid w:val="0069756C"/>
    <w:rsid w:val="00697BFB"/>
    <w:rsid w:val="006A03C4"/>
    <w:rsid w:val="006A04EA"/>
    <w:rsid w:val="006A0659"/>
    <w:rsid w:val="006A097C"/>
    <w:rsid w:val="006A0E83"/>
    <w:rsid w:val="006A0EE9"/>
    <w:rsid w:val="006A144F"/>
    <w:rsid w:val="006A149B"/>
    <w:rsid w:val="006A1671"/>
    <w:rsid w:val="006A1721"/>
    <w:rsid w:val="006A17EB"/>
    <w:rsid w:val="006A19A1"/>
    <w:rsid w:val="006A1CA3"/>
    <w:rsid w:val="006A21B1"/>
    <w:rsid w:val="006A22DD"/>
    <w:rsid w:val="006A2429"/>
    <w:rsid w:val="006A2631"/>
    <w:rsid w:val="006A34C7"/>
    <w:rsid w:val="006A3670"/>
    <w:rsid w:val="006A37AF"/>
    <w:rsid w:val="006A3A21"/>
    <w:rsid w:val="006A3ED6"/>
    <w:rsid w:val="006A3F11"/>
    <w:rsid w:val="006A4D39"/>
    <w:rsid w:val="006A4E82"/>
    <w:rsid w:val="006A529F"/>
    <w:rsid w:val="006A56B2"/>
    <w:rsid w:val="006A5C22"/>
    <w:rsid w:val="006A5F56"/>
    <w:rsid w:val="006A6562"/>
    <w:rsid w:val="006A77DB"/>
    <w:rsid w:val="006A797B"/>
    <w:rsid w:val="006A7EFF"/>
    <w:rsid w:val="006B064B"/>
    <w:rsid w:val="006B0A48"/>
    <w:rsid w:val="006B0CE1"/>
    <w:rsid w:val="006B0F1C"/>
    <w:rsid w:val="006B0FE1"/>
    <w:rsid w:val="006B1355"/>
    <w:rsid w:val="006B1629"/>
    <w:rsid w:val="006B17A0"/>
    <w:rsid w:val="006B1F4E"/>
    <w:rsid w:val="006B214F"/>
    <w:rsid w:val="006B233D"/>
    <w:rsid w:val="006B2421"/>
    <w:rsid w:val="006B2462"/>
    <w:rsid w:val="006B260E"/>
    <w:rsid w:val="006B2894"/>
    <w:rsid w:val="006B2DC9"/>
    <w:rsid w:val="006B2F19"/>
    <w:rsid w:val="006B2FB5"/>
    <w:rsid w:val="006B3271"/>
    <w:rsid w:val="006B331C"/>
    <w:rsid w:val="006B3504"/>
    <w:rsid w:val="006B37C0"/>
    <w:rsid w:val="006B3D18"/>
    <w:rsid w:val="006B3D4C"/>
    <w:rsid w:val="006B4371"/>
    <w:rsid w:val="006B43D2"/>
    <w:rsid w:val="006B478E"/>
    <w:rsid w:val="006B4F5A"/>
    <w:rsid w:val="006B51AA"/>
    <w:rsid w:val="006B55F8"/>
    <w:rsid w:val="006B56C7"/>
    <w:rsid w:val="006B5771"/>
    <w:rsid w:val="006B5CF8"/>
    <w:rsid w:val="006B5D4A"/>
    <w:rsid w:val="006B5D5A"/>
    <w:rsid w:val="006B5DBD"/>
    <w:rsid w:val="006B5E6E"/>
    <w:rsid w:val="006B66D2"/>
    <w:rsid w:val="006B6C44"/>
    <w:rsid w:val="006B6F3B"/>
    <w:rsid w:val="006B7038"/>
    <w:rsid w:val="006B7052"/>
    <w:rsid w:val="006B7159"/>
    <w:rsid w:val="006B7372"/>
    <w:rsid w:val="006B79E9"/>
    <w:rsid w:val="006B7B2C"/>
    <w:rsid w:val="006C02E5"/>
    <w:rsid w:val="006C0A45"/>
    <w:rsid w:val="006C0B05"/>
    <w:rsid w:val="006C0C77"/>
    <w:rsid w:val="006C1167"/>
    <w:rsid w:val="006C1B07"/>
    <w:rsid w:val="006C2D9F"/>
    <w:rsid w:val="006C3285"/>
    <w:rsid w:val="006C39F7"/>
    <w:rsid w:val="006C3C55"/>
    <w:rsid w:val="006C453E"/>
    <w:rsid w:val="006C46C4"/>
    <w:rsid w:val="006C48E7"/>
    <w:rsid w:val="006C4C7E"/>
    <w:rsid w:val="006C539E"/>
    <w:rsid w:val="006C5499"/>
    <w:rsid w:val="006C5983"/>
    <w:rsid w:val="006C5B92"/>
    <w:rsid w:val="006C5FB6"/>
    <w:rsid w:val="006C6147"/>
    <w:rsid w:val="006C6240"/>
    <w:rsid w:val="006C66FF"/>
    <w:rsid w:val="006C6934"/>
    <w:rsid w:val="006C6C16"/>
    <w:rsid w:val="006C6FA8"/>
    <w:rsid w:val="006C71C3"/>
    <w:rsid w:val="006C7282"/>
    <w:rsid w:val="006C7DCF"/>
    <w:rsid w:val="006D026C"/>
    <w:rsid w:val="006D0555"/>
    <w:rsid w:val="006D0FA2"/>
    <w:rsid w:val="006D120C"/>
    <w:rsid w:val="006D166B"/>
    <w:rsid w:val="006D1858"/>
    <w:rsid w:val="006D1972"/>
    <w:rsid w:val="006D19CE"/>
    <w:rsid w:val="006D1B00"/>
    <w:rsid w:val="006D23A1"/>
    <w:rsid w:val="006D25D0"/>
    <w:rsid w:val="006D2A53"/>
    <w:rsid w:val="006D2EA2"/>
    <w:rsid w:val="006D30A1"/>
    <w:rsid w:val="006D3329"/>
    <w:rsid w:val="006D38E0"/>
    <w:rsid w:val="006D3902"/>
    <w:rsid w:val="006D3906"/>
    <w:rsid w:val="006D4468"/>
    <w:rsid w:val="006D4652"/>
    <w:rsid w:val="006D4BF1"/>
    <w:rsid w:val="006D57E7"/>
    <w:rsid w:val="006D5D3A"/>
    <w:rsid w:val="006D631F"/>
    <w:rsid w:val="006D6618"/>
    <w:rsid w:val="006D668F"/>
    <w:rsid w:val="006D68A4"/>
    <w:rsid w:val="006D742A"/>
    <w:rsid w:val="006D75B6"/>
    <w:rsid w:val="006D77B9"/>
    <w:rsid w:val="006D7B30"/>
    <w:rsid w:val="006D7C2A"/>
    <w:rsid w:val="006E067F"/>
    <w:rsid w:val="006E0692"/>
    <w:rsid w:val="006E0A98"/>
    <w:rsid w:val="006E17C5"/>
    <w:rsid w:val="006E1B36"/>
    <w:rsid w:val="006E1F8E"/>
    <w:rsid w:val="006E2142"/>
    <w:rsid w:val="006E2198"/>
    <w:rsid w:val="006E2441"/>
    <w:rsid w:val="006E2B03"/>
    <w:rsid w:val="006E2D38"/>
    <w:rsid w:val="006E3230"/>
    <w:rsid w:val="006E343A"/>
    <w:rsid w:val="006E4867"/>
    <w:rsid w:val="006E493C"/>
    <w:rsid w:val="006E5374"/>
    <w:rsid w:val="006E56E9"/>
    <w:rsid w:val="006E5F82"/>
    <w:rsid w:val="006E6399"/>
    <w:rsid w:val="006E648E"/>
    <w:rsid w:val="006E6C1B"/>
    <w:rsid w:val="006E7342"/>
    <w:rsid w:val="006E73F8"/>
    <w:rsid w:val="006E76B4"/>
    <w:rsid w:val="006E793D"/>
    <w:rsid w:val="006E7B03"/>
    <w:rsid w:val="006E7F23"/>
    <w:rsid w:val="006F04E9"/>
    <w:rsid w:val="006F0512"/>
    <w:rsid w:val="006F089E"/>
    <w:rsid w:val="006F08BC"/>
    <w:rsid w:val="006F0B48"/>
    <w:rsid w:val="006F1279"/>
    <w:rsid w:val="006F148F"/>
    <w:rsid w:val="006F1855"/>
    <w:rsid w:val="006F2162"/>
    <w:rsid w:val="006F2477"/>
    <w:rsid w:val="006F2740"/>
    <w:rsid w:val="006F2BFF"/>
    <w:rsid w:val="006F2D00"/>
    <w:rsid w:val="006F32CE"/>
    <w:rsid w:val="006F34E2"/>
    <w:rsid w:val="006F39F1"/>
    <w:rsid w:val="006F3BA9"/>
    <w:rsid w:val="006F3DFC"/>
    <w:rsid w:val="006F3E99"/>
    <w:rsid w:val="006F418E"/>
    <w:rsid w:val="006F4272"/>
    <w:rsid w:val="006F4736"/>
    <w:rsid w:val="006F479D"/>
    <w:rsid w:val="006F4AA6"/>
    <w:rsid w:val="006F52FF"/>
    <w:rsid w:val="006F55B8"/>
    <w:rsid w:val="006F5648"/>
    <w:rsid w:val="006F5A3F"/>
    <w:rsid w:val="006F5BDA"/>
    <w:rsid w:val="006F681D"/>
    <w:rsid w:val="006F6988"/>
    <w:rsid w:val="006F6B5C"/>
    <w:rsid w:val="006F6E2B"/>
    <w:rsid w:val="006F7198"/>
    <w:rsid w:val="006F7746"/>
    <w:rsid w:val="006F7A14"/>
    <w:rsid w:val="00700395"/>
    <w:rsid w:val="0070051A"/>
    <w:rsid w:val="0070067E"/>
    <w:rsid w:val="00701218"/>
    <w:rsid w:val="007017F6"/>
    <w:rsid w:val="00701D7D"/>
    <w:rsid w:val="00701D9F"/>
    <w:rsid w:val="00701F5E"/>
    <w:rsid w:val="00701FA9"/>
    <w:rsid w:val="007022E1"/>
    <w:rsid w:val="0070264E"/>
    <w:rsid w:val="00702A6E"/>
    <w:rsid w:val="00702E36"/>
    <w:rsid w:val="0070306E"/>
    <w:rsid w:val="007030E6"/>
    <w:rsid w:val="0070314D"/>
    <w:rsid w:val="00703332"/>
    <w:rsid w:val="00703C53"/>
    <w:rsid w:val="00703D7A"/>
    <w:rsid w:val="00704584"/>
    <w:rsid w:val="0070459F"/>
    <w:rsid w:val="007045AB"/>
    <w:rsid w:val="00704D0C"/>
    <w:rsid w:val="00705242"/>
    <w:rsid w:val="00705629"/>
    <w:rsid w:val="00705D08"/>
    <w:rsid w:val="00705E77"/>
    <w:rsid w:val="00706277"/>
    <w:rsid w:val="007063C4"/>
    <w:rsid w:val="00706512"/>
    <w:rsid w:val="007065D9"/>
    <w:rsid w:val="00706B98"/>
    <w:rsid w:val="00706CA6"/>
    <w:rsid w:val="00706F69"/>
    <w:rsid w:val="0070741F"/>
    <w:rsid w:val="00707623"/>
    <w:rsid w:val="007077BD"/>
    <w:rsid w:val="007078A8"/>
    <w:rsid w:val="007079C0"/>
    <w:rsid w:val="0071001E"/>
    <w:rsid w:val="007102BB"/>
    <w:rsid w:val="00710309"/>
    <w:rsid w:val="007107DD"/>
    <w:rsid w:val="00710F8D"/>
    <w:rsid w:val="007112A9"/>
    <w:rsid w:val="00711338"/>
    <w:rsid w:val="007118CE"/>
    <w:rsid w:val="00711A46"/>
    <w:rsid w:val="007127D8"/>
    <w:rsid w:val="00712921"/>
    <w:rsid w:val="00713BBC"/>
    <w:rsid w:val="00713E2C"/>
    <w:rsid w:val="00713F7F"/>
    <w:rsid w:val="00714199"/>
    <w:rsid w:val="00714675"/>
    <w:rsid w:val="007148EB"/>
    <w:rsid w:val="00714CB2"/>
    <w:rsid w:val="007150D8"/>
    <w:rsid w:val="007155A5"/>
    <w:rsid w:val="007156EF"/>
    <w:rsid w:val="00715961"/>
    <w:rsid w:val="00715964"/>
    <w:rsid w:val="00715A8D"/>
    <w:rsid w:val="00715F19"/>
    <w:rsid w:val="00715FAB"/>
    <w:rsid w:val="00716584"/>
    <w:rsid w:val="00716598"/>
    <w:rsid w:val="00716A28"/>
    <w:rsid w:val="00716E1D"/>
    <w:rsid w:val="00717164"/>
    <w:rsid w:val="007173A8"/>
    <w:rsid w:val="00717608"/>
    <w:rsid w:val="00717BB1"/>
    <w:rsid w:val="007205CB"/>
    <w:rsid w:val="0072060B"/>
    <w:rsid w:val="0072076C"/>
    <w:rsid w:val="0072085F"/>
    <w:rsid w:val="00720877"/>
    <w:rsid w:val="0072089A"/>
    <w:rsid w:val="007208EF"/>
    <w:rsid w:val="007209CF"/>
    <w:rsid w:val="00720CA9"/>
    <w:rsid w:val="00720ECB"/>
    <w:rsid w:val="0072113B"/>
    <w:rsid w:val="007211D5"/>
    <w:rsid w:val="00721C4A"/>
    <w:rsid w:val="00721CE7"/>
    <w:rsid w:val="007221B2"/>
    <w:rsid w:val="007221E7"/>
    <w:rsid w:val="00722698"/>
    <w:rsid w:val="0072297B"/>
    <w:rsid w:val="00722C31"/>
    <w:rsid w:val="00722DC6"/>
    <w:rsid w:val="0072301D"/>
    <w:rsid w:val="0072306B"/>
    <w:rsid w:val="0072344F"/>
    <w:rsid w:val="007236B6"/>
    <w:rsid w:val="00723876"/>
    <w:rsid w:val="007238F3"/>
    <w:rsid w:val="00723935"/>
    <w:rsid w:val="007239FF"/>
    <w:rsid w:val="00724572"/>
    <w:rsid w:val="00724756"/>
    <w:rsid w:val="0072492C"/>
    <w:rsid w:val="00725156"/>
    <w:rsid w:val="0072527F"/>
    <w:rsid w:val="00725805"/>
    <w:rsid w:val="007258FD"/>
    <w:rsid w:val="0072593E"/>
    <w:rsid w:val="00725D32"/>
    <w:rsid w:val="0072641C"/>
    <w:rsid w:val="00726543"/>
    <w:rsid w:val="00727221"/>
    <w:rsid w:val="007279A4"/>
    <w:rsid w:val="00727B5E"/>
    <w:rsid w:val="00727BCE"/>
    <w:rsid w:val="00727DC2"/>
    <w:rsid w:val="007301DB"/>
    <w:rsid w:val="00730692"/>
    <w:rsid w:val="00730A08"/>
    <w:rsid w:val="00730AF3"/>
    <w:rsid w:val="00730F45"/>
    <w:rsid w:val="00731E74"/>
    <w:rsid w:val="00731F4D"/>
    <w:rsid w:val="007321AB"/>
    <w:rsid w:val="0073225B"/>
    <w:rsid w:val="00732523"/>
    <w:rsid w:val="007326A2"/>
    <w:rsid w:val="00732EE3"/>
    <w:rsid w:val="007331A1"/>
    <w:rsid w:val="007332B5"/>
    <w:rsid w:val="0073351E"/>
    <w:rsid w:val="00733CA6"/>
    <w:rsid w:val="00734068"/>
    <w:rsid w:val="0073434B"/>
    <w:rsid w:val="0073471C"/>
    <w:rsid w:val="00735799"/>
    <w:rsid w:val="007358B3"/>
    <w:rsid w:val="00735BB8"/>
    <w:rsid w:val="00735C91"/>
    <w:rsid w:val="00735ED3"/>
    <w:rsid w:val="0073631E"/>
    <w:rsid w:val="007363B2"/>
    <w:rsid w:val="00736481"/>
    <w:rsid w:val="00736F3D"/>
    <w:rsid w:val="0073755E"/>
    <w:rsid w:val="007375E0"/>
    <w:rsid w:val="007378A4"/>
    <w:rsid w:val="00737BAA"/>
    <w:rsid w:val="00737E7A"/>
    <w:rsid w:val="00737F4E"/>
    <w:rsid w:val="0074052F"/>
    <w:rsid w:val="007406E2"/>
    <w:rsid w:val="00740805"/>
    <w:rsid w:val="00740FD9"/>
    <w:rsid w:val="00741357"/>
    <w:rsid w:val="0074164B"/>
    <w:rsid w:val="007417D9"/>
    <w:rsid w:val="00741900"/>
    <w:rsid w:val="00741964"/>
    <w:rsid w:val="00741DC0"/>
    <w:rsid w:val="00741E7E"/>
    <w:rsid w:val="00742433"/>
    <w:rsid w:val="00742618"/>
    <w:rsid w:val="007426D0"/>
    <w:rsid w:val="0074303F"/>
    <w:rsid w:val="007431A7"/>
    <w:rsid w:val="00743409"/>
    <w:rsid w:val="007438AE"/>
    <w:rsid w:val="00743A38"/>
    <w:rsid w:val="00743B68"/>
    <w:rsid w:val="00743D32"/>
    <w:rsid w:val="00744291"/>
    <w:rsid w:val="007449FC"/>
    <w:rsid w:val="00744E0A"/>
    <w:rsid w:val="00745B1A"/>
    <w:rsid w:val="00745BE0"/>
    <w:rsid w:val="007462EE"/>
    <w:rsid w:val="0074676E"/>
    <w:rsid w:val="0074690C"/>
    <w:rsid w:val="00746AB8"/>
    <w:rsid w:val="00746AD7"/>
    <w:rsid w:val="00746AF9"/>
    <w:rsid w:val="00746B5E"/>
    <w:rsid w:val="00747327"/>
    <w:rsid w:val="0074775F"/>
    <w:rsid w:val="00750476"/>
    <w:rsid w:val="007507DB"/>
    <w:rsid w:val="00750869"/>
    <w:rsid w:val="00750C66"/>
    <w:rsid w:val="00750FDB"/>
    <w:rsid w:val="00751306"/>
    <w:rsid w:val="00751A49"/>
    <w:rsid w:val="00751DAF"/>
    <w:rsid w:val="00751E28"/>
    <w:rsid w:val="00751E2D"/>
    <w:rsid w:val="00752064"/>
    <w:rsid w:val="007520ED"/>
    <w:rsid w:val="0075252B"/>
    <w:rsid w:val="0075274B"/>
    <w:rsid w:val="007527EA"/>
    <w:rsid w:val="00752CFB"/>
    <w:rsid w:val="00752D87"/>
    <w:rsid w:val="00752D8F"/>
    <w:rsid w:val="00753945"/>
    <w:rsid w:val="00754541"/>
    <w:rsid w:val="007549CE"/>
    <w:rsid w:val="00754DDD"/>
    <w:rsid w:val="00754ED8"/>
    <w:rsid w:val="007550FA"/>
    <w:rsid w:val="00755BEF"/>
    <w:rsid w:val="00755D67"/>
    <w:rsid w:val="007562A4"/>
    <w:rsid w:val="00756743"/>
    <w:rsid w:val="00756B91"/>
    <w:rsid w:val="00756D1B"/>
    <w:rsid w:val="00756E5C"/>
    <w:rsid w:val="00756ED0"/>
    <w:rsid w:val="00757298"/>
    <w:rsid w:val="00757387"/>
    <w:rsid w:val="00757841"/>
    <w:rsid w:val="00757995"/>
    <w:rsid w:val="007579DF"/>
    <w:rsid w:val="00757B7B"/>
    <w:rsid w:val="00757D93"/>
    <w:rsid w:val="00757FDC"/>
    <w:rsid w:val="00757FEB"/>
    <w:rsid w:val="0076084B"/>
    <w:rsid w:val="00760883"/>
    <w:rsid w:val="00760B55"/>
    <w:rsid w:val="0076106E"/>
    <w:rsid w:val="007615FE"/>
    <w:rsid w:val="0076232C"/>
    <w:rsid w:val="007627DA"/>
    <w:rsid w:val="00762EF9"/>
    <w:rsid w:val="0076307D"/>
    <w:rsid w:val="007633BC"/>
    <w:rsid w:val="00763829"/>
    <w:rsid w:val="00764094"/>
    <w:rsid w:val="00764297"/>
    <w:rsid w:val="007642D8"/>
    <w:rsid w:val="0076448A"/>
    <w:rsid w:val="007646CD"/>
    <w:rsid w:val="00764E2F"/>
    <w:rsid w:val="00764F3B"/>
    <w:rsid w:val="00765162"/>
    <w:rsid w:val="00765952"/>
    <w:rsid w:val="00765AAF"/>
    <w:rsid w:val="00765EC4"/>
    <w:rsid w:val="00766322"/>
    <w:rsid w:val="00766364"/>
    <w:rsid w:val="00766539"/>
    <w:rsid w:val="007665B3"/>
    <w:rsid w:val="00766823"/>
    <w:rsid w:val="00766A79"/>
    <w:rsid w:val="00766D7F"/>
    <w:rsid w:val="00767460"/>
    <w:rsid w:val="007675C1"/>
    <w:rsid w:val="0076785F"/>
    <w:rsid w:val="007678C1"/>
    <w:rsid w:val="00767D22"/>
    <w:rsid w:val="00767D53"/>
    <w:rsid w:val="0077057D"/>
    <w:rsid w:val="00770B04"/>
    <w:rsid w:val="00771313"/>
    <w:rsid w:val="0077152E"/>
    <w:rsid w:val="00771CAA"/>
    <w:rsid w:val="00772170"/>
    <w:rsid w:val="00772367"/>
    <w:rsid w:val="0077238B"/>
    <w:rsid w:val="00772F18"/>
    <w:rsid w:val="007735B1"/>
    <w:rsid w:val="00773678"/>
    <w:rsid w:val="007738A0"/>
    <w:rsid w:val="00773947"/>
    <w:rsid w:val="00773BA4"/>
    <w:rsid w:val="00773D79"/>
    <w:rsid w:val="00773F29"/>
    <w:rsid w:val="00773FF2"/>
    <w:rsid w:val="007742CB"/>
    <w:rsid w:val="00774816"/>
    <w:rsid w:val="0077491F"/>
    <w:rsid w:val="007749E5"/>
    <w:rsid w:val="00774EC4"/>
    <w:rsid w:val="0077516C"/>
    <w:rsid w:val="00775870"/>
    <w:rsid w:val="00776042"/>
    <w:rsid w:val="00776053"/>
    <w:rsid w:val="0077639F"/>
    <w:rsid w:val="00776778"/>
    <w:rsid w:val="007768BB"/>
    <w:rsid w:val="00776994"/>
    <w:rsid w:val="00776B57"/>
    <w:rsid w:val="00776B92"/>
    <w:rsid w:val="00776E3C"/>
    <w:rsid w:val="0077716B"/>
    <w:rsid w:val="00777463"/>
    <w:rsid w:val="00777658"/>
    <w:rsid w:val="007779DE"/>
    <w:rsid w:val="00777BC8"/>
    <w:rsid w:val="00777C66"/>
    <w:rsid w:val="00777CDE"/>
    <w:rsid w:val="00777F7C"/>
    <w:rsid w:val="007808F2"/>
    <w:rsid w:val="00781B73"/>
    <w:rsid w:val="00781CF2"/>
    <w:rsid w:val="00782617"/>
    <w:rsid w:val="00782C0D"/>
    <w:rsid w:val="00782C9E"/>
    <w:rsid w:val="0078310E"/>
    <w:rsid w:val="00783930"/>
    <w:rsid w:val="00783CEE"/>
    <w:rsid w:val="00784C33"/>
    <w:rsid w:val="00784F59"/>
    <w:rsid w:val="00785129"/>
    <w:rsid w:val="0078529A"/>
    <w:rsid w:val="0078557E"/>
    <w:rsid w:val="00785ED2"/>
    <w:rsid w:val="007860A0"/>
    <w:rsid w:val="007864CF"/>
    <w:rsid w:val="00786988"/>
    <w:rsid w:val="007870E6"/>
    <w:rsid w:val="0078720D"/>
    <w:rsid w:val="00787E3A"/>
    <w:rsid w:val="00787E88"/>
    <w:rsid w:val="00790775"/>
    <w:rsid w:val="00790DED"/>
    <w:rsid w:val="00791481"/>
    <w:rsid w:val="007916C9"/>
    <w:rsid w:val="00792283"/>
    <w:rsid w:val="00792644"/>
    <w:rsid w:val="00792CA9"/>
    <w:rsid w:val="00792E6B"/>
    <w:rsid w:val="00792E84"/>
    <w:rsid w:val="007930C4"/>
    <w:rsid w:val="00793246"/>
    <w:rsid w:val="007933F3"/>
    <w:rsid w:val="00793BC9"/>
    <w:rsid w:val="00793CC6"/>
    <w:rsid w:val="00794302"/>
    <w:rsid w:val="0079447A"/>
    <w:rsid w:val="00794835"/>
    <w:rsid w:val="00794D29"/>
    <w:rsid w:val="007950A0"/>
    <w:rsid w:val="00795280"/>
    <w:rsid w:val="007952C1"/>
    <w:rsid w:val="0079539F"/>
    <w:rsid w:val="0079567C"/>
    <w:rsid w:val="0079571D"/>
    <w:rsid w:val="0079581C"/>
    <w:rsid w:val="00795939"/>
    <w:rsid w:val="00795FA8"/>
    <w:rsid w:val="0079614C"/>
    <w:rsid w:val="007969C1"/>
    <w:rsid w:val="00796D1E"/>
    <w:rsid w:val="00796D4A"/>
    <w:rsid w:val="007971AE"/>
    <w:rsid w:val="007974F6"/>
    <w:rsid w:val="00797BF4"/>
    <w:rsid w:val="00797D89"/>
    <w:rsid w:val="00797FBC"/>
    <w:rsid w:val="007A018E"/>
    <w:rsid w:val="007A02A3"/>
    <w:rsid w:val="007A0E35"/>
    <w:rsid w:val="007A0F9E"/>
    <w:rsid w:val="007A1299"/>
    <w:rsid w:val="007A1B2F"/>
    <w:rsid w:val="007A1B5F"/>
    <w:rsid w:val="007A1F43"/>
    <w:rsid w:val="007A33D1"/>
    <w:rsid w:val="007A3709"/>
    <w:rsid w:val="007A3C0A"/>
    <w:rsid w:val="007A3F2C"/>
    <w:rsid w:val="007A4413"/>
    <w:rsid w:val="007A46C6"/>
    <w:rsid w:val="007A47F7"/>
    <w:rsid w:val="007A490A"/>
    <w:rsid w:val="007A4BF1"/>
    <w:rsid w:val="007A4D78"/>
    <w:rsid w:val="007A4DA1"/>
    <w:rsid w:val="007A4DD9"/>
    <w:rsid w:val="007A502C"/>
    <w:rsid w:val="007A5256"/>
    <w:rsid w:val="007A52D8"/>
    <w:rsid w:val="007A594C"/>
    <w:rsid w:val="007A5D22"/>
    <w:rsid w:val="007A5E47"/>
    <w:rsid w:val="007A68C3"/>
    <w:rsid w:val="007A6F3A"/>
    <w:rsid w:val="007A77E1"/>
    <w:rsid w:val="007A7846"/>
    <w:rsid w:val="007A7E4D"/>
    <w:rsid w:val="007B0329"/>
    <w:rsid w:val="007B0423"/>
    <w:rsid w:val="007B05D6"/>
    <w:rsid w:val="007B0E00"/>
    <w:rsid w:val="007B0F91"/>
    <w:rsid w:val="007B0FDD"/>
    <w:rsid w:val="007B1282"/>
    <w:rsid w:val="007B13C2"/>
    <w:rsid w:val="007B13C5"/>
    <w:rsid w:val="007B13E4"/>
    <w:rsid w:val="007B1765"/>
    <w:rsid w:val="007B1A31"/>
    <w:rsid w:val="007B2258"/>
    <w:rsid w:val="007B24F1"/>
    <w:rsid w:val="007B2798"/>
    <w:rsid w:val="007B27D5"/>
    <w:rsid w:val="007B2A38"/>
    <w:rsid w:val="007B2B38"/>
    <w:rsid w:val="007B2C40"/>
    <w:rsid w:val="007B2D04"/>
    <w:rsid w:val="007B3012"/>
    <w:rsid w:val="007B3B09"/>
    <w:rsid w:val="007B3C42"/>
    <w:rsid w:val="007B3FBD"/>
    <w:rsid w:val="007B412D"/>
    <w:rsid w:val="007B4713"/>
    <w:rsid w:val="007B4A9B"/>
    <w:rsid w:val="007B4E5C"/>
    <w:rsid w:val="007B5141"/>
    <w:rsid w:val="007B5351"/>
    <w:rsid w:val="007B5B1B"/>
    <w:rsid w:val="007B5DA3"/>
    <w:rsid w:val="007B62D7"/>
    <w:rsid w:val="007B65EF"/>
    <w:rsid w:val="007B6DD4"/>
    <w:rsid w:val="007B771E"/>
    <w:rsid w:val="007B7767"/>
    <w:rsid w:val="007B7B67"/>
    <w:rsid w:val="007B7F83"/>
    <w:rsid w:val="007C0D2F"/>
    <w:rsid w:val="007C0D86"/>
    <w:rsid w:val="007C0E95"/>
    <w:rsid w:val="007C13C4"/>
    <w:rsid w:val="007C16F0"/>
    <w:rsid w:val="007C1C19"/>
    <w:rsid w:val="007C21E1"/>
    <w:rsid w:val="007C229C"/>
    <w:rsid w:val="007C237F"/>
    <w:rsid w:val="007C267A"/>
    <w:rsid w:val="007C289B"/>
    <w:rsid w:val="007C2BBE"/>
    <w:rsid w:val="007C34A9"/>
    <w:rsid w:val="007C34AB"/>
    <w:rsid w:val="007C35E9"/>
    <w:rsid w:val="007C365D"/>
    <w:rsid w:val="007C395B"/>
    <w:rsid w:val="007C3BE8"/>
    <w:rsid w:val="007C3E43"/>
    <w:rsid w:val="007C41D1"/>
    <w:rsid w:val="007C4873"/>
    <w:rsid w:val="007C54A4"/>
    <w:rsid w:val="007C5690"/>
    <w:rsid w:val="007C60EF"/>
    <w:rsid w:val="007C65F6"/>
    <w:rsid w:val="007C6D4B"/>
    <w:rsid w:val="007C6E59"/>
    <w:rsid w:val="007C6FC5"/>
    <w:rsid w:val="007C780F"/>
    <w:rsid w:val="007C7826"/>
    <w:rsid w:val="007C7884"/>
    <w:rsid w:val="007C7B04"/>
    <w:rsid w:val="007C7E59"/>
    <w:rsid w:val="007C7FCA"/>
    <w:rsid w:val="007D01E9"/>
    <w:rsid w:val="007D036F"/>
    <w:rsid w:val="007D06C1"/>
    <w:rsid w:val="007D0C61"/>
    <w:rsid w:val="007D11B8"/>
    <w:rsid w:val="007D1237"/>
    <w:rsid w:val="007D124C"/>
    <w:rsid w:val="007D1349"/>
    <w:rsid w:val="007D14BD"/>
    <w:rsid w:val="007D192C"/>
    <w:rsid w:val="007D1F40"/>
    <w:rsid w:val="007D20DD"/>
    <w:rsid w:val="007D218B"/>
    <w:rsid w:val="007D2231"/>
    <w:rsid w:val="007D2834"/>
    <w:rsid w:val="007D28FA"/>
    <w:rsid w:val="007D309A"/>
    <w:rsid w:val="007D315B"/>
    <w:rsid w:val="007D3378"/>
    <w:rsid w:val="007D3589"/>
    <w:rsid w:val="007D3A98"/>
    <w:rsid w:val="007D3ABB"/>
    <w:rsid w:val="007D3FC5"/>
    <w:rsid w:val="007D42BD"/>
    <w:rsid w:val="007D4CF8"/>
    <w:rsid w:val="007D4EF5"/>
    <w:rsid w:val="007D4F59"/>
    <w:rsid w:val="007D50FA"/>
    <w:rsid w:val="007D57F9"/>
    <w:rsid w:val="007D5AB5"/>
    <w:rsid w:val="007D5AD7"/>
    <w:rsid w:val="007D5EF7"/>
    <w:rsid w:val="007D5EFF"/>
    <w:rsid w:val="007D5F05"/>
    <w:rsid w:val="007D5F95"/>
    <w:rsid w:val="007D60A7"/>
    <w:rsid w:val="007D63C1"/>
    <w:rsid w:val="007D64FC"/>
    <w:rsid w:val="007D6C6A"/>
    <w:rsid w:val="007D6C6D"/>
    <w:rsid w:val="007D70A3"/>
    <w:rsid w:val="007D7258"/>
    <w:rsid w:val="007D7832"/>
    <w:rsid w:val="007D7CC2"/>
    <w:rsid w:val="007D7D94"/>
    <w:rsid w:val="007E00CC"/>
    <w:rsid w:val="007E06C0"/>
    <w:rsid w:val="007E0C96"/>
    <w:rsid w:val="007E0D70"/>
    <w:rsid w:val="007E1032"/>
    <w:rsid w:val="007E1087"/>
    <w:rsid w:val="007E10B2"/>
    <w:rsid w:val="007E1562"/>
    <w:rsid w:val="007E17C3"/>
    <w:rsid w:val="007E1AE3"/>
    <w:rsid w:val="007E1E94"/>
    <w:rsid w:val="007E1F81"/>
    <w:rsid w:val="007E2104"/>
    <w:rsid w:val="007E23E8"/>
    <w:rsid w:val="007E291C"/>
    <w:rsid w:val="007E29F4"/>
    <w:rsid w:val="007E2C6A"/>
    <w:rsid w:val="007E2CFF"/>
    <w:rsid w:val="007E2F36"/>
    <w:rsid w:val="007E31CA"/>
    <w:rsid w:val="007E31EC"/>
    <w:rsid w:val="007E3A68"/>
    <w:rsid w:val="007E4133"/>
    <w:rsid w:val="007E41B1"/>
    <w:rsid w:val="007E480A"/>
    <w:rsid w:val="007E4990"/>
    <w:rsid w:val="007E49B0"/>
    <w:rsid w:val="007E58F4"/>
    <w:rsid w:val="007E5A93"/>
    <w:rsid w:val="007E5E36"/>
    <w:rsid w:val="007E5FDC"/>
    <w:rsid w:val="007E62E8"/>
    <w:rsid w:val="007E66F5"/>
    <w:rsid w:val="007E68C1"/>
    <w:rsid w:val="007E6D8E"/>
    <w:rsid w:val="007E78B8"/>
    <w:rsid w:val="007E7AD8"/>
    <w:rsid w:val="007E7CCB"/>
    <w:rsid w:val="007E7D42"/>
    <w:rsid w:val="007F0462"/>
    <w:rsid w:val="007F090F"/>
    <w:rsid w:val="007F0FD9"/>
    <w:rsid w:val="007F129E"/>
    <w:rsid w:val="007F1C97"/>
    <w:rsid w:val="007F1CC7"/>
    <w:rsid w:val="007F226F"/>
    <w:rsid w:val="007F27F5"/>
    <w:rsid w:val="007F2F29"/>
    <w:rsid w:val="007F3102"/>
    <w:rsid w:val="007F31D0"/>
    <w:rsid w:val="007F3299"/>
    <w:rsid w:val="007F3813"/>
    <w:rsid w:val="007F38EA"/>
    <w:rsid w:val="007F3C68"/>
    <w:rsid w:val="007F3F2B"/>
    <w:rsid w:val="007F4083"/>
    <w:rsid w:val="007F424D"/>
    <w:rsid w:val="007F4923"/>
    <w:rsid w:val="007F4A58"/>
    <w:rsid w:val="007F541E"/>
    <w:rsid w:val="007F5572"/>
    <w:rsid w:val="007F56E2"/>
    <w:rsid w:val="007F57FF"/>
    <w:rsid w:val="007F5B95"/>
    <w:rsid w:val="007F6204"/>
    <w:rsid w:val="007F6261"/>
    <w:rsid w:val="007F62F5"/>
    <w:rsid w:val="007F64C9"/>
    <w:rsid w:val="007F6915"/>
    <w:rsid w:val="007F6B45"/>
    <w:rsid w:val="007F6CEE"/>
    <w:rsid w:val="007F6F70"/>
    <w:rsid w:val="007F7321"/>
    <w:rsid w:val="007F76F2"/>
    <w:rsid w:val="007F7962"/>
    <w:rsid w:val="007F7ED7"/>
    <w:rsid w:val="0080020C"/>
    <w:rsid w:val="0080022B"/>
    <w:rsid w:val="00800540"/>
    <w:rsid w:val="0080069F"/>
    <w:rsid w:val="008006B1"/>
    <w:rsid w:val="008007AD"/>
    <w:rsid w:val="00800993"/>
    <w:rsid w:val="00800B45"/>
    <w:rsid w:val="00800F37"/>
    <w:rsid w:val="00800F70"/>
    <w:rsid w:val="00801288"/>
    <w:rsid w:val="008017F6"/>
    <w:rsid w:val="00801AC5"/>
    <w:rsid w:val="00801CEE"/>
    <w:rsid w:val="008028B1"/>
    <w:rsid w:val="00803423"/>
    <w:rsid w:val="00803532"/>
    <w:rsid w:val="0080368A"/>
    <w:rsid w:val="008038E8"/>
    <w:rsid w:val="008042FF"/>
    <w:rsid w:val="0080431E"/>
    <w:rsid w:val="008048A4"/>
    <w:rsid w:val="00804961"/>
    <w:rsid w:val="00804A12"/>
    <w:rsid w:val="00804EAB"/>
    <w:rsid w:val="0080518E"/>
    <w:rsid w:val="008053D8"/>
    <w:rsid w:val="00805456"/>
    <w:rsid w:val="00805857"/>
    <w:rsid w:val="00806D63"/>
    <w:rsid w:val="00806F3E"/>
    <w:rsid w:val="00807225"/>
    <w:rsid w:val="00807975"/>
    <w:rsid w:val="00807B2B"/>
    <w:rsid w:val="00810033"/>
    <w:rsid w:val="008100DC"/>
    <w:rsid w:val="00810249"/>
    <w:rsid w:val="00810432"/>
    <w:rsid w:val="00810996"/>
    <w:rsid w:val="008109AC"/>
    <w:rsid w:val="00810B56"/>
    <w:rsid w:val="00810D50"/>
    <w:rsid w:val="00810F21"/>
    <w:rsid w:val="00811421"/>
    <w:rsid w:val="0081176D"/>
    <w:rsid w:val="00811E6A"/>
    <w:rsid w:val="008122E7"/>
    <w:rsid w:val="0081260D"/>
    <w:rsid w:val="00812770"/>
    <w:rsid w:val="00812945"/>
    <w:rsid w:val="00812BB1"/>
    <w:rsid w:val="00812C24"/>
    <w:rsid w:val="00813170"/>
    <w:rsid w:val="0081357F"/>
    <w:rsid w:val="00813915"/>
    <w:rsid w:val="0081391C"/>
    <w:rsid w:val="00813AFE"/>
    <w:rsid w:val="00813E84"/>
    <w:rsid w:val="00813F67"/>
    <w:rsid w:val="00813F98"/>
    <w:rsid w:val="008146FF"/>
    <w:rsid w:val="00814A5B"/>
    <w:rsid w:val="008156F8"/>
    <w:rsid w:val="0081586F"/>
    <w:rsid w:val="00815DF1"/>
    <w:rsid w:val="0081669D"/>
    <w:rsid w:val="00816DFD"/>
    <w:rsid w:val="008171DD"/>
    <w:rsid w:val="0081720A"/>
    <w:rsid w:val="00817B29"/>
    <w:rsid w:val="00820218"/>
    <w:rsid w:val="008202E5"/>
    <w:rsid w:val="0082032B"/>
    <w:rsid w:val="00820BB0"/>
    <w:rsid w:val="00820E61"/>
    <w:rsid w:val="0082103C"/>
    <w:rsid w:val="00821179"/>
    <w:rsid w:val="008213B3"/>
    <w:rsid w:val="00821520"/>
    <w:rsid w:val="008219F2"/>
    <w:rsid w:val="00821C1F"/>
    <w:rsid w:val="00822733"/>
    <w:rsid w:val="008228C5"/>
    <w:rsid w:val="00822D03"/>
    <w:rsid w:val="00822D22"/>
    <w:rsid w:val="0082417C"/>
    <w:rsid w:val="00824D66"/>
    <w:rsid w:val="008254E3"/>
    <w:rsid w:val="008257DE"/>
    <w:rsid w:val="0082612C"/>
    <w:rsid w:val="0082620C"/>
    <w:rsid w:val="0082621C"/>
    <w:rsid w:val="0082642A"/>
    <w:rsid w:val="0082652C"/>
    <w:rsid w:val="00826AEB"/>
    <w:rsid w:val="00826DAF"/>
    <w:rsid w:val="00826FBD"/>
    <w:rsid w:val="0082715D"/>
    <w:rsid w:val="00827791"/>
    <w:rsid w:val="00827C8B"/>
    <w:rsid w:val="00827DCA"/>
    <w:rsid w:val="00827F97"/>
    <w:rsid w:val="0083034B"/>
    <w:rsid w:val="00830783"/>
    <w:rsid w:val="00830D7C"/>
    <w:rsid w:val="00830FAB"/>
    <w:rsid w:val="00830FD6"/>
    <w:rsid w:val="00831A33"/>
    <w:rsid w:val="00832042"/>
    <w:rsid w:val="0083211F"/>
    <w:rsid w:val="0083237A"/>
    <w:rsid w:val="00832A29"/>
    <w:rsid w:val="00832A44"/>
    <w:rsid w:val="00832A54"/>
    <w:rsid w:val="00832C89"/>
    <w:rsid w:val="00832CA7"/>
    <w:rsid w:val="0083307A"/>
    <w:rsid w:val="0083321E"/>
    <w:rsid w:val="0083324B"/>
    <w:rsid w:val="00834496"/>
    <w:rsid w:val="00834AAB"/>
    <w:rsid w:val="008355AA"/>
    <w:rsid w:val="0083593C"/>
    <w:rsid w:val="00836082"/>
    <w:rsid w:val="008360B3"/>
    <w:rsid w:val="00836419"/>
    <w:rsid w:val="00836447"/>
    <w:rsid w:val="008366BB"/>
    <w:rsid w:val="008369F9"/>
    <w:rsid w:val="00836C3E"/>
    <w:rsid w:val="00837042"/>
    <w:rsid w:val="008376E8"/>
    <w:rsid w:val="00837D66"/>
    <w:rsid w:val="00840111"/>
    <w:rsid w:val="00840248"/>
    <w:rsid w:val="008412BA"/>
    <w:rsid w:val="0084190D"/>
    <w:rsid w:val="00841C04"/>
    <w:rsid w:val="00841CA3"/>
    <w:rsid w:val="0084248C"/>
    <w:rsid w:val="00842490"/>
    <w:rsid w:val="00842AD0"/>
    <w:rsid w:val="00842FBB"/>
    <w:rsid w:val="008433E0"/>
    <w:rsid w:val="00843886"/>
    <w:rsid w:val="00843975"/>
    <w:rsid w:val="008439E0"/>
    <w:rsid w:val="008440C7"/>
    <w:rsid w:val="00844292"/>
    <w:rsid w:val="008442E9"/>
    <w:rsid w:val="00844386"/>
    <w:rsid w:val="00844A7B"/>
    <w:rsid w:val="00844DC3"/>
    <w:rsid w:val="008450BB"/>
    <w:rsid w:val="008451F4"/>
    <w:rsid w:val="00845852"/>
    <w:rsid w:val="008459C0"/>
    <w:rsid w:val="00845ECF"/>
    <w:rsid w:val="0084606A"/>
    <w:rsid w:val="00846617"/>
    <w:rsid w:val="00846DF0"/>
    <w:rsid w:val="00846FA4"/>
    <w:rsid w:val="0084726E"/>
    <w:rsid w:val="00847405"/>
    <w:rsid w:val="00847770"/>
    <w:rsid w:val="00850169"/>
    <w:rsid w:val="008511AD"/>
    <w:rsid w:val="0085124E"/>
    <w:rsid w:val="00851A2B"/>
    <w:rsid w:val="00851AF8"/>
    <w:rsid w:val="00851CBC"/>
    <w:rsid w:val="00851EEF"/>
    <w:rsid w:val="00852911"/>
    <w:rsid w:val="00852C05"/>
    <w:rsid w:val="00852C75"/>
    <w:rsid w:val="00853072"/>
    <w:rsid w:val="008538FF"/>
    <w:rsid w:val="00853BA0"/>
    <w:rsid w:val="00853FF7"/>
    <w:rsid w:val="00854106"/>
    <w:rsid w:val="00854228"/>
    <w:rsid w:val="00854811"/>
    <w:rsid w:val="00854874"/>
    <w:rsid w:val="00855608"/>
    <w:rsid w:val="00855697"/>
    <w:rsid w:val="00855A65"/>
    <w:rsid w:val="00855C34"/>
    <w:rsid w:val="00855D73"/>
    <w:rsid w:val="008562FB"/>
    <w:rsid w:val="008564B0"/>
    <w:rsid w:val="00856752"/>
    <w:rsid w:val="0085688C"/>
    <w:rsid w:val="00856A6F"/>
    <w:rsid w:val="00856A75"/>
    <w:rsid w:val="00856B3E"/>
    <w:rsid w:val="00856E49"/>
    <w:rsid w:val="00857867"/>
    <w:rsid w:val="00857ADA"/>
    <w:rsid w:val="00857C2A"/>
    <w:rsid w:val="00857E92"/>
    <w:rsid w:val="00860359"/>
    <w:rsid w:val="00860465"/>
    <w:rsid w:val="00860642"/>
    <w:rsid w:val="00860828"/>
    <w:rsid w:val="00860E15"/>
    <w:rsid w:val="00861155"/>
    <w:rsid w:val="008614BA"/>
    <w:rsid w:val="00861A0F"/>
    <w:rsid w:val="00863584"/>
    <w:rsid w:val="008639BE"/>
    <w:rsid w:val="008639D1"/>
    <w:rsid w:val="00863F0C"/>
    <w:rsid w:val="008649D7"/>
    <w:rsid w:val="0086505A"/>
    <w:rsid w:val="0086512F"/>
    <w:rsid w:val="008657AB"/>
    <w:rsid w:val="00865A1C"/>
    <w:rsid w:val="00865D75"/>
    <w:rsid w:val="00865E8B"/>
    <w:rsid w:val="0086620B"/>
    <w:rsid w:val="008662D4"/>
    <w:rsid w:val="0086639C"/>
    <w:rsid w:val="00866674"/>
    <w:rsid w:val="00866CAD"/>
    <w:rsid w:val="00866D2A"/>
    <w:rsid w:val="008670C3"/>
    <w:rsid w:val="0086790C"/>
    <w:rsid w:val="00867985"/>
    <w:rsid w:val="00867B7B"/>
    <w:rsid w:val="00867B8E"/>
    <w:rsid w:val="00867E9F"/>
    <w:rsid w:val="008709D7"/>
    <w:rsid w:val="00870AD8"/>
    <w:rsid w:val="008710CD"/>
    <w:rsid w:val="008713CA"/>
    <w:rsid w:val="00871B27"/>
    <w:rsid w:val="00871E44"/>
    <w:rsid w:val="008725EF"/>
    <w:rsid w:val="008727F9"/>
    <w:rsid w:val="00872C5C"/>
    <w:rsid w:val="008736BD"/>
    <w:rsid w:val="008736C4"/>
    <w:rsid w:val="008738B4"/>
    <w:rsid w:val="00874009"/>
    <w:rsid w:val="00874251"/>
    <w:rsid w:val="00874DFF"/>
    <w:rsid w:val="008753D8"/>
    <w:rsid w:val="0087556B"/>
    <w:rsid w:val="00875B4A"/>
    <w:rsid w:val="00875B5E"/>
    <w:rsid w:val="00875F2E"/>
    <w:rsid w:val="008764DC"/>
    <w:rsid w:val="00876961"/>
    <w:rsid w:val="00876987"/>
    <w:rsid w:val="00876C00"/>
    <w:rsid w:val="0087721D"/>
    <w:rsid w:val="0087724E"/>
    <w:rsid w:val="00877577"/>
    <w:rsid w:val="00877956"/>
    <w:rsid w:val="00877993"/>
    <w:rsid w:val="00877A50"/>
    <w:rsid w:val="00877B44"/>
    <w:rsid w:val="00877EB5"/>
    <w:rsid w:val="0088015E"/>
    <w:rsid w:val="00880735"/>
    <w:rsid w:val="00880751"/>
    <w:rsid w:val="0088076E"/>
    <w:rsid w:val="00880774"/>
    <w:rsid w:val="00880AC1"/>
    <w:rsid w:val="00880C0A"/>
    <w:rsid w:val="008812E3"/>
    <w:rsid w:val="00881451"/>
    <w:rsid w:val="008814D2"/>
    <w:rsid w:val="00881823"/>
    <w:rsid w:val="00882471"/>
    <w:rsid w:val="0088264E"/>
    <w:rsid w:val="00882655"/>
    <w:rsid w:val="0088269A"/>
    <w:rsid w:val="00883018"/>
    <w:rsid w:val="0088310A"/>
    <w:rsid w:val="008832BA"/>
    <w:rsid w:val="00883425"/>
    <w:rsid w:val="008839E9"/>
    <w:rsid w:val="0088414F"/>
    <w:rsid w:val="0088419E"/>
    <w:rsid w:val="00884AFC"/>
    <w:rsid w:val="008852D7"/>
    <w:rsid w:val="00885B2C"/>
    <w:rsid w:val="00885C0F"/>
    <w:rsid w:val="00885D2A"/>
    <w:rsid w:val="00885F1E"/>
    <w:rsid w:val="008863B7"/>
    <w:rsid w:val="008868CA"/>
    <w:rsid w:val="00886AAC"/>
    <w:rsid w:val="008870C8"/>
    <w:rsid w:val="00887264"/>
    <w:rsid w:val="00887338"/>
    <w:rsid w:val="00887455"/>
    <w:rsid w:val="00887472"/>
    <w:rsid w:val="008875E7"/>
    <w:rsid w:val="00887699"/>
    <w:rsid w:val="00887E2E"/>
    <w:rsid w:val="008908CE"/>
    <w:rsid w:val="00891A35"/>
    <w:rsid w:val="00891AB2"/>
    <w:rsid w:val="008921B8"/>
    <w:rsid w:val="0089230E"/>
    <w:rsid w:val="00892C75"/>
    <w:rsid w:val="00892CF6"/>
    <w:rsid w:val="008931FE"/>
    <w:rsid w:val="008932BD"/>
    <w:rsid w:val="00893805"/>
    <w:rsid w:val="00893A09"/>
    <w:rsid w:val="00893D07"/>
    <w:rsid w:val="00894214"/>
    <w:rsid w:val="008949C7"/>
    <w:rsid w:val="00895F04"/>
    <w:rsid w:val="0089632A"/>
    <w:rsid w:val="00896D4A"/>
    <w:rsid w:val="00896E26"/>
    <w:rsid w:val="008971AD"/>
    <w:rsid w:val="0089768C"/>
    <w:rsid w:val="00897CF4"/>
    <w:rsid w:val="00897D80"/>
    <w:rsid w:val="00897F50"/>
    <w:rsid w:val="00897F60"/>
    <w:rsid w:val="008A0143"/>
    <w:rsid w:val="008A03F9"/>
    <w:rsid w:val="008A1240"/>
    <w:rsid w:val="008A124F"/>
    <w:rsid w:val="008A1873"/>
    <w:rsid w:val="008A18C4"/>
    <w:rsid w:val="008A1962"/>
    <w:rsid w:val="008A2216"/>
    <w:rsid w:val="008A2684"/>
    <w:rsid w:val="008A2AB9"/>
    <w:rsid w:val="008A2E79"/>
    <w:rsid w:val="008A305A"/>
    <w:rsid w:val="008A30AA"/>
    <w:rsid w:val="008A37A1"/>
    <w:rsid w:val="008A3B01"/>
    <w:rsid w:val="008A3FBB"/>
    <w:rsid w:val="008A4093"/>
    <w:rsid w:val="008A4126"/>
    <w:rsid w:val="008A437F"/>
    <w:rsid w:val="008A488D"/>
    <w:rsid w:val="008A4B7C"/>
    <w:rsid w:val="008A4C5E"/>
    <w:rsid w:val="008A585F"/>
    <w:rsid w:val="008A594E"/>
    <w:rsid w:val="008A59E2"/>
    <w:rsid w:val="008A5F03"/>
    <w:rsid w:val="008A61B8"/>
    <w:rsid w:val="008A6759"/>
    <w:rsid w:val="008A69E5"/>
    <w:rsid w:val="008A6CE7"/>
    <w:rsid w:val="008A7246"/>
    <w:rsid w:val="008B08FB"/>
    <w:rsid w:val="008B0ECC"/>
    <w:rsid w:val="008B12E1"/>
    <w:rsid w:val="008B1324"/>
    <w:rsid w:val="008B14FA"/>
    <w:rsid w:val="008B1923"/>
    <w:rsid w:val="008B1933"/>
    <w:rsid w:val="008B19BB"/>
    <w:rsid w:val="008B1CB7"/>
    <w:rsid w:val="008B1DF7"/>
    <w:rsid w:val="008B1FBB"/>
    <w:rsid w:val="008B2283"/>
    <w:rsid w:val="008B2564"/>
    <w:rsid w:val="008B2BD4"/>
    <w:rsid w:val="008B2DE2"/>
    <w:rsid w:val="008B3356"/>
    <w:rsid w:val="008B3837"/>
    <w:rsid w:val="008B39E9"/>
    <w:rsid w:val="008B3BAB"/>
    <w:rsid w:val="008B4653"/>
    <w:rsid w:val="008B4910"/>
    <w:rsid w:val="008B53EB"/>
    <w:rsid w:val="008B58B0"/>
    <w:rsid w:val="008B5DF3"/>
    <w:rsid w:val="008B6240"/>
    <w:rsid w:val="008B6341"/>
    <w:rsid w:val="008B71E0"/>
    <w:rsid w:val="008C02FD"/>
    <w:rsid w:val="008C055E"/>
    <w:rsid w:val="008C08DB"/>
    <w:rsid w:val="008C0B60"/>
    <w:rsid w:val="008C0E75"/>
    <w:rsid w:val="008C117B"/>
    <w:rsid w:val="008C125B"/>
    <w:rsid w:val="008C1350"/>
    <w:rsid w:val="008C1511"/>
    <w:rsid w:val="008C174C"/>
    <w:rsid w:val="008C1CB5"/>
    <w:rsid w:val="008C210A"/>
    <w:rsid w:val="008C22B9"/>
    <w:rsid w:val="008C292E"/>
    <w:rsid w:val="008C2E82"/>
    <w:rsid w:val="008C3080"/>
    <w:rsid w:val="008C32E9"/>
    <w:rsid w:val="008C37ED"/>
    <w:rsid w:val="008C39E7"/>
    <w:rsid w:val="008C3CD0"/>
    <w:rsid w:val="008C42D7"/>
    <w:rsid w:val="008C4C14"/>
    <w:rsid w:val="008C4E3D"/>
    <w:rsid w:val="008C50FF"/>
    <w:rsid w:val="008C523C"/>
    <w:rsid w:val="008C5435"/>
    <w:rsid w:val="008C5844"/>
    <w:rsid w:val="008C58AA"/>
    <w:rsid w:val="008C5988"/>
    <w:rsid w:val="008C5A7C"/>
    <w:rsid w:val="008C5ACA"/>
    <w:rsid w:val="008C5D99"/>
    <w:rsid w:val="008C63E1"/>
    <w:rsid w:val="008C6C74"/>
    <w:rsid w:val="008C6D9B"/>
    <w:rsid w:val="008C6EA6"/>
    <w:rsid w:val="008C6F62"/>
    <w:rsid w:val="008C77B8"/>
    <w:rsid w:val="008C7909"/>
    <w:rsid w:val="008C7D39"/>
    <w:rsid w:val="008C7FB2"/>
    <w:rsid w:val="008D0453"/>
    <w:rsid w:val="008D1225"/>
    <w:rsid w:val="008D134C"/>
    <w:rsid w:val="008D1893"/>
    <w:rsid w:val="008D1957"/>
    <w:rsid w:val="008D1A83"/>
    <w:rsid w:val="008D1CAD"/>
    <w:rsid w:val="008D2015"/>
    <w:rsid w:val="008D2250"/>
    <w:rsid w:val="008D2E1F"/>
    <w:rsid w:val="008D3191"/>
    <w:rsid w:val="008D3222"/>
    <w:rsid w:val="008D328A"/>
    <w:rsid w:val="008D32CB"/>
    <w:rsid w:val="008D33BE"/>
    <w:rsid w:val="008D380B"/>
    <w:rsid w:val="008D39FA"/>
    <w:rsid w:val="008D3AAB"/>
    <w:rsid w:val="008D3B53"/>
    <w:rsid w:val="008D3BE1"/>
    <w:rsid w:val="008D4001"/>
    <w:rsid w:val="008D4935"/>
    <w:rsid w:val="008D4E46"/>
    <w:rsid w:val="008D50C2"/>
    <w:rsid w:val="008D51DD"/>
    <w:rsid w:val="008D5281"/>
    <w:rsid w:val="008D5C38"/>
    <w:rsid w:val="008D5E3D"/>
    <w:rsid w:val="008D5E70"/>
    <w:rsid w:val="008D675D"/>
    <w:rsid w:val="008D6BEE"/>
    <w:rsid w:val="008D71FB"/>
    <w:rsid w:val="008D727F"/>
    <w:rsid w:val="008D798D"/>
    <w:rsid w:val="008D7A90"/>
    <w:rsid w:val="008E0238"/>
    <w:rsid w:val="008E03AA"/>
    <w:rsid w:val="008E0A61"/>
    <w:rsid w:val="008E0C08"/>
    <w:rsid w:val="008E164A"/>
    <w:rsid w:val="008E20C0"/>
    <w:rsid w:val="008E2282"/>
    <w:rsid w:val="008E27DB"/>
    <w:rsid w:val="008E30DB"/>
    <w:rsid w:val="008E30DD"/>
    <w:rsid w:val="008E316C"/>
    <w:rsid w:val="008E33CD"/>
    <w:rsid w:val="008E38E6"/>
    <w:rsid w:val="008E3FC1"/>
    <w:rsid w:val="008E3FFC"/>
    <w:rsid w:val="008E4315"/>
    <w:rsid w:val="008E491E"/>
    <w:rsid w:val="008E4D18"/>
    <w:rsid w:val="008E4FF4"/>
    <w:rsid w:val="008E5115"/>
    <w:rsid w:val="008E52E5"/>
    <w:rsid w:val="008E531E"/>
    <w:rsid w:val="008E5819"/>
    <w:rsid w:val="008E5CF9"/>
    <w:rsid w:val="008E5ED2"/>
    <w:rsid w:val="008E6020"/>
    <w:rsid w:val="008E63D0"/>
    <w:rsid w:val="008E678F"/>
    <w:rsid w:val="008E6804"/>
    <w:rsid w:val="008E6928"/>
    <w:rsid w:val="008E694F"/>
    <w:rsid w:val="008E6ECA"/>
    <w:rsid w:val="008E6F9D"/>
    <w:rsid w:val="008E72DA"/>
    <w:rsid w:val="008E7417"/>
    <w:rsid w:val="008E74F3"/>
    <w:rsid w:val="008E7DEC"/>
    <w:rsid w:val="008E7F72"/>
    <w:rsid w:val="008F0400"/>
    <w:rsid w:val="008F077D"/>
    <w:rsid w:val="008F079E"/>
    <w:rsid w:val="008F0AC6"/>
    <w:rsid w:val="008F0B2F"/>
    <w:rsid w:val="008F0D25"/>
    <w:rsid w:val="008F129D"/>
    <w:rsid w:val="008F1370"/>
    <w:rsid w:val="008F1546"/>
    <w:rsid w:val="008F1BB9"/>
    <w:rsid w:val="008F1E8A"/>
    <w:rsid w:val="008F1EC3"/>
    <w:rsid w:val="008F2125"/>
    <w:rsid w:val="008F251C"/>
    <w:rsid w:val="008F2779"/>
    <w:rsid w:val="008F2DE6"/>
    <w:rsid w:val="008F3426"/>
    <w:rsid w:val="008F36E2"/>
    <w:rsid w:val="008F3CEA"/>
    <w:rsid w:val="008F3E97"/>
    <w:rsid w:val="008F4361"/>
    <w:rsid w:val="008F47DF"/>
    <w:rsid w:val="008F54BC"/>
    <w:rsid w:val="008F5849"/>
    <w:rsid w:val="008F5DB1"/>
    <w:rsid w:val="008F5DD8"/>
    <w:rsid w:val="008F6053"/>
    <w:rsid w:val="008F66C5"/>
    <w:rsid w:val="008F6A1A"/>
    <w:rsid w:val="008F6AC0"/>
    <w:rsid w:val="008F7142"/>
    <w:rsid w:val="008F736D"/>
    <w:rsid w:val="008F7944"/>
    <w:rsid w:val="008F7A7E"/>
    <w:rsid w:val="00900B56"/>
    <w:rsid w:val="00900E8C"/>
    <w:rsid w:val="00900F2F"/>
    <w:rsid w:val="00901015"/>
    <w:rsid w:val="0090105E"/>
    <w:rsid w:val="009019F9"/>
    <w:rsid w:val="00901EA0"/>
    <w:rsid w:val="009021D6"/>
    <w:rsid w:val="00902A79"/>
    <w:rsid w:val="009035F7"/>
    <w:rsid w:val="009038C0"/>
    <w:rsid w:val="00903DD5"/>
    <w:rsid w:val="009047FA"/>
    <w:rsid w:val="00904964"/>
    <w:rsid w:val="00904B41"/>
    <w:rsid w:val="00904CE2"/>
    <w:rsid w:val="00905001"/>
    <w:rsid w:val="00905040"/>
    <w:rsid w:val="00905541"/>
    <w:rsid w:val="0090563B"/>
    <w:rsid w:val="00905CCC"/>
    <w:rsid w:val="0090600B"/>
    <w:rsid w:val="00906016"/>
    <w:rsid w:val="009060EF"/>
    <w:rsid w:val="009062AE"/>
    <w:rsid w:val="00906380"/>
    <w:rsid w:val="009065E2"/>
    <w:rsid w:val="00906BC3"/>
    <w:rsid w:val="00906E47"/>
    <w:rsid w:val="0090707D"/>
    <w:rsid w:val="009072CA"/>
    <w:rsid w:val="00907816"/>
    <w:rsid w:val="00907B95"/>
    <w:rsid w:val="00907D51"/>
    <w:rsid w:val="0091039D"/>
    <w:rsid w:val="00910568"/>
    <w:rsid w:val="009107FB"/>
    <w:rsid w:val="00910957"/>
    <w:rsid w:val="009109EC"/>
    <w:rsid w:val="00911352"/>
    <w:rsid w:val="00911458"/>
    <w:rsid w:val="009117A5"/>
    <w:rsid w:val="00911952"/>
    <w:rsid w:val="00911B72"/>
    <w:rsid w:val="009120C3"/>
    <w:rsid w:val="0091212D"/>
    <w:rsid w:val="00912166"/>
    <w:rsid w:val="009128A1"/>
    <w:rsid w:val="00913254"/>
    <w:rsid w:val="00913758"/>
    <w:rsid w:val="00913830"/>
    <w:rsid w:val="00913C2B"/>
    <w:rsid w:val="009144A4"/>
    <w:rsid w:val="00914980"/>
    <w:rsid w:val="00914985"/>
    <w:rsid w:val="00915148"/>
    <w:rsid w:val="009152F5"/>
    <w:rsid w:val="0091532A"/>
    <w:rsid w:val="00916185"/>
    <w:rsid w:val="00916C17"/>
    <w:rsid w:val="00916E72"/>
    <w:rsid w:val="00916F98"/>
    <w:rsid w:val="00917314"/>
    <w:rsid w:val="00917512"/>
    <w:rsid w:val="0091765B"/>
    <w:rsid w:val="00917A55"/>
    <w:rsid w:val="0092019D"/>
    <w:rsid w:val="00920234"/>
    <w:rsid w:val="009204D8"/>
    <w:rsid w:val="0092051A"/>
    <w:rsid w:val="00920B56"/>
    <w:rsid w:val="00920CC4"/>
    <w:rsid w:val="009212A7"/>
    <w:rsid w:val="00921319"/>
    <w:rsid w:val="00921DD2"/>
    <w:rsid w:val="00922152"/>
    <w:rsid w:val="00922220"/>
    <w:rsid w:val="009222B0"/>
    <w:rsid w:val="00922432"/>
    <w:rsid w:val="0092258F"/>
    <w:rsid w:val="00922696"/>
    <w:rsid w:val="00922AC5"/>
    <w:rsid w:val="00922D96"/>
    <w:rsid w:val="00923009"/>
    <w:rsid w:val="009236D7"/>
    <w:rsid w:val="009237E9"/>
    <w:rsid w:val="0092398E"/>
    <w:rsid w:val="00923C4F"/>
    <w:rsid w:val="00924322"/>
    <w:rsid w:val="00924424"/>
    <w:rsid w:val="009246BB"/>
    <w:rsid w:val="009247EC"/>
    <w:rsid w:val="0092489B"/>
    <w:rsid w:val="00924A7E"/>
    <w:rsid w:val="00924D70"/>
    <w:rsid w:val="00924EFE"/>
    <w:rsid w:val="00925283"/>
    <w:rsid w:val="0092568A"/>
    <w:rsid w:val="009256E1"/>
    <w:rsid w:val="009257B1"/>
    <w:rsid w:val="009261C3"/>
    <w:rsid w:val="0092674B"/>
    <w:rsid w:val="00926F40"/>
    <w:rsid w:val="00926FD3"/>
    <w:rsid w:val="00927339"/>
    <w:rsid w:val="009274F7"/>
    <w:rsid w:val="009277F2"/>
    <w:rsid w:val="00927B1A"/>
    <w:rsid w:val="00927E56"/>
    <w:rsid w:val="009300B3"/>
    <w:rsid w:val="00930322"/>
    <w:rsid w:val="0093035B"/>
    <w:rsid w:val="0093095F"/>
    <w:rsid w:val="00930A5B"/>
    <w:rsid w:val="00930B5F"/>
    <w:rsid w:val="00930EEB"/>
    <w:rsid w:val="00930F2E"/>
    <w:rsid w:val="009312C8"/>
    <w:rsid w:val="0093132D"/>
    <w:rsid w:val="00931434"/>
    <w:rsid w:val="00931922"/>
    <w:rsid w:val="00931A12"/>
    <w:rsid w:val="00932214"/>
    <w:rsid w:val="00932724"/>
    <w:rsid w:val="009327B8"/>
    <w:rsid w:val="00932C8B"/>
    <w:rsid w:val="00932EFC"/>
    <w:rsid w:val="00932FFA"/>
    <w:rsid w:val="009331E5"/>
    <w:rsid w:val="00933AC3"/>
    <w:rsid w:val="00933BD2"/>
    <w:rsid w:val="00933CF1"/>
    <w:rsid w:val="00934A86"/>
    <w:rsid w:val="00934A8E"/>
    <w:rsid w:val="00935394"/>
    <w:rsid w:val="009355F5"/>
    <w:rsid w:val="00935868"/>
    <w:rsid w:val="009367A2"/>
    <w:rsid w:val="0093737C"/>
    <w:rsid w:val="0093767E"/>
    <w:rsid w:val="00937CC7"/>
    <w:rsid w:val="00940265"/>
    <w:rsid w:val="009404C4"/>
    <w:rsid w:val="00940D98"/>
    <w:rsid w:val="00941123"/>
    <w:rsid w:val="0094118D"/>
    <w:rsid w:val="0094151C"/>
    <w:rsid w:val="009415DA"/>
    <w:rsid w:val="0094163A"/>
    <w:rsid w:val="00941677"/>
    <w:rsid w:val="00941754"/>
    <w:rsid w:val="00941DCB"/>
    <w:rsid w:val="009420F1"/>
    <w:rsid w:val="00942831"/>
    <w:rsid w:val="00942DD4"/>
    <w:rsid w:val="00943B0E"/>
    <w:rsid w:val="00943F18"/>
    <w:rsid w:val="00944724"/>
    <w:rsid w:val="00944A0D"/>
    <w:rsid w:val="00944B6A"/>
    <w:rsid w:val="00944F49"/>
    <w:rsid w:val="0094532F"/>
    <w:rsid w:val="0094544F"/>
    <w:rsid w:val="00946878"/>
    <w:rsid w:val="00946A9F"/>
    <w:rsid w:val="00946F3A"/>
    <w:rsid w:val="009475B2"/>
    <w:rsid w:val="0095024B"/>
    <w:rsid w:val="0095052C"/>
    <w:rsid w:val="00950680"/>
    <w:rsid w:val="00950A9E"/>
    <w:rsid w:val="00950D90"/>
    <w:rsid w:val="0095109A"/>
    <w:rsid w:val="009512AD"/>
    <w:rsid w:val="009515C1"/>
    <w:rsid w:val="0095197F"/>
    <w:rsid w:val="00951AE7"/>
    <w:rsid w:val="00951C71"/>
    <w:rsid w:val="00951F6B"/>
    <w:rsid w:val="00951FF3"/>
    <w:rsid w:val="00952671"/>
    <w:rsid w:val="00952C47"/>
    <w:rsid w:val="00952D43"/>
    <w:rsid w:val="00952E45"/>
    <w:rsid w:val="0095305A"/>
    <w:rsid w:val="00953073"/>
    <w:rsid w:val="009532E5"/>
    <w:rsid w:val="009533A7"/>
    <w:rsid w:val="009537F4"/>
    <w:rsid w:val="009539F9"/>
    <w:rsid w:val="00953CB2"/>
    <w:rsid w:val="00953FE2"/>
    <w:rsid w:val="009541DA"/>
    <w:rsid w:val="009542CA"/>
    <w:rsid w:val="009543AC"/>
    <w:rsid w:val="009543EC"/>
    <w:rsid w:val="00954BD3"/>
    <w:rsid w:val="00955208"/>
    <w:rsid w:val="0095523F"/>
    <w:rsid w:val="0095529E"/>
    <w:rsid w:val="0095577C"/>
    <w:rsid w:val="0095621A"/>
    <w:rsid w:val="00956803"/>
    <w:rsid w:val="00956878"/>
    <w:rsid w:val="00956EA8"/>
    <w:rsid w:val="00956F02"/>
    <w:rsid w:val="009573A2"/>
    <w:rsid w:val="00957617"/>
    <w:rsid w:val="009577BB"/>
    <w:rsid w:val="0095790F"/>
    <w:rsid w:val="0095792B"/>
    <w:rsid w:val="00957B18"/>
    <w:rsid w:val="00957F87"/>
    <w:rsid w:val="00960574"/>
    <w:rsid w:val="0096057F"/>
    <w:rsid w:val="009606A8"/>
    <w:rsid w:val="00960721"/>
    <w:rsid w:val="0096085A"/>
    <w:rsid w:val="00960A59"/>
    <w:rsid w:val="00960FD7"/>
    <w:rsid w:val="0096110E"/>
    <w:rsid w:val="00961F85"/>
    <w:rsid w:val="009625BB"/>
    <w:rsid w:val="0096264B"/>
    <w:rsid w:val="00962838"/>
    <w:rsid w:val="0096297C"/>
    <w:rsid w:val="00962CBC"/>
    <w:rsid w:val="00962FB1"/>
    <w:rsid w:val="00963259"/>
    <w:rsid w:val="00963EFC"/>
    <w:rsid w:val="00964171"/>
    <w:rsid w:val="00964325"/>
    <w:rsid w:val="009645FA"/>
    <w:rsid w:val="00964D59"/>
    <w:rsid w:val="00964D92"/>
    <w:rsid w:val="009650EE"/>
    <w:rsid w:val="00965A15"/>
    <w:rsid w:val="00965D87"/>
    <w:rsid w:val="00966237"/>
    <w:rsid w:val="0096655C"/>
    <w:rsid w:val="00966B27"/>
    <w:rsid w:val="009670B3"/>
    <w:rsid w:val="0096718B"/>
    <w:rsid w:val="0096724B"/>
    <w:rsid w:val="009679F8"/>
    <w:rsid w:val="00967B7F"/>
    <w:rsid w:val="0097018A"/>
    <w:rsid w:val="00970923"/>
    <w:rsid w:val="00970EEF"/>
    <w:rsid w:val="0097111D"/>
    <w:rsid w:val="009716A2"/>
    <w:rsid w:val="009716C8"/>
    <w:rsid w:val="00971918"/>
    <w:rsid w:val="009719F9"/>
    <w:rsid w:val="009721DB"/>
    <w:rsid w:val="00972291"/>
    <w:rsid w:val="009728A4"/>
    <w:rsid w:val="0097327D"/>
    <w:rsid w:val="0097386E"/>
    <w:rsid w:val="009739DC"/>
    <w:rsid w:val="00973BC4"/>
    <w:rsid w:val="00973EB4"/>
    <w:rsid w:val="00974708"/>
    <w:rsid w:val="009748F9"/>
    <w:rsid w:val="00974BF5"/>
    <w:rsid w:val="009750E4"/>
    <w:rsid w:val="009758DF"/>
    <w:rsid w:val="00975960"/>
    <w:rsid w:val="00975A1E"/>
    <w:rsid w:val="00975A4D"/>
    <w:rsid w:val="00976330"/>
    <w:rsid w:val="009766FF"/>
    <w:rsid w:val="00976B76"/>
    <w:rsid w:val="009770F2"/>
    <w:rsid w:val="0097757E"/>
    <w:rsid w:val="009776E6"/>
    <w:rsid w:val="00977B7C"/>
    <w:rsid w:val="00980437"/>
    <w:rsid w:val="0098044F"/>
    <w:rsid w:val="0098100E"/>
    <w:rsid w:val="00982BED"/>
    <w:rsid w:val="0098334F"/>
    <w:rsid w:val="00983782"/>
    <w:rsid w:val="00983796"/>
    <w:rsid w:val="00983E5E"/>
    <w:rsid w:val="00984B33"/>
    <w:rsid w:val="00984EB4"/>
    <w:rsid w:val="009850DB"/>
    <w:rsid w:val="00985326"/>
    <w:rsid w:val="009855C4"/>
    <w:rsid w:val="00985F86"/>
    <w:rsid w:val="00986466"/>
    <w:rsid w:val="009865F1"/>
    <w:rsid w:val="00987610"/>
    <w:rsid w:val="009876E9"/>
    <w:rsid w:val="0098788B"/>
    <w:rsid w:val="00987AEF"/>
    <w:rsid w:val="00987B7C"/>
    <w:rsid w:val="00987E10"/>
    <w:rsid w:val="00990207"/>
    <w:rsid w:val="00990446"/>
    <w:rsid w:val="0099057E"/>
    <w:rsid w:val="009907D8"/>
    <w:rsid w:val="0099088E"/>
    <w:rsid w:val="00990B5B"/>
    <w:rsid w:val="00990CFF"/>
    <w:rsid w:val="00990F1E"/>
    <w:rsid w:val="00990FD7"/>
    <w:rsid w:val="009911D5"/>
    <w:rsid w:val="00991345"/>
    <w:rsid w:val="00991630"/>
    <w:rsid w:val="00991F7E"/>
    <w:rsid w:val="009921F6"/>
    <w:rsid w:val="0099221B"/>
    <w:rsid w:val="0099244B"/>
    <w:rsid w:val="00992E4E"/>
    <w:rsid w:val="00993004"/>
    <w:rsid w:val="00993452"/>
    <w:rsid w:val="00993698"/>
    <w:rsid w:val="009938DB"/>
    <w:rsid w:val="00993FAD"/>
    <w:rsid w:val="0099446B"/>
    <w:rsid w:val="009949BE"/>
    <w:rsid w:val="00994ED8"/>
    <w:rsid w:val="0099502E"/>
    <w:rsid w:val="00995493"/>
    <w:rsid w:val="00995C9B"/>
    <w:rsid w:val="00995DB5"/>
    <w:rsid w:val="00995EDF"/>
    <w:rsid w:val="00996184"/>
    <w:rsid w:val="0099645E"/>
    <w:rsid w:val="0099659E"/>
    <w:rsid w:val="00996644"/>
    <w:rsid w:val="009967C6"/>
    <w:rsid w:val="00996A8B"/>
    <w:rsid w:val="00996AA1"/>
    <w:rsid w:val="00996AE3"/>
    <w:rsid w:val="00996C63"/>
    <w:rsid w:val="00996E08"/>
    <w:rsid w:val="00997350"/>
    <w:rsid w:val="009973F8"/>
    <w:rsid w:val="0099747C"/>
    <w:rsid w:val="00997632"/>
    <w:rsid w:val="00997B43"/>
    <w:rsid w:val="009A00C9"/>
    <w:rsid w:val="009A097F"/>
    <w:rsid w:val="009A0981"/>
    <w:rsid w:val="009A0A8B"/>
    <w:rsid w:val="009A0DFD"/>
    <w:rsid w:val="009A0ED2"/>
    <w:rsid w:val="009A1051"/>
    <w:rsid w:val="009A117E"/>
    <w:rsid w:val="009A13D8"/>
    <w:rsid w:val="009A2395"/>
    <w:rsid w:val="009A2479"/>
    <w:rsid w:val="009A2C16"/>
    <w:rsid w:val="009A3787"/>
    <w:rsid w:val="009A3E98"/>
    <w:rsid w:val="009A4F8D"/>
    <w:rsid w:val="009A50CC"/>
    <w:rsid w:val="009A514D"/>
    <w:rsid w:val="009A567F"/>
    <w:rsid w:val="009A5F62"/>
    <w:rsid w:val="009A5FAF"/>
    <w:rsid w:val="009A6223"/>
    <w:rsid w:val="009A623C"/>
    <w:rsid w:val="009A6568"/>
    <w:rsid w:val="009A66E5"/>
    <w:rsid w:val="009A6874"/>
    <w:rsid w:val="009A6A00"/>
    <w:rsid w:val="009A7105"/>
    <w:rsid w:val="009A7205"/>
    <w:rsid w:val="009A75F7"/>
    <w:rsid w:val="009A780C"/>
    <w:rsid w:val="009A782A"/>
    <w:rsid w:val="009A7BA5"/>
    <w:rsid w:val="009A7F82"/>
    <w:rsid w:val="009A7FBF"/>
    <w:rsid w:val="009B06B6"/>
    <w:rsid w:val="009B0783"/>
    <w:rsid w:val="009B0AAF"/>
    <w:rsid w:val="009B0EC7"/>
    <w:rsid w:val="009B1AAA"/>
    <w:rsid w:val="009B1AE8"/>
    <w:rsid w:val="009B1BF4"/>
    <w:rsid w:val="009B2622"/>
    <w:rsid w:val="009B33BB"/>
    <w:rsid w:val="009B3C18"/>
    <w:rsid w:val="009B3CD4"/>
    <w:rsid w:val="009B402C"/>
    <w:rsid w:val="009B442C"/>
    <w:rsid w:val="009B4ED1"/>
    <w:rsid w:val="009B505A"/>
    <w:rsid w:val="009B5083"/>
    <w:rsid w:val="009B5243"/>
    <w:rsid w:val="009B538A"/>
    <w:rsid w:val="009B57C6"/>
    <w:rsid w:val="009B5AE2"/>
    <w:rsid w:val="009B6062"/>
    <w:rsid w:val="009B6188"/>
    <w:rsid w:val="009B66E6"/>
    <w:rsid w:val="009B6BC3"/>
    <w:rsid w:val="009B7111"/>
    <w:rsid w:val="009B7A1F"/>
    <w:rsid w:val="009B7A7A"/>
    <w:rsid w:val="009B7D4E"/>
    <w:rsid w:val="009C006C"/>
    <w:rsid w:val="009C011C"/>
    <w:rsid w:val="009C02BE"/>
    <w:rsid w:val="009C0311"/>
    <w:rsid w:val="009C0EC6"/>
    <w:rsid w:val="009C1846"/>
    <w:rsid w:val="009C194F"/>
    <w:rsid w:val="009C1AE2"/>
    <w:rsid w:val="009C228D"/>
    <w:rsid w:val="009C2A53"/>
    <w:rsid w:val="009C2B3E"/>
    <w:rsid w:val="009C2B61"/>
    <w:rsid w:val="009C2CF5"/>
    <w:rsid w:val="009C2DA5"/>
    <w:rsid w:val="009C318E"/>
    <w:rsid w:val="009C33F4"/>
    <w:rsid w:val="009C360D"/>
    <w:rsid w:val="009C3A29"/>
    <w:rsid w:val="009C3BB0"/>
    <w:rsid w:val="009C3BB6"/>
    <w:rsid w:val="009C3EB0"/>
    <w:rsid w:val="009C45A5"/>
    <w:rsid w:val="009C46B6"/>
    <w:rsid w:val="009C4AAD"/>
    <w:rsid w:val="009C5179"/>
    <w:rsid w:val="009C57D1"/>
    <w:rsid w:val="009C590A"/>
    <w:rsid w:val="009C5FFD"/>
    <w:rsid w:val="009C626A"/>
    <w:rsid w:val="009C62F9"/>
    <w:rsid w:val="009C64AE"/>
    <w:rsid w:val="009D049B"/>
    <w:rsid w:val="009D0512"/>
    <w:rsid w:val="009D06C7"/>
    <w:rsid w:val="009D0930"/>
    <w:rsid w:val="009D0EBC"/>
    <w:rsid w:val="009D11C8"/>
    <w:rsid w:val="009D14C7"/>
    <w:rsid w:val="009D18DD"/>
    <w:rsid w:val="009D1B7B"/>
    <w:rsid w:val="009D1D2C"/>
    <w:rsid w:val="009D20AB"/>
    <w:rsid w:val="009D24DB"/>
    <w:rsid w:val="009D3288"/>
    <w:rsid w:val="009D34D3"/>
    <w:rsid w:val="009D35D2"/>
    <w:rsid w:val="009D3AA8"/>
    <w:rsid w:val="009D3EAA"/>
    <w:rsid w:val="009D3EDF"/>
    <w:rsid w:val="009D4048"/>
    <w:rsid w:val="009D41B1"/>
    <w:rsid w:val="009D425D"/>
    <w:rsid w:val="009D447D"/>
    <w:rsid w:val="009D4C62"/>
    <w:rsid w:val="009D4EF0"/>
    <w:rsid w:val="009D5277"/>
    <w:rsid w:val="009D5A3B"/>
    <w:rsid w:val="009D60AF"/>
    <w:rsid w:val="009D6299"/>
    <w:rsid w:val="009D6507"/>
    <w:rsid w:val="009D6590"/>
    <w:rsid w:val="009D66DA"/>
    <w:rsid w:val="009D6F53"/>
    <w:rsid w:val="009D6F56"/>
    <w:rsid w:val="009D7011"/>
    <w:rsid w:val="009D7AE1"/>
    <w:rsid w:val="009D7B11"/>
    <w:rsid w:val="009D7C1D"/>
    <w:rsid w:val="009E001B"/>
    <w:rsid w:val="009E0DB1"/>
    <w:rsid w:val="009E110A"/>
    <w:rsid w:val="009E11FE"/>
    <w:rsid w:val="009E150B"/>
    <w:rsid w:val="009E16D0"/>
    <w:rsid w:val="009E1CEA"/>
    <w:rsid w:val="009E1FD9"/>
    <w:rsid w:val="009E26E3"/>
    <w:rsid w:val="009E287E"/>
    <w:rsid w:val="009E28B3"/>
    <w:rsid w:val="009E32E9"/>
    <w:rsid w:val="009E35B6"/>
    <w:rsid w:val="009E367A"/>
    <w:rsid w:val="009E36F4"/>
    <w:rsid w:val="009E3BB1"/>
    <w:rsid w:val="009E3D9D"/>
    <w:rsid w:val="009E3ED8"/>
    <w:rsid w:val="009E3F4A"/>
    <w:rsid w:val="009E41D3"/>
    <w:rsid w:val="009E4CDD"/>
    <w:rsid w:val="009E519E"/>
    <w:rsid w:val="009E5579"/>
    <w:rsid w:val="009E56F7"/>
    <w:rsid w:val="009E5D73"/>
    <w:rsid w:val="009E5DA1"/>
    <w:rsid w:val="009E5E58"/>
    <w:rsid w:val="009E5F7E"/>
    <w:rsid w:val="009E62B1"/>
    <w:rsid w:val="009E6F17"/>
    <w:rsid w:val="009E7593"/>
    <w:rsid w:val="009E7617"/>
    <w:rsid w:val="009E795A"/>
    <w:rsid w:val="009E7BE7"/>
    <w:rsid w:val="009E7DBB"/>
    <w:rsid w:val="009F00E2"/>
    <w:rsid w:val="009F0514"/>
    <w:rsid w:val="009F09D5"/>
    <w:rsid w:val="009F0E5B"/>
    <w:rsid w:val="009F0FD1"/>
    <w:rsid w:val="009F1053"/>
    <w:rsid w:val="009F1C50"/>
    <w:rsid w:val="009F2D27"/>
    <w:rsid w:val="009F2D38"/>
    <w:rsid w:val="009F3564"/>
    <w:rsid w:val="009F3DEA"/>
    <w:rsid w:val="009F5D43"/>
    <w:rsid w:val="009F6300"/>
    <w:rsid w:val="009F6773"/>
    <w:rsid w:val="009F68FF"/>
    <w:rsid w:val="009F6B47"/>
    <w:rsid w:val="009F6B88"/>
    <w:rsid w:val="009F6BFC"/>
    <w:rsid w:val="009F6F96"/>
    <w:rsid w:val="009F700F"/>
    <w:rsid w:val="009F7326"/>
    <w:rsid w:val="009F793E"/>
    <w:rsid w:val="00A00113"/>
    <w:rsid w:val="00A00192"/>
    <w:rsid w:val="00A00333"/>
    <w:rsid w:val="00A00800"/>
    <w:rsid w:val="00A00ADA"/>
    <w:rsid w:val="00A00E3C"/>
    <w:rsid w:val="00A00EC8"/>
    <w:rsid w:val="00A015FC"/>
    <w:rsid w:val="00A01CCD"/>
    <w:rsid w:val="00A01CE6"/>
    <w:rsid w:val="00A01DD5"/>
    <w:rsid w:val="00A0208F"/>
    <w:rsid w:val="00A02309"/>
    <w:rsid w:val="00A02664"/>
    <w:rsid w:val="00A02815"/>
    <w:rsid w:val="00A0298F"/>
    <w:rsid w:val="00A02B42"/>
    <w:rsid w:val="00A02E8B"/>
    <w:rsid w:val="00A02F78"/>
    <w:rsid w:val="00A03076"/>
    <w:rsid w:val="00A03199"/>
    <w:rsid w:val="00A03981"/>
    <w:rsid w:val="00A03B76"/>
    <w:rsid w:val="00A03BF8"/>
    <w:rsid w:val="00A040F0"/>
    <w:rsid w:val="00A0417A"/>
    <w:rsid w:val="00A04342"/>
    <w:rsid w:val="00A04828"/>
    <w:rsid w:val="00A0493F"/>
    <w:rsid w:val="00A04DCC"/>
    <w:rsid w:val="00A0500F"/>
    <w:rsid w:val="00A056F5"/>
    <w:rsid w:val="00A05C68"/>
    <w:rsid w:val="00A05D62"/>
    <w:rsid w:val="00A062BF"/>
    <w:rsid w:val="00A066D7"/>
    <w:rsid w:val="00A0685F"/>
    <w:rsid w:val="00A06B56"/>
    <w:rsid w:val="00A07063"/>
    <w:rsid w:val="00A0779F"/>
    <w:rsid w:val="00A077C6"/>
    <w:rsid w:val="00A0786C"/>
    <w:rsid w:val="00A07BB2"/>
    <w:rsid w:val="00A07BF6"/>
    <w:rsid w:val="00A10020"/>
    <w:rsid w:val="00A1015A"/>
    <w:rsid w:val="00A1098D"/>
    <w:rsid w:val="00A109AF"/>
    <w:rsid w:val="00A109E7"/>
    <w:rsid w:val="00A10CC0"/>
    <w:rsid w:val="00A11636"/>
    <w:rsid w:val="00A1183F"/>
    <w:rsid w:val="00A11A0E"/>
    <w:rsid w:val="00A11CE5"/>
    <w:rsid w:val="00A121EE"/>
    <w:rsid w:val="00A12795"/>
    <w:rsid w:val="00A12D33"/>
    <w:rsid w:val="00A134B3"/>
    <w:rsid w:val="00A134E3"/>
    <w:rsid w:val="00A137E1"/>
    <w:rsid w:val="00A138ED"/>
    <w:rsid w:val="00A13904"/>
    <w:rsid w:val="00A13A28"/>
    <w:rsid w:val="00A1400C"/>
    <w:rsid w:val="00A1401F"/>
    <w:rsid w:val="00A14351"/>
    <w:rsid w:val="00A143AC"/>
    <w:rsid w:val="00A14814"/>
    <w:rsid w:val="00A15311"/>
    <w:rsid w:val="00A15955"/>
    <w:rsid w:val="00A15CDC"/>
    <w:rsid w:val="00A163BD"/>
    <w:rsid w:val="00A16DB0"/>
    <w:rsid w:val="00A16F9F"/>
    <w:rsid w:val="00A170DE"/>
    <w:rsid w:val="00A171E4"/>
    <w:rsid w:val="00A17755"/>
    <w:rsid w:val="00A178B8"/>
    <w:rsid w:val="00A17A1B"/>
    <w:rsid w:val="00A20652"/>
    <w:rsid w:val="00A207A1"/>
    <w:rsid w:val="00A209EA"/>
    <w:rsid w:val="00A21177"/>
    <w:rsid w:val="00A213D0"/>
    <w:rsid w:val="00A21660"/>
    <w:rsid w:val="00A2178E"/>
    <w:rsid w:val="00A21DA3"/>
    <w:rsid w:val="00A22037"/>
    <w:rsid w:val="00A22071"/>
    <w:rsid w:val="00A220B1"/>
    <w:rsid w:val="00A22C74"/>
    <w:rsid w:val="00A22D64"/>
    <w:rsid w:val="00A23C3F"/>
    <w:rsid w:val="00A23C80"/>
    <w:rsid w:val="00A23EE1"/>
    <w:rsid w:val="00A24574"/>
    <w:rsid w:val="00A24AF6"/>
    <w:rsid w:val="00A24B0B"/>
    <w:rsid w:val="00A25004"/>
    <w:rsid w:val="00A254EE"/>
    <w:rsid w:val="00A25A04"/>
    <w:rsid w:val="00A25CDA"/>
    <w:rsid w:val="00A26CAE"/>
    <w:rsid w:val="00A271E9"/>
    <w:rsid w:val="00A274F9"/>
    <w:rsid w:val="00A2772B"/>
    <w:rsid w:val="00A30548"/>
    <w:rsid w:val="00A3057E"/>
    <w:rsid w:val="00A30AA7"/>
    <w:rsid w:val="00A30DA3"/>
    <w:rsid w:val="00A30FE1"/>
    <w:rsid w:val="00A3129B"/>
    <w:rsid w:val="00A3151B"/>
    <w:rsid w:val="00A31BA6"/>
    <w:rsid w:val="00A32A66"/>
    <w:rsid w:val="00A32AF3"/>
    <w:rsid w:val="00A32E8A"/>
    <w:rsid w:val="00A331F8"/>
    <w:rsid w:val="00A33747"/>
    <w:rsid w:val="00A3381B"/>
    <w:rsid w:val="00A33B75"/>
    <w:rsid w:val="00A33CD8"/>
    <w:rsid w:val="00A35042"/>
    <w:rsid w:val="00A35B5B"/>
    <w:rsid w:val="00A35FB8"/>
    <w:rsid w:val="00A362D9"/>
    <w:rsid w:val="00A3633D"/>
    <w:rsid w:val="00A36467"/>
    <w:rsid w:val="00A36836"/>
    <w:rsid w:val="00A36CC7"/>
    <w:rsid w:val="00A36EC8"/>
    <w:rsid w:val="00A36FA9"/>
    <w:rsid w:val="00A3717E"/>
    <w:rsid w:val="00A40D47"/>
    <w:rsid w:val="00A40E2E"/>
    <w:rsid w:val="00A4231A"/>
    <w:rsid w:val="00A4279A"/>
    <w:rsid w:val="00A427D2"/>
    <w:rsid w:val="00A42A89"/>
    <w:rsid w:val="00A42E80"/>
    <w:rsid w:val="00A42EFE"/>
    <w:rsid w:val="00A4342F"/>
    <w:rsid w:val="00A434E6"/>
    <w:rsid w:val="00A43EE3"/>
    <w:rsid w:val="00A43F38"/>
    <w:rsid w:val="00A4423C"/>
    <w:rsid w:val="00A442FC"/>
    <w:rsid w:val="00A4430C"/>
    <w:rsid w:val="00A444A7"/>
    <w:rsid w:val="00A44522"/>
    <w:rsid w:val="00A4473F"/>
    <w:rsid w:val="00A453AF"/>
    <w:rsid w:val="00A45D98"/>
    <w:rsid w:val="00A46296"/>
    <w:rsid w:val="00A465B4"/>
    <w:rsid w:val="00A46985"/>
    <w:rsid w:val="00A46A66"/>
    <w:rsid w:val="00A476BA"/>
    <w:rsid w:val="00A47882"/>
    <w:rsid w:val="00A4798B"/>
    <w:rsid w:val="00A47A42"/>
    <w:rsid w:val="00A47A8E"/>
    <w:rsid w:val="00A47AD5"/>
    <w:rsid w:val="00A47C19"/>
    <w:rsid w:val="00A501A1"/>
    <w:rsid w:val="00A501A3"/>
    <w:rsid w:val="00A5068B"/>
    <w:rsid w:val="00A5083E"/>
    <w:rsid w:val="00A5131A"/>
    <w:rsid w:val="00A516FD"/>
    <w:rsid w:val="00A5176E"/>
    <w:rsid w:val="00A51C98"/>
    <w:rsid w:val="00A520C1"/>
    <w:rsid w:val="00A52458"/>
    <w:rsid w:val="00A52671"/>
    <w:rsid w:val="00A5270B"/>
    <w:rsid w:val="00A5276C"/>
    <w:rsid w:val="00A5330C"/>
    <w:rsid w:val="00A5331C"/>
    <w:rsid w:val="00A53766"/>
    <w:rsid w:val="00A53D75"/>
    <w:rsid w:val="00A53EDE"/>
    <w:rsid w:val="00A540F3"/>
    <w:rsid w:val="00A54A8E"/>
    <w:rsid w:val="00A54A96"/>
    <w:rsid w:val="00A56044"/>
    <w:rsid w:val="00A561C7"/>
    <w:rsid w:val="00A564FB"/>
    <w:rsid w:val="00A567E4"/>
    <w:rsid w:val="00A569E6"/>
    <w:rsid w:val="00A56A8D"/>
    <w:rsid w:val="00A570E7"/>
    <w:rsid w:val="00A575DC"/>
    <w:rsid w:val="00A57828"/>
    <w:rsid w:val="00A57F52"/>
    <w:rsid w:val="00A57FA2"/>
    <w:rsid w:val="00A615D4"/>
    <w:rsid w:val="00A61626"/>
    <w:rsid w:val="00A6167F"/>
    <w:rsid w:val="00A61C2A"/>
    <w:rsid w:val="00A61D3F"/>
    <w:rsid w:val="00A627E9"/>
    <w:rsid w:val="00A62810"/>
    <w:rsid w:val="00A628A3"/>
    <w:rsid w:val="00A62AA4"/>
    <w:rsid w:val="00A62B1E"/>
    <w:rsid w:val="00A6347A"/>
    <w:rsid w:val="00A635A3"/>
    <w:rsid w:val="00A637F1"/>
    <w:rsid w:val="00A638A3"/>
    <w:rsid w:val="00A63FCD"/>
    <w:rsid w:val="00A64396"/>
    <w:rsid w:val="00A659C0"/>
    <w:rsid w:val="00A65CDB"/>
    <w:rsid w:val="00A66676"/>
    <w:rsid w:val="00A66DD3"/>
    <w:rsid w:val="00A67259"/>
    <w:rsid w:val="00A6765A"/>
    <w:rsid w:val="00A676F0"/>
    <w:rsid w:val="00A67F8A"/>
    <w:rsid w:val="00A7014B"/>
    <w:rsid w:val="00A704F3"/>
    <w:rsid w:val="00A70A91"/>
    <w:rsid w:val="00A71413"/>
    <w:rsid w:val="00A71461"/>
    <w:rsid w:val="00A717FC"/>
    <w:rsid w:val="00A71C6D"/>
    <w:rsid w:val="00A720EA"/>
    <w:rsid w:val="00A72364"/>
    <w:rsid w:val="00A72503"/>
    <w:rsid w:val="00A725D6"/>
    <w:rsid w:val="00A72990"/>
    <w:rsid w:val="00A72D93"/>
    <w:rsid w:val="00A7330A"/>
    <w:rsid w:val="00A73765"/>
    <w:rsid w:val="00A73A11"/>
    <w:rsid w:val="00A73BB3"/>
    <w:rsid w:val="00A74079"/>
    <w:rsid w:val="00A7475B"/>
    <w:rsid w:val="00A74AC4"/>
    <w:rsid w:val="00A74D1A"/>
    <w:rsid w:val="00A74F87"/>
    <w:rsid w:val="00A75482"/>
    <w:rsid w:val="00A76CE4"/>
    <w:rsid w:val="00A77595"/>
    <w:rsid w:val="00A77BF7"/>
    <w:rsid w:val="00A77C4D"/>
    <w:rsid w:val="00A77D28"/>
    <w:rsid w:val="00A77EC9"/>
    <w:rsid w:val="00A8015A"/>
    <w:rsid w:val="00A8018D"/>
    <w:rsid w:val="00A80450"/>
    <w:rsid w:val="00A80BE7"/>
    <w:rsid w:val="00A80C16"/>
    <w:rsid w:val="00A80DFB"/>
    <w:rsid w:val="00A81235"/>
    <w:rsid w:val="00A81510"/>
    <w:rsid w:val="00A81802"/>
    <w:rsid w:val="00A81FB5"/>
    <w:rsid w:val="00A823CA"/>
    <w:rsid w:val="00A8250F"/>
    <w:rsid w:val="00A8276C"/>
    <w:rsid w:val="00A8278E"/>
    <w:rsid w:val="00A83094"/>
    <w:rsid w:val="00A8315D"/>
    <w:rsid w:val="00A8344B"/>
    <w:rsid w:val="00A83732"/>
    <w:rsid w:val="00A83781"/>
    <w:rsid w:val="00A8387B"/>
    <w:rsid w:val="00A8393E"/>
    <w:rsid w:val="00A839DB"/>
    <w:rsid w:val="00A83DA5"/>
    <w:rsid w:val="00A83F89"/>
    <w:rsid w:val="00A84038"/>
    <w:rsid w:val="00A840C4"/>
    <w:rsid w:val="00A84345"/>
    <w:rsid w:val="00A84539"/>
    <w:rsid w:val="00A847A7"/>
    <w:rsid w:val="00A84A75"/>
    <w:rsid w:val="00A8507F"/>
    <w:rsid w:val="00A8532D"/>
    <w:rsid w:val="00A854C2"/>
    <w:rsid w:val="00A85569"/>
    <w:rsid w:val="00A85952"/>
    <w:rsid w:val="00A85D12"/>
    <w:rsid w:val="00A85D79"/>
    <w:rsid w:val="00A85E10"/>
    <w:rsid w:val="00A85FEC"/>
    <w:rsid w:val="00A86A3E"/>
    <w:rsid w:val="00A86B45"/>
    <w:rsid w:val="00A86BBF"/>
    <w:rsid w:val="00A86DF6"/>
    <w:rsid w:val="00A872C0"/>
    <w:rsid w:val="00A872D7"/>
    <w:rsid w:val="00A8730C"/>
    <w:rsid w:val="00A87430"/>
    <w:rsid w:val="00A87A77"/>
    <w:rsid w:val="00A87D1C"/>
    <w:rsid w:val="00A90655"/>
    <w:rsid w:val="00A913B7"/>
    <w:rsid w:val="00A9192E"/>
    <w:rsid w:val="00A91F69"/>
    <w:rsid w:val="00A91FDA"/>
    <w:rsid w:val="00A9202D"/>
    <w:rsid w:val="00A9211A"/>
    <w:rsid w:val="00A9246A"/>
    <w:rsid w:val="00A927EE"/>
    <w:rsid w:val="00A92AA9"/>
    <w:rsid w:val="00A92AE5"/>
    <w:rsid w:val="00A92B29"/>
    <w:rsid w:val="00A92CAC"/>
    <w:rsid w:val="00A92D68"/>
    <w:rsid w:val="00A92F65"/>
    <w:rsid w:val="00A933AE"/>
    <w:rsid w:val="00A9393D"/>
    <w:rsid w:val="00A93968"/>
    <w:rsid w:val="00A93C63"/>
    <w:rsid w:val="00A94512"/>
    <w:rsid w:val="00A94618"/>
    <w:rsid w:val="00A9492E"/>
    <w:rsid w:val="00A9534E"/>
    <w:rsid w:val="00A95502"/>
    <w:rsid w:val="00A957C6"/>
    <w:rsid w:val="00A95B69"/>
    <w:rsid w:val="00A95E32"/>
    <w:rsid w:val="00A9603C"/>
    <w:rsid w:val="00A96CF4"/>
    <w:rsid w:val="00A970C2"/>
    <w:rsid w:val="00A97630"/>
    <w:rsid w:val="00A976E7"/>
    <w:rsid w:val="00A977D8"/>
    <w:rsid w:val="00AA081C"/>
    <w:rsid w:val="00AA0BA3"/>
    <w:rsid w:val="00AA1502"/>
    <w:rsid w:val="00AA1D25"/>
    <w:rsid w:val="00AA24F3"/>
    <w:rsid w:val="00AA266A"/>
    <w:rsid w:val="00AA2F7A"/>
    <w:rsid w:val="00AA32AF"/>
    <w:rsid w:val="00AA32D9"/>
    <w:rsid w:val="00AA32FF"/>
    <w:rsid w:val="00AA35DD"/>
    <w:rsid w:val="00AA3D1A"/>
    <w:rsid w:val="00AA433B"/>
    <w:rsid w:val="00AA4927"/>
    <w:rsid w:val="00AA4935"/>
    <w:rsid w:val="00AA4F19"/>
    <w:rsid w:val="00AA58E1"/>
    <w:rsid w:val="00AA5CB4"/>
    <w:rsid w:val="00AA5E3B"/>
    <w:rsid w:val="00AA649D"/>
    <w:rsid w:val="00AA6627"/>
    <w:rsid w:val="00AA6A8C"/>
    <w:rsid w:val="00AA71CD"/>
    <w:rsid w:val="00AA7318"/>
    <w:rsid w:val="00AA7497"/>
    <w:rsid w:val="00AA758C"/>
    <w:rsid w:val="00AA76BB"/>
    <w:rsid w:val="00AA7701"/>
    <w:rsid w:val="00AA7889"/>
    <w:rsid w:val="00AA7928"/>
    <w:rsid w:val="00AA7A6D"/>
    <w:rsid w:val="00AA7E71"/>
    <w:rsid w:val="00AB01D7"/>
    <w:rsid w:val="00AB12A3"/>
    <w:rsid w:val="00AB1AF5"/>
    <w:rsid w:val="00AB1DED"/>
    <w:rsid w:val="00AB230D"/>
    <w:rsid w:val="00AB2420"/>
    <w:rsid w:val="00AB295D"/>
    <w:rsid w:val="00AB2C2D"/>
    <w:rsid w:val="00AB2DF7"/>
    <w:rsid w:val="00AB2E87"/>
    <w:rsid w:val="00AB31C9"/>
    <w:rsid w:val="00AB33D1"/>
    <w:rsid w:val="00AB3727"/>
    <w:rsid w:val="00AB3916"/>
    <w:rsid w:val="00AB3BAB"/>
    <w:rsid w:val="00AB3E74"/>
    <w:rsid w:val="00AB4329"/>
    <w:rsid w:val="00AB457E"/>
    <w:rsid w:val="00AB45ED"/>
    <w:rsid w:val="00AB519A"/>
    <w:rsid w:val="00AB531C"/>
    <w:rsid w:val="00AB5A7E"/>
    <w:rsid w:val="00AB5B2E"/>
    <w:rsid w:val="00AB719A"/>
    <w:rsid w:val="00AB74C7"/>
    <w:rsid w:val="00AB76B9"/>
    <w:rsid w:val="00AB76CA"/>
    <w:rsid w:val="00AB7A25"/>
    <w:rsid w:val="00AB7D34"/>
    <w:rsid w:val="00AC0974"/>
    <w:rsid w:val="00AC0998"/>
    <w:rsid w:val="00AC09A7"/>
    <w:rsid w:val="00AC0EDB"/>
    <w:rsid w:val="00AC11BC"/>
    <w:rsid w:val="00AC1B65"/>
    <w:rsid w:val="00AC1D5C"/>
    <w:rsid w:val="00AC21FC"/>
    <w:rsid w:val="00AC23C3"/>
    <w:rsid w:val="00AC23DD"/>
    <w:rsid w:val="00AC265E"/>
    <w:rsid w:val="00AC2AAD"/>
    <w:rsid w:val="00AC2B17"/>
    <w:rsid w:val="00AC2F27"/>
    <w:rsid w:val="00AC3028"/>
    <w:rsid w:val="00AC31C1"/>
    <w:rsid w:val="00AC31F7"/>
    <w:rsid w:val="00AC32BF"/>
    <w:rsid w:val="00AC3915"/>
    <w:rsid w:val="00AC3D0E"/>
    <w:rsid w:val="00AC4C48"/>
    <w:rsid w:val="00AC4D46"/>
    <w:rsid w:val="00AC4E70"/>
    <w:rsid w:val="00AC5294"/>
    <w:rsid w:val="00AC5566"/>
    <w:rsid w:val="00AC5655"/>
    <w:rsid w:val="00AC5B51"/>
    <w:rsid w:val="00AC5C50"/>
    <w:rsid w:val="00AC6464"/>
    <w:rsid w:val="00AC64F6"/>
    <w:rsid w:val="00AC65B2"/>
    <w:rsid w:val="00AC6A6B"/>
    <w:rsid w:val="00AC6F79"/>
    <w:rsid w:val="00AC73CA"/>
    <w:rsid w:val="00AC74EB"/>
    <w:rsid w:val="00AC76E9"/>
    <w:rsid w:val="00AC770E"/>
    <w:rsid w:val="00AC7B89"/>
    <w:rsid w:val="00AC7BE8"/>
    <w:rsid w:val="00AD0711"/>
    <w:rsid w:val="00AD0789"/>
    <w:rsid w:val="00AD0DBF"/>
    <w:rsid w:val="00AD0F82"/>
    <w:rsid w:val="00AD11A9"/>
    <w:rsid w:val="00AD1D1B"/>
    <w:rsid w:val="00AD20C6"/>
    <w:rsid w:val="00AD21A5"/>
    <w:rsid w:val="00AD21C1"/>
    <w:rsid w:val="00AD23C5"/>
    <w:rsid w:val="00AD283A"/>
    <w:rsid w:val="00AD2EEE"/>
    <w:rsid w:val="00AD353F"/>
    <w:rsid w:val="00AD383A"/>
    <w:rsid w:val="00AD3B5D"/>
    <w:rsid w:val="00AD3CB0"/>
    <w:rsid w:val="00AD3DF3"/>
    <w:rsid w:val="00AD43BD"/>
    <w:rsid w:val="00AD47EE"/>
    <w:rsid w:val="00AD4ABB"/>
    <w:rsid w:val="00AD4CE5"/>
    <w:rsid w:val="00AD4DB2"/>
    <w:rsid w:val="00AD4F50"/>
    <w:rsid w:val="00AD5092"/>
    <w:rsid w:val="00AD5799"/>
    <w:rsid w:val="00AD5CB8"/>
    <w:rsid w:val="00AD5CE8"/>
    <w:rsid w:val="00AD5DC4"/>
    <w:rsid w:val="00AD5EF6"/>
    <w:rsid w:val="00AD6A87"/>
    <w:rsid w:val="00AD6DAE"/>
    <w:rsid w:val="00AD71F2"/>
    <w:rsid w:val="00AD7547"/>
    <w:rsid w:val="00AD7AE0"/>
    <w:rsid w:val="00AD7B18"/>
    <w:rsid w:val="00AD7B84"/>
    <w:rsid w:val="00AD7F0B"/>
    <w:rsid w:val="00AE0610"/>
    <w:rsid w:val="00AE07F5"/>
    <w:rsid w:val="00AE0970"/>
    <w:rsid w:val="00AE101C"/>
    <w:rsid w:val="00AE15FB"/>
    <w:rsid w:val="00AE1ADC"/>
    <w:rsid w:val="00AE2045"/>
    <w:rsid w:val="00AE22D1"/>
    <w:rsid w:val="00AE28B8"/>
    <w:rsid w:val="00AE2A55"/>
    <w:rsid w:val="00AE2B34"/>
    <w:rsid w:val="00AE30E7"/>
    <w:rsid w:val="00AE30FD"/>
    <w:rsid w:val="00AE34AF"/>
    <w:rsid w:val="00AE3565"/>
    <w:rsid w:val="00AE3A51"/>
    <w:rsid w:val="00AE4237"/>
    <w:rsid w:val="00AE42A2"/>
    <w:rsid w:val="00AE4518"/>
    <w:rsid w:val="00AE485D"/>
    <w:rsid w:val="00AE490F"/>
    <w:rsid w:val="00AE49B8"/>
    <w:rsid w:val="00AE4CB7"/>
    <w:rsid w:val="00AE4DB5"/>
    <w:rsid w:val="00AE5EEB"/>
    <w:rsid w:val="00AE6144"/>
    <w:rsid w:val="00AE6985"/>
    <w:rsid w:val="00AE6A25"/>
    <w:rsid w:val="00AE6B08"/>
    <w:rsid w:val="00AE6E4A"/>
    <w:rsid w:val="00AE738A"/>
    <w:rsid w:val="00AE7437"/>
    <w:rsid w:val="00AE783B"/>
    <w:rsid w:val="00AE7A65"/>
    <w:rsid w:val="00AF09BA"/>
    <w:rsid w:val="00AF0A8D"/>
    <w:rsid w:val="00AF0B4B"/>
    <w:rsid w:val="00AF133A"/>
    <w:rsid w:val="00AF13E0"/>
    <w:rsid w:val="00AF14A9"/>
    <w:rsid w:val="00AF1674"/>
    <w:rsid w:val="00AF182F"/>
    <w:rsid w:val="00AF1863"/>
    <w:rsid w:val="00AF1914"/>
    <w:rsid w:val="00AF1B06"/>
    <w:rsid w:val="00AF2581"/>
    <w:rsid w:val="00AF2A63"/>
    <w:rsid w:val="00AF2CEC"/>
    <w:rsid w:val="00AF32F5"/>
    <w:rsid w:val="00AF3362"/>
    <w:rsid w:val="00AF3AB2"/>
    <w:rsid w:val="00AF3BB2"/>
    <w:rsid w:val="00AF3CEC"/>
    <w:rsid w:val="00AF3DC5"/>
    <w:rsid w:val="00AF4D2A"/>
    <w:rsid w:val="00AF5244"/>
    <w:rsid w:val="00AF5940"/>
    <w:rsid w:val="00AF5A29"/>
    <w:rsid w:val="00AF5C45"/>
    <w:rsid w:val="00AF5D59"/>
    <w:rsid w:val="00AF5DF6"/>
    <w:rsid w:val="00AF5E3D"/>
    <w:rsid w:val="00AF5E41"/>
    <w:rsid w:val="00AF5FD6"/>
    <w:rsid w:val="00AF63E1"/>
    <w:rsid w:val="00AF6468"/>
    <w:rsid w:val="00AF6F29"/>
    <w:rsid w:val="00AF7442"/>
    <w:rsid w:val="00AF765D"/>
    <w:rsid w:val="00AF7D1E"/>
    <w:rsid w:val="00B004E6"/>
    <w:rsid w:val="00B00724"/>
    <w:rsid w:val="00B00945"/>
    <w:rsid w:val="00B00949"/>
    <w:rsid w:val="00B00B5A"/>
    <w:rsid w:val="00B01061"/>
    <w:rsid w:val="00B0120C"/>
    <w:rsid w:val="00B01253"/>
    <w:rsid w:val="00B01545"/>
    <w:rsid w:val="00B016F1"/>
    <w:rsid w:val="00B019A4"/>
    <w:rsid w:val="00B01CB5"/>
    <w:rsid w:val="00B0235D"/>
    <w:rsid w:val="00B02463"/>
    <w:rsid w:val="00B02F06"/>
    <w:rsid w:val="00B0400E"/>
    <w:rsid w:val="00B04318"/>
    <w:rsid w:val="00B047FB"/>
    <w:rsid w:val="00B04AC1"/>
    <w:rsid w:val="00B0530A"/>
    <w:rsid w:val="00B05581"/>
    <w:rsid w:val="00B05D02"/>
    <w:rsid w:val="00B05FE5"/>
    <w:rsid w:val="00B066F2"/>
    <w:rsid w:val="00B0679E"/>
    <w:rsid w:val="00B06A48"/>
    <w:rsid w:val="00B06CC4"/>
    <w:rsid w:val="00B06F90"/>
    <w:rsid w:val="00B070AB"/>
    <w:rsid w:val="00B077E6"/>
    <w:rsid w:val="00B07BB4"/>
    <w:rsid w:val="00B07C92"/>
    <w:rsid w:val="00B07FBA"/>
    <w:rsid w:val="00B104D8"/>
    <w:rsid w:val="00B10B80"/>
    <w:rsid w:val="00B10DDA"/>
    <w:rsid w:val="00B1159B"/>
    <w:rsid w:val="00B11715"/>
    <w:rsid w:val="00B11B7B"/>
    <w:rsid w:val="00B11CFC"/>
    <w:rsid w:val="00B12483"/>
    <w:rsid w:val="00B12968"/>
    <w:rsid w:val="00B131AA"/>
    <w:rsid w:val="00B13310"/>
    <w:rsid w:val="00B135F3"/>
    <w:rsid w:val="00B142A5"/>
    <w:rsid w:val="00B143F1"/>
    <w:rsid w:val="00B146CC"/>
    <w:rsid w:val="00B15649"/>
    <w:rsid w:val="00B15B8E"/>
    <w:rsid w:val="00B15D96"/>
    <w:rsid w:val="00B1615B"/>
    <w:rsid w:val="00B16290"/>
    <w:rsid w:val="00B1654B"/>
    <w:rsid w:val="00B165DC"/>
    <w:rsid w:val="00B167AD"/>
    <w:rsid w:val="00B16D47"/>
    <w:rsid w:val="00B1712E"/>
    <w:rsid w:val="00B2045D"/>
    <w:rsid w:val="00B20481"/>
    <w:rsid w:val="00B20A3E"/>
    <w:rsid w:val="00B20E9D"/>
    <w:rsid w:val="00B211A8"/>
    <w:rsid w:val="00B21231"/>
    <w:rsid w:val="00B225A7"/>
    <w:rsid w:val="00B22804"/>
    <w:rsid w:val="00B2285C"/>
    <w:rsid w:val="00B22A0E"/>
    <w:rsid w:val="00B22B24"/>
    <w:rsid w:val="00B2311C"/>
    <w:rsid w:val="00B23C05"/>
    <w:rsid w:val="00B23CC7"/>
    <w:rsid w:val="00B23EDD"/>
    <w:rsid w:val="00B23F8C"/>
    <w:rsid w:val="00B2417C"/>
    <w:rsid w:val="00B24676"/>
    <w:rsid w:val="00B24BA3"/>
    <w:rsid w:val="00B24C3D"/>
    <w:rsid w:val="00B2589E"/>
    <w:rsid w:val="00B25B55"/>
    <w:rsid w:val="00B25B5C"/>
    <w:rsid w:val="00B26266"/>
    <w:rsid w:val="00B2655C"/>
    <w:rsid w:val="00B26817"/>
    <w:rsid w:val="00B26BDD"/>
    <w:rsid w:val="00B272C2"/>
    <w:rsid w:val="00B273A2"/>
    <w:rsid w:val="00B275A8"/>
    <w:rsid w:val="00B275B3"/>
    <w:rsid w:val="00B275C8"/>
    <w:rsid w:val="00B27BC2"/>
    <w:rsid w:val="00B27CD5"/>
    <w:rsid w:val="00B302A5"/>
    <w:rsid w:val="00B302A6"/>
    <w:rsid w:val="00B30570"/>
    <w:rsid w:val="00B305BA"/>
    <w:rsid w:val="00B30A1C"/>
    <w:rsid w:val="00B30B8D"/>
    <w:rsid w:val="00B30CB1"/>
    <w:rsid w:val="00B30E64"/>
    <w:rsid w:val="00B3127D"/>
    <w:rsid w:val="00B31514"/>
    <w:rsid w:val="00B31518"/>
    <w:rsid w:val="00B31916"/>
    <w:rsid w:val="00B31F7F"/>
    <w:rsid w:val="00B32230"/>
    <w:rsid w:val="00B326FE"/>
    <w:rsid w:val="00B32C6C"/>
    <w:rsid w:val="00B32D03"/>
    <w:rsid w:val="00B3324F"/>
    <w:rsid w:val="00B333C9"/>
    <w:rsid w:val="00B33C74"/>
    <w:rsid w:val="00B33F1F"/>
    <w:rsid w:val="00B33F6E"/>
    <w:rsid w:val="00B3406D"/>
    <w:rsid w:val="00B3427D"/>
    <w:rsid w:val="00B348D0"/>
    <w:rsid w:val="00B35851"/>
    <w:rsid w:val="00B36153"/>
    <w:rsid w:val="00B3618B"/>
    <w:rsid w:val="00B3632F"/>
    <w:rsid w:val="00B36906"/>
    <w:rsid w:val="00B36ADA"/>
    <w:rsid w:val="00B36B5F"/>
    <w:rsid w:val="00B36B84"/>
    <w:rsid w:val="00B373B7"/>
    <w:rsid w:val="00B37785"/>
    <w:rsid w:val="00B37AC0"/>
    <w:rsid w:val="00B37CAF"/>
    <w:rsid w:val="00B40169"/>
    <w:rsid w:val="00B405D1"/>
    <w:rsid w:val="00B40A2F"/>
    <w:rsid w:val="00B41021"/>
    <w:rsid w:val="00B4134F"/>
    <w:rsid w:val="00B41DBC"/>
    <w:rsid w:val="00B42093"/>
    <w:rsid w:val="00B42431"/>
    <w:rsid w:val="00B4252B"/>
    <w:rsid w:val="00B42F40"/>
    <w:rsid w:val="00B430C2"/>
    <w:rsid w:val="00B431E8"/>
    <w:rsid w:val="00B43384"/>
    <w:rsid w:val="00B437CD"/>
    <w:rsid w:val="00B43E2D"/>
    <w:rsid w:val="00B44015"/>
    <w:rsid w:val="00B44071"/>
    <w:rsid w:val="00B44224"/>
    <w:rsid w:val="00B443DB"/>
    <w:rsid w:val="00B44D43"/>
    <w:rsid w:val="00B45083"/>
    <w:rsid w:val="00B45322"/>
    <w:rsid w:val="00B45963"/>
    <w:rsid w:val="00B45B09"/>
    <w:rsid w:val="00B45CB5"/>
    <w:rsid w:val="00B45EDD"/>
    <w:rsid w:val="00B4639B"/>
    <w:rsid w:val="00B46E4D"/>
    <w:rsid w:val="00B46E5E"/>
    <w:rsid w:val="00B47B30"/>
    <w:rsid w:val="00B47CCD"/>
    <w:rsid w:val="00B47D3C"/>
    <w:rsid w:val="00B50205"/>
    <w:rsid w:val="00B502B8"/>
    <w:rsid w:val="00B50409"/>
    <w:rsid w:val="00B508C2"/>
    <w:rsid w:val="00B50B00"/>
    <w:rsid w:val="00B50D52"/>
    <w:rsid w:val="00B50F18"/>
    <w:rsid w:val="00B50F79"/>
    <w:rsid w:val="00B510CE"/>
    <w:rsid w:val="00B5114D"/>
    <w:rsid w:val="00B51154"/>
    <w:rsid w:val="00B5135B"/>
    <w:rsid w:val="00B51364"/>
    <w:rsid w:val="00B51A08"/>
    <w:rsid w:val="00B51E67"/>
    <w:rsid w:val="00B526CE"/>
    <w:rsid w:val="00B52701"/>
    <w:rsid w:val="00B529CA"/>
    <w:rsid w:val="00B52E9E"/>
    <w:rsid w:val="00B531DF"/>
    <w:rsid w:val="00B532DD"/>
    <w:rsid w:val="00B534B6"/>
    <w:rsid w:val="00B5358E"/>
    <w:rsid w:val="00B53A18"/>
    <w:rsid w:val="00B53B74"/>
    <w:rsid w:val="00B53C25"/>
    <w:rsid w:val="00B53E8F"/>
    <w:rsid w:val="00B53F74"/>
    <w:rsid w:val="00B54239"/>
    <w:rsid w:val="00B5423C"/>
    <w:rsid w:val="00B546A0"/>
    <w:rsid w:val="00B5525E"/>
    <w:rsid w:val="00B552A6"/>
    <w:rsid w:val="00B557C5"/>
    <w:rsid w:val="00B55B1B"/>
    <w:rsid w:val="00B5608B"/>
    <w:rsid w:val="00B565E1"/>
    <w:rsid w:val="00B56835"/>
    <w:rsid w:val="00B56F79"/>
    <w:rsid w:val="00B575F4"/>
    <w:rsid w:val="00B57BC7"/>
    <w:rsid w:val="00B57EEB"/>
    <w:rsid w:val="00B600BB"/>
    <w:rsid w:val="00B601E0"/>
    <w:rsid w:val="00B60543"/>
    <w:rsid w:val="00B60EBF"/>
    <w:rsid w:val="00B61431"/>
    <w:rsid w:val="00B619E0"/>
    <w:rsid w:val="00B61E56"/>
    <w:rsid w:val="00B621B9"/>
    <w:rsid w:val="00B62682"/>
    <w:rsid w:val="00B626BF"/>
    <w:rsid w:val="00B62769"/>
    <w:rsid w:val="00B629DE"/>
    <w:rsid w:val="00B62A70"/>
    <w:rsid w:val="00B62BFD"/>
    <w:rsid w:val="00B6330C"/>
    <w:rsid w:val="00B63338"/>
    <w:rsid w:val="00B633D4"/>
    <w:rsid w:val="00B63659"/>
    <w:rsid w:val="00B63788"/>
    <w:rsid w:val="00B64087"/>
    <w:rsid w:val="00B6414E"/>
    <w:rsid w:val="00B6472A"/>
    <w:rsid w:val="00B647FE"/>
    <w:rsid w:val="00B64D4B"/>
    <w:rsid w:val="00B64FB2"/>
    <w:rsid w:val="00B65023"/>
    <w:rsid w:val="00B6517E"/>
    <w:rsid w:val="00B6594C"/>
    <w:rsid w:val="00B65A24"/>
    <w:rsid w:val="00B65CF0"/>
    <w:rsid w:val="00B66373"/>
    <w:rsid w:val="00B66850"/>
    <w:rsid w:val="00B66BCD"/>
    <w:rsid w:val="00B67318"/>
    <w:rsid w:val="00B67378"/>
    <w:rsid w:val="00B67EE4"/>
    <w:rsid w:val="00B70330"/>
    <w:rsid w:val="00B7055B"/>
    <w:rsid w:val="00B707D7"/>
    <w:rsid w:val="00B708EB"/>
    <w:rsid w:val="00B7104D"/>
    <w:rsid w:val="00B710EC"/>
    <w:rsid w:val="00B71270"/>
    <w:rsid w:val="00B71F44"/>
    <w:rsid w:val="00B722DA"/>
    <w:rsid w:val="00B72BDA"/>
    <w:rsid w:val="00B730AE"/>
    <w:rsid w:val="00B73F69"/>
    <w:rsid w:val="00B7423A"/>
    <w:rsid w:val="00B74BD4"/>
    <w:rsid w:val="00B75154"/>
    <w:rsid w:val="00B75353"/>
    <w:rsid w:val="00B757DD"/>
    <w:rsid w:val="00B75920"/>
    <w:rsid w:val="00B76005"/>
    <w:rsid w:val="00B76CF9"/>
    <w:rsid w:val="00B76E5D"/>
    <w:rsid w:val="00B76EBF"/>
    <w:rsid w:val="00B77080"/>
    <w:rsid w:val="00B7711D"/>
    <w:rsid w:val="00B7712F"/>
    <w:rsid w:val="00B7759B"/>
    <w:rsid w:val="00B77CAB"/>
    <w:rsid w:val="00B77CCD"/>
    <w:rsid w:val="00B80030"/>
    <w:rsid w:val="00B8027B"/>
    <w:rsid w:val="00B81100"/>
    <w:rsid w:val="00B81529"/>
    <w:rsid w:val="00B8153E"/>
    <w:rsid w:val="00B81559"/>
    <w:rsid w:val="00B81578"/>
    <w:rsid w:val="00B8160B"/>
    <w:rsid w:val="00B816AA"/>
    <w:rsid w:val="00B816E5"/>
    <w:rsid w:val="00B81720"/>
    <w:rsid w:val="00B818F4"/>
    <w:rsid w:val="00B81917"/>
    <w:rsid w:val="00B81BD0"/>
    <w:rsid w:val="00B81BF4"/>
    <w:rsid w:val="00B82145"/>
    <w:rsid w:val="00B827A9"/>
    <w:rsid w:val="00B829F1"/>
    <w:rsid w:val="00B82BC3"/>
    <w:rsid w:val="00B82C3A"/>
    <w:rsid w:val="00B83401"/>
    <w:rsid w:val="00B8425D"/>
    <w:rsid w:val="00B84CE3"/>
    <w:rsid w:val="00B84DFA"/>
    <w:rsid w:val="00B84F8E"/>
    <w:rsid w:val="00B85038"/>
    <w:rsid w:val="00B851C0"/>
    <w:rsid w:val="00B853EC"/>
    <w:rsid w:val="00B854C5"/>
    <w:rsid w:val="00B85AFC"/>
    <w:rsid w:val="00B8608A"/>
    <w:rsid w:val="00B86622"/>
    <w:rsid w:val="00B868C8"/>
    <w:rsid w:val="00B86B8E"/>
    <w:rsid w:val="00B86E36"/>
    <w:rsid w:val="00B87307"/>
    <w:rsid w:val="00B8768C"/>
    <w:rsid w:val="00B8785B"/>
    <w:rsid w:val="00B87A1D"/>
    <w:rsid w:val="00B87EA1"/>
    <w:rsid w:val="00B907CD"/>
    <w:rsid w:val="00B908C7"/>
    <w:rsid w:val="00B90940"/>
    <w:rsid w:val="00B90C57"/>
    <w:rsid w:val="00B9100C"/>
    <w:rsid w:val="00B9146B"/>
    <w:rsid w:val="00B91FAF"/>
    <w:rsid w:val="00B91FE5"/>
    <w:rsid w:val="00B92538"/>
    <w:rsid w:val="00B93174"/>
    <w:rsid w:val="00B936DB"/>
    <w:rsid w:val="00B93750"/>
    <w:rsid w:val="00B93E98"/>
    <w:rsid w:val="00B9400A"/>
    <w:rsid w:val="00B943CC"/>
    <w:rsid w:val="00B943E5"/>
    <w:rsid w:val="00B9468D"/>
    <w:rsid w:val="00B94B56"/>
    <w:rsid w:val="00B94E2E"/>
    <w:rsid w:val="00B94FE0"/>
    <w:rsid w:val="00B95653"/>
    <w:rsid w:val="00B958FC"/>
    <w:rsid w:val="00B96307"/>
    <w:rsid w:val="00B966E4"/>
    <w:rsid w:val="00B96BD8"/>
    <w:rsid w:val="00B96D62"/>
    <w:rsid w:val="00B96EA5"/>
    <w:rsid w:val="00B96EDA"/>
    <w:rsid w:val="00B97370"/>
    <w:rsid w:val="00B9752A"/>
    <w:rsid w:val="00B976AB"/>
    <w:rsid w:val="00B97CE1"/>
    <w:rsid w:val="00BA01DC"/>
    <w:rsid w:val="00BA038A"/>
    <w:rsid w:val="00BA059F"/>
    <w:rsid w:val="00BA082F"/>
    <w:rsid w:val="00BA09DE"/>
    <w:rsid w:val="00BA138D"/>
    <w:rsid w:val="00BA14C9"/>
    <w:rsid w:val="00BA1BA1"/>
    <w:rsid w:val="00BA1C7C"/>
    <w:rsid w:val="00BA20A7"/>
    <w:rsid w:val="00BA2284"/>
    <w:rsid w:val="00BA2318"/>
    <w:rsid w:val="00BA260F"/>
    <w:rsid w:val="00BA2A05"/>
    <w:rsid w:val="00BA2C25"/>
    <w:rsid w:val="00BA2C69"/>
    <w:rsid w:val="00BA2CFB"/>
    <w:rsid w:val="00BA2F7F"/>
    <w:rsid w:val="00BA3108"/>
    <w:rsid w:val="00BA31D5"/>
    <w:rsid w:val="00BA34FD"/>
    <w:rsid w:val="00BA3693"/>
    <w:rsid w:val="00BA3FA5"/>
    <w:rsid w:val="00BA42CA"/>
    <w:rsid w:val="00BA4308"/>
    <w:rsid w:val="00BA4A19"/>
    <w:rsid w:val="00BA4AFB"/>
    <w:rsid w:val="00BA500B"/>
    <w:rsid w:val="00BA55AC"/>
    <w:rsid w:val="00BA585D"/>
    <w:rsid w:val="00BA5EDD"/>
    <w:rsid w:val="00BA6468"/>
    <w:rsid w:val="00BA6548"/>
    <w:rsid w:val="00BA67AD"/>
    <w:rsid w:val="00BA67FD"/>
    <w:rsid w:val="00BA6DF5"/>
    <w:rsid w:val="00BA6EF4"/>
    <w:rsid w:val="00BA718C"/>
    <w:rsid w:val="00BA79A3"/>
    <w:rsid w:val="00BB096D"/>
    <w:rsid w:val="00BB09F9"/>
    <w:rsid w:val="00BB0A5D"/>
    <w:rsid w:val="00BB0E32"/>
    <w:rsid w:val="00BB0EBE"/>
    <w:rsid w:val="00BB1004"/>
    <w:rsid w:val="00BB130B"/>
    <w:rsid w:val="00BB160B"/>
    <w:rsid w:val="00BB18A5"/>
    <w:rsid w:val="00BB18F9"/>
    <w:rsid w:val="00BB1C67"/>
    <w:rsid w:val="00BB1D4D"/>
    <w:rsid w:val="00BB1FA0"/>
    <w:rsid w:val="00BB209D"/>
    <w:rsid w:val="00BB24C8"/>
    <w:rsid w:val="00BB2D42"/>
    <w:rsid w:val="00BB2FA7"/>
    <w:rsid w:val="00BB3037"/>
    <w:rsid w:val="00BB3A19"/>
    <w:rsid w:val="00BB3C42"/>
    <w:rsid w:val="00BB4049"/>
    <w:rsid w:val="00BB4441"/>
    <w:rsid w:val="00BB4D06"/>
    <w:rsid w:val="00BB4FB1"/>
    <w:rsid w:val="00BB5197"/>
    <w:rsid w:val="00BB5285"/>
    <w:rsid w:val="00BB528F"/>
    <w:rsid w:val="00BB576E"/>
    <w:rsid w:val="00BB65A2"/>
    <w:rsid w:val="00BB6CEB"/>
    <w:rsid w:val="00BB7208"/>
    <w:rsid w:val="00BB7731"/>
    <w:rsid w:val="00BB7A06"/>
    <w:rsid w:val="00BC026D"/>
    <w:rsid w:val="00BC0780"/>
    <w:rsid w:val="00BC0CD8"/>
    <w:rsid w:val="00BC0D5B"/>
    <w:rsid w:val="00BC0E8C"/>
    <w:rsid w:val="00BC1054"/>
    <w:rsid w:val="00BC12E3"/>
    <w:rsid w:val="00BC15C5"/>
    <w:rsid w:val="00BC2052"/>
    <w:rsid w:val="00BC27A9"/>
    <w:rsid w:val="00BC27B8"/>
    <w:rsid w:val="00BC3018"/>
    <w:rsid w:val="00BC304A"/>
    <w:rsid w:val="00BC32D1"/>
    <w:rsid w:val="00BC35D9"/>
    <w:rsid w:val="00BC3ECB"/>
    <w:rsid w:val="00BC41CC"/>
    <w:rsid w:val="00BC4284"/>
    <w:rsid w:val="00BC4317"/>
    <w:rsid w:val="00BC43DA"/>
    <w:rsid w:val="00BC491B"/>
    <w:rsid w:val="00BC4AC0"/>
    <w:rsid w:val="00BC4CE6"/>
    <w:rsid w:val="00BC5C45"/>
    <w:rsid w:val="00BC5CD7"/>
    <w:rsid w:val="00BC5E0E"/>
    <w:rsid w:val="00BC6CD9"/>
    <w:rsid w:val="00BC6E5D"/>
    <w:rsid w:val="00BC720F"/>
    <w:rsid w:val="00BC7342"/>
    <w:rsid w:val="00BC7BE5"/>
    <w:rsid w:val="00BC7C96"/>
    <w:rsid w:val="00BC7D43"/>
    <w:rsid w:val="00BD07C8"/>
    <w:rsid w:val="00BD0B2A"/>
    <w:rsid w:val="00BD0D07"/>
    <w:rsid w:val="00BD1175"/>
    <w:rsid w:val="00BD1502"/>
    <w:rsid w:val="00BD18C0"/>
    <w:rsid w:val="00BD1FD5"/>
    <w:rsid w:val="00BD2477"/>
    <w:rsid w:val="00BD266F"/>
    <w:rsid w:val="00BD2BA3"/>
    <w:rsid w:val="00BD2DC5"/>
    <w:rsid w:val="00BD341B"/>
    <w:rsid w:val="00BD3644"/>
    <w:rsid w:val="00BD3C49"/>
    <w:rsid w:val="00BD4139"/>
    <w:rsid w:val="00BD4404"/>
    <w:rsid w:val="00BD4E5F"/>
    <w:rsid w:val="00BD4F98"/>
    <w:rsid w:val="00BD5126"/>
    <w:rsid w:val="00BD546C"/>
    <w:rsid w:val="00BD548E"/>
    <w:rsid w:val="00BD5784"/>
    <w:rsid w:val="00BD58BA"/>
    <w:rsid w:val="00BD59AD"/>
    <w:rsid w:val="00BD5AE0"/>
    <w:rsid w:val="00BD5BB1"/>
    <w:rsid w:val="00BD5C3D"/>
    <w:rsid w:val="00BD5DC5"/>
    <w:rsid w:val="00BD617A"/>
    <w:rsid w:val="00BD70EA"/>
    <w:rsid w:val="00BD714B"/>
    <w:rsid w:val="00BD7390"/>
    <w:rsid w:val="00BD76E3"/>
    <w:rsid w:val="00BD7793"/>
    <w:rsid w:val="00BD7831"/>
    <w:rsid w:val="00BE00C0"/>
    <w:rsid w:val="00BE014C"/>
    <w:rsid w:val="00BE01AE"/>
    <w:rsid w:val="00BE1E87"/>
    <w:rsid w:val="00BE1FBC"/>
    <w:rsid w:val="00BE2367"/>
    <w:rsid w:val="00BE2678"/>
    <w:rsid w:val="00BE2BCE"/>
    <w:rsid w:val="00BE2EC1"/>
    <w:rsid w:val="00BE30C9"/>
    <w:rsid w:val="00BE346A"/>
    <w:rsid w:val="00BE3646"/>
    <w:rsid w:val="00BE37F7"/>
    <w:rsid w:val="00BE4321"/>
    <w:rsid w:val="00BE465F"/>
    <w:rsid w:val="00BE46EC"/>
    <w:rsid w:val="00BE492A"/>
    <w:rsid w:val="00BE4AFF"/>
    <w:rsid w:val="00BE4BF8"/>
    <w:rsid w:val="00BE5CE3"/>
    <w:rsid w:val="00BE5FBE"/>
    <w:rsid w:val="00BE636D"/>
    <w:rsid w:val="00BE644F"/>
    <w:rsid w:val="00BE647E"/>
    <w:rsid w:val="00BE6C31"/>
    <w:rsid w:val="00BE6CE9"/>
    <w:rsid w:val="00BE6F85"/>
    <w:rsid w:val="00BE7453"/>
    <w:rsid w:val="00BE7B02"/>
    <w:rsid w:val="00BE7E47"/>
    <w:rsid w:val="00BF020E"/>
    <w:rsid w:val="00BF02A9"/>
    <w:rsid w:val="00BF03E8"/>
    <w:rsid w:val="00BF04E4"/>
    <w:rsid w:val="00BF0E7D"/>
    <w:rsid w:val="00BF1473"/>
    <w:rsid w:val="00BF16B5"/>
    <w:rsid w:val="00BF16FF"/>
    <w:rsid w:val="00BF17AA"/>
    <w:rsid w:val="00BF1880"/>
    <w:rsid w:val="00BF1C77"/>
    <w:rsid w:val="00BF228E"/>
    <w:rsid w:val="00BF2699"/>
    <w:rsid w:val="00BF2A5A"/>
    <w:rsid w:val="00BF2B56"/>
    <w:rsid w:val="00BF2BCF"/>
    <w:rsid w:val="00BF2F32"/>
    <w:rsid w:val="00BF30F1"/>
    <w:rsid w:val="00BF351E"/>
    <w:rsid w:val="00BF3C1C"/>
    <w:rsid w:val="00BF3C94"/>
    <w:rsid w:val="00BF4029"/>
    <w:rsid w:val="00BF4238"/>
    <w:rsid w:val="00BF46BE"/>
    <w:rsid w:val="00BF6214"/>
    <w:rsid w:val="00BF62DF"/>
    <w:rsid w:val="00BF689B"/>
    <w:rsid w:val="00BF68D5"/>
    <w:rsid w:val="00BF6D22"/>
    <w:rsid w:val="00BF6EE6"/>
    <w:rsid w:val="00BF6F7A"/>
    <w:rsid w:val="00BF7274"/>
    <w:rsid w:val="00BF7351"/>
    <w:rsid w:val="00BF752D"/>
    <w:rsid w:val="00BF7946"/>
    <w:rsid w:val="00BF79BB"/>
    <w:rsid w:val="00BF7A3F"/>
    <w:rsid w:val="00BF7E8A"/>
    <w:rsid w:val="00BF7FB7"/>
    <w:rsid w:val="00C001D0"/>
    <w:rsid w:val="00C006F7"/>
    <w:rsid w:val="00C008C2"/>
    <w:rsid w:val="00C00A98"/>
    <w:rsid w:val="00C00B85"/>
    <w:rsid w:val="00C01411"/>
    <w:rsid w:val="00C017B9"/>
    <w:rsid w:val="00C018D9"/>
    <w:rsid w:val="00C0226D"/>
    <w:rsid w:val="00C02A91"/>
    <w:rsid w:val="00C02C17"/>
    <w:rsid w:val="00C03680"/>
    <w:rsid w:val="00C03722"/>
    <w:rsid w:val="00C037C4"/>
    <w:rsid w:val="00C0397B"/>
    <w:rsid w:val="00C03982"/>
    <w:rsid w:val="00C03A68"/>
    <w:rsid w:val="00C03F99"/>
    <w:rsid w:val="00C03FFC"/>
    <w:rsid w:val="00C047DF"/>
    <w:rsid w:val="00C04C29"/>
    <w:rsid w:val="00C04D81"/>
    <w:rsid w:val="00C04DE7"/>
    <w:rsid w:val="00C04E0D"/>
    <w:rsid w:val="00C05055"/>
    <w:rsid w:val="00C0506D"/>
    <w:rsid w:val="00C0530A"/>
    <w:rsid w:val="00C0535D"/>
    <w:rsid w:val="00C05485"/>
    <w:rsid w:val="00C055C5"/>
    <w:rsid w:val="00C056A6"/>
    <w:rsid w:val="00C059A8"/>
    <w:rsid w:val="00C05C67"/>
    <w:rsid w:val="00C06173"/>
    <w:rsid w:val="00C0638E"/>
    <w:rsid w:val="00C0645B"/>
    <w:rsid w:val="00C0654C"/>
    <w:rsid w:val="00C0675E"/>
    <w:rsid w:val="00C06876"/>
    <w:rsid w:val="00C070DF"/>
    <w:rsid w:val="00C072D5"/>
    <w:rsid w:val="00C07568"/>
    <w:rsid w:val="00C0766B"/>
    <w:rsid w:val="00C079CC"/>
    <w:rsid w:val="00C07B36"/>
    <w:rsid w:val="00C07CC5"/>
    <w:rsid w:val="00C100C8"/>
    <w:rsid w:val="00C102FF"/>
    <w:rsid w:val="00C107DB"/>
    <w:rsid w:val="00C10B7A"/>
    <w:rsid w:val="00C10E52"/>
    <w:rsid w:val="00C10EB8"/>
    <w:rsid w:val="00C116FC"/>
    <w:rsid w:val="00C11713"/>
    <w:rsid w:val="00C11959"/>
    <w:rsid w:val="00C12761"/>
    <w:rsid w:val="00C12844"/>
    <w:rsid w:val="00C12B1C"/>
    <w:rsid w:val="00C1303E"/>
    <w:rsid w:val="00C1314E"/>
    <w:rsid w:val="00C1345F"/>
    <w:rsid w:val="00C1432A"/>
    <w:rsid w:val="00C14833"/>
    <w:rsid w:val="00C15210"/>
    <w:rsid w:val="00C1558F"/>
    <w:rsid w:val="00C15F09"/>
    <w:rsid w:val="00C164FD"/>
    <w:rsid w:val="00C1651D"/>
    <w:rsid w:val="00C1667A"/>
    <w:rsid w:val="00C16931"/>
    <w:rsid w:val="00C16E72"/>
    <w:rsid w:val="00C16F22"/>
    <w:rsid w:val="00C173C3"/>
    <w:rsid w:val="00C17C77"/>
    <w:rsid w:val="00C20507"/>
    <w:rsid w:val="00C207C1"/>
    <w:rsid w:val="00C208B7"/>
    <w:rsid w:val="00C20FBC"/>
    <w:rsid w:val="00C215E5"/>
    <w:rsid w:val="00C21A44"/>
    <w:rsid w:val="00C22AD3"/>
    <w:rsid w:val="00C22FD4"/>
    <w:rsid w:val="00C230E6"/>
    <w:rsid w:val="00C234B1"/>
    <w:rsid w:val="00C23525"/>
    <w:rsid w:val="00C23CA0"/>
    <w:rsid w:val="00C23DCC"/>
    <w:rsid w:val="00C23DE6"/>
    <w:rsid w:val="00C242FB"/>
    <w:rsid w:val="00C24362"/>
    <w:rsid w:val="00C24817"/>
    <w:rsid w:val="00C24ACC"/>
    <w:rsid w:val="00C24B9D"/>
    <w:rsid w:val="00C24BC2"/>
    <w:rsid w:val="00C24D74"/>
    <w:rsid w:val="00C26DB7"/>
    <w:rsid w:val="00C270C8"/>
    <w:rsid w:val="00C274CB"/>
    <w:rsid w:val="00C27569"/>
    <w:rsid w:val="00C27C49"/>
    <w:rsid w:val="00C27CB2"/>
    <w:rsid w:val="00C27F60"/>
    <w:rsid w:val="00C30151"/>
    <w:rsid w:val="00C30398"/>
    <w:rsid w:val="00C30563"/>
    <w:rsid w:val="00C30567"/>
    <w:rsid w:val="00C30A28"/>
    <w:rsid w:val="00C314D1"/>
    <w:rsid w:val="00C31956"/>
    <w:rsid w:val="00C32507"/>
    <w:rsid w:val="00C32969"/>
    <w:rsid w:val="00C32D91"/>
    <w:rsid w:val="00C334A0"/>
    <w:rsid w:val="00C33605"/>
    <w:rsid w:val="00C3402C"/>
    <w:rsid w:val="00C3410F"/>
    <w:rsid w:val="00C34E79"/>
    <w:rsid w:val="00C34F9E"/>
    <w:rsid w:val="00C35078"/>
    <w:rsid w:val="00C3538A"/>
    <w:rsid w:val="00C353CA"/>
    <w:rsid w:val="00C360C1"/>
    <w:rsid w:val="00C3631B"/>
    <w:rsid w:val="00C3692A"/>
    <w:rsid w:val="00C36A57"/>
    <w:rsid w:val="00C36CC8"/>
    <w:rsid w:val="00C36D21"/>
    <w:rsid w:val="00C36D66"/>
    <w:rsid w:val="00C36DBE"/>
    <w:rsid w:val="00C371C9"/>
    <w:rsid w:val="00C376F7"/>
    <w:rsid w:val="00C3779D"/>
    <w:rsid w:val="00C37B2A"/>
    <w:rsid w:val="00C40666"/>
    <w:rsid w:val="00C408E8"/>
    <w:rsid w:val="00C41023"/>
    <w:rsid w:val="00C411FF"/>
    <w:rsid w:val="00C41516"/>
    <w:rsid w:val="00C41850"/>
    <w:rsid w:val="00C4196E"/>
    <w:rsid w:val="00C41E6A"/>
    <w:rsid w:val="00C4214F"/>
    <w:rsid w:val="00C4292A"/>
    <w:rsid w:val="00C42DC8"/>
    <w:rsid w:val="00C432FC"/>
    <w:rsid w:val="00C439ED"/>
    <w:rsid w:val="00C439F1"/>
    <w:rsid w:val="00C43AA2"/>
    <w:rsid w:val="00C43CDF"/>
    <w:rsid w:val="00C44539"/>
    <w:rsid w:val="00C447EF"/>
    <w:rsid w:val="00C44E74"/>
    <w:rsid w:val="00C44F6A"/>
    <w:rsid w:val="00C45289"/>
    <w:rsid w:val="00C45563"/>
    <w:rsid w:val="00C45CB7"/>
    <w:rsid w:val="00C4682E"/>
    <w:rsid w:val="00C46BDF"/>
    <w:rsid w:val="00C46CC6"/>
    <w:rsid w:val="00C46EC2"/>
    <w:rsid w:val="00C47C2B"/>
    <w:rsid w:val="00C47F69"/>
    <w:rsid w:val="00C50A7B"/>
    <w:rsid w:val="00C50B2A"/>
    <w:rsid w:val="00C50E36"/>
    <w:rsid w:val="00C5144A"/>
    <w:rsid w:val="00C5157B"/>
    <w:rsid w:val="00C519DF"/>
    <w:rsid w:val="00C51BD6"/>
    <w:rsid w:val="00C51D23"/>
    <w:rsid w:val="00C51E43"/>
    <w:rsid w:val="00C51E74"/>
    <w:rsid w:val="00C51F4A"/>
    <w:rsid w:val="00C52154"/>
    <w:rsid w:val="00C525ED"/>
    <w:rsid w:val="00C52989"/>
    <w:rsid w:val="00C52A0F"/>
    <w:rsid w:val="00C52B18"/>
    <w:rsid w:val="00C52D1D"/>
    <w:rsid w:val="00C52DB0"/>
    <w:rsid w:val="00C52F50"/>
    <w:rsid w:val="00C53191"/>
    <w:rsid w:val="00C53677"/>
    <w:rsid w:val="00C53CE4"/>
    <w:rsid w:val="00C53F2A"/>
    <w:rsid w:val="00C54017"/>
    <w:rsid w:val="00C544B5"/>
    <w:rsid w:val="00C546F5"/>
    <w:rsid w:val="00C54ADF"/>
    <w:rsid w:val="00C54BEA"/>
    <w:rsid w:val="00C54F22"/>
    <w:rsid w:val="00C55251"/>
    <w:rsid w:val="00C553FB"/>
    <w:rsid w:val="00C557FC"/>
    <w:rsid w:val="00C55B1E"/>
    <w:rsid w:val="00C5621C"/>
    <w:rsid w:val="00C569FD"/>
    <w:rsid w:val="00C56BE3"/>
    <w:rsid w:val="00C57055"/>
    <w:rsid w:val="00C57548"/>
    <w:rsid w:val="00C57668"/>
    <w:rsid w:val="00C57A6C"/>
    <w:rsid w:val="00C57CE0"/>
    <w:rsid w:val="00C57E56"/>
    <w:rsid w:val="00C602CE"/>
    <w:rsid w:val="00C603A8"/>
    <w:rsid w:val="00C6041E"/>
    <w:rsid w:val="00C60DAA"/>
    <w:rsid w:val="00C612A4"/>
    <w:rsid w:val="00C612C1"/>
    <w:rsid w:val="00C61C3C"/>
    <w:rsid w:val="00C6257C"/>
    <w:rsid w:val="00C62704"/>
    <w:rsid w:val="00C6315E"/>
    <w:rsid w:val="00C63627"/>
    <w:rsid w:val="00C6394B"/>
    <w:rsid w:val="00C6403D"/>
    <w:rsid w:val="00C64773"/>
    <w:rsid w:val="00C64EE7"/>
    <w:rsid w:val="00C65683"/>
    <w:rsid w:val="00C65BFA"/>
    <w:rsid w:val="00C65E64"/>
    <w:rsid w:val="00C665A2"/>
    <w:rsid w:val="00C66698"/>
    <w:rsid w:val="00C66BAC"/>
    <w:rsid w:val="00C66D96"/>
    <w:rsid w:val="00C67348"/>
    <w:rsid w:val="00C67AC1"/>
    <w:rsid w:val="00C67F1F"/>
    <w:rsid w:val="00C70071"/>
    <w:rsid w:val="00C70568"/>
    <w:rsid w:val="00C70962"/>
    <w:rsid w:val="00C7113D"/>
    <w:rsid w:val="00C71571"/>
    <w:rsid w:val="00C7184B"/>
    <w:rsid w:val="00C71965"/>
    <w:rsid w:val="00C71E62"/>
    <w:rsid w:val="00C7221F"/>
    <w:rsid w:val="00C72347"/>
    <w:rsid w:val="00C725F1"/>
    <w:rsid w:val="00C72A0A"/>
    <w:rsid w:val="00C73003"/>
    <w:rsid w:val="00C73254"/>
    <w:rsid w:val="00C7329D"/>
    <w:rsid w:val="00C73519"/>
    <w:rsid w:val="00C737A7"/>
    <w:rsid w:val="00C73ADD"/>
    <w:rsid w:val="00C73B64"/>
    <w:rsid w:val="00C73F14"/>
    <w:rsid w:val="00C74230"/>
    <w:rsid w:val="00C74304"/>
    <w:rsid w:val="00C74345"/>
    <w:rsid w:val="00C7450E"/>
    <w:rsid w:val="00C74C19"/>
    <w:rsid w:val="00C74C66"/>
    <w:rsid w:val="00C75674"/>
    <w:rsid w:val="00C75AE2"/>
    <w:rsid w:val="00C75C7A"/>
    <w:rsid w:val="00C7617A"/>
    <w:rsid w:val="00C7680E"/>
    <w:rsid w:val="00C768D0"/>
    <w:rsid w:val="00C769E7"/>
    <w:rsid w:val="00C76A45"/>
    <w:rsid w:val="00C77606"/>
    <w:rsid w:val="00C7769C"/>
    <w:rsid w:val="00C777B6"/>
    <w:rsid w:val="00C77CBE"/>
    <w:rsid w:val="00C77DF4"/>
    <w:rsid w:val="00C80592"/>
    <w:rsid w:val="00C807BC"/>
    <w:rsid w:val="00C80D90"/>
    <w:rsid w:val="00C80ECB"/>
    <w:rsid w:val="00C812E9"/>
    <w:rsid w:val="00C816CD"/>
    <w:rsid w:val="00C82040"/>
    <w:rsid w:val="00C8328D"/>
    <w:rsid w:val="00C83B64"/>
    <w:rsid w:val="00C83DC3"/>
    <w:rsid w:val="00C8425D"/>
    <w:rsid w:val="00C84598"/>
    <w:rsid w:val="00C84AD3"/>
    <w:rsid w:val="00C84C1C"/>
    <w:rsid w:val="00C84E44"/>
    <w:rsid w:val="00C84EDC"/>
    <w:rsid w:val="00C85322"/>
    <w:rsid w:val="00C853CC"/>
    <w:rsid w:val="00C8572E"/>
    <w:rsid w:val="00C8594D"/>
    <w:rsid w:val="00C85A43"/>
    <w:rsid w:val="00C85ADB"/>
    <w:rsid w:val="00C85C1E"/>
    <w:rsid w:val="00C85CA1"/>
    <w:rsid w:val="00C85DF3"/>
    <w:rsid w:val="00C86923"/>
    <w:rsid w:val="00C87536"/>
    <w:rsid w:val="00C87546"/>
    <w:rsid w:val="00C876BE"/>
    <w:rsid w:val="00C87813"/>
    <w:rsid w:val="00C87F5E"/>
    <w:rsid w:val="00C90042"/>
    <w:rsid w:val="00C90142"/>
    <w:rsid w:val="00C90418"/>
    <w:rsid w:val="00C906E8"/>
    <w:rsid w:val="00C90EFB"/>
    <w:rsid w:val="00C91068"/>
    <w:rsid w:val="00C910E2"/>
    <w:rsid w:val="00C91303"/>
    <w:rsid w:val="00C918A3"/>
    <w:rsid w:val="00C91E82"/>
    <w:rsid w:val="00C91F5E"/>
    <w:rsid w:val="00C91F66"/>
    <w:rsid w:val="00C92629"/>
    <w:rsid w:val="00C92727"/>
    <w:rsid w:val="00C92830"/>
    <w:rsid w:val="00C92947"/>
    <w:rsid w:val="00C92DFC"/>
    <w:rsid w:val="00C92E1E"/>
    <w:rsid w:val="00C92E35"/>
    <w:rsid w:val="00C92F25"/>
    <w:rsid w:val="00C92F4E"/>
    <w:rsid w:val="00C92F90"/>
    <w:rsid w:val="00C930DB"/>
    <w:rsid w:val="00C9317D"/>
    <w:rsid w:val="00C931C1"/>
    <w:rsid w:val="00C9331D"/>
    <w:rsid w:val="00C935C4"/>
    <w:rsid w:val="00C93622"/>
    <w:rsid w:val="00C9377C"/>
    <w:rsid w:val="00C93F64"/>
    <w:rsid w:val="00C942A9"/>
    <w:rsid w:val="00C94456"/>
    <w:rsid w:val="00C94632"/>
    <w:rsid w:val="00C94B7F"/>
    <w:rsid w:val="00C94E33"/>
    <w:rsid w:val="00C94F03"/>
    <w:rsid w:val="00C9500F"/>
    <w:rsid w:val="00C9525D"/>
    <w:rsid w:val="00C95322"/>
    <w:rsid w:val="00C95504"/>
    <w:rsid w:val="00C95712"/>
    <w:rsid w:val="00C95C66"/>
    <w:rsid w:val="00C95FF0"/>
    <w:rsid w:val="00C96A71"/>
    <w:rsid w:val="00C96CD1"/>
    <w:rsid w:val="00C96DC0"/>
    <w:rsid w:val="00C972AC"/>
    <w:rsid w:val="00C97432"/>
    <w:rsid w:val="00C974A7"/>
    <w:rsid w:val="00C979E6"/>
    <w:rsid w:val="00C979ED"/>
    <w:rsid w:val="00C97CC0"/>
    <w:rsid w:val="00C97E02"/>
    <w:rsid w:val="00C97EC9"/>
    <w:rsid w:val="00CA006B"/>
    <w:rsid w:val="00CA01B5"/>
    <w:rsid w:val="00CA02B3"/>
    <w:rsid w:val="00CA0617"/>
    <w:rsid w:val="00CA06EC"/>
    <w:rsid w:val="00CA080A"/>
    <w:rsid w:val="00CA096F"/>
    <w:rsid w:val="00CA0A26"/>
    <w:rsid w:val="00CA0B0C"/>
    <w:rsid w:val="00CA12D8"/>
    <w:rsid w:val="00CA1AAA"/>
    <w:rsid w:val="00CA1B0A"/>
    <w:rsid w:val="00CA1FA6"/>
    <w:rsid w:val="00CA2138"/>
    <w:rsid w:val="00CA2820"/>
    <w:rsid w:val="00CA29AD"/>
    <w:rsid w:val="00CA336B"/>
    <w:rsid w:val="00CA340E"/>
    <w:rsid w:val="00CA3A57"/>
    <w:rsid w:val="00CA401F"/>
    <w:rsid w:val="00CA40B5"/>
    <w:rsid w:val="00CA4A29"/>
    <w:rsid w:val="00CA4AD8"/>
    <w:rsid w:val="00CA4EAD"/>
    <w:rsid w:val="00CA5457"/>
    <w:rsid w:val="00CA5729"/>
    <w:rsid w:val="00CA5F0E"/>
    <w:rsid w:val="00CA5FE0"/>
    <w:rsid w:val="00CA6072"/>
    <w:rsid w:val="00CA64CE"/>
    <w:rsid w:val="00CA68E5"/>
    <w:rsid w:val="00CA6900"/>
    <w:rsid w:val="00CA704F"/>
    <w:rsid w:val="00CA74EF"/>
    <w:rsid w:val="00CA76D9"/>
    <w:rsid w:val="00CA77E4"/>
    <w:rsid w:val="00CA7A21"/>
    <w:rsid w:val="00CA7BEE"/>
    <w:rsid w:val="00CA7CC0"/>
    <w:rsid w:val="00CA7E62"/>
    <w:rsid w:val="00CB00B4"/>
    <w:rsid w:val="00CB0173"/>
    <w:rsid w:val="00CB01AD"/>
    <w:rsid w:val="00CB0858"/>
    <w:rsid w:val="00CB0E8C"/>
    <w:rsid w:val="00CB14BC"/>
    <w:rsid w:val="00CB170F"/>
    <w:rsid w:val="00CB17C6"/>
    <w:rsid w:val="00CB1EAC"/>
    <w:rsid w:val="00CB23AA"/>
    <w:rsid w:val="00CB256A"/>
    <w:rsid w:val="00CB2579"/>
    <w:rsid w:val="00CB25CF"/>
    <w:rsid w:val="00CB3547"/>
    <w:rsid w:val="00CB361C"/>
    <w:rsid w:val="00CB3AAD"/>
    <w:rsid w:val="00CB3F8F"/>
    <w:rsid w:val="00CB48B1"/>
    <w:rsid w:val="00CB549A"/>
    <w:rsid w:val="00CB58D5"/>
    <w:rsid w:val="00CB5A2C"/>
    <w:rsid w:val="00CB5B54"/>
    <w:rsid w:val="00CB5BD0"/>
    <w:rsid w:val="00CB7DF1"/>
    <w:rsid w:val="00CC0AF6"/>
    <w:rsid w:val="00CC1158"/>
    <w:rsid w:val="00CC164D"/>
    <w:rsid w:val="00CC19EE"/>
    <w:rsid w:val="00CC2EE7"/>
    <w:rsid w:val="00CC3766"/>
    <w:rsid w:val="00CC4210"/>
    <w:rsid w:val="00CC466B"/>
    <w:rsid w:val="00CC490F"/>
    <w:rsid w:val="00CC4E3F"/>
    <w:rsid w:val="00CC5CC7"/>
    <w:rsid w:val="00CC6284"/>
    <w:rsid w:val="00CC64C9"/>
    <w:rsid w:val="00CC698D"/>
    <w:rsid w:val="00CC6D29"/>
    <w:rsid w:val="00CC7E2C"/>
    <w:rsid w:val="00CD00B7"/>
    <w:rsid w:val="00CD0C4C"/>
    <w:rsid w:val="00CD0F7E"/>
    <w:rsid w:val="00CD19CA"/>
    <w:rsid w:val="00CD2B86"/>
    <w:rsid w:val="00CD2D15"/>
    <w:rsid w:val="00CD2FCC"/>
    <w:rsid w:val="00CD302B"/>
    <w:rsid w:val="00CD3AA6"/>
    <w:rsid w:val="00CD3D3D"/>
    <w:rsid w:val="00CD43CC"/>
    <w:rsid w:val="00CD442A"/>
    <w:rsid w:val="00CD46BA"/>
    <w:rsid w:val="00CD52D6"/>
    <w:rsid w:val="00CD540A"/>
    <w:rsid w:val="00CD568C"/>
    <w:rsid w:val="00CD5938"/>
    <w:rsid w:val="00CD598C"/>
    <w:rsid w:val="00CD5B90"/>
    <w:rsid w:val="00CD5D9D"/>
    <w:rsid w:val="00CD630B"/>
    <w:rsid w:val="00CD659A"/>
    <w:rsid w:val="00CD667A"/>
    <w:rsid w:val="00CD68F3"/>
    <w:rsid w:val="00CD6C56"/>
    <w:rsid w:val="00CD6F18"/>
    <w:rsid w:val="00CD783B"/>
    <w:rsid w:val="00CD7A73"/>
    <w:rsid w:val="00CD7A96"/>
    <w:rsid w:val="00CE0A76"/>
    <w:rsid w:val="00CE0C9A"/>
    <w:rsid w:val="00CE14E9"/>
    <w:rsid w:val="00CE1967"/>
    <w:rsid w:val="00CE1CF3"/>
    <w:rsid w:val="00CE1D21"/>
    <w:rsid w:val="00CE2120"/>
    <w:rsid w:val="00CE253C"/>
    <w:rsid w:val="00CE2CA3"/>
    <w:rsid w:val="00CE360B"/>
    <w:rsid w:val="00CE39C9"/>
    <w:rsid w:val="00CE4025"/>
    <w:rsid w:val="00CE4466"/>
    <w:rsid w:val="00CE4A98"/>
    <w:rsid w:val="00CE54FA"/>
    <w:rsid w:val="00CE560D"/>
    <w:rsid w:val="00CE5865"/>
    <w:rsid w:val="00CE5DB3"/>
    <w:rsid w:val="00CE65DD"/>
    <w:rsid w:val="00CE6BBC"/>
    <w:rsid w:val="00CE6DB5"/>
    <w:rsid w:val="00CE74DE"/>
    <w:rsid w:val="00CE7C21"/>
    <w:rsid w:val="00CE7E9D"/>
    <w:rsid w:val="00CE7F82"/>
    <w:rsid w:val="00CF0061"/>
    <w:rsid w:val="00CF04AE"/>
    <w:rsid w:val="00CF0784"/>
    <w:rsid w:val="00CF192D"/>
    <w:rsid w:val="00CF1CB2"/>
    <w:rsid w:val="00CF250B"/>
    <w:rsid w:val="00CF2972"/>
    <w:rsid w:val="00CF2B40"/>
    <w:rsid w:val="00CF2C21"/>
    <w:rsid w:val="00CF300C"/>
    <w:rsid w:val="00CF31BC"/>
    <w:rsid w:val="00CF336F"/>
    <w:rsid w:val="00CF347B"/>
    <w:rsid w:val="00CF3AC9"/>
    <w:rsid w:val="00CF3DC4"/>
    <w:rsid w:val="00CF4326"/>
    <w:rsid w:val="00CF4705"/>
    <w:rsid w:val="00CF482C"/>
    <w:rsid w:val="00CF49C6"/>
    <w:rsid w:val="00CF4ABF"/>
    <w:rsid w:val="00CF4BB7"/>
    <w:rsid w:val="00CF4BE9"/>
    <w:rsid w:val="00CF4EAA"/>
    <w:rsid w:val="00CF563E"/>
    <w:rsid w:val="00CF5A62"/>
    <w:rsid w:val="00CF5B65"/>
    <w:rsid w:val="00CF61F3"/>
    <w:rsid w:val="00CF63AE"/>
    <w:rsid w:val="00CF63EE"/>
    <w:rsid w:val="00CF6532"/>
    <w:rsid w:val="00CF660C"/>
    <w:rsid w:val="00CF671B"/>
    <w:rsid w:val="00CF6E24"/>
    <w:rsid w:val="00CF6FD1"/>
    <w:rsid w:val="00CF7175"/>
    <w:rsid w:val="00CF71FB"/>
    <w:rsid w:val="00CF745E"/>
    <w:rsid w:val="00CF75FB"/>
    <w:rsid w:val="00CF76B1"/>
    <w:rsid w:val="00CF7834"/>
    <w:rsid w:val="00CF79B6"/>
    <w:rsid w:val="00CF7D5D"/>
    <w:rsid w:val="00CF7DD6"/>
    <w:rsid w:val="00D002B7"/>
    <w:rsid w:val="00D00C6D"/>
    <w:rsid w:val="00D00EE0"/>
    <w:rsid w:val="00D01384"/>
    <w:rsid w:val="00D01576"/>
    <w:rsid w:val="00D01A54"/>
    <w:rsid w:val="00D01FB6"/>
    <w:rsid w:val="00D02C1A"/>
    <w:rsid w:val="00D02DFF"/>
    <w:rsid w:val="00D032A3"/>
    <w:rsid w:val="00D032A7"/>
    <w:rsid w:val="00D038DD"/>
    <w:rsid w:val="00D03F12"/>
    <w:rsid w:val="00D0438C"/>
    <w:rsid w:val="00D043E8"/>
    <w:rsid w:val="00D04461"/>
    <w:rsid w:val="00D04641"/>
    <w:rsid w:val="00D04A54"/>
    <w:rsid w:val="00D04B3E"/>
    <w:rsid w:val="00D04D02"/>
    <w:rsid w:val="00D04F20"/>
    <w:rsid w:val="00D051F3"/>
    <w:rsid w:val="00D05CB9"/>
    <w:rsid w:val="00D05ECE"/>
    <w:rsid w:val="00D05F56"/>
    <w:rsid w:val="00D06263"/>
    <w:rsid w:val="00D0670B"/>
    <w:rsid w:val="00D06A92"/>
    <w:rsid w:val="00D06C76"/>
    <w:rsid w:val="00D06D3A"/>
    <w:rsid w:val="00D0746F"/>
    <w:rsid w:val="00D07514"/>
    <w:rsid w:val="00D076C9"/>
    <w:rsid w:val="00D07AB0"/>
    <w:rsid w:val="00D07C08"/>
    <w:rsid w:val="00D100D9"/>
    <w:rsid w:val="00D10449"/>
    <w:rsid w:val="00D109FB"/>
    <w:rsid w:val="00D10BAF"/>
    <w:rsid w:val="00D10EB0"/>
    <w:rsid w:val="00D11067"/>
    <w:rsid w:val="00D11606"/>
    <w:rsid w:val="00D11623"/>
    <w:rsid w:val="00D1183E"/>
    <w:rsid w:val="00D11BF9"/>
    <w:rsid w:val="00D1227D"/>
    <w:rsid w:val="00D123BF"/>
    <w:rsid w:val="00D12797"/>
    <w:rsid w:val="00D12903"/>
    <w:rsid w:val="00D131E2"/>
    <w:rsid w:val="00D1328F"/>
    <w:rsid w:val="00D13AD5"/>
    <w:rsid w:val="00D140F1"/>
    <w:rsid w:val="00D1415A"/>
    <w:rsid w:val="00D1442E"/>
    <w:rsid w:val="00D14558"/>
    <w:rsid w:val="00D14600"/>
    <w:rsid w:val="00D152BE"/>
    <w:rsid w:val="00D15347"/>
    <w:rsid w:val="00D155B0"/>
    <w:rsid w:val="00D16005"/>
    <w:rsid w:val="00D16261"/>
    <w:rsid w:val="00D163FF"/>
    <w:rsid w:val="00D16D42"/>
    <w:rsid w:val="00D16D85"/>
    <w:rsid w:val="00D17097"/>
    <w:rsid w:val="00D1721B"/>
    <w:rsid w:val="00D174DB"/>
    <w:rsid w:val="00D17566"/>
    <w:rsid w:val="00D177E6"/>
    <w:rsid w:val="00D17922"/>
    <w:rsid w:val="00D17C24"/>
    <w:rsid w:val="00D17EF5"/>
    <w:rsid w:val="00D20074"/>
    <w:rsid w:val="00D20304"/>
    <w:rsid w:val="00D20324"/>
    <w:rsid w:val="00D2033D"/>
    <w:rsid w:val="00D2099A"/>
    <w:rsid w:val="00D20CF4"/>
    <w:rsid w:val="00D20D47"/>
    <w:rsid w:val="00D20DE0"/>
    <w:rsid w:val="00D20FBA"/>
    <w:rsid w:val="00D214E8"/>
    <w:rsid w:val="00D217D1"/>
    <w:rsid w:val="00D218FF"/>
    <w:rsid w:val="00D21D95"/>
    <w:rsid w:val="00D21E84"/>
    <w:rsid w:val="00D21F99"/>
    <w:rsid w:val="00D225B0"/>
    <w:rsid w:val="00D22834"/>
    <w:rsid w:val="00D22D19"/>
    <w:rsid w:val="00D23C0C"/>
    <w:rsid w:val="00D23E2E"/>
    <w:rsid w:val="00D23EAB"/>
    <w:rsid w:val="00D247F0"/>
    <w:rsid w:val="00D24832"/>
    <w:rsid w:val="00D24C96"/>
    <w:rsid w:val="00D24DE5"/>
    <w:rsid w:val="00D253D1"/>
    <w:rsid w:val="00D254ED"/>
    <w:rsid w:val="00D256DA"/>
    <w:rsid w:val="00D25B8D"/>
    <w:rsid w:val="00D25C38"/>
    <w:rsid w:val="00D25CF6"/>
    <w:rsid w:val="00D2611D"/>
    <w:rsid w:val="00D264C4"/>
    <w:rsid w:val="00D2686C"/>
    <w:rsid w:val="00D26914"/>
    <w:rsid w:val="00D269DF"/>
    <w:rsid w:val="00D27588"/>
    <w:rsid w:val="00D27955"/>
    <w:rsid w:val="00D27D3B"/>
    <w:rsid w:val="00D30068"/>
    <w:rsid w:val="00D30258"/>
    <w:rsid w:val="00D309B9"/>
    <w:rsid w:val="00D30E5E"/>
    <w:rsid w:val="00D31540"/>
    <w:rsid w:val="00D31721"/>
    <w:rsid w:val="00D31C6D"/>
    <w:rsid w:val="00D3278C"/>
    <w:rsid w:val="00D32E2A"/>
    <w:rsid w:val="00D32FEB"/>
    <w:rsid w:val="00D3318D"/>
    <w:rsid w:val="00D33A1A"/>
    <w:rsid w:val="00D3436A"/>
    <w:rsid w:val="00D34428"/>
    <w:rsid w:val="00D34582"/>
    <w:rsid w:val="00D34D8C"/>
    <w:rsid w:val="00D34DED"/>
    <w:rsid w:val="00D3520E"/>
    <w:rsid w:val="00D3521A"/>
    <w:rsid w:val="00D35366"/>
    <w:rsid w:val="00D35D5A"/>
    <w:rsid w:val="00D362A8"/>
    <w:rsid w:val="00D36447"/>
    <w:rsid w:val="00D366DC"/>
    <w:rsid w:val="00D369C8"/>
    <w:rsid w:val="00D36D5C"/>
    <w:rsid w:val="00D36E1D"/>
    <w:rsid w:val="00D371A9"/>
    <w:rsid w:val="00D3729F"/>
    <w:rsid w:val="00D37921"/>
    <w:rsid w:val="00D37CE1"/>
    <w:rsid w:val="00D37D10"/>
    <w:rsid w:val="00D407D8"/>
    <w:rsid w:val="00D40C22"/>
    <w:rsid w:val="00D41075"/>
    <w:rsid w:val="00D413CE"/>
    <w:rsid w:val="00D415FF"/>
    <w:rsid w:val="00D4166F"/>
    <w:rsid w:val="00D417B1"/>
    <w:rsid w:val="00D418C4"/>
    <w:rsid w:val="00D41CEF"/>
    <w:rsid w:val="00D42148"/>
    <w:rsid w:val="00D42583"/>
    <w:rsid w:val="00D4278A"/>
    <w:rsid w:val="00D42929"/>
    <w:rsid w:val="00D42D04"/>
    <w:rsid w:val="00D42FB5"/>
    <w:rsid w:val="00D438AB"/>
    <w:rsid w:val="00D43A1C"/>
    <w:rsid w:val="00D43AAB"/>
    <w:rsid w:val="00D43E1F"/>
    <w:rsid w:val="00D44022"/>
    <w:rsid w:val="00D441D5"/>
    <w:rsid w:val="00D4461F"/>
    <w:rsid w:val="00D45397"/>
    <w:rsid w:val="00D45421"/>
    <w:rsid w:val="00D45DC2"/>
    <w:rsid w:val="00D46094"/>
    <w:rsid w:val="00D46298"/>
    <w:rsid w:val="00D46314"/>
    <w:rsid w:val="00D463DF"/>
    <w:rsid w:val="00D46419"/>
    <w:rsid w:val="00D46472"/>
    <w:rsid w:val="00D4666E"/>
    <w:rsid w:val="00D469A9"/>
    <w:rsid w:val="00D46A5D"/>
    <w:rsid w:val="00D46ADE"/>
    <w:rsid w:val="00D46B37"/>
    <w:rsid w:val="00D46F60"/>
    <w:rsid w:val="00D46FB4"/>
    <w:rsid w:val="00D46FD6"/>
    <w:rsid w:val="00D47929"/>
    <w:rsid w:val="00D479D4"/>
    <w:rsid w:val="00D47F69"/>
    <w:rsid w:val="00D506E2"/>
    <w:rsid w:val="00D5077C"/>
    <w:rsid w:val="00D50897"/>
    <w:rsid w:val="00D50D1E"/>
    <w:rsid w:val="00D50D67"/>
    <w:rsid w:val="00D5111A"/>
    <w:rsid w:val="00D513C0"/>
    <w:rsid w:val="00D51747"/>
    <w:rsid w:val="00D5214A"/>
    <w:rsid w:val="00D524B4"/>
    <w:rsid w:val="00D52B26"/>
    <w:rsid w:val="00D533C6"/>
    <w:rsid w:val="00D54DAB"/>
    <w:rsid w:val="00D5538E"/>
    <w:rsid w:val="00D554D8"/>
    <w:rsid w:val="00D55707"/>
    <w:rsid w:val="00D5587D"/>
    <w:rsid w:val="00D55C41"/>
    <w:rsid w:val="00D55D7E"/>
    <w:rsid w:val="00D5614B"/>
    <w:rsid w:val="00D5686A"/>
    <w:rsid w:val="00D56DBB"/>
    <w:rsid w:val="00D56E3A"/>
    <w:rsid w:val="00D56FED"/>
    <w:rsid w:val="00D57775"/>
    <w:rsid w:val="00D577E6"/>
    <w:rsid w:val="00D57EAD"/>
    <w:rsid w:val="00D57F69"/>
    <w:rsid w:val="00D601F8"/>
    <w:rsid w:val="00D60342"/>
    <w:rsid w:val="00D60488"/>
    <w:rsid w:val="00D60508"/>
    <w:rsid w:val="00D60863"/>
    <w:rsid w:val="00D60BDA"/>
    <w:rsid w:val="00D60E3B"/>
    <w:rsid w:val="00D60EA7"/>
    <w:rsid w:val="00D60FD7"/>
    <w:rsid w:val="00D61113"/>
    <w:rsid w:val="00D6112B"/>
    <w:rsid w:val="00D613BA"/>
    <w:rsid w:val="00D617F9"/>
    <w:rsid w:val="00D6196C"/>
    <w:rsid w:val="00D61AB9"/>
    <w:rsid w:val="00D61ADE"/>
    <w:rsid w:val="00D61AE5"/>
    <w:rsid w:val="00D621AD"/>
    <w:rsid w:val="00D625B3"/>
    <w:rsid w:val="00D62C23"/>
    <w:rsid w:val="00D6350A"/>
    <w:rsid w:val="00D63552"/>
    <w:rsid w:val="00D638E7"/>
    <w:rsid w:val="00D63DF2"/>
    <w:rsid w:val="00D63EC1"/>
    <w:rsid w:val="00D64176"/>
    <w:rsid w:val="00D641F7"/>
    <w:rsid w:val="00D64280"/>
    <w:rsid w:val="00D642AD"/>
    <w:rsid w:val="00D64352"/>
    <w:rsid w:val="00D64584"/>
    <w:rsid w:val="00D6471A"/>
    <w:rsid w:val="00D647A2"/>
    <w:rsid w:val="00D64848"/>
    <w:rsid w:val="00D64CEB"/>
    <w:rsid w:val="00D64D9E"/>
    <w:rsid w:val="00D65346"/>
    <w:rsid w:val="00D65678"/>
    <w:rsid w:val="00D6604B"/>
    <w:rsid w:val="00D665B9"/>
    <w:rsid w:val="00D672D6"/>
    <w:rsid w:val="00D6776A"/>
    <w:rsid w:val="00D67C21"/>
    <w:rsid w:val="00D709B8"/>
    <w:rsid w:val="00D712F2"/>
    <w:rsid w:val="00D712F4"/>
    <w:rsid w:val="00D71566"/>
    <w:rsid w:val="00D71593"/>
    <w:rsid w:val="00D718C8"/>
    <w:rsid w:val="00D71B5B"/>
    <w:rsid w:val="00D71D33"/>
    <w:rsid w:val="00D71E40"/>
    <w:rsid w:val="00D72179"/>
    <w:rsid w:val="00D7224C"/>
    <w:rsid w:val="00D7227B"/>
    <w:rsid w:val="00D729BF"/>
    <w:rsid w:val="00D72A16"/>
    <w:rsid w:val="00D72BA6"/>
    <w:rsid w:val="00D72BCD"/>
    <w:rsid w:val="00D72BF7"/>
    <w:rsid w:val="00D72F26"/>
    <w:rsid w:val="00D7342A"/>
    <w:rsid w:val="00D73576"/>
    <w:rsid w:val="00D735DD"/>
    <w:rsid w:val="00D736CD"/>
    <w:rsid w:val="00D7375A"/>
    <w:rsid w:val="00D73F11"/>
    <w:rsid w:val="00D740B5"/>
    <w:rsid w:val="00D741BC"/>
    <w:rsid w:val="00D74254"/>
    <w:rsid w:val="00D74646"/>
    <w:rsid w:val="00D74D57"/>
    <w:rsid w:val="00D74EFA"/>
    <w:rsid w:val="00D7502F"/>
    <w:rsid w:val="00D7535B"/>
    <w:rsid w:val="00D7537E"/>
    <w:rsid w:val="00D756D3"/>
    <w:rsid w:val="00D7576E"/>
    <w:rsid w:val="00D75973"/>
    <w:rsid w:val="00D75BAF"/>
    <w:rsid w:val="00D75E1E"/>
    <w:rsid w:val="00D761F0"/>
    <w:rsid w:val="00D76226"/>
    <w:rsid w:val="00D76341"/>
    <w:rsid w:val="00D76411"/>
    <w:rsid w:val="00D764D3"/>
    <w:rsid w:val="00D764E9"/>
    <w:rsid w:val="00D7662B"/>
    <w:rsid w:val="00D76790"/>
    <w:rsid w:val="00D76F87"/>
    <w:rsid w:val="00D77253"/>
    <w:rsid w:val="00D7737D"/>
    <w:rsid w:val="00D77A37"/>
    <w:rsid w:val="00D77BAC"/>
    <w:rsid w:val="00D77DF7"/>
    <w:rsid w:val="00D77F5C"/>
    <w:rsid w:val="00D805A4"/>
    <w:rsid w:val="00D8105D"/>
    <w:rsid w:val="00D81133"/>
    <w:rsid w:val="00D811AF"/>
    <w:rsid w:val="00D81262"/>
    <w:rsid w:val="00D816D9"/>
    <w:rsid w:val="00D818F9"/>
    <w:rsid w:val="00D81D2C"/>
    <w:rsid w:val="00D81D9E"/>
    <w:rsid w:val="00D81E8F"/>
    <w:rsid w:val="00D82236"/>
    <w:rsid w:val="00D8282E"/>
    <w:rsid w:val="00D829E6"/>
    <w:rsid w:val="00D831E7"/>
    <w:rsid w:val="00D83F69"/>
    <w:rsid w:val="00D84E07"/>
    <w:rsid w:val="00D851BB"/>
    <w:rsid w:val="00D852B2"/>
    <w:rsid w:val="00D853AB"/>
    <w:rsid w:val="00D85463"/>
    <w:rsid w:val="00D854E8"/>
    <w:rsid w:val="00D85978"/>
    <w:rsid w:val="00D859E7"/>
    <w:rsid w:val="00D85A4D"/>
    <w:rsid w:val="00D85CBC"/>
    <w:rsid w:val="00D85CCC"/>
    <w:rsid w:val="00D86659"/>
    <w:rsid w:val="00D86732"/>
    <w:rsid w:val="00D875D1"/>
    <w:rsid w:val="00D87767"/>
    <w:rsid w:val="00D87D7E"/>
    <w:rsid w:val="00D87ECC"/>
    <w:rsid w:val="00D90E92"/>
    <w:rsid w:val="00D91074"/>
    <w:rsid w:val="00D915CE"/>
    <w:rsid w:val="00D916DB"/>
    <w:rsid w:val="00D91CC7"/>
    <w:rsid w:val="00D92FE1"/>
    <w:rsid w:val="00D93409"/>
    <w:rsid w:val="00D9377A"/>
    <w:rsid w:val="00D94438"/>
    <w:rsid w:val="00D94627"/>
    <w:rsid w:val="00D946DB"/>
    <w:rsid w:val="00D94D77"/>
    <w:rsid w:val="00D95039"/>
    <w:rsid w:val="00D95373"/>
    <w:rsid w:val="00D95538"/>
    <w:rsid w:val="00D95980"/>
    <w:rsid w:val="00D95A96"/>
    <w:rsid w:val="00D95E0C"/>
    <w:rsid w:val="00D96103"/>
    <w:rsid w:val="00D96298"/>
    <w:rsid w:val="00D9633F"/>
    <w:rsid w:val="00D9688D"/>
    <w:rsid w:val="00D9692C"/>
    <w:rsid w:val="00D979F5"/>
    <w:rsid w:val="00D97B00"/>
    <w:rsid w:val="00D97C16"/>
    <w:rsid w:val="00DA01A7"/>
    <w:rsid w:val="00DA07F2"/>
    <w:rsid w:val="00DA1328"/>
    <w:rsid w:val="00DA191A"/>
    <w:rsid w:val="00DA1BC9"/>
    <w:rsid w:val="00DA21A6"/>
    <w:rsid w:val="00DA220C"/>
    <w:rsid w:val="00DA27B1"/>
    <w:rsid w:val="00DA2BA7"/>
    <w:rsid w:val="00DA2DD7"/>
    <w:rsid w:val="00DA30AB"/>
    <w:rsid w:val="00DA357B"/>
    <w:rsid w:val="00DA375D"/>
    <w:rsid w:val="00DA3A46"/>
    <w:rsid w:val="00DA4803"/>
    <w:rsid w:val="00DA4A01"/>
    <w:rsid w:val="00DA4B3A"/>
    <w:rsid w:val="00DA5220"/>
    <w:rsid w:val="00DA54D9"/>
    <w:rsid w:val="00DA59C8"/>
    <w:rsid w:val="00DA5C9A"/>
    <w:rsid w:val="00DA67B6"/>
    <w:rsid w:val="00DA6918"/>
    <w:rsid w:val="00DA6D53"/>
    <w:rsid w:val="00DA6D6E"/>
    <w:rsid w:val="00DA7083"/>
    <w:rsid w:val="00DA7093"/>
    <w:rsid w:val="00DA71D9"/>
    <w:rsid w:val="00DA7269"/>
    <w:rsid w:val="00DA7A50"/>
    <w:rsid w:val="00DB008B"/>
    <w:rsid w:val="00DB01BB"/>
    <w:rsid w:val="00DB092B"/>
    <w:rsid w:val="00DB0DF0"/>
    <w:rsid w:val="00DB0E80"/>
    <w:rsid w:val="00DB1161"/>
    <w:rsid w:val="00DB1783"/>
    <w:rsid w:val="00DB1935"/>
    <w:rsid w:val="00DB19A6"/>
    <w:rsid w:val="00DB19B6"/>
    <w:rsid w:val="00DB1D3C"/>
    <w:rsid w:val="00DB2915"/>
    <w:rsid w:val="00DB33F6"/>
    <w:rsid w:val="00DB350C"/>
    <w:rsid w:val="00DB36BE"/>
    <w:rsid w:val="00DB379D"/>
    <w:rsid w:val="00DB38B1"/>
    <w:rsid w:val="00DB3BAC"/>
    <w:rsid w:val="00DB3DD2"/>
    <w:rsid w:val="00DB44D9"/>
    <w:rsid w:val="00DB4602"/>
    <w:rsid w:val="00DB5438"/>
    <w:rsid w:val="00DB5503"/>
    <w:rsid w:val="00DB566A"/>
    <w:rsid w:val="00DB6296"/>
    <w:rsid w:val="00DB68BA"/>
    <w:rsid w:val="00DB781E"/>
    <w:rsid w:val="00DC090C"/>
    <w:rsid w:val="00DC0917"/>
    <w:rsid w:val="00DC1090"/>
    <w:rsid w:val="00DC13D9"/>
    <w:rsid w:val="00DC15A4"/>
    <w:rsid w:val="00DC1C1B"/>
    <w:rsid w:val="00DC1F47"/>
    <w:rsid w:val="00DC239C"/>
    <w:rsid w:val="00DC249C"/>
    <w:rsid w:val="00DC256B"/>
    <w:rsid w:val="00DC2DF8"/>
    <w:rsid w:val="00DC3298"/>
    <w:rsid w:val="00DC34F0"/>
    <w:rsid w:val="00DC3572"/>
    <w:rsid w:val="00DC3775"/>
    <w:rsid w:val="00DC399D"/>
    <w:rsid w:val="00DC3AA9"/>
    <w:rsid w:val="00DC3BB5"/>
    <w:rsid w:val="00DC3CEE"/>
    <w:rsid w:val="00DC4F0E"/>
    <w:rsid w:val="00DC5339"/>
    <w:rsid w:val="00DC5600"/>
    <w:rsid w:val="00DC579F"/>
    <w:rsid w:val="00DC5A7A"/>
    <w:rsid w:val="00DC605A"/>
    <w:rsid w:val="00DC62BA"/>
    <w:rsid w:val="00DC676C"/>
    <w:rsid w:val="00DC6DE8"/>
    <w:rsid w:val="00DC7C29"/>
    <w:rsid w:val="00DD033F"/>
    <w:rsid w:val="00DD03B5"/>
    <w:rsid w:val="00DD063A"/>
    <w:rsid w:val="00DD08E7"/>
    <w:rsid w:val="00DD0A6F"/>
    <w:rsid w:val="00DD0B50"/>
    <w:rsid w:val="00DD0BF0"/>
    <w:rsid w:val="00DD1468"/>
    <w:rsid w:val="00DD1CFE"/>
    <w:rsid w:val="00DD1EDC"/>
    <w:rsid w:val="00DD22F3"/>
    <w:rsid w:val="00DD236A"/>
    <w:rsid w:val="00DD24DE"/>
    <w:rsid w:val="00DD254C"/>
    <w:rsid w:val="00DD26C4"/>
    <w:rsid w:val="00DD287E"/>
    <w:rsid w:val="00DD2AF0"/>
    <w:rsid w:val="00DD2B36"/>
    <w:rsid w:val="00DD2CF7"/>
    <w:rsid w:val="00DD3335"/>
    <w:rsid w:val="00DD382B"/>
    <w:rsid w:val="00DD3EB3"/>
    <w:rsid w:val="00DD432C"/>
    <w:rsid w:val="00DD45A9"/>
    <w:rsid w:val="00DD4E56"/>
    <w:rsid w:val="00DD4F33"/>
    <w:rsid w:val="00DD53CE"/>
    <w:rsid w:val="00DD5A7E"/>
    <w:rsid w:val="00DD60F7"/>
    <w:rsid w:val="00DD6434"/>
    <w:rsid w:val="00DD67D3"/>
    <w:rsid w:val="00DD68F3"/>
    <w:rsid w:val="00DD6D14"/>
    <w:rsid w:val="00DD7057"/>
    <w:rsid w:val="00DD71C8"/>
    <w:rsid w:val="00DD7666"/>
    <w:rsid w:val="00DD7B3E"/>
    <w:rsid w:val="00DD7CD9"/>
    <w:rsid w:val="00DD7EAD"/>
    <w:rsid w:val="00DE002E"/>
    <w:rsid w:val="00DE0346"/>
    <w:rsid w:val="00DE0513"/>
    <w:rsid w:val="00DE0740"/>
    <w:rsid w:val="00DE0ECC"/>
    <w:rsid w:val="00DE1723"/>
    <w:rsid w:val="00DE1886"/>
    <w:rsid w:val="00DE29BC"/>
    <w:rsid w:val="00DE3814"/>
    <w:rsid w:val="00DE3A76"/>
    <w:rsid w:val="00DE3C4F"/>
    <w:rsid w:val="00DE41E0"/>
    <w:rsid w:val="00DE4A48"/>
    <w:rsid w:val="00DE4AD0"/>
    <w:rsid w:val="00DE50C3"/>
    <w:rsid w:val="00DE545A"/>
    <w:rsid w:val="00DE55EA"/>
    <w:rsid w:val="00DE58CC"/>
    <w:rsid w:val="00DE59EA"/>
    <w:rsid w:val="00DE59F8"/>
    <w:rsid w:val="00DE63D3"/>
    <w:rsid w:val="00DE6674"/>
    <w:rsid w:val="00DE673E"/>
    <w:rsid w:val="00DE6B72"/>
    <w:rsid w:val="00DE6E5C"/>
    <w:rsid w:val="00DE71CC"/>
    <w:rsid w:val="00DE7672"/>
    <w:rsid w:val="00DE781B"/>
    <w:rsid w:val="00DE7BC8"/>
    <w:rsid w:val="00DE7C07"/>
    <w:rsid w:val="00DE7E28"/>
    <w:rsid w:val="00DF003C"/>
    <w:rsid w:val="00DF02A8"/>
    <w:rsid w:val="00DF076C"/>
    <w:rsid w:val="00DF0BB8"/>
    <w:rsid w:val="00DF1654"/>
    <w:rsid w:val="00DF1A22"/>
    <w:rsid w:val="00DF1F48"/>
    <w:rsid w:val="00DF1FBD"/>
    <w:rsid w:val="00DF1FC8"/>
    <w:rsid w:val="00DF20BD"/>
    <w:rsid w:val="00DF2180"/>
    <w:rsid w:val="00DF21B8"/>
    <w:rsid w:val="00DF2492"/>
    <w:rsid w:val="00DF27EF"/>
    <w:rsid w:val="00DF29EC"/>
    <w:rsid w:val="00DF2C74"/>
    <w:rsid w:val="00DF2F41"/>
    <w:rsid w:val="00DF3D0B"/>
    <w:rsid w:val="00DF4844"/>
    <w:rsid w:val="00DF4D6C"/>
    <w:rsid w:val="00DF4E93"/>
    <w:rsid w:val="00DF556D"/>
    <w:rsid w:val="00DF62AF"/>
    <w:rsid w:val="00DF6B3E"/>
    <w:rsid w:val="00DF6CCF"/>
    <w:rsid w:val="00DF6E6B"/>
    <w:rsid w:val="00DF7423"/>
    <w:rsid w:val="00DF7F7D"/>
    <w:rsid w:val="00E001BC"/>
    <w:rsid w:val="00E00524"/>
    <w:rsid w:val="00E0084F"/>
    <w:rsid w:val="00E00D64"/>
    <w:rsid w:val="00E01A9B"/>
    <w:rsid w:val="00E01B0C"/>
    <w:rsid w:val="00E01ECD"/>
    <w:rsid w:val="00E020A1"/>
    <w:rsid w:val="00E02532"/>
    <w:rsid w:val="00E0282A"/>
    <w:rsid w:val="00E02985"/>
    <w:rsid w:val="00E0352E"/>
    <w:rsid w:val="00E03F93"/>
    <w:rsid w:val="00E04126"/>
    <w:rsid w:val="00E045BD"/>
    <w:rsid w:val="00E04918"/>
    <w:rsid w:val="00E05579"/>
    <w:rsid w:val="00E057D1"/>
    <w:rsid w:val="00E06230"/>
    <w:rsid w:val="00E06281"/>
    <w:rsid w:val="00E065F8"/>
    <w:rsid w:val="00E066D9"/>
    <w:rsid w:val="00E06A4F"/>
    <w:rsid w:val="00E06F0E"/>
    <w:rsid w:val="00E07A61"/>
    <w:rsid w:val="00E07E81"/>
    <w:rsid w:val="00E07F7C"/>
    <w:rsid w:val="00E104C5"/>
    <w:rsid w:val="00E10640"/>
    <w:rsid w:val="00E10C87"/>
    <w:rsid w:val="00E1158E"/>
    <w:rsid w:val="00E1171A"/>
    <w:rsid w:val="00E11959"/>
    <w:rsid w:val="00E11A85"/>
    <w:rsid w:val="00E12437"/>
    <w:rsid w:val="00E128D5"/>
    <w:rsid w:val="00E13126"/>
    <w:rsid w:val="00E133EA"/>
    <w:rsid w:val="00E134DC"/>
    <w:rsid w:val="00E13622"/>
    <w:rsid w:val="00E13DCC"/>
    <w:rsid w:val="00E13F17"/>
    <w:rsid w:val="00E1450A"/>
    <w:rsid w:val="00E147FB"/>
    <w:rsid w:val="00E14B95"/>
    <w:rsid w:val="00E14D45"/>
    <w:rsid w:val="00E1549C"/>
    <w:rsid w:val="00E157E8"/>
    <w:rsid w:val="00E15873"/>
    <w:rsid w:val="00E16753"/>
    <w:rsid w:val="00E16A20"/>
    <w:rsid w:val="00E16CEB"/>
    <w:rsid w:val="00E17360"/>
    <w:rsid w:val="00E1745A"/>
    <w:rsid w:val="00E17ADF"/>
    <w:rsid w:val="00E17C54"/>
    <w:rsid w:val="00E17E0F"/>
    <w:rsid w:val="00E20017"/>
    <w:rsid w:val="00E20529"/>
    <w:rsid w:val="00E206DC"/>
    <w:rsid w:val="00E20EDC"/>
    <w:rsid w:val="00E20FC3"/>
    <w:rsid w:val="00E21585"/>
    <w:rsid w:val="00E21E31"/>
    <w:rsid w:val="00E21E49"/>
    <w:rsid w:val="00E22183"/>
    <w:rsid w:val="00E221D5"/>
    <w:rsid w:val="00E223C8"/>
    <w:rsid w:val="00E22663"/>
    <w:rsid w:val="00E2280E"/>
    <w:rsid w:val="00E2305C"/>
    <w:rsid w:val="00E23083"/>
    <w:rsid w:val="00E230A9"/>
    <w:rsid w:val="00E237C8"/>
    <w:rsid w:val="00E23A0C"/>
    <w:rsid w:val="00E23C23"/>
    <w:rsid w:val="00E23DF1"/>
    <w:rsid w:val="00E240EC"/>
    <w:rsid w:val="00E24236"/>
    <w:rsid w:val="00E2445E"/>
    <w:rsid w:val="00E2468A"/>
    <w:rsid w:val="00E24B02"/>
    <w:rsid w:val="00E24BE8"/>
    <w:rsid w:val="00E25179"/>
    <w:rsid w:val="00E25562"/>
    <w:rsid w:val="00E25AB1"/>
    <w:rsid w:val="00E265D2"/>
    <w:rsid w:val="00E265FA"/>
    <w:rsid w:val="00E26614"/>
    <w:rsid w:val="00E266A0"/>
    <w:rsid w:val="00E26A7D"/>
    <w:rsid w:val="00E26B78"/>
    <w:rsid w:val="00E26CE0"/>
    <w:rsid w:val="00E27003"/>
    <w:rsid w:val="00E27AD9"/>
    <w:rsid w:val="00E27B23"/>
    <w:rsid w:val="00E27D34"/>
    <w:rsid w:val="00E27E0D"/>
    <w:rsid w:val="00E3060D"/>
    <w:rsid w:val="00E307B0"/>
    <w:rsid w:val="00E308AD"/>
    <w:rsid w:val="00E30E37"/>
    <w:rsid w:val="00E31B11"/>
    <w:rsid w:val="00E3230F"/>
    <w:rsid w:val="00E3256C"/>
    <w:rsid w:val="00E32AF2"/>
    <w:rsid w:val="00E32D1B"/>
    <w:rsid w:val="00E331D5"/>
    <w:rsid w:val="00E33220"/>
    <w:rsid w:val="00E33323"/>
    <w:rsid w:val="00E33652"/>
    <w:rsid w:val="00E3397E"/>
    <w:rsid w:val="00E34308"/>
    <w:rsid w:val="00E34496"/>
    <w:rsid w:val="00E345B5"/>
    <w:rsid w:val="00E3462A"/>
    <w:rsid w:val="00E34761"/>
    <w:rsid w:val="00E34B6D"/>
    <w:rsid w:val="00E356BB"/>
    <w:rsid w:val="00E357AF"/>
    <w:rsid w:val="00E3588D"/>
    <w:rsid w:val="00E35A46"/>
    <w:rsid w:val="00E35F67"/>
    <w:rsid w:val="00E35F95"/>
    <w:rsid w:val="00E3605A"/>
    <w:rsid w:val="00E361E4"/>
    <w:rsid w:val="00E367FB"/>
    <w:rsid w:val="00E36901"/>
    <w:rsid w:val="00E36A8F"/>
    <w:rsid w:val="00E375B1"/>
    <w:rsid w:val="00E404D3"/>
    <w:rsid w:val="00E40545"/>
    <w:rsid w:val="00E40591"/>
    <w:rsid w:val="00E4095A"/>
    <w:rsid w:val="00E409C9"/>
    <w:rsid w:val="00E40FA5"/>
    <w:rsid w:val="00E41489"/>
    <w:rsid w:val="00E416F0"/>
    <w:rsid w:val="00E4173F"/>
    <w:rsid w:val="00E41877"/>
    <w:rsid w:val="00E41951"/>
    <w:rsid w:val="00E41DAD"/>
    <w:rsid w:val="00E41DE3"/>
    <w:rsid w:val="00E42258"/>
    <w:rsid w:val="00E426D0"/>
    <w:rsid w:val="00E42724"/>
    <w:rsid w:val="00E429CD"/>
    <w:rsid w:val="00E42EEE"/>
    <w:rsid w:val="00E42F17"/>
    <w:rsid w:val="00E431E7"/>
    <w:rsid w:val="00E4325D"/>
    <w:rsid w:val="00E4329A"/>
    <w:rsid w:val="00E43534"/>
    <w:rsid w:val="00E435DC"/>
    <w:rsid w:val="00E436FF"/>
    <w:rsid w:val="00E43834"/>
    <w:rsid w:val="00E43C8D"/>
    <w:rsid w:val="00E44032"/>
    <w:rsid w:val="00E440F7"/>
    <w:rsid w:val="00E44540"/>
    <w:rsid w:val="00E448FC"/>
    <w:rsid w:val="00E4495B"/>
    <w:rsid w:val="00E4497F"/>
    <w:rsid w:val="00E44B87"/>
    <w:rsid w:val="00E45095"/>
    <w:rsid w:val="00E45294"/>
    <w:rsid w:val="00E4531C"/>
    <w:rsid w:val="00E454B1"/>
    <w:rsid w:val="00E45809"/>
    <w:rsid w:val="00E45A32"/>
    <w:rsid w:val="00E45DFB"/>
    <w:rsid w:val="00E45FB8"/>
    <w:rsid w:val="00E46018"/>
    <w:rsid w:val="00E46037"/>
    <w:rsid w:val="00E465D3"/>
    <w:rsid w:val="00E46A36"/>
    <w:rsid w:val="00E46EAE"/>
    <w:rsid w:val="00E47248"/>
    <w:rsid w:val="00E47282"/>
    <w:rsid w:val="00E477E8"/>
    <w:rsid w:val="00E47847"/>
    <w:rsid w:val="00E47BD5"/>
    <w:rsid w:val="00E506AA"/>
    <w:rsid w:val="00E50EC0"/>
    <w:rsid w:val="00E512DF"/>
    <w:rsid w:val="00E51664"/>
    <w:rsid w:val="00E5169A"/>
    <w:rsid w:val="00E516C6"/>
    <w:rsid w:val="00E51717"/>
    <w:rsid w:val="00E51B34"/>
    <w:rsid w:val="00E51BAE"/>
    <w:rsid w:val="00E51E08"/>
    <w:rsid w:val="00E525A9"/>
    <w:rsid w:val="00E52932"/>
    <w:rsid w:val="00E53163"/>
    <w:rsid w:val="00E531E6"/>
    <w:rsid w:val="00E533F6"/>
    <w:rsid w:val="00E53F31"/>
    <w:rsid w:val="00E53F73"/>
    <w:rsid w:val="00E54288"/>
    <w:rsid w:val="00E54558"/>
    <w:rsid w:val="00E54C5D"/>
    <w:rsid w:val="00E54D68"/>
    <w:rsid w:val="00E55125"/>
    <w:rsid w:val="00E5529C"/>
    <w:rsid w:val="00E55BA4"/>
    <w:rsid w:val="00E566F4"/>
    <w:rsid w:val="00E56CE3"/>
    <w:rsid w:val="00E56D0B"/>
    <w:rsid w:val="00E56E65"/>
    <w:rsid w:val="00E56E8C"/>
    <w:rsid w:val="00E56EBA"/>
    <w:rsid w:val="00E56F56"/>
    <w:rsid w:val="00E56FA2"/>
    <w:rsid w:val="00E576B9"/>
    <w:rsid w:val="00E57827"/>
    <w:rsid w:val="00E57D12"/>
    <w:rsid w:val="00E60042"/>
    <w:rsid w:val="00E6009C"/>
    <w:rsid w:val="00E60C3E"/>
    <w:rsid w:val="00E6115D"/>
    <w:rsid w:val="00E61822"/>
    <w:rsid w:val="00E61ABB"/>
    <w:rsid w:val="00E61B31"/>
    <w:rsid w:val="00E61C9D"/>
    <w:rsid w:val="00E61CDF"/>
    <w:rsid w:val="00E61E7A"/>
    <w:rsid w:val="00E61F81"/>
    <w:rsid w:val="00E62663"/>
    <w:rsid w:val="00E627E4"/>
    <w:rsid w:val="00E62A07"/>
    <w:rsid w:val="00E62C4B"/>
    <w:rsid w:val="00E631E6"/>
    <w:rsid w:val="00E63505"/>
    <w:rsid w:val="00E63E9D"/>
    <w:rsid w:val="00E63EF1"/>
    <w:rsid w:val="00E6433F"/>
    <w:rsid w:val="00E64C9C"/>
    <w:rsid w:val="00E64DB1"/>
    <w:rsid w:val="00E65020"/>
    <w:rsid w:val="00E651AC"/>
    <w:rsid w:val="00E651AD"/>
    <w:rsid w:val="00E65A12"/>
    <w:rsid w:val="00E66268"/>
    <w:rsid w:val="00E662A3"/>
    <w:rsid w:val="00E664F7"/>
    <w:rsid w:val="00E6659A"/>
    <w:rsid w:val="00E66666"/>
    <w:rsid w:val="00E66A72"/>
    <w:rsid w:val="00E66C08"/>
    <w:rsid w:val="00E673EE"/>
    <w:rsid w:val="00E67B21"/>
    <w:rsid w:val="00E701C4"/>
    <w:rsid w:val="00E702CE"/>
    <w:rsid w:val="00E70B2D"/>
    <w:rsid w:val="00E70BD1"/>
    <w:rsid w:val="00E70EFA"/>
    <w:rsid w:val="00E71314"/>
    <w:rsid w:val="00E713B7"/>
    <w:rsid w:val="00E7157A"/>
    <w:rsid w:val="00E718C8"/>
    <w:rsid w:val="00E71CBB"/>
    <w:rsid w:val="00E71CBD"/>
    <w:rsid w:val="00E71ECF"/>
    <w:rsid w:val="00E72074"/>
    <w:rsid w:val="00E725CF"/>
    <w:rsid w:val="00E7274F"/>
    <w:rsid w:val="00E72B8E"/>
    <w:rsid w:val="00E7304D"/>
    <w:rsid w:val="00E730EE"/>
    <w:rsid w:val="00E732B2"/>
    <w:rsid w:val="00E73434"/>
    <w:rsid w:val="00E737D0"/>
    <w:rsid w:val="00E7391E"/>
    <w:rsid w:val="00E73B88"/>
    <w:rsid w:val="00E73CB3"/>
    <w:rsid w:val="00E73D3B"/>
    <w:rsid w:val="00E73E92"/>
    <w:rsid w:val="00E73ED6"/>
    <w:rsid w:val="00E7407C"/>
    <w:rsid w:val="00E7446B"/>
    <w:rsid w:val="00E744D5"/>
    <w:rsid w:val="00E744DE"/>
    <w:rsid w:val="00E74714"/>
    <w:rsid w:val="00E74831"/>
    <w:rsid w:val="00E74B73"/>
    <w:rsid w:val="00E7541F"/>
    <w:rsid w:val="00E75627"/>
    <w:rsid w:val="00E7611C"/>
    <w:rsid w:val="00E7617C"/>
    <w:rsid w:val="00E761CF"/>
    <w:rsid w:val="00E76A70"/>
    <w:rsid w:val="00E76C22"/>
    <w:rsid w:val="00E76C70"/>
    <w:rsid w:val="00E7758A"/>
    <w:rsid w:val="00E77880"/>
    <w:rsid w:val="00E77A86"/>
    <w:rsid w:val="00E77EB9"/>
    <w:rsid w:val="00E77F6E"/>
    <w:rsid w:val="00E80395"/>
    <w:rsid w:val="00E811C0"/>
    <w:rsid w:val="00E81462"/>
    <w:rsid w:val="00E81A42"/>
    <w:rsid w:val="00E81A6A"/>
    <w:rsid w:val="00E81B8C"/>
    <w:rsid w:val="00E82FB3"/>
    <w:rsid w:val="00E83067"/>
    <w:rsid w:val="00E83FFB"/>
    <w:rsid w:val="00E84054"/>
    <w:rsid w:val="00E8436D"/>
    <w:rsid w:val="00E845DF"/>
    <w:rsid w:val="00E8485F"/>
    <w:rsid w:val="00E84FF9"/>
    <w:rsid w:val="00E85226"/>
    <w:rsid w:val="00E85600"/>
    <w:rsid w:val="00E85663"/>
    <w:rsid w:val="00E8567C"/>
    <w:rsid w:val="00E856B2"/>
    <w:rsid w:val="00E86239"/>
    <w:rsid w:val="00E86749"/>
    <w:rsid w:val="00E86966"/>
    <w:rsid w:val="00E86998"/>
    <w:rsid w:val="00E8723E"/>
    <w:rsid w:val="00E87381"/>
    <w:rsid w:val="00E87A09"/>
    <w:rsid w:val="00E90F75"/>
    <w:rsid w:val="00E90FAF"/>
    <w:rsid w:val="00E9103E"/>
    <w:rsid w:val="00E91144"/>
    <w:rsid w:val="00E91C9A"/>
    <w:rsid w:val="00E921F1"/>
    <w:rsid w:val="00E92717"/>
    <w:rsid w:val="00E92F7C"/>
    <w:rsid w:val="00E93457"/>
    <w:rsid w:val="00E937D8"/>
    <w:rsid w:val="00E9384A"/>
    <w:rsid w:val="00E93D3F"/>
    <w:rsid w:val="00E94140"/>
    <w:rsid w:val="00E9415C"/>
    <w:rsid w:val="00E94167"/>
    <w:rsid w:val="00E941CE"/>
    <w:rsid w:val="00E94592"/>
    <w:rsid w:val="00E946B9"/>
    <w:rsid w:val="00E94E36"/>
    <w:rsid w:val="00E94EDB"/>
    <w:rsid w:val="00E95029"/>
    <w:rsid w:val="00E951BE"/>
    <w:rsid w:val="00E95315"/>
    <w:rsid w:val="00E95813"/>
    <w:rsid w:val="00E95AF4"/>
    <w:rsid w:val="00E95B8F"/>
    <w:rsid w:val="00E961F8"/>
    <w:rsid w:val="00E967AA"/>
    <w:rsid w:val="00E96A8D"/>
    <w:rsid w:val="00E96D35"/>
    <w:rsid w:val="00E96ED9"/>
    <w:rsid w:val="00E97356"/>
    <w:rsid w:val="00E97B90"/>
    <w:rsid w:val="00EA0208"/>
    <w:rsid w:val="00EA06BE"/>
    <w:rsid w:val="00EA0885"/>
    <w:rsid w:val="00EA0CA7"/>
    <w:rsid w:val="00EA0CEF"/>
    <w:rsid w:val="00EA0D4C"/>
    <w:rsid w:val="00EA0F8F"/>
    <w:rsid w:val="00EA1046"/>
    <w:rsid w:val="00EA1164"/>
    <w:rsid w:val="00EA11FE"/>
    <w:rsid w:val="00EA1513"/>
    <w:rsid w:val="00EA1959"/>
    <w:rsid w:val="00EA1D35"/>
    <w:rsid w:val="00EA28B7"/>
    <w:rsid w:val="00EA2B80"/>
    <w:rsid w:val="00EA302D"/>
    <w:rsid w:val="00EA3852"/>
    <w:rsid w:val="00EA45D2"/>
    <w:rsid w:val="00EA4E57"/>
    <w:rsid w:val="00EA54A1"/>
    <w:rsid w:val="00EA56FB"/>
    <w:rsid w:val="00EA5B3D"/>
    <w:rsid w:val="00EA5B60"/>
    <w:rsid w:val="00EA5F06"/>
    <w:rsid w:val="00EA6504"/>
    <w:rsid w:val="00EA6FB4"/>
    <w:rsid w:val="00EA780C"/>
    <w:rsid w:val="00EA7921"/>
    <w:rsid w:val="00EA7BF1"/>
    <w:rsid w:val="00EA7DAC"/>
    <w:rsid w:val="00EA7DC4"/>
    <w:rsid w:val="00EB0216"/>
    <w:rsid w:val="00EB061F"/>
    <w:rsid w:val="00EB063C"/>
    <w:rsid w:val="00EB0A4E"/>
    <w:rsid w:val="00EB0DAA"/>
    <w:rsid w:val="00EB14B6"/>
    <w:rsid w:val="00EB1A57"/>
    <w:rsid w:val="00EB1F8C"/>
    <w:rsid w:val="00EB2029"/>
    <w:rsid w:val="00EB2054"/>
    <w:rsid w:val="00EB23E1"/>
    <w:rsid w:val="00EB2B8C"/>
    <w:rsid w:val="00EB3274"/>
    <w:rsid w:val="00EB32B5"/>
    <w:rsid w:val="00EB3357"/>
    <w:rsid w:val="00EB34F8"/>
    <w:rsid w:val="00EB37DF"/>
    <w:rsid w:val="00EB3A6F"/>
    <w:rsid w:val="00EB3A8F"/>
    <w:rsid w:val="00EB403A"/>
    <w:rsid w:val="00EB4715"/>
    <w:rsid w:val="00EB4E75"/>
    <w:rsid w:val="00EB52AF"/>
    <w:rsid w:val="00EB52B6"/>
    <w:rsid w:val="00EB593C"/>
    <w:rsid w:val="00EB5D30"/>
    <w:rsid w:val="00EB5F81"/>
    <w:rsid w:val="00EB61D8"/>
    <w:rsid w:val="00EB6842"/>
    <w:rsid w:val="00EB6B14"/>
    <w:rsid w:val="00EB7287"/>
    <w:rsid w:val="00EB73E1"/>
    <w:rsid w:val="00EB781F"/>
    <w:rsid w:val="00EB79FC"/>
    <w:rsid w:val="00EB7F1C"/>
    <w:rsid w:val="00EC05AE"/>
    <w:rsid w:val="00EC0667"/>
    <w:rsid w:val="00EC06FA"/>
    <w:rsid w:val="00EC076C"/>
    <w:rsid w:val="00EC0C6D"/>
    <w:rsid w:val="00EC124A"/>
    <w:rsid w:val="00EC2270"/>
    <w:rsid w:val="00EC22DD"/>
    <w:rsid w:val="00EC25FB"/>
    <w:rsid w:val="00EC3147"/>
    <w:rsid w:val="00EC3D0C"/>
    <w:rsid w:val="00EC41F5"/>
    <w:rsid w:val="00EC4840"/>
    <w:rsid w:val="00EC4985"/>
    <w:rsid w:val="00EC4A1E"/>
    <w:rsid w:val="00EC4C49"/>
    <w:rsid w:val="00EC4EC9"/>
    <w:rsid w:val="00EC4F28"/>
    <w:rsid w:val="00EC5825"/>
    <w:rsid w:val="00EC5F4F"/>
    <w:rsid w:val="00EC6443"/>
    <w:rsid w:val="00EC6469"/>
    <w:rsid w:val="00EC69CA"/>
    <w:rsid w:val="00EC6A4B"/>
    <w:rsid w:val="00EC6BD2"/>
    <w:rsid w:val="00EC6CD4"/>
    <w:rsid w:val="00EC6E08"/>
    <w:rsid w:val="00EC7047"/>
    <w:rsid w:val="00EC7836"/>
    <w:rsid w:val="00EC78AA"/>
    <w:rsid w:val="00ED021A"/>
    <w:rsid w:val="00ED0B79"/>
    <w:rsid w:val="00ED0C8F"/>
    <w:rsid w:val="00ED0D54"/>
    <w:rsid w:val="00ED101A"/>
    <w:rsid w:val="00ED121B"/>
    <w:rsid w:val="00ED1226"/>
    <w:rsid w:val="00ED191B"/>
    <w:rsid w:val="00ED19B9"/>
    <w:rsid w:val="00ED2117"/>
    <w:rsid w:val="00ED213D"/>
    <w:rsid w:val="00ED21B1"/>
    <w:rsid w:val="00ED23BB"/>
    <w:rsid w:val="00ED250A"/>
    <w:rsid w:val="00ED3581"/>
    <w:rsid w:val="00ED3EE3"/>
    <w:rsid w:val="00ED4415"/>
    <w:rsid w:val="00ED4639"/>
    <w:rsid w:val="00ED56D6"/>
    <w:rsid w:val="00ED6066"/>
    <w:rsid w:val="00ED60D6"/>
    <w:rsid w:val="00ED618D"/>
    <w:rsid w:val="00ED6914"/>
    <w:rsid w:val="00ED71D0"/>
    <w:rsid w:val="00ED77D7"/>
    <w:rsid w:val="00ED7854"/>
    <w:rsid w:val="00ED7990"/>
    <w:rsid w:val="00ED7CE4"/>
    <w:rsid w:val="00ED7F70"/>
    <w:rsid w:val="00ED7F72"/>
    <w:rsid w:val="00EE065D"/>
    <w:rsid w:val="00EE093E"/>
    <w:rsid w:val="00EE0C08"/>
    <w:rsid w:val="00EE0F46"/>
    <w:rsid w:val="00EE1212"/>
    <w:rsid w:val="00EE1B34"/>
    <w:rsid w:val="00EE1F16"/>
    <w:rsid w:val="00EE2210"/>
    <w:rsid w:val="00EE24BE"/>
    <w:rsid w:val="00EE2903"/>
    <w:rsid w:val="00EE2B4E"/>
    <w:rsid w:val="00EE2D5F"/>
    <w:rsid w:val="00EE2F2D"/>
    <w:rsid w:val="00EE311F"/>
    <w:rsid w:val="00EE31CC"/>
    <w:rsid w:val="00EE320C"/>
    <w:rsid w:val="00EE3C72"/>
    <w:rsid w:val="00EE4216"/>
    <w:rsid w:val="00EE438B"/>
    <w:rsid w:val="00EE438C"/>
    <w:rsid w:val="00EE43A9"/>
    <w:rsid w:val="00EE44B2"/>
    <w:rsid w:val="00EE450B"/>
    <w:rsid w:val="00EE5024"/>
    <w:rsid w:val="00EE50F5"/>
    <w:rsid w:val="00EE514B"/>
    <w:rsid w:val="00EE558F"/>
    <w:rsid w:val="00EE56F1"/>
    <w:rsid w:val="00EE641A"/>
    <w:rsid w:val="00EE6A35"/>
    <w:rsid w:val="00EE6B98"/>
    <w:rsid w:val="00EE73E4"/>
    <w:rsid w:val="00EE745F"/>
    <w:rsid w:val="00EE7532"/>
    <w:rsid w:val="00EE7934"/>
    <w:rsid w:val="00EE7C24"/>
    <w:rsid w:val="00EE7E0D"/>
    <w:rsid w:val="00EE7E82"/>
    <w:rsid w:val="00EF003E"/>
    <w:rsid w:val="00EF086A"/>
    <w:rsid w:val="00EF0BE2"/>
    <w:rsid w:val="00EF0DBC"/>
    <w:rsid w:val="00EF152E"/>
    <w:rsid w:val="00EF159A"/>
    <w:rsid w:val="00EF1B3D"/>
    <w:rsid w:val="00EF1F5A"/>
    <w:rsid w:val="00EF1FCB"/>
    <w:rsid w:val="00EF29FE"/>
    <w:rsid w:val="00EF2ABE"/>
    <w:rsid w:val="00EF3053"/>
    <w:rsid w:val="00EF3580"/>
    <w:rsid w:val="00EF3614"/>
    <w:rsid w:val="00EF3B09"/>
    <w:rsid w:val="00EF3F78"/>
    <w:rsid w:val="00EF43F1"/>
    <w:rsid w:val="00EF4C1F"/>
    <w:rsid w:val="00EF4F90"/>
    <w:rsid w:val="00EF5121"/>
    <w:rsid w:val="00EF5A0B"/>
    <w:rsid w:val="00EF5CC8"/>
    <w:rsid w:val="00EF6028"/>
    <w:rsid w:val="00EF68E2"/>
    <w:rsid w:val="00EF7491"/>
    <w:rsid w:val="00F0037F"/>
    <w:rsid w:val="00F007AA"/>
    <w:rsid w:val="00F00A3D"/>
    <w:rsid w:val="00F00D0D"/>
    <w:rsid w:val="00F00F1C"/>
    <w:rsid w:val="00F00F8D"/>
    <w:rsid w:val="00F01262"/>
    <w:rsid w:val="00F01517"/>
    <w:rsid w:val="00F01552"/>
    <w:rsid w:val="00F015C6"/>
    <w:rsid w:val="00F01777"/>
    <w:rsid w:val="00F018F6"/>
    <w:rsid w:val="00F02210"/>
    <w:rsid w:val="00F02271"/>
    <w:rsid w:val="00F02CC7"/>
    <w:rsid w:val="00F031BE"/>
    <w:rsid w:val="00F0326D"/>
    <w:rsid w:val="00F033F0"/>
    <w:rsid w:val="00F034BD"/>
    <w:rsid w:val="00F0354E"/>
    <w:rsid w:val="00F0364C"/>
    <w:rsid w:val="00F036F6"/>
    <w:rsid w:val="00F03B73"/>
    <w:rsid w:val="00F03BA1"/>
    <w:rsid w:val="00F040A3"/>
    <w:rsid w:val="00F041C4"/>
    <w:rsid w:val="00F049F4"/>
    <w:rsid w:val="00F04B5D"/>
    <w:rsid w:val="00F04EB5"/>
    <w:rsid w:val="00F04F7A"/>
    <w:rsid w:val="00F0503E"/>
    <w:rsid w:val="00F050ED"/>
    <w:rsid w:val="00F053A7"/>
    <w:rsid w:val="00F0551A"/>
    <w:rsid w:val="00F055A1"/>
    <w:rsid w:val="00F0598F"/>
    <w:rsid w:val="00F059FE"/>
    <w:rsid w:val="00F05E61"/>
    <w:rsid w:val="00F061F8"/>
    <w:rsid w:val="00F062D6"/>
    <w:rsid w:val="00F06352"/>
    <w:rsid w:val="00F063C7"/>
    <w:rsid w:val="00F063E2"/>
    <w:rsid w:val="00F06591"/>
    <w:rsid w:val="00F06616"/>
    <w:rsid w:val="00F06AA8"/>
    <w:rsid w:val="00F06C79"/>
    <w:rsid w:val="00F06E0C"/>
    <w:rsid w:val="00F06ED5"/>
    <w:rsid w:val="00F07037"/>
    <w:rsid w:val="00F07203"/>
    <w:rsid w:val="00F07916"/>
    <w:rsid w:val="00F07DF4"/>
    <w:rsid w:val="00F1038A"/>
    <w:rsid w:val="00F10E30"/>
    <w:rsid w:val="00F10EE7"/>
    <w:rsid w:val="00F11C11"/>
    <w:rsid w:val="00F11F4F"/>
    <w:rsid w:val="00F126C7"/>
    <w:rsid w:val="00F129A0"/>
    <w:rsid w:val="00F12C09"/>
    <w:rsid w:val="00F146CA"/>
    <w:rsid w:val="00F15A47"/>
    <w:rsid w:val="00F15C3F"/>
    <w:rsid w:val="00F160BB"/>
    <w:rsid w:val="00F16186"/>
    <w:rsid w:val="00F16352"/>
    <w:rsid w:val="00F16521"/>
    <w:rsid w:val="00F166C6"/>
    <w:rsid w:val="00F169C4"/>
    <w:rsid w:val="00F16DF5"/>
    <w:rsid w:val="00F16F73"/>
    <w:rsid w:val="00F171E1"/>
    <w:rsid w:val="00F1731D"/>
    <w:rsid w:val="00F20239"/>
    <w:rsid w:val="00F20638"/>
    <w:rsid w:val="00F211C2"/>
    <w:rsid w:val="00F21521"/>
    <w:rsid w:val="00F216B3"/>
    <w:rsid w:val="00F217A2"/>
    <w:rsid w:val="00F2182E"/>
    <w:rsid w:val="00F21D21"/>
    <w:rsid w:val="00F21E85"/>
    <w:rsid w:val="00F21F71"/>
    <w:rsid w:val="00F21FE9"/>
    <w:rsid w:val="00F2252E"/>
    <w:rsid w:val="00F2278B"/>
    <w:rsid w:val="00F2296E"/>
    <w:rsid w:val="00F22E7B"/>
    <w:rsid w:val="00F2308B"/>
    <w:rsid w:val="00F23713"/>
    <w:rsid w:val="00F23862"/>
    <w:rsid w:val="00F23B99"/>
    <w:rsid w:val="00F243B3"/>
    <w:rsid w:val="00F243C0"/>
    <w:rsid w:val="00F245E2"/>
    <w:rsid w:val="00F24D1F"/>
    <w:rsid w:val="00F24D7D"/>
    <w:rsid w:val="00F2517C"/>
    <w:rsid w:val="00F2534E"/>
    <w:rsid w:val="00F25565"/>
    <w:rsid w:val="00F258B1"/>
    <w:rsid w:val="00F25B56"/>
    <w:rsid w:val="00F25B6B"/>
    <w:rsid w:val="00F2657B"/>
    <w:rsid w:val="00F26AD7"/>
    <w:rsid w:val="00F26C65"/>
    <w:rsid w:val="00F26D57"/>
    <w:rsid w:val="00F26D65"/>
    <w:rsid w:val="00F273A5"/>
    <w:rsid w:val="00F27532"/>
    <w:rsid w:val="00F279AA"/>
    <w:rsid w:val="00F27A03"/>
    <w:rsid w:val="00F27AF3"/>
    <w:rsid w:val="00F27BA0"/>
    <w:rsid w:val="00F27FB4"/>
    <w:rsid w:val="00F30354"/>
    <w:rsid w:val="00F30704"/>
    <w:rsid w:val="00F30777"/>
    <w:rsid w:val="00F30E45"/>
    <w:rsid w:val="00F311F6"/>
    <w:rsid w:val="00F313DA"/>
    <w:rsid w:val="00F31A99"/>
    <w:rsid w:val="00F31B8B"/>
    <w:rsid w:val="00F31D7D"/>
    <w:rsid w:val="00F32416"/>
    <w:rsid w:val="00F329B5"/>
    <w:rsid w:val="00F32ABC"/>
    <w:rsid w:val="00F333CD"/>
    <w:rsid w:val="00F340E6"/>
    <w:rsid w:val="00F343DD"/>
    <w:rsid w:val="00F34A00"/>
    <w:rsid w:val="00F34E91"/>
    <w:rsid w:val="00F35320"/>
    <w:rsid w:val="00F360BD"/>
    <w:rsid w:val="00F364F4"/>
    <w:rsid w:val="00F3650C"/>
    <w:rsid w:val="00F36807"/>
    <w:rsid w:val="00F36BA5"/>
    <w:rsid w:val="00F371EE"/>
    <w:rsid w:val="00F40145"/>
    <w:rsid w:val="00F4028A"/>
    <w:rsid w:val="00F40905"/>
    <w:rsid w:val="00F40DDD"/>
    <w:rsid w:val="00F40F1D"/>
    <w:rsid w:val="00F41B65"/>
    <w:rsid w:val="00F41EC9"/>
    <w:rsid w:val="00F4219C"/>
    <w:rsid w:val="00F424B7"/>
    <w:rsid w:val="00F427D0"/>
    <w:rsid w:val="00F4290E"/>
    <w:rsid w:val="00F42BEA"/>
    <w:rsid w:val="00F43011"/>
    <w:rsid w:val="00F432A9"/>
    <w:rsid w:val="00F438FF"/>
    <w:rsid w:val="00F43C74"/>
    <w:rsid w:val="00F43D12"/>
    <w:rsid w:val="00F43E52"/>
    <w:rsid w:val="00F441D8"/>
    <w:rsid w:val="00F44802"/>
    <w:rsid w:val="00F44844"/>
    <w:rsid w:val="00F44A0E"/>
    <w:rsid w:val="00F450F1"/>
    <w:rsid w:val="00F45165"/>
    <w:rsid w:val="00F4535C"/>
    <w:rsid w:val="00F45824"/>
    <w:rsid w:val="00F45C03"/>
    <w:rsid w:val="00F45DF1"/>
    <w:rsid w:val="00F45F47"/>
    <w:rsid w:val="00F461A2"/>
    <w:rsid w:val="00F46806"/>
    <w:rsid w:val="00F468AC"/>
    <w:rsid w:val="00F46B0D"/>
    <w:rsid w:val="00F46ED5"/>
    <w:rsid w:val="00F4738C"/>
    <w:rsid w:val="00F4742C"/>
    <w:rsid w:val="00F4770E"/>
    <w:rsid w:val="00F47AE2"/>
    <w:rsid w:val="00F47C56"/>
    <w:rsid w:val="00F47E18"/>
    <w:rsid w:val="00F502F8"/>
    <w:rsid w:val="00F50307"/>
    <w:rsid w:val="00F503DB"/>
    <w:rsid w:val="00F50785"/>
    <w:rsid w:val="00F50A97"/>
    <w:rsid w:val="00F51208"/>
    <w:rsid w:val="00F51768"/>
    <w:rsid w:val="00F518D6"/>
    <w:rsid w:val="00F51B81"/>
    <w:rsid w:val="00F51E6D"/>
    <w:rsid w:val="00F52771"/>
    <w:rsid w:val="00F52810"/>
    <w:rsid w:val="00F52818"/>
    <w:rsid w:val="00F52891"/>
    <w:rsid w:val="00F52B29"/>
    <w:rsid w:val="00F52E48"/>
    <w:rsid w:val="00F53745"/>
    <w:rsid w:val="00F537D5"/>
    <w:rsid w:val="00F5395B"/>
    <w:rsid w:val="00F53CB9"/>
    <w:rsid w:val="00F53D03"/>
    <w:rsid w:val="00F54160"/>
    <w:rsid w:val="00F54192"/>
    <w:rsid w:val="00F54388"/>
    <w:rsid w:val="00F5472B"/>
    <w:rsid w:val="00F54879"/>
    <w:rsid w:val="00F54897"/>
    <w:rsid w:val="00F54B91"/>
    <w:rsid w:val="00F54C44"/>
    <w:rsid w:val="00F54E31"/>
    <w:rsid w:val="00F550C6"/>
    <w:rsid w:val="00F55BAC"/>
    <w:rsid w:val="00F563BA"/>
    <w:rsid w:val="00F567D1"/>
    <w:rsid w:val="00F56DCC"/>
    <w:rsid w:val="00F56E7B"/>
    <w:rsid w:val="00F56EBB"/>
    <w:rsid w:val="00F572F9"/>
    <w:rsid w:val="00F57442"/>
    <w:rsid w:val="00F5752F"/>
    <w:rsid w:val="00F57613"/>
    <w:rsid w:val="00F577FE"/>
    <w:rsid w:val="00F5789C"/>
    <w:rsid w:val="00F5794D"/>
    <w:rsid w:val="00F60399"/>
    <w:rsid w:val="00F60B9A"/>
    <w:rsid w:val="00F60DDE"/>
    <w:rsid w:val="00F61368"/>
    <w:rsid w:val="00F61B5C"/>
    <w:rsid w:val="00F61E32"/>
    <w:rsid w:val="00F61FED"/>
    <w:rsid w:val="00F62391"/>
    <w:rsid w:val="00F62463"/>
    <w:rsid w:val="00F628C8"/>
    <w:rsid w:val="00F628F7"/>
    <w:rsid w:val="00F62BB7"/>
    <w:rsid w:val="00F6373B"/>
    <w:rsid w:val="00F63DC8"/>
    <w:rsid w:val="00F64817"/>
    <w:rsid w:val="00F651A5"/>
    <w:rsid w:val="00F65372"/>
    <w:rsid w:val="00F65376"/>
    <w:rsid w:val="00F656B0"/>
    <w:rsid w:val="00F65BC4"/>
    <w:rsid w:val="00F66105"/>
    <w:rsid w:val="00F66375"/>
    <w:rsid w:val="00F66620"/>
    <w:rsid w:val="00F6679D"/>
    <w:rsid w:val="00F66F76"/>
    <w:rsid w:val="00F66FC3"/>
    <w:rsid w:val="00F6724D"/>
    <w:rsid w:val="00F679DF"/>
    <w:rsid w:val="00F67E41"/>
    <w:rsid w:val="00F703B4"/>
    <w:rsid w:val="00F706EC"/>
    <w:rsid w:val="00F70B04"/>
    <w:rsid w:val="00F7120F"/>
    <w:rsid w:val="00F71418"/>
    <w:rsid w:val="00F71463"/>
    <w:rsid w:val="00F71616"/>
    <w:rsid w:val="00F71B0C"/>
    <w:rsid w:val="00F7239D"/>
    <w:rsid w:val="00F737A7"/>
    <w:rsid w:val="00F73B86"/>
    <w:rsid w:val="00F73F93"/>
    <w:rsid w:val="00F7477F"/>
    <w:rsid w:val="00F75177"/>
    <w:rsid w:val="00F752D0"/>
    <w:rsid w:val="00F7534A"/>
    <w:rsid w:val="00F75735"/>
    <w:rsid w:val="00F75B0C"/>
    <w:rsid w:val="00F75C1D"/>
    <w:rsid w:val="00F75DAF"/>
    <w:rsid w:val="00F760C9"/>
    <w:rsid w:val="00F76721"/>
    <w:rsid w:val="00F76862"/>
    <w:rsid w:val="00F768E3"/>
    <w:rsid w:val="00F76A54"/>
    <w:rsid w:val="00F76A7F"/>
    <w:rsid w:val="00F77162"/>
    <w:rsid w:val="00F77594"/>
    <w:rsid w:val="00F7759C"/>
    <w:rsid w:val="00F77D29"/>
    <w:rsid w:val="00F80961"/>
    <w:rsid w:val="00F8096B"/>
    <w:rsid w:val="00F81376"/>
    <w:rsid w:val="00F81405"/>
    <w:rsid w:val="00F8197E"/>
    <w:rsid w:val="00F81B0C"/>
    <w:rsid w:val="00F81B47"/>
    <w:rsid w:val="00F81C61"/>
    <w:rsid w:val="00F820E4"/>
    <w:rsid w:val="00F8241D"/>
    <w:rsid w:val="00F82613"/>
    <w:rsid w:val="00F82661"/>
    <w:rsid w:val="00F826A2"/>
    <w:rsid w:val="00F82AE7"/>
    <w:rsid w:val="00F82B74"/>
    <w:rsid w:val="00F8306E"/>
    <w:rsid w:val="00F8322A"/>
    <w:rsid w:val="00F83D46"/>
    <w:rsid w:val="00F84362"/>
    <w:rsid w:val="00F84865"/>
    <w:rsid w:val="00F84BB7"/>
    <w:rsid w:val="00F84C92"/>
    <w:rsid w:val="00F850C7"/>
    <w:rsid w:val="00F8520B"/>
    <w:rsid w:val="00F85565"/>
    <w:rsid w:val="00F8580C"/>
    <w:rsid w:val="00F85A57"/>
    <w:rsid w:val="00F85B35"/>
    <w:rsid w:val="00F85CB5"/>
    <w:rsid w:val="00F85E34"/>
    <w:rsid w:val="00F8626E"/>
    <w:rsid w:val="00F8668F"/>
    <w:rsid w:val="00F87397"/>
    <w:rsid w:val="00F873AE"/>
    <w:rsid w:val="00F879B3"/>
    <w:rsid w:val="00F90004"/>
    <w:rsid w:val="00F9037F"/>
    <w:rsid w:val="00F903E4"/>
    <w:rsid w:val="00F904ED"/>
    <w:rsid w:val="00F90716"/>
    <w:rsid w:val="00F90763"/>
    <w:rsid w:val="00F90CBE"/>
    <w:rsid w:val="00F90F4C"/>
    <w:rsid w:val="00F90FE0"/>
    <w:rsid w:val="00F9152B"/>
    <w:rsid w:val="00F91A11"/>
    <w:rsid w:val="00F91F37"/>
    <w:rsid w:val="00F9221A"/>
    <w:rsid w:val="00F9232B"/>
    <w:rsid w:val="00F927C9"/>
    <w:rsid w:val="00F928DD"/>
    <w:rsid w:val="00F93141"/>
    <w:rsid w:val="00F934C2"/>
    <w:rsid w:val="00F93F05"/>
    <w:rsid w:val="00F95F4E"/>
    <w:rsid w:val="00F96A3E"/>
    <w:rsid w:val="00F97AD0"/>
    <w:rsid w:val="00F97E79"/>
    <w:rsid w:val="00FA02D2"/>
    <w:rsid w:val="00FA0401"/>
    <w:rsid w:val="00FA098E"/>
    <w:rsid w:val="00FA0AA3"/>
    <w:rsid w:val="00FA0F67"/>
    <w:rsid w:val="00FA134A"/>
    <w:rsid w:val="00FA1594"/>
    <w:rsid w:val="00FA189E"/>
    <w:rsid w:val="00FA18BD"/>
    <w:rsid w:val="00FA1B82"/>
    <w:rsid w:val="00FA1DB2"/>
    <w:rsid w:val="00FA1EF3"/>
    <w:rsid w:val="00FA2437"/>
    <w:rsid w:val="00FA25A6"/>
    <w:rsid w:val="00FA2731"/>
    <w:rsid w:val="00FA2815"/>
    <w:rsid w:val="00FA2934"/>
    <w:rsid w:val="00FA2AE9"/>
    <w:rsid w:val="00FA2F60"/>
    <w:rsid w:val="00FA3B05"/>
    <w:rsid w:val="00FA42CE"/>
    <w:rsid w:val="00FA446C"/>
    <w:rsid w:val="00FA4497"/>
    <w:rsid w:val="00FA524E"/>
    <w:rsid w:val="00FA5DA1"/>
    <w:rsid w:val="00FA67D4"/>
    <w:rsid w:val="00FA67D8"/>
    <w:rsid w:val="00FA6F83"/>
    <w:rsid w:val="00FA7765"/>
    <w:rsid w:val="00FA77C5"/>
    <w:rsid w:val="00FA7965"/>
    <w:rsid w:val="00FA7A8A"/>
    <w:rsid w:val="00FA7E11"/>
    <w:rsid w:val="00FB0C97"/>
    <w:rsid w:val="00FB150F"/>
    <w:rsid w:val="00FB1879"/>
    <w:rsid w:val="00FB222D"/>
    <w:rsid w:val="00FB2456"/>
    <w:rsid w:val="00FB271C"/>
    <w:rsid w:val="00FB27E4"/>
    <w:rsid w:val="00FB2E2C"/>
    <w:rsid w:val="00FB3007"/>
    <w:rsid w:val="00FB323B"/>
    <w:rsid w:val="00FB3875"/>
    <w:rsid w:val="00FB3A44"/>
    <w:rsid w:val="00FB4031"/>
    <w:rsid w:val="00FB47AE"/>
    <w:rsid w:val="00FB48C9"/>
    <w:rsid w:val="00FB4E16"/>
    <w:rsid w:val="00FB4E25"/>
    <w:rsid w:val="00FB4E61"/>
    <w:rsid w:val="00FB595A"/>
    <w:rsid w:val="00FB6225"/>
    <w:rsid w:val="00FB674F"/>
    <w:rsid w:val="00FB67C7"/>
    <w:rsid w:val="00FB6B04"/>
    <w:rsid w:val="00FB6B5B"/>
    <w:rsid w:val="00FB7AB2"/>
    <w:rsid w:val="00FB7BBB"/>
    <w:rsid w:val="00FB7CD5"/>
    <w:rsid w:val="00FB7EAC"/>
    <w:rsid w:val="00FB7FB6"/>
    <w:rsid w:val="00FC0084"/>
    <w:rsid w:val="00FC03CE"/>
    <w:rsid w:val="00FC0BFC"/>
    <w:rsid w:val="00FC0E58"/>
    <w:rsid w:val="00FC1117"/>
    <w:rsid w:val="00FC1775"/>
    <w:rsid w:val="00FC1F86"/>
    <w:rsid w:val="00FC2178"/>
    <w:rsid w:val="00FC2587"/>
    <w:rsid w:val="00FC2958"/>
    <w:rsid w:val="00FC2C94"/>
    <w:rsid w:val="00FC3259"/>
    <w:rsid w:val="00FC367A"/>
    <w:rsid w:val="00FC37DC"/>
    <w:rsid w:val="00FC384E"/>
    <w:rsid w:val="00FC3A7B"/>
    <w:rsid w:val="00FC3B77"/>
    <w:rsid w:val="00FC3C11"/>
    <w:rsid w:val="00FC3F66"/>
    <w:rsid w:val="00FC46A1"/>
    <w:rsid w:val="00FC486D"/>
    <w:rsid w:val="00FC488E"/>
    <w:rsid w:val="00FC4A85"/>
    <w:rsid w:val="00FC4D8A"/>
    <w:rsid w:val="00FC4FFE"/>
    <w:rsid w:val="00FC50A2"/>
    <w:rsid w:val="00FC5308"/>
    <w:rsid w:val="00FC567A"/>
    <w:rsid w:val="00FC57A0"/>
    <w:rsid w:val="00FC5F3A"/>
    <w:rsid w:val="00FC6221"/>
    <w:rsid w:val="00FC6290"/>
    <w:rsid w:val="00FC63C1"/>
    <w:rsid w:val="00FC691F"/>
    <w:rsid w:val="00FC6989"/>
    <w:rsid w:val="00FC71C7"/>
    <w:rsid w:val="00FC73E8"/>
    <w:rsid w:val="00FC752F"/>
    <w:rsid w:val="00FC7D0E"/>
    <w:rsid w:val="00FD02D2"/>
    <w:rsid w:val="00FD0313"/>
    <w:rsid w:val="00FD105F"/>
    <w:rsid w:val="00FD1126"/>
    <w:rsid w:val="00FD15A9"/>
    <w:rsid w:val="00FD1646"/>
    <w:rsid w:val="00FD185D"/>
    <w:rsid w:val="00FD299E"/>
    <w:rsid w:val="00FD2EF9"/>
    <w:rsid w:val="00FD3180"/>
    <w:rsid w:val="00FD3581"/>
    <w:rsid w:val="00FD3655"/>
    <w:rsid w:val="00FD4005"/>
    <w:rsid w:val="00FD47CE"/>
    <w:rsid w:val="00FD4E2C"/>
    <w:rsid w:val="00FD4F2E"/>
    <w:rsid w:val="00FD5114"/>
    <w:rsid w:val="00FD5371"/>
    <w:rsid w:val="00FD575B"/>
    <w:rsid w:val="00FD59A6"/>
    <w:rsid w:val="00FD5C56"/>
    <w:rsid w:val="00FD5E9D"/>
    <w:rsid w:val="00FD626A"/>
    <w:rsid w:val="00FD6D5D"/>
    <w:rsid w:val="00FD6F18"/>
    <w:rsid w:val="00FD70EA"/>
    <w:rsid w:val="00FD71F2"/>
    <w:rsid w:val="00FD73F0"/>
    <w:rsid w:val="00FD7412"/>
    <w:rsid w:val="00FD7911"/>
    <w:rsid w:val="00FE0294"/>
    <w:rsid w:val="00FE05F4"/>
    <w:rsid w:val="00FE0FBD"/>
    <w:rsid w:val="00FE1471"/>
    <w:rsid w:val="00FE174D"/>
    <w:rsid w:val="00FE1B18"/>
    <w:rsid w:val="00FE1E1B"/>
    <w:rsid w:val="00FE26BE"/>
    <w:rsid w:val="00FE27CB"/>
    <w:rsid w:val="00FE291C"/>
    <w:rsid w:val="00FE2D12"/>
    <w:rsid w:val="00FE34C3"/>
    <w:rsid w:val="00FE3555"/>
    <w:rsid w:val="00FE35D3"/>
    <w:rsid w:val="00FE3998"/>
    <w:rsid w:val="00FE39A4"/>
    <w:rsid w:val="00FE3D57"/>
    <w:rsid w:val="00FE40BD"/>
    <w:rsid w:val="00FE40EF"/>
    <w:rsid w:val="00FE410C"/>
    <w:rsid w:val="00FE4142"/>
    <w:rsid w:val="00FE5436"/>
    <w:rsid w:val="00FE5781"/>
    <w:rsid w:val="00FE5A87"/>
    <w:rsid w:val="00FE5C81"/>
    <w:rsid w:val="00FE631F"/>
    <w:rsid w:val="00FE7056"/>
    <w:rsid w:val="00FE713E"/>
    <w:rsid w:val="00FE7722"/>
    <w:rsid w:val="00FE7776"/>
    <w:rsid w:val="00FE7CF0"/>
    <w:rsid w:val="00FE7E8C"/>
    <w:rsid w:val="00FF00AD"/>
    <w:rsid w:val="00FF0106"/>
    <w:rsid w:val="00FF0192"/>
    <w:rsid w:val="00FF02C5"/>
    <w:rsid w:val="00FF0411"/>
    <w:rsid w:val="00FF072D"/>
    <w:rsid w:val="00FF0E3F"/>
    <w:rsid w:val="00FF1143"/>
    <w:rsid w:val="00FF15FF"/>
    <w:rsid w:val="00FF1D9A"/>
    <w:rsid w:val="00FF2663"/>
    <w:rsid w:val="00FF272E"/>
    <w:rsid w:val="00FF2825"/>
    <w:rsid w:val="00FF2A77"/>
    <w:rsid w:val="00FF2CBD"/>
    <w:rsid w:val="00FF2D38"/>
    <w:rsid w:val="00FF31DB"/>
    <w:rsid w:val="00FF34DB"/>
    <w:rsid w:val="00FF3EAF"/>
    <w:rsid w:val="00FF4191"/>
    <w:rsid w:val="00FF44B7"/>
    <w:rsid w:val="00FF48CE"/>
    <w:rsid w:val="00FF5223"/>
    <w:rsid w:val="00FF5266"/>
    <w:rsid w:val="00FF632E"/>
    <w:rsid w:val="00FF69B1"/>
    <w:rsid w:val="00FF6AE7"/>
    <w:rsid w:val="00FF6F51"/>
    <w:rsid w:val="00FF71A4"/>
    <w:rsid w:val="00FF72C6"/>
    <w:rsid w:val="00FF74CE"/>
    <w:rsid w:val="00FF76AC"/>
    <w:rsid w:val="00FF7A6C"/>
    <w:rsid w:val="108E5356"/>
    <w:rsid w:val="17984329"/>
    <w:rsid w:val="20D30948"/>
    <w:rsid w:val="381C4099"/>
    <w:rsid w:val="43487712"/>
    <w:rsid w:val="55855F11"/>
    <w:rsid w:val="718706A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EF8695D"/>
  <w14:defaultImageDpi w14:val="32767"/>
  <w15:docId w15:val="{DEBFF4F2-3E9A-458A-99E0-C23CF9F9B0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qFormat="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qFormat="1"/>
    <w:lsdException w:name="Table Theme" w:semiHidden="1" w:unhideWhenUsed="1"/>
    <w:lsdException w:name="Placeholder Text" w:semiHidden="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47BD5"/>
    <w:pPr>
      <w:widowControl w:val="0"/>
      <w:jc w:val="both"/>
    </w:pPr>
    <w:rPr>
      <w:kern w:val="2"/>
      <w:sz w:val="21"/>
      <w:szCs w:val="21"/>
    </w:rPr>
  </w:style>
  <w:style w:type="paragraph" w:styleId="1">
    <w:name w:val="heading 1"/>
    <w:basedOn w:val="a"/>
    <w:next w:val="a"/>
    <w:link w:val="10"/>
    <w:uiPriority w:val="9"/>
    <w:qFormat/>
    <w:rsid w:val="00693444"/>
    <w:pPr>
      <w:keepNext/>
      <w:keepLines/>
      <w:spacing w:before="120" w:afterLines="50" w:after="50" w:line="360" w:lineRule="auto"/>
      <w:outlineLvl w:val="0"/>
    </w:pPr>
    <w:rPr>
      <w:rFonts w:ascii="Times New Roman" w:eastAsia="Times New Roman" w:hAnsi="Times New Roman"/>
      <w:b/>
      <w:bCs/>
      <w:kern w:val="44"/>
      <w:sz w:val="24"/>
      <w:szCs w:val="44"/>
    </w:rPr>
  </w:style>
  <w:style w:type="paragraph" w:styleId="2">
    <w:name w:val="heading 2"/>
    <w:basedOn w:val="a"/>
    <w:next w:val="a"/>
    <w:link w:val="20"/>
    <w:uiPriority w:val="9"/>
    <w:unhideWhenUsed/>
    <w:qFormat/>
    <w:rsid w:val="00693444"/>
    <w:pPr>
      <w:keepNext/>
      <w:keepLines/>
      <w:spacing w:before="120" w:afterLines="50" w:after="50" w:line="360" w:lineRule="auto"/>
      <w:outlineLvl w:val="1"/>
    </w:pPr>
    <w:rPr>
      <w:rFonts w:ascii="Times New Roman" w:eastAsia="Times New Roman" w:hAnsi="Times New Roman" w:cstheme="majorBidi"/>
      <w:b/>
      <w:bCs/>
      <w:sz w:val="24"/>
      <w:szCs w:val="32"/>
    </w:rPr>
  </w:style>
  <w:style w:type="paragraph" w:styleId="4">
    <w:name w:val="heading 4"/>
    <w:basedOn w:val="a"/>
    <w:next w:val="a"/>
    <w:link w:val="40"/>
    <w:uiPriority w:val="9"/>
    <w:semiHidden/>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rPr>
      <w:rFonts w:asciiTheme="majorHAnsi" w:eastAsia="黑体" w:hAnsiTheme="majorHAnsi" w:cstheme="majorBidi"/>
      <w:sz w:val="20"/>
      <w:szCs w:val="20"/>
    </w:rPr>
  </w:style>
  <w:style w:type="paragraph" w:styleId="a4">
    <w:name w:val="annotation text"/>
    <w:basedOn w:val="a"/>
    <w:link w:val="a5"/>
    <w:uiPriority w:val="99"/>
    <w:unhideWhenUsed/>
    <w:qFormat/>
    <w:pPr>
      <w:jc w:val="left"/>
    </w:pPr>
  </w:style>
  <w:style w:type="paragraph" w:styleId="a6">
    <w:name w:val="Balloon Text"/>
    <w:basedOn w:val="a"/>
    <w:link w:val="a7"/>
    <w:uiPriority w:val="99"/>
    <w:semiHidden/>
    <w:unhideWhenUsed/>
    <w:qFormat/>
    <w:rPr>
      <w:sz w:val="18"/>
      <w:szCs w:val="18"/>
    </w:rPr>
  </w:style>
  <w:style w:type="paragraph" w:styleId="a8">
    <w:name w:val="footer"/>
    <w:basedOn w:val="a"/>
    <w:link w:val="a9"/>
    <w:uiPriority w:val="99"/>
    <w:unhideWhenUsed/>
    <w:qFormat/>
    <w:pPr>
      <w:tabs>
        <w:tab w:val="center" w:pos="4153"/>
        <w:tab w:val="right" w:pos="8306"/>
      </w:tabs>
      <w:snapToGrid w:val="0"/>
      <w:jc w:val="left"/>
    </w:pPr>
    <w:rPr>
      <w:sz w:val="18"/>
      <w:szCs w:val="18"/>
    </w:rPr>
  </w:style>
  <w:style w:type="paragraph" w:styleId="aa">
    <w:name w:val="header"/>
    <w:basedOn w:val="a"/>
    <w:link w:val="ab"/>
    <w:uiPriority w:val="99"/>
    <w:unhideWhenUsed/>
    <w:pPr>
      <w:pBdr>
        <w:bottom w:val="single" w:sz="6" w:space="1" w:color="auto"/>
      </w:pBdr>
      <w:tabs>
        <w:tab w:val="center" w:pos="4153"/>
        <w:tab w:val="right" w:pos="8306"/>
      </w:tabs>
      <w:snapToGrid w:val="0"/>
      <w:jc w:val="center"/>
    </w:pPr>
    <w:rPr>
      <w:sz w:val="18"/>
      <w:szCs w:val="18"/>
    </w:rPr>
  </w:style>
  <w:style w:type="paragraph" w:styleId="ac">
    <w:name w:val="Normal (Web)"/>
    <w:basedOn w:val="a"/>
    <w:uiPriority w:val="99"/>
    <w:unhideWhenUsed/>
    <w:pPr>
      <w:widowControl/>
      <w:spacing w:before="100" w:beforeAutospacing="1" w:after="100" w:afterAutospacing="1"/>
      <w:jc w:val="left"/>
    </w:pPr>
    <w:rPr>
      <w:rFonts w:ascii="宋体" w:eastAsia="宋体" w:hAnsi="宋体" w:cs="宋体"/>
      <w:kern w:val="0"/>
      <w:sz w:val="24"/>
      <w:szCs w:val="24"/>
    </w:rPr>
  </w:style>
  <w:style w:type="paragraph" w:styleId="ad">
    <w:name w:val="annotation subject"/>
    <w:basedOn w:val="a4"/>
    <w:next w:val="a4"/>
    <w:link w:val="ae"/>
    <w:uiPriority w:val="99"/>
    <w:semiHidden/>
    <w:unhideWhenUsed/>
    <w:qFormat/>
    <w:rPr>
      <w:b/>
      <w:bCs/>
    </w:rPr>
  </w:style>
  <w:style w:type="character" w:styleId="af">
    <w:name w:val="Strong"/>
    <w:basedOn w:val="a0"/>
    <w:uiPriority w:val="22"/>
    <w:qFormat/>
    <w:rPr>
      <w:b/>
      <w:bCs/>
    </w:rPr>
  </w:style>
  <w:style w:type="character" w:styleId="af0">
    <w:name w:val="page number"/>
    <w:basedOn w:val="a0"/>
    <w:uiPriority w:val="99"/>
    <w:semiHidden/>
    <w:unhideWhenUsed/>
    <w:qFormat/>
  </w:style>
  <w:style w:type="character" w:styleId="af1">
    <w:name w:val="line number"/>
    <w:basedOn w:val="a0"/>
    <w:uiPriority w:val="99"/>
    <w:semiHidden/>
    <w:unhideWhenUsed/>
    <w:qFormat/>
    <w:rPr>
      <w:rFonts w:ascii="Times New Roman" w:eastAsia="Times New Roman" w:hAnsi="Times New Roman"/>
      <w:sz w:val="21"/>
    </w:rPr>
  </w:style>
  <w:style w:type="character" w:styleId="af2">
    <w:name w:val="Hyperlink"/>
    <w:basedOn w:val="a0"/>
    <w:uiPriority w:val="99"/>
    <w:unhideWhenUsed/>
    <w:qFormat/>
    <w:rPr>
      <w:color w:val="0563C1" w:themeColor="hyperlink"/>
      <w:u w:val="single"/>
    </w:rPr>
  </w:style>
  <w:style w:type="character" w:styleId="af3">
    <w:name w:val="annotation reference"/>
    <w:basedOn w:val="a0"/>
    <w:uiPriority w:val="99"/>
    <w:semiHidden/>
    <w:unhideWhenUsed/>
    <w:rPr>
      <w:sz w:val="21"/>
      <w:szCs w:val="21"/>
    </w:rPr>
  </w:style>
  <w:style w:type="paragraph" w:customStyle="1" w:styleId="EndNoteBibliographyTitle">
    <w:name w:val="EndNote Bibliography Title"/>
    <w:basedOn w:val="a"/>
    <w:link w:val="EndNoteBibliographyTitle0"/>
    <w:qFormat/>
    <w:pPr>
      <w:jc w:val="center"/>
    </w:pPr>
    <w:rPr>
      <w:rFonts w:ascii="等线" w:eastAsia="等线" w:hAnsi="等线"/>
      <w:sz w:val="20"/>
    </w:rPr>
  </w:style>
  <w:style w:type="character" w:customStyle="1" w:styleId="EndNoteBibliographyTitle0">
    <w:name w:val="EndNote Bibliography Title 字符"/>
    <w:basedOn w:val="a0"/>
    <w:link w:val="EndNoteBibliographyTitle"/>
    <w:rPr>
      <w:rFonts w:ascii="等线" w:eastAsia="等线" w:hAnsi="等线"/>
      <w:sz w:val="20"/>
    </w:rPr>
  </w:style>
  <w:style w:type="paragraph" w:customStyle="1" w:styleId="EndNoteBibliography">
    <w:name w:val="EndNote Bibliography"/>
    <w:basedOn w:val="a"/>
    <w:link w:val="EndNoteBibliography0"/>
    <w:rPr>
      <w:rFonts w:ascii="等线" w:eastAsia="等线" w:hAnsi="等线"/>
      <w:sz w:val="20"/>
    </w:rPr>
  </w:style>
  <w:style w:type="character" w:customStyle="1" w:styleId="EndNoteBibliography0">
    <w:name w:val="EndNote Bibliography 字符"/>
    <w:basedOn w:val="a0"/>
    <w:link w:val="EndNoteBibliography"/>
    <w:qFormat/>
    <w:rPr>
      <w:rFonts w:ascii="等线" w:eastAsia="等线" w:hAnsi="等线"/>
      <w:sz w:val="20"/>
    </w:rPr>
  </w:style>
  <w:style w:type="character" w:customStyle="1" w:styleId="ab">
    <w:name w:val="页眉 字符"/>
    <w:basedOn w:val="a0"/>
    <w:link w:val="aa"/>
    <w:uiPriority w:val="99"/>
    <w:rPr>
      <w:sz w:val="18"/>
      <w:szCs w:val="18"/>
    </w:rPr>
  </w:style>
  <w:style w:type="character" w:customStyle="1" w:styleId="a9">
    <w:name w:val="页脚 字符"/>
    <w:basedOn w:val="a0"/>
    <w:link w:val="a8"/>
    <w:uiPriority w:val="99"/>
    <w:qFormat/>
    <w:rPr>
      <w:sz w:val="18"/>
      <w:szCs w:val="18"/>
    </w:rPr>
  </w:style>
  <w:style w:type="character" w:styleId="af4">
    <w:name w:val="Placeholder Text"/>
    <w:basedOn w:val="a0"/>
    <w:uiPriority w:val="99"/>
    <w:semiHidden/>
    <w:rPr>
      <w:color w:val="808080"/>
    </w:rPr>
  </w:style>
  <w:style w:type="character" w:customStyle="1" w:styleId="11">
    <w:name w:val="明显强调1"/>
    <w:basedOn w:val="a0"/>
    <w:uiPriority w:val="21"/>
    <w:qFormat/>
    <w:rPr>
      <w:i/>
      <w:iCs/>
      <w:color w:val="4472C4" w:themeColor="accent1"/>
    </w:rPr>
  </w:style>
  <w:style w:type="paragraph" w:styleId="af5">
    <w:name w:val="List Paragraph"/>
    <w:basedOn w:val="a"/>
    <w:uiPriority w:val="34"/>
    <w:qFormat/>
    <w:pPr>
      <w:ind w:firstLineChars="200" w:firstLine="420"/>
    </w:pPr>
  </w:style>
  <w:style w:type="character" w:customStyle="1" w:styleId="20">
    <w:name w:val="标题 2 字符"/>
    <w:basedOn w:val="a0"/>
    <w:link w:val="2"/>
    <w:uiPriority w:val="9"/>
    <w:rsid w:val="00693444"/>
    <w:rPr>
      <w:rFonts w:ascii="Times New Roman" w:eastAsia="Times New Roman" w:hAnsi="Times New Roman" w:cstheme="majorBidi"/>
      <w:b/>
      <w:bCs/>
      <w:kern w:val="2"/>
      <w:sz w:val="24"/>
      <w:szCs w:val="32"/>
    </w:rPr>
  </w:style>
  <w:style w:type="character" w:customStyle="1" w:styleId="10">
    <w:name w:val="标题 1 字符"/>
    <w:basedOn w:val="a0"/>
    <w:link w:val="1"/>
    <w:uiPriority w:val="9"/>
    <w:rsid w:val="00693444"/>
    <w:rPr>
      <w:rFonts w:ascii="Times New Roman" w:eastAsia="Times New Roman" w:hAnsi="Times New Roman"/>
      <w:b/>
      <w:bCs/>
      <w:kern w:val="44"/>
      <w:sz w:val="24"/>
      <w:szCs w:val="44"/>
    </w:rPr>
  </w:style>
  <w:style w:type="character" w:customStyle="1" w:styleId="a7">
    <w:name w:val="批注框文本 字符"/>
    <w:basedOn w:val="a0"/>
    <w:link w:val="a6"/>
    <w:uiPriority w:val="99"/>
    <w:semiHidden/>
    <w:rPr>
      <w:sz w:val="18"/>
      <w:szCs w:val="18"/>
    </w:rPr>
  </w:style>
  <w:style w:type="character" w:customStyle="1" w:styleId="a5">
    <w:name w:val="批注文字 字符"/>
    <w:basedOn w:val="a0"/>
    <w:link w:val="a4"/>
    <w:uiPriority w:val="99"/>
    <w:qFormat/>
  </w:style>
  <w:style w:type="character" w:customStyle="1" w:styleId="ae">
    <w:name w:val="批注主题 字符"/>
    <w:basedOn w:val="a5"/>
    <w:link w:val="ad"/>
    <w:uiPriority w:val="99"/>
    <w:semiHidden/>
    <w:qFormat/>
    <w:rPr>
      <w:b/>
      <w:bCs/>
    </w:rPr>
  </w:style>
  <w:style w:type="character" w:customStyle="1" w:styleId="12">
    <w:name w:val="未处理的提及1"/>
    <w:basedOn w:val="a0"/>
    <w:uiPriority w:val="99"/>
    <w:semiHidden/>
    <w:unhideWhenUsed/>
    <w:qFormat/>
    <w:rPr>
      <w:color w:val="605E5C"/>
      <w:shd w:val="clear" w:color="auto" w:fill="E1DFDD"/>
    </w:rPr>
  </w:style>
  <w:style w:type="paragraph" w:customStyle="1" w:styleId="13">
    <w:name w:val="修订1"/>
    <w:hidden/>
    <w:uiPriority w:val="99"/>
    <w:semiHidden/>
    <w:qFormat/>
    <w:rPr>
      <w:kern w:val="2"/>
      <w:sz w:val="21"/>
      <w:szCs w:val="21"/>
    </w:rPr>
  </w:style>
  <w:style w:type="character" w:customStyle="1" w:styleId="21">
    <w:name w:val="未处理的提及2"/>
    <w:basedOn w:val="a0"/>
    <w:uiPriority w:val="99"/>
    <w:semiHidden/>
    <w:unhideWhenUsed/>
    <w:qFormat/>
    <w:rPr>
      <w:color w:val="605E5C"/>
      <w:shd w:val="clear" w:color="auto" w:fill="E1DFDD"/>
    </w:rPr>
  </w:style>
  <w:style w:type="character" w:customStyle="1" w:styleId="3">
    <w:name w:val="未处理的提及3"/>
    <w:basedOn w:val="a0"/>
    <w:uiPriority w:val="99"/>
    <w:semiHidden/>
    <w:unhideWhenUsed/>
    <w:qFormat/>
    <w:rPr>
      <w:color w:val="605E5C"/>
      <w:shd w:val="clear" w:color="auto" w:fill="E1DFDD"/>
    </w:rPr>
  </w:style>
  <w:style w:type="character" w:customStyle="1" w:styleId="41">
    <w:name w:val="未处理的提及4"/>
    <w:basedOn w:val="a0"/>
    <w:uiPriority w:val="99"/>
    <w:semiHidden/>
    <w:unhideWhenUsed/>
    <w:qFormat/>
    <w:rPr>
      <w:color w:val="605E5C"/>
      <w:shd w:val="clear" w:color="auto" w:fill="E1DFDD"/>
    </w:rPr>
  </w:style>
  <w:style w:type="character" w:customStyle="1" w:styleId="5">
    <w:name w:val="未处理的提及5"/>
    <w:basedOn w:val="a0"/>
    <w:uiPriority w:val="99"/>
    <w:semiHidden/>
    <w:unhideWhenUsed/>
    <w:qFormat/>
    <w:rPr>
      <w:color w:val="605E5C"/>
      <w:shd w:val="clear" w:color="auto" w:fill="E1DFDD"/>
    </w:rPr>
  </w:style>
  <w:style w:type="character" w:customStyle="1" w:styleId="40">
    <w:name w:val="标题 4 字符"/>
    <w:basedOn w:val="a0"/>
    <w:link w:val="4"/>
    <w:uiPriority w:val="9"/>
    <w:semiHidden/>
    <w:qFormat/>
    <w:rPr>
      <w:rFonts w:asciiTheme="majorHAnsi" w:eastAsiaTheme="majorEastAsia" w:hAnsiTheme="majorHAnsi" w:cstheme="majorBidi"/>
      <w:b/>
      <w:bCs/>
      <w:sz w:val="28"/>
      <w:szCs w:val="28"/>
    </w:rPr>
  </w:style>
  <w:style w:type="paragraph" w:customStyle="1" w:styleId="22">
    <w:name w:val="修订2"/>
    <w:hidden/>
    <w:uiPriority w:val="99"/>
    <w:semiHidden/>
    <w:qFormat/>
    <w:rPr>
      <w:kern w:val="2"/>
      <w:sz w:val="21"/>
      <w:szCs w:val="21"/>
    </w:rPr>
  </w:style>
  <w:style w:type="character" w:styleId="af6">
    <w:name w:val="Unresolved Mention"/>
    <w:basedOn w:val="a0"/>
    <w:uiPriority w:val="99"/>
    <w:semiHidden/>
    <w:unhideWhenUsed/>
    <w:rsid w:val="004944C7"/>
    <w:rPr>
      <w:color w:val="605E5C"/>
      <w:shd w:val="clear" w:color="auto" w:fill="E1DFDD"/>
    </w:rPr>
  </w:style>
  <w:style w:type="table" w:styleId="af7">
    <w:name w:val="Table Grid"/>
    <w:basedOn w:val="a1"/>
    <w:qFormat/>
    <w:rsid w:val="009E41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Bibliography"/>
    <w:basedOn w:val="a"/>
    <w:next w:val="a"/>
    <w:uiPriority w:val="37"/>
    <w:unhideWhenUsed/>
    <w:rsid w:val="00265DB9"/>
    <w:pPr>
      <w:tabs>
        <w:tab w:val="left" w:pos="264"/>
      </w:tabs>
      <w:spacing w:line="480" w:lineRule="auto"/>
      <w:ind w:left="264" w:hanging="264"/>
    </w:pPr>
  </w:style>
  <w:style w:type="character" w:customStyle="1" w:styleId="fontstyle01">
    <w:name w:val="fontstyle01"/>
    <w:basedOn w:val="a0"/>
    <w:rsid w:val="00B36153"/>
    <w:rPr>
      <w:rFonts w:ascii="ArnoPro-Regular" w:hAnsi="ArnoPro-Regular" w:hint="default"/>
      <w:b w:val="0"/>
      <w:bCs w:val="0"/>
      <w:i w:val="0"/>
      <w:iCs w:val="0"/>
      <w:color w:val="000000"/>
      <w:sz w:val="18"/>
      <w:szCs w:val="18"/>
    </w:rPr>
  </w:style>
  <w:style w:type="paragraph" w:styleId="af9">
    <w:name w:val="Revision"/>
    <w:hidden/>
    <w:uiPriority w:val="99"/>
    <w:unhideWhenUsed/>
    <w:rsid w:val="00DD68F3"/>
    <w:rPr>
      <w:kern w:val="2"/>
      <w:sz w:val="21"/>
      <w:szCs w:val="21"/>
    </w:rPr>
  </w:style>
  <w:style w:type="table" w:customStyle="1" w:styleId="14">
    <w:name w:val="网格型1"/>
    <w:basedOn w:val="a1"/>
    <w:next w:val="af7"/>
    <w:qFormat/>
    <w:rsid w:val="00EB61D8"/>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网格型2"/>
    <w:basedOn w:val="a1"/>
    <w:next w:val="af7"/>
    <w:qFormat/>
    <w:rsid w:val="00EB61D8"/>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
    <w:name w:val="网格型3"/>
    <w:basedOn w:val="a1"/>
    <w:next w:val="af7"/>
    <w:qFormat/>
    <w:rsid w:val="00EB61D8"/>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atex-mathml">
    <w:name w:val="katex-mathml"/>
    <w:basedOn w:val="a0"/>
    <w:rsid w:val="008F0B2F"/>
  </w:style>
  <w:style w:type="character" w:customStyle="1" w:styleId="mord">
    <w:name w:val="mord"/>
    <w:basedOn w:val="a0"/>
    <w:rsid w:val="008F0B2F"/>
  </w:style>
  <w:style w:type="character" w:customStyle="1" w:styleId="mop">
    <w:name w:val="mop"/>
    <w:basedOn w:val="a0"/>
    <w:rsid w:val="008F0B2F"/>
  </w:style>
  <w:style w:type="character" w:customStyle="1" w:styleId="vlist-s">
    <w:name w:val="vlist-s"/>
    <w:basedOn w:val="a0"/>
    <w:rsid w:val="008F0B2F"/>
  </w:style>
  <w:style w:type="paragraph" w:styleId="TOC">
    <w:name w:val="TOC Heading"/>
    <w:basedOn w:val="1"/>
    <w:next w:val="a"/>
    <w:uiPriority w:val="39"/>
    <w:unhideWhenUsed/>
    <w:qFormat/>
    <w:rsid w:val="00FF2663"/>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TOC1">
    <w:name w:val="toc 1"/>
    <w:basedOn w:val="a"/>
    <w:next w:val="a"/>
    <w:autoRedefine/>
    <w:uiPriority w:val="39"/>
    <w:unhideWhenUsed/>
    <w:rsid w:val="00583E16"/>
    <w:pPr>
      <w:tabs>
        <w:tab w:val="right" w:leader="dot" w:pos="8296"/>
      </w:tabs>
      <w:spacing w:line="360" w:lineRule="auto"/>
    </w:pPr>
    <w:rPr>
      <w:rFonts w:ascii="Times New Roman" w:hAnsi="Times New Roman" w:cs="Times New Roman"/>
      <w:color w:val="000000" w:themeColor="text1"/>
      <w:sz w:val="24"/>
      <w:szCs w:val="24"/>
    </w:rPr>
  </w:style>
  <w:style w:type="paragraph" w:styleId="TOC2">
    <w:name w:val="toc 2"/>
    <w:basedOn w:val="a"/>
    <w:next w:val="a"/>
    <w:autoRedefine/>
    <w:uiPriority w:val="39"/>
    <w:unhideWhenUsed/>
    <w:rsid w:val="003C42EB"/>
    <w:pPr>
      <w:tabs>
        <w:tab w:val="right" w:leader="dot" w:pos="8296"/>
      </w:tabs>
      <w:spacing w:line="360" w:lineRule="auto"/>
      <w:ind w:leftChars="200" w:left="420"/>
    </w:pPr>
  </w:style>
  <w:style w:type="paragraph" w:styleId="TOC3">
    <w:name w:val="toc 3"/>
    <w:basedOn w:val="a"/>
    <w:next w:val="a"/>
    <w:autoRedefine/>
    <w:uiPriority w:val="39"/>
    <w:unhideWhenUsed/>
    <w:rsid w:val="00BF1C77"/>
    <w:pPr>
      <w:widowControl/>
      <w:spacing w:after="100" w:line="259" w:lineRule="auto"/>
      <w:ind w:left="440"/>
      <w:jc w:val="left"/>
    </w:pPr>
    <w:rPr>
      <w:rFonts w:cs="Times New Roman"/>
      <w:kern w:val="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41031">
      <w:bodyDiv w:val="1"/>
      <w:marLeft w:val="0"/>
      <w:marRight w:val="0"/>
      <w:marTop w:val="0"/>
      <w:marBottom w:val="0"/>
      <w:divBdr>
        <w:top w:val="none" w:sz="0" w:space="0" w:color="auto"/>
        <w:left w:val="none" w:sz="0" w:space="0" w:color="auto"/>
        <w:bottom w:val="none" w:sz="0" w:space="0" w:color="auto"/>
        <w:right w:val="none" w:sz="0" w:space="0" w:color="auto"/>
      </w:divBdr>
    </w:div>
    <w:div w:id="15621957">
      <w:bodyDiv w:val="1"/>
      <w:marLeft w:val="0"/>
      <w:marRight w:val="0"/>
      <w:marTop w:val="0"/>
      <w:marBottom w:val="0"/>
      <w:divBdr>
        <w:top w:val="none" w:sz="0" w:space="0" w:color="auto"/>
        <w:left w:val="none" w:sz="0" w:space="0" w:color="auto"/>
        <w:bottom w:val="none" w:sz="0" w:space="0" w:color="auto"/>
        <w:right w:val="none" w:sz="0" w:space="0" w:color="auto"/>
      </w:divBdr>
    </w:div>
    <w:div w:id="44068958">
      <w:bodyDiv w:val="1"/>
      <w:marLeft w:val="0"/>
      <w:marRight w:val="0"/>
      <w:marTop w:val="0"/>
      <w:marBottom w:val="0"/>
      <w:divBdr>
        <w:top w:val="none" w:sz="0" w:space="0" w:color="auto"/>
        <w:left w:val="none" w:sz="0" w:space="0" w:color="auto"/>
        <w:bottom w:val="none" w:sz="0" w:space="0" w:color="auto"/>
        <w:right w:val="none" w:sz="0" w:space="0" w:color="auto"/>
      </w:divBdr>
    </w:div>
    <w:div w:id="116922219">
      <w:bodyDiv w:val="1"/>
      <w:marLeft w:val="0"/>
      <w:marRight w:val="0"/>
      <w:marTop w:val="0"/>
      <w:marBottom w:val="0"/>
      <w:divBdr>
        <w:top w:val="none" w:sz="0" w:space="0" w:color="auto"/>
        <w:left w:val="none" w:sz="0" w:space="0" w:color="auto"/>
        <w:bottom w:val="none" w:sz="0" w:space="0" w:color="auto"/>
        <w:right w:val="none" w:sz="0" w:space="0" w:color="auto"/>
      </w:divBdr>
    </w:div>
    <w:div w:id="122623381">
      <w:bodyDiv w:val="1"/>
      <w:marLeft w:val="0"/>
      <w:marRight w:val="0"/>
      <w:marTop w:val="0"/>
      <w:marBottom w:val="0"/>
      <w:divBdr>
        <w:top w:val="none" w:sz="0" w:space="0" w:color="auto"/>
        <w:left w:val="none" w:sz="0" w:space="0" w:color="auto"/>
        <w:bottom w:val="none" w:sz="0" w:space="0" w:color="auto"/>
        <w:right w:val="none" w:sz="0" w:space="0" w:color="auto"/>
      </w:divBdr>
    </w:div>
    <w:div w:id="154415217">
      <w:bodyDiv w:val="1"/>
      <w:marLeft w:val="0"/>
      <w:marRight w:val="0"/>
      <w:marTop w:val="0"/>
      <w:marBottom w:val="0"/>
      <w:divBdr>
        <w:top w:val="none" w:sz="0" w:space="0" w:color="auto"/>
        <w:left w:val="none" w:sz="0" w:space="0" w:color="auto"/>
        <w:bottom w:val="none" w:sz="0" w:space="0" w:color="auto"/>
        <w:right w:val="none" w:sz="0" w:space="0" w:color="auto"/>
      </w:divBdr>
    </w:div>
    <w:div w:id="162819933">
      <w:bodyDiv w:val="1"/>
      <w:marLeft w:val="0"/>
      <w:marRight w:val="0"/>
      <w:marTop w:val="0"/>
      <w:marBottom w:val="0"/>
      <w:divBdr>
        <w:top w:val="none" w:sz="0" w:space="0" w:color="auto"/>
        <w:left w:val="none" w:sz="0" w:space="0" w:color="auto"/>
        <w:bottom w:val="none" w:sz="0" w:space="0" w:color="auto"/>
        <w:right w:val="none" w:sz="0" w:space="0" w:color="auto"/>
      </w:divBdr>
    </w:div>
    <w:div w:id="185947103">
      <w:bodyDiv w:val="1"/>
      <w:marLeft w:val="0"/>
      <w:marRight w:val="0"/>
      <w:marTop w:val="0"/>
      <w:marBottom w:val="0"/>
      <w:divBdr>
        <w:top w:val="none" w:sz="0" w:space="0" w:color="auto"/>
        <w:left w:val="none" w:sz="0" w:space="0" w:color="auto"/>
        <w:bottom w:val="none" w:sz="0" w:space="0" w:color="auto"/>
        <w:right w:val="none" w:sz="0" w:space="0" w:color="auto"/>
      </w:divBdr>
    </w:div>
    <w:div w:id="201096594">
      <w:bodyDiv w:val="1"/>
      <w:marLeft w:val="0"/>
      <w:marRight w:val="0"/>
      <w:marTop w:val="0"/>
      <w:marBottom w:val="0"/>
      <w:divBdr>
        <w:top w:val="none" w:sz="0" w:space="0" w:color="auto"/>
        <w:left w:val="none" w:sz="0" w:space="0" w:color="auto"/>
        <w:bottom w:val="none" w:sz="0" w:space="0" w:color="auto"/>
        <w:right w:val="none" w:sz="0" w:space="0" w:color="auto"/>
      </w:divBdr>
    </w:div>
    <w:div w:id="204567999">
      <w:bodyDiv w:val="1"/>
      <w:marLeft w:val="0"/>
      <w:marRight w:val="0"/>
      <w:marTop w:val="0"/>
      <w:marBottom w:val="0"/>
      <w:divBdr>
        <w:top w:val="none" w:sz="0" w:space="0" w:color="auto"/>
        <w:left w:val="none" w:sz="0" w:space="0" w:color="auto"/>
        <w:bottom w:val="none" w:sz="0" w:space="0" w:color="auto"/>
        <w:right w:val="none" w:sz="0" w:space="0" w:color="auto"/>
      </w:divBdr>
    </w:div>
    <w:div w:id="210266943">
      <w:bodyDiv w:val="1"/>
      <w:marLeft w:val="0"/>
      <w:marRight w:val="0"/>
      <w:marTop w:val="0"/>
      <w:marBottom w:val="0"/>
      <w:divBdr>
        <w:top w:val="none" w:sz="0" w:space="0" w:color="auto"/>
        <w:left w:val="none" w:sz="0" w:space="0" w:color="auto"/>
        <w:bottom w:val="none" w:sz="0" w:space="0" w:color="auto"/>
        <w:right w:val="none" w:sz="0" w:space="0" w:color="auto"/>
      </w:divBdr>
    </w:div>
    <w:div w:id="217014282">
      <w:bodyDiv w:val="1"/>
      <w:marLeft w:val="0"/>
      <w:marRight w:val="0"/>
      <w:marTop w:val="0"/>
      <w:marBottom w:val="0"/>
      <w:divBdr>
        <w:top w:val="none" w:sz="0" w:space="0" w:color="auto"/>
        <w:left w:val="none" w:sz="0" w:space="0" w:color="auto"/>
        <w:bottom w:val="none" w:sz="0" w:space="0" w:color="auto"/>
        <w:right w:val="none" w:sz="0" w:space="0" w:color="auto"/>
      </w:divBdr>
    </w:div>
    <w:div w:id="236324403">
      <w:bodyDiv w:val="1"/>
      <w:marLeft w:val="0"/>
      <w:marRight w:val="0"/>
      <w:marTop w:val="0"/>
      <w:marBottom w:val="0"/>
      <w:divBdr>
        <w:top w:val="none" w:sz="0" w:space="0" w:color="auto"/>
        <w:left w:val="none" w:sz="0" w:space="0" w:color="auto"/>
        <w:bottom w:val="none" w:sz="0" w:space="0" w:color="auto"/>
        <w:right w:val="none" w:sz="0" w:space="0" w:color="auto"/>
      </w:divBdr>
    </w:div>
    <w:div w:id="253704882">
      <w:bodyDiv w:val="1"/>
      <w:marLeft w:val="0"/>
      <w:marRight w:val="0"/>
      <w:marTop w:val="0"/>
      <w:marBottom w:val="0"/>
      <w:divBdr>
        <w:top w:val="none" w:sz="0" w:space="0" w:color="auto"/>
        <w:left w:val="none" w:sz="0" w:space="0" w:color="auto"/>
        <w:bottom w:val="none" w:sz="0" w:space="0" w:color="auto"/>
        <w:right w:val="none" w:sz="0" w:space="0" w:color="auto"/>
      </w:divBdr>
    </w:div>
    <w:div w:id="283732730">
      <w:bodyDiv w:val="1"/>
      <w:marLeft w:val="0"/>
      <w:marRight w:val="0"/>
      <w:marTop w:val="0"/>
      <w:marBottom w:val="0"/>
      <w:divBdr>
        <w:top w:val="none" w:sz="0" w:space="0" w:color="auto"/>
        <w:left w:val="none" w:sz="0" w:space="0" w:color="auto"/>
        <w:bottom w:val="none" w:sz="0" w:space="0" w:color="auto"/>
        <w:right w:val="none" w:sz="0" w:space="0" w:color="auto"/>
      </w:divBdr>
    </w:div>
    <w:div w:id="289823622">
      <w:bodyDiv w:val="1"/>
      <w:marLeft w:val="0"/>
      <w:marRight w:val="0"/>
      <w:marTop w:val="0"/>
      <w:marBottom w:val="0"/>
      <w:divBdr>
        <w:top w:val="none" w:sz="0" w:space="0" w:color="auto"/>
        <w:left w:val="none" w:sz="0" w:space="0" w:color="auto"/>
        <w:bottom w:val="none" w:sz="0" w:space="0" w:color="auto"/>
        <w:right w:val="none" w:sz="0" w:space="0" w:color="auto"/>
      </w:divBdr>
    </w:div>
    <w:div w:id="305360757">
      <w:bodyDiv w:val="1"/>
      <w:marLeft w:val="0"/>
      <w:marRight w:val="0"/>
      <w:marTop w:val="0"/>
      <w:marBottom w:val="0"/>
      <w:divBdr>
        <w:top w:val="none" w:sz="0" w:space="0" w:color="auto"/>
        <w:left w:val="none" w:sz="0" w:space="0" w:color="auto"/>
        <w:bottom w:val="none" w:sz="0" w:space="0" w:color="auto"/>
        <w:right w:val="none" w:sz="0" w:space="0" w:color="auto"/>
      </w:divBdr>
    </w:div>
    <w:div w:id="317268922">
      <w:bodyDiv w:val="1"/>
      <w:marLeft w:val="0"/>
      <w:marRight w:val="0"/>
      <w:marTop w:val="0"/>
      <w:marBottom w:val="0"/>
      <w:divBdr>
        <w:top w:val="none" w:sz="0" w:space="0" w:color="auto"/>
        <w:left w:val="none" w:sz="0" w:space="0" w:color="auto"/>
        <w:bottom w:val="none" w:sz="0" w:space="0" w:color="auto"/>
        <w:right w:val="none" w:sz="0" w:space="0" w:color="auto"/>
      </w:divBdr>
    </w:div>
    <w:div w:id="322665938">
      <w:bodyDiv w:val="1"/>
      <w:marLeft w:val="0"/>
      <w:marRight w:val="0"/>
      <w:marTop w:val="0"/>
      <w:marBottom w:val="0"/>
      <w:divBdr>
        <w:top w:val="none" w:sz="0" w:space="0" w:color="auto"/>
        <w:left w:val="none" w:sz="0" w:space="0" w:color="auto"/>
        <w:bottom w:val="none" w:sz="0" w:space="0" w:color="auto"/>
        <w:right w:val="none" w:sz="0" w:space="0" w:color="auto"/>
      </w:divBdr>
    </w:div>
    <w:div w:id="373235259">
      <w:bodyDiv w:val="1"/>
      <w:marLeft w:val="0"/>
      <w:marRight w:val="0"/>
      <w:marTop w:val="0"/>
      <w:marBottom w:val="0"/>
      <w:divBdr>
        <w:top w:val="none" w:sz="0" w:space="0" w:color="auto"/>
        <w:left w:val="none" w:sz="0" w:space="0" w:color="auto"/>
        <w:bottom w:val="none" w:sz="0" w:space="0" w:color="auto"/>
        <w:right w:val="none" w:sz="0" w:space="0" w:color="auto"/>
      </w:divBdr>
    </w:div>
    <w:div w:id="390737586">
      <w:bodyDiv w:val="1"/>
      <w:marLeft w:val="0"/>
      <w:marRight w:val="0"/>
      <w:marTop w:val="0"/>
      <w:marBottom w:val="0"/>
      <w:divBdr>
        <w:top w:val="none" w:sz="0" w:space="0" w:color="auto"/>
        <w:left w:val="none" w:sz="0" w:space="0" w:color="auto"/>
        <w:bottom w:val="none" w:sz="0" w:space="0" w:color="auto"/>
        <w:right w:val="none" w:sz="0" w:space="0" w:color="auto"/>
      </w:divBdr>
    </w:div>
    <w:div w:id="498349929">
      <w:bodyDiv w:val="1"/>
      <w:marLeft w:val="0"/>
      <w:marRight w:val="0"/>
      <w:marTop w:val="0"/>
      <w:marBottom w:val="0"/>
      <w:divBdr>
        <w:top w:val="none" w:sz="0" w:space="0" w:color="auto"/>
        <w:left w:val="none" w:sz="0" w:space="0" w:color="auto"/>
        <w:bottom w:val="none" w:sz="0" w:space="0" w:color="auto"/>
        <w:right w:val="none" w:sz="0" w:space="0" w:color="auto"/>
      </w:divBdr>
    </w:div>
    <w:div w:id="519202674">
      <w:bodyDiv w:val="1"/>
      <w:marLeft w:val="0"/>
      <w:marRight w:val="0"/>
      <w:marTop w:val="0"/>
      <w:marBottom w:val="0"/>
      <w:divBdr>
        <w:top w:val="none" w:sz="0" w:space="0" w:color="auto"/>
        <w:left w:val="none" w:sz="0" w:space="0" w:color="auto"/>
        <w:bottom w:val="none" w:sz="0" w:space="0" w:color="auto"/>
        <w:right w:val="none" w:sz="0" w:space="0" w:color="auto"/>
      </w:divBdr>
    </w:div>
    <w:div w:id="565803391">
      <w:bodyDiv w:val="1"/>
      <w:marLeft w:val="0"/>
      <w:marRight w:val="0"/>
      <w:marTop w:val="0"/>
      <w:marBottom w:val="0"/>
      <w:divBdr>
        <w:top w:val="none" w:sz="0" w:space="0" w:color="auto"/>
        <w:left w:val="none" w:sz="0" w:space="0" w:color="auto"/>
        <w:bottom w:val="none" w:sz="0" w:space="0" w:color="auto"/>
        <w:right w:val="none" w:sz="0" w:space="0" w:color="auto"/>
      </w:divBdr>
    </w:div>
    <w:div w:id="609358229">
      <w:bodyDiv w:val="1"/>
      <w:marLeft w:val="0"/>
      <w:marRight w:val="0"/>
      <w:marTop w:val="0"/>
      <w:marBottom w:val="0"/>
      <w:divBdr>
        <w:top w:val="none" w:sz="0" w:space="0" w:color="auto"/>
        <w:left w:val="none" w:sz="0" w:space="0" w:color="auto"/>
        <w:bottom w:val="none" w:sz="0" w:space="0" w:color="auto"/>
        <w:right w:val="none" w:sz="0" w:space="0" w:color="auto"/>
      </w:divBdr>
    </w:div>
    <w:div w:id="682785843">
      <w:bodyDiv w:val="1"/>
      <w:marLeft w:val="0"/>
      <w:marRight w:val="0"/>
      <w:marTop w:val="0"/>
      <w:marBottom w:val="0"/>
      <w:divBdr>
        <w:top w:val="none" w:sz="0" w:space="0" w:color="auto"/>
        <w:left w:val="none" w:sz="0" w:space="0" w:color="auto"/>
        <w:bottom w:val="none" w:sz="0" w:space="0" w:color="auto"/>
        <w:right w:val="none" w:sz="0" w:space="0" w:color="auto"/>
      </w:divBdr>
    </w:div>
    <w:div w:id="690180195">
      <w:bodyDiv w:val="1"/>
      <w:marLeft w:val="0"/>
      <w:marRight w:val="0"/>
      <w:marTop w:val="0"/>
      <w:marBottom w:val="0"/>
      <w:divBdr>
        <w:top w:val="none" w:sz="0" w:space="0" w:color="auto"/>
        <w:left w:val="none" w:sz="0" w:space="0" w:color="auto"/>
        <w:bottom w:val="none" w:sz="0" w:space="0" w:color="auto"/>
        <w:right w:val="none" w:sz="0" w:space="0" w:color="auto"/>
      </w:divBdr>
    </w:div>
    <w:div w:id="694884694">
      <w:bodyDiv w:val="1"/>
      <w:marLeft w:val="0"/>
      <w:marRight w:val="0"/>
      <w:marTop w:val="0"/>
      <w:marBottom w:val="0"/>
      <w:divBdr>
        <w:top w:val="none" w:sz="0" w:space="0" w:color="auto"/>
        <w:left w:val="none" w:sz="0" w:space="0" w:color="auto"/>
        <w:bottom w:val="none" w:sz="0" w:space="0" w:color="auto"/>
        <w:right w:val="none" w:sz="0" w:space="0" w:color="auto"/>
      </w:divBdr>
    </w:div>
    <w:div w:id="704142039">
      <w:bodyDiv w:val="1"/>
      <w:marLeft w:val="0"/>
      <w:marRight w:val="0"/>
      <w:marTop w:val="0"/>
      <w:marBottom w:val="0"/>
      <w:divBdr>
        <w:top w:val="none" w:sz="0" w:space="0" w:color="auto"/>
        <w:left w:val="none" w:sz="0" w:space="0" w:color="auto"/>
        <w:bottom w:val="none" w:sz="0" w:space="0" w:color="auto"/>
        <w:right w:val="none" w:sz="0" w:space="0" w:color="auto"/>
      </w:divBdr>
    </w:div>
    <w:div w:id="709380343">
      <w:bodyDiv w:val="1"/>
      <w:marLeft w:val="0"/>
      <w:marRight w:val="0"/>
      <w:marTop w:val="0"/>
      <w:marBottom w:val="0"/>
      <w:divBdr>
        <w:top w:val="none" w:sz="0" w:space="0" w:color="auto"/>
        <w:left w:val="none" w:sz="0" w:space="0" w:color="auto"/>
        <w:bottom w:val="none" w:sz="0" w:space="0" w:color="auto"/>
        <w:right w:val="none" w:sz="0" w:space="0" w:color="auto"/>
      </w:divBdr>
    </w:div>
    <w:div w:id="746151041">
      <w:bodyDiv w:val="1"/>
      <w:marLeft w:val="0"/>
      <w:marRight w:val="0"/>
      <w:marTop w:val="0"/>
      <w:marBottom w:val="0"/>
      <w:divBdr>
        <w:top w:val="none" w:sz="0" w:space="0" w:color="auto"/>
        <w:left w:val="none" w:sz="0" w:space="0" w:color="auto"/>
        <w:bottom w:val="none" w:sz="0" w:space="0" w:color="auto"/>
        <w:right w:val="none" w:sz="0" w:space="0" w:color="auto"/>
      </w:divBdr>
    </w:div>
    <w:div w:id="761142844">
      <w:bodyDiv w:val="1"/>
      <w:marLeft w:val="0"/>
      <w:marRight w:val="0"/>
      <w:marTop w:val="0"/>
      <w:marBottom w:val="0"/>
      <w:divBdr>
        <w:top w:val="none" w:sz="0" w:space="0" w:color="auto"/>
        <w:left w:val="none" w:sz="0" w:space="0" w:color="auto"/>
        <w:bottom w:val="none" w:sz="0" w:space="0" w:color="auto"/>
        <w:right w:val="none" w:sz="0" w:space="0" w:color="auto"/>
      </w:divBdr>
    </w:div>
    <w:div w:id="788478248">
      <w:bodyDiv w:val="1"/>
      <w:marLeft w:val="0"/>
      <w:marRight w:val="0"/>
      <w:marTop w:val="0"/>
      <w:marBottom w:val="0"/>
      <w:divBdr>
        <w:top w:val="none" w:sz="0" w:space="0" w:color="auto"/>
        <w:left w:val="none" w:sz="0" w:space="0" w:color="auto"/>
        <w:bottom w:val="none" w:sz="0" w:space="0" w:color="auto"/>
        <w:right w:val="none" w:sz="0" w:space="0" w:color="auto"/>
      </w:divBdr>
    </w:div>
    <w:div w:id="795179457">
      <w:bodyDiv w:val="1"/>
      <w:marLeft w:val="0"/>
      <w:marRight w:val="0"/>
      <w:marTop w:val="0"/>
      <w:marBottom w:val="0"/>
      <w:divBdr>
        <w:top w:val="none" w:sz="0" w:space="0" w:color="auto"/>
        <w:left w:val="none" w:sz="0" w:space="0" w:color="auto"/>
        <w:bottom w:val="none" w:sz="0" w:space="0" w:color="auto"/>
        <w:right w:val="none" w:sz="0" w:space="0" w:color="auto"/>
      </w:divBdr>
    </w:div>
    <w:div w:id="809205711">
      <w:bodyDiv w:val="1"/>
      <w:marLeft w:val="0"/>
      <w:marRight w:val="0"/>
      <w:marTop w:val="0"/>
      <w:marBottom w:val="0"/>
      <w:divBdr>
        <w:top w:val="none" w:sz="0" w:space="0" w:color="auto"/>
        <w:left w:val="none" w:sz="0" w:space="0" w:color="auto"/>
        <w:bottom w:val="none" w:sz="0" w:space="0" w:color="auto"/>
        <w:right w:val="none" w:sz="0" w:space="0" w:color="auto"/>
      </w:divBdr>
    </w:div>
    <w:div w:id="810098328">
      <w:bodyDiv w:val="1"/>
      <w:marLeft w:val="0"/>
      <w:marRight w:val="0"/>
      <w:marTop w:val="0"/>
      <w:marBottom w:val="0"/>
      <w:divBdr>
        <w:top w:val="none" w:sz="0" w:space="0" w:color="auto"/>
        <w:left w:val="none" w:sz="0" w:space="0" w:color="auto"/>
        <w:bottom w:val="none" w:sz="0" w:space="0" w:color="auto"/>
        <w:right w:val="none" w:sz="0" w:space="0" w:color="auto"/>
      </w:divBdr>
    </w:div>
    <w:div w:id="849181321">
      <w:bodyDiv w:val="1"/>
      <w:marLeft w:val="0"/>
      <w:marRight w:val="0"/>
      <w:marTop w:val="0"/>
      <w:marBottom w:val="0"/>
      <w:divBdr>
        <w:top w:val="none" w:sz="0" w:space="0" w:color="auto"/>
        <w:left w:val="none" w:sz="0" w:space="0" w:color="auto"/>
        <w:bottom w:val="none" w:sz="0" w:space="0" w:color="auto"/>
        <w:right w:val="none" w:sz="0" w:space="0" w:color="auto"/>
      </w:divBdr>
    </w:div>
    <w:div w:id="858814680">
      <w:bodyDiv w:val="1"/>
      <w:marLeft w:val="0"/>
      <w:marRight w:val="0"/>
      <w:marTop w:val="0"/>
      <w:marBottom w:val="0"/>
      <w:divBdr>
        <w:top w:val="none" w:sz="0" w:space="0" w:color="auto"/>
        <w:left w:val="none" w:sz="0" w:space="0" w:color="auto"/>
        <w:bottom w:val="none" w:sz="0" w:space="0" w:color="auto"/>
        <w:right w:val="none" w:sz="0" w:space="0" w:color="auto"/>
      </w:divBdr>
    </w:div>
    <w:div w:id="859011681">
      <w:bodyDiv w:val="1"/>
      <w:marLeft w:val="0"/>
      <w:marRight w:val="0"/>
      <w:marTop w:val="0"/>
      <w:marBottom w:val="0"/>
      <w:divBdr>
        <w:top w:val="none" w:sz="0" w:space="0" w:color="auto"/>
        <w:left w:val="none" w:sz="0" w:space="0" w:color="auto"/>
        <w:bottom w:val="none" w:sz="0" w:space="0" w:color="auto"/>
        <w:right w:val="none" w:sz="0" w:space="0" w:color="auto"/>
      </w:divBdr>
    </w:div>
    <w:div w:id="895049064">
      <w:bodyDiv w:val="1"/>
      <w:marLeft w:val="0"/>
      <w:marRight w:val="0"/>
      <w:marTop w:val="0"/>
      <w:marBottom w:val="0"/>
      <w:divBdr>
        <w:top w:val="none" w:sz="0" w:space="0" w:color="auto"/>
        <w:left w:val="none" w:sz="0" w:space="0" w:color="auto"/>
        <w:bottom w:val="none" w:sz="0" w:space="0" w:color="auto"/>
        <w:right w:val="none" w:sz="0" w:space="0" w:color="auto"/>
      </w:divBdr>
    </w:div>
    <w:div w:id="929316023">
      <w:bodyDiv w:val="1"/>
      <w:marLeft w:val="0"/>
      <w:marRight w:val="0"/>
      <w:marTop w:val="0"/>
      <w:marBottom w:val="0"/>
      <w:divBdr>
        <w:top w:val="none" w:sz="0" w:space="0" w:color="auto"/>
        <w:left w:val="none" w:sz="0" w:space="0" w:color="auto"/>
        <w:bottom w:val="none" w:sz="0" w:space="0" w:color="auto"/>
        <w:right w:val="none" w:sz="0" w:space="0" w:color="auto"/>
      </w:divBdr>
    </w:div>
    <w:div w:id="945775496">
      <w:bodyDiv w:val="1"/>
      <w:marLeft w:val="0"/>
      <w:marRight w:val="0"/>
      <w:marTop w:val="0"/>
      <w:marBottom w:val="0"/>
      <w:divBdr>
        <w:top w:val="none" w:sz="0" w:space="0" w:color="auto"/>
        <w:left w:val="none" w:sz="0" w:space="0" w:color="auto"/>
        <w:bottom w:val="none" w:sz="0" w:space="0" w:color="auto"/>
        <w:right w:val="none" w:sz="0" w:space="0" w:color="auto"/>
      </w:divBdr>
    </w:div>
    <w:div w:id="966550264">
      <w:bodyDiv w:val="1"/>
      <w:marLeft w:val="0"/>
      <w:marRight w:val="0"/>
      <w:marTop w:val="0"/>
      <w:marBottom w:val="0"/>
      <w:divBdr>
        <w:top w:val="none" w:sz="0" w:space="0" w:color="auto"/>
        <w:left w:val="none" w:sz="0" w:space="0" w:color="auto"/>
        <w:bottom w:val="none" w:sz="0" w:space="0" w:color="auto"/>
        <w:right w:val="none" w:sz="0" w:space="0" w:color="auto"/>
      </w:divBdr>
    </w:div>
    <w:div w:id="992834869">
      <w:bodyDiv w:val="1"/>
      <w:marLeft w:val="0"/>
      <w:marRight w:val="0"/>
      <w:marTop w:val="0"/>
      <w:marBottom w:val="0"/>
      <w:divBdr>
        <w:top w:val="none" w:sz="0" w:space="0" w:color="auto"/>
        <w:left w:val="none" w:sz="0" w:space="0" w:color="auto"/>
        <w:bottom w:val="none" w:sz="0" w:space="0" w:color="auto"/>
        <w:right w:val="none" w:sz="0" w:space="0" w:color="auto"/>
      </w:divBdr>
    </w:div>
    <w:div w:id="993685366">
      <w:bodyDiv w:val="1"/>
      <w:marLeft w:val="0"/>
      <w:marRight w:val="0"/>
      <w:marTop w:val="0"/>
      <w:marBottom w:val="0"/>
      <w:divBdr>
        <w:top w:val="none" w:sz="0" w:space="0" w:color="auto"/>
        <w:left w:val="none" w:sz="0" w:space="0" w:color="auto"/>
        <w:bottom w:val="none" w:sz="0" w:space="0" w:color="auto"/>
        <w:right w:val="none" w:sz="0" w:space="0" w:color="auto"/>
      </w:divBdr>
    </w:div>
    <w:div w:id="1003977298">
      <w:bodyDiv w:val="1"/>
      <w:marLeft w:val="0"/>
      <w:marRight w:val="0"/>
      <w:marTop w:val="0"/>
      <w:marBottom w:val="0"/>
      <w:divBdr>
        <w:top w:val="none" w:sz="0" w:space="0" w:color="auto"/>
        <w:left w:val="none" w:sz="0" w:space="0" w:color="auto"/>
        <w:bottom w:val="none" w:sz="0" w:space="0" w:color="auto"/>
        <w:right w:val="none" w:sz="0" w:space="0" w:color="auto"/>
      </w:divBdr>
    </w:div>
    <w:div w:id="1004475484">
      <w:bodyDiv w:val="1"/>
      <w:marLeft w:val="0"/>
      <w:marRight w:val="0"/>
      <w:marTop w:val="0"/>
      <w:marBottom w:val="0"/>
      <w:divBdr>
        <w:top w:val="none" w:sz="0" w:space="0" w:color="auto"/>
        <w:left w:val="none" w:sz="0" w:space="0" w:color="auto"/>
        <w:bottom w:val="none" w:sz="0" w:space="0" w:color="auto"/>
        <w:right w:val="none" w:sz="0" w:space="0" w:color="auto"/>
      </w:divBdr>
    </w:div>
    <w:div w:id="1039209148">
      <w:bodyDiv w:val="1"/>
      <w:marLeft w:val="0"/>
      <w:marRight w:val="0"/>
      <w:marTop w:val="0"/>
      <w:marBottom w:val="0"/>
      <w:divBdr>
        <w:top w:val="none" w:sz="0" w:space="0" w:color="auto"/>
        <w:left w:val="none" w:sz="0" w:space="0" w:color="auto"/>
        <w:bottom w:val="none" w:sz="0" w:space="0" w:color="auto"/>
        <w:right w:val="none" w:sz="0" w:space="0" w:color="auto"/>
      </w:divBdr>
    </w:div>
    <w:div w:id="1056658223">
      <w:bodyDiv w:val="1"/>
      <w:marLeft w:val="0"/>
      <w:marRight w:val="0"/>
      <w:marTop w:val="0"/>
      <w:marBottom w:val="0"/>
      <w:divBdr>
        <w:top w:val="none" w:sz="0" w:space="0" w:color="auto"/>
        <w:left w:val="none" w:sz="0" w:space="0" w:color="auto"/>
        <w:bottom w:val="none" w:sz="0" w:space="0" w:color="auto"/>
        <w:right w:val="none" w:sz="0" w:space="0" w:color="auto"/>
      </w:divBdr>
    </w:div>
    <w:div w:id="1074887948">
      <w:bodyDiv w:val="1"/>
      <w:marLeft w:val="0"/>
      <w:marRight w:val="0"/>
      <w:marTop w:val="0"/>
      <w:marBottom w:val="0"/>
      <w:divBdr>
        <w:top w:val="none" w:sz="0" w:space="0" w:color="auto"/>
        <w:left w:val="none" w:sz="0" w:space="0" w:color="auto"/>
        <w:bottom w:val="none" w:sz="0" w:space="0" w:color="auto"/>
        <w:right w:val="none" w:sz="0" w:space="0" w:color="auto"/>
      </w:divBdr>
    </w:div>
    <w:div w:id="1115901632">
      <w:bodyDiv w:val="1"/>
      <w:marLeft w:val="0"/>
      <w:marRight w:val="0"/>
      <w:marTop w:val="0"/>
      <w:marBottom w:val="0"/>
      <w:divBdr>
        <w:top w:val="none" w:sz="0" w:space="0" w:color="auto"/>
        <w:left w:val="none" w:sz="0" w:space="0" w:color="auto"/>
        <w:bottom w:val="none" w:sz="0" w:space="0" w:color="auto"/>
        <w:right w:val="none" w:sz="0" w:space="0" w:color="auto"/>
      </w:divBdr>
    </w:div>
    <w:div w:id="1118184414">
      <w:bodyDiv w:val="1"/>
      <w:marLeft w:val="0"/>
      <w:marRight w:val="0"/>
      <w:marTop w:val="0"/>
      <w:marBottom w:val="0"/>
      <w:divBdr>
        <w:top w:val="none" w:sz="0" w:space="0" w:color="auto"/>
        <w:left w:val="none" w:sz="0" w:space="0" w:color="auto"/>
        <w:bottom w:val="none" w:sz="0" w:space="0" w:color="auto"/>
        <w:right w:val="none" w:sz="0" w:space="0" w:color="auto"/>
      </w:divBdr>
    </w:div>
    <w:div w:id="1122723608">
      <w:bodyDiv w:val="1"/>
      <w:marLeft w:val="0"/>
      <w:marRight w:val="0"/>
      <w:marTop w:val="0"/>
      <w:marBottom w:val="0"/>
      <w:divBdr>
        <w:top w:val="none" w:sz="0" w:space="0" w:color="auto"/>
        <w:left w:val="none" w:sz="0" w:space="0" w:color="auto"/>
        <w:bottom w:val="none" w:sz="0" w:space="0" w:color="auto"/>
        <w:right w:val="none" w:sz="0" w:space="0" w:color="auto"/>
      </w:divBdr>
    </w:div>
    <w:div w:id="1146702367">
      <w:bodyDiv w:val="1"/>
      <w:marLeft w:val="0"/>
      <w:marRight w:val="0"/>
      <w:marTop w:val="0"/>
      <w:marBottom w:val="0"/>
      <w:divBdr>
        <w:top w:val="none" w:sz="0" w:space="0" w:color="auto"/>
        <w:left w:val="none" w:sz="0" w:space="0" w:color="auto"/>
        <w:bottom w:val="none" w:sz="0" w:space="0" w:color="auto"/>
        <w:right w:val="none" w:sz="0" w:space="0" w:color="auto"/>
      </w:divBdr>
    </w:div>
    <w:div w:id="1168128969">
      <w:bodyDiv w:val="1"/>
      <w:marLeft w:val="0"/>
      <w:marRight w:val="0"/>
      <w:marTop w:val="0"/>
      <w:marBottom w:val="0"/>
      <w:divBdr>
        <w:top w:val="none" w:sz="0" w:space="0" w:color="auto"/>
        <w:left w:val="none" w:sz="0" w:space="0" w:color="auto"/>
        <w:bottom w:val="none" w:sz="0" w:space="0" w:color="auto"/>
        <w:right w:val="none" w:sz="0" w:space="0" w:color="auto"/>
      </w:divBdr>
    </w:div>
    <w:div w:id="1188254902">
      <w:bodyDiv w:val="1"/>
      <w:marLeft w:val="0"/>
      <w:marRight w:val="0"/>
      <w:marTop w:val="0"/>
      <w:marBottom w:val="0"/>
      <w:divBdr>
        <w:top w:val="none" w:sz="0" w:space="0" w:color="auto"/>
        <w:left w:val="none" w:sz="0" w:space="0" w:color="auto"/>
        <w:bottom w:val="none" w:sz="0" w:space="0" w:color="auto"/>
        <w:right w:val="none" w:sz="0" w:space="0" w:color="auto"/>
      </w:divBdr>
    </w:div>
    <w:div w:id="1230650168">
      <w:bodyDiv w:val="1"/>
      <w:marLeft w:val="0"/>
      <w:marRight w:val="0"/>
      <w:marTop w:val="0"/>
      <w:marBottom w:val="0"/>
      <w:divBdr>
        <w:top w:val="none" w:sz="0" w:space="0" w:color="auto"/>
        <w:left w:val="none" w:sz="0" w:space="0" w:color="auto"/>
        <w:bottom w:val="none" w:sz="0" w:space="0" w:color="auto"/>
        <w:right w:val="none" w:sz="0" w:space="0" w:color="auto"/>
      </w:divBdr>
    </w:div>
    <w:div w:id="1234895431">
      <w:bodyDiv w:val="1"/>
      <w:marLeft w:val="0"/>
      <w:marRight w:val="0"/>
      <w:marTop w:val="0"/>
      <w:marBottom w:val="0"/>
      <w:divBdr>
        <w:top w:val="none" w:sz="0" w:space="0" w:color="auto"/>
        <w:left w:val="none" w:sz="0" w:space="0" w:color="auto"/>
        <w:bottom w:val="none" w:sz="0" w:space="0" w:color="auto"/>
        <w:right w:val="none" w:sz="0" w:space="0" w:color="auto"/>
      </w:divBdr>
    </w:div>
    <w:div w:id="1248809609">
      <w:bodyDiv w:val="1"/>
      <w:marLeft w:val="0"/>
      <w:marRight w:val="0"/>
      <w:marTop w:val="0"/>
      <w:marBottom w:val="0"/>
      <w:divBdr>
        <w:top w:val="none" w:sz="0" w:space="0" w:color="auto"/>
        <w:left w:val="none" w:sz="0" w:space="0" w:color="auto"/>
        <w:bottom w:val="none" w:sz="0" w:space="0" w:color="auto"/>
        <w:right w:val="none" w:sz="0" w:space="0" w:color="auto"/>
      </w:divBdr>
    </w:div>
    <w:div w:id="1251695937">
      <w:bodyDiv w:val="1"/>
      <w:marLeft w:val="0"/>
      <w:marRight w:val="0"/>
      <w:marTop w:val="0"/>
      <w:marBottom w:val="0"/>
      <w:divBdr>
        <w:top w:val="none" w:sz="0" w:space="0" w:color="auto"/>
        <w:left w:val="none" w:sz="0" w:space="0" w:color="auto"/>
        <w:bottom w:val="none" w:sz="0" w:space="0" w:color="auto"/>
        <w:right w:val="none" w:sz="0" w:space="0" w:color="auto"/>
      </w:divBdr>
    </w:div>
    <w:div w:id="1280844249">
      <w:bodyDiv w:val="1"/>
      <w:marLeft w:val="0"/>
      <w:marRight w:val="0"/>
      <w:marTop w:val="0"/>
      <w:marBottom w:val="0"/>
      <w:divBdr>
        <w:top w:val="none" w:sz="0" w:space="0" w:color="auto"/>
        <w:left w:val="none" w:sz="0" w:space="0" w:color="auto"/>
        <w:bottom w:val="none" w:sz="0" w:space="0" w:color="auto"/>
        <w:right w:val="none" w:sz="0" w:space="0" w:color="auto"/>
      </w:divBdr>
    </w:div>
    <w:div w:id="1366327069">
      <w:bodyDiv w:val="1"/>
      <w:marLeft w:val="0"/>
      <w:marRight w:val="0"/>
      <w:marTop w:val="0"/>
      <w:marBottom w:val="0"/>
      <w:divBdr>
        <w:top w:val="none" w:sz="0" w:space="0" w:color="auto"/>
        <w:left w:val="none" w:sz="0" w:space="0" w:color="auto"/>
        <w:bottom w:val="none" w:sz="0" w:space="0" w:color="auto"/>
        <w:right w:val="none" w:sz="0" w:space="0" w:color="auto"/>
      </w:divBdr>
    </w:div>
    <w:div w:id="1369141357">
      <w:bodyDiv w:val="1"/>
      <w:marLeft w:val="0"/>
      <w:marRight w:val="0"/>
      <w:marTop w:val="0"/>
      <w:marBottom w:val="0"/>
      <w:divBdr>
        <w:top w:val="none" w:sz="0" w:space="0" w:color="auto"/>
        <w:left w:val="none" w:sz="0" w:space="0" w:color="auto"/>
        <w:bottom w:val="none" w:sz="0" w:space="0" w:color="auto"/>
        <w:right w:val="none" w:sz="0" w:space="0" w:color="auto"/>
      </w:divBdr>
    </w:div>
    <w:div w:id="1401367473">
      <w:bodyDiv w:val="1"/>
      <w:marLeft w:val="0"/>
      <w:marRight w:val="0"/>
      <w:marTop w:val="0"/>
      <w:marBottom w:val="0"/>
      <w:divBdr>
        <w:top w:val="none" w:sz="0" w:space="0" w:color="auto"/>
        <w:left w:val="none" w:sz="0" w:space="0" w:color="auto"/>
        <w:bottom w:val="none" w:sz="0" w:space="0" w:color="auto"/>
        <w:right w:val="none" w:sz="0" w:space="0" w:color="auto"/>
      </w:divBdr>
    </w:div>
    <w:div w:id="1430203516">
      <w:bodyDiv w:val="1"/>
      <w:marLeft w:val="0"/>
      <w:marRight w:val="0"/>
      <w:marTop w:val="0"/>
      <w:marBottom w:val="0"/>
      <w:divBdr>
        <w:top w:val="none" w:sz="0" w:space="0" w:color="auto"/>
        <w:left w:val="none" w:sz="0" w:space="0" w:color="auto"/>
        <w:bottom w:val="none" w:sz="0" w:space="0" w:color="auto"/>
        <w:right w:val="none" w:sz="0" w:space="0" w:color="auto"/>
      </w:divBdr>
    </w:div>
    <w:div w:id="1440225585">
      <w:bodyDiv w:val="1"/>
      <w:marLeft w:val="0"/>
      <w:marRight w:val="0"/>
      <w:marTop w:val="0"/>
      <w:marBottom w:val="0"/>
      <w:divBdr>
        <w:top w:val="none" w:sz="0" w:space="0" w:color="auto"/>
        <w:left w:val="none" w:sz="0" w:space="0" w:color="auto"/>
        <w:bottom w:val="none" w:sz="0" w:space="0" w:color="auto"/>
        <w:right w:val="none" w:sz="0" w:space="0" w:color="auto"/>
      </w:divBdr>
    </w:div>
    <w:div w:id="1446732182">
      <w:bodyDiv w:val="1"/>
      <w:marLeft w:val="0"/>
      <w:marRight w:val="0"/>
      <w:marTop w:val="0"/>
      <w:marBottom w:val="0"/>
      <w:divBdr>
        <w:top w:val="none" w:sz="0" w:space="0" w:color="auto"/>
        <w:left w:val="none" w:sz="0" w:space="0" w:color="auto"/>
        <w:bottom w:val="none" w:sz="0" w:space="0" w:color="auto"/>
        <w:right w:val="none" w:sz="0" w:space="0" w:color="auto"/>
      </w:divBdr>
    </w:div>
    <w:div w:id="1472792952">
      <w:bodyDiv w:val="1"/>
      <w:marLeft w:val="0"/>
      <w:marRight w:val="0"/>
      <w:marTop w:val="0"/>
      <w:marBottom w:val="0"/>
      <w:divBdr>
        <w:top w:val="none" w:sz="0" w:space="0" w:color="auto"/>
        <w:left w:val="none" w:sz="0" w:space="0" w:color="auto"/>
        <w:bottom w:val="none" w:sz="0" w:space="0" w:color="auto"/>
        <w:right w:val="none" w:sz="0" w:space="0" w:color="auto"/>
      </w:divBdr>
    </w:div>
    <w:div w:id="1486897735">
      <w:bodyDiv w:val="1"/>
      <w:marLeft w:val="0"/>
      <w:marRight w:val="0"/>
      <w:marTop w:val="0"/>
      <w:marBottom w:val="0"/>
      <w:divBdr>
        <w:top w:val="none" w:sz="0" w:space="0" w:color="auto"/>
        <w:left w:val="none" w:sz="0" w:space="0" w:color="auto"/>
        <w:bottom w:val="none" w:sz="0" w:space="0" w:color="auto"/>
        <w:right w:val="none" w:sz="0" w:space="0" w:color="auto"/>
      </w:divBdr>
    </w:div>
    <w:div w:id="1506239864">
      <w:bodyDiv w:val="1"/>
      <w:marLeft w:val="0"/>
      <w:marRight w:val="0"/>
      <w:marTop w:val="0"/>
      <w:marBottom w:val="0"/>
      <w:divBdr>
        <w:top w:val="none" w:sz="0" w:space="0" w:color="auto"/>
        <w:left w:val="none" w:sz="0" w:space="0" w:color="auto"/>
        <w:bottom w:val="none" w:sz="0" w:space="0" w:color="auto"/>
        <w:right w:val="none" w:sz="0" w:space="0" w:color="auto"/>
      </w:divBdr>
    </w:div>
    <w:div w:id="1523204796">
      <w:bodyDiv w:val="1"/>
      <w:marLeft w:val="0"/>
      <w:marRight w:val="0"/>
      <w:marTop w:val="0"/>
      <w:marBottom w:val="0"/>
      <w:divBdr>
        <w:top w:val="none" w:sz="0" w:space="0" w:color="auto"/>
        <w:left w:val="none" w:sz="0" w:space="0" w:color="auto"/>
        <w:bottom w:val="none" w:sz="0" w:space="0" w:color="auto"/>
        <w:right w:val="none" w:sz="0" w:space="0" w:color="auto"/>
      </w:divBdr>
    </w:div>
    <w:div w:id="1566989623">
      <w:bodyDiv w:val="1"/>
      <w:marLeft w:val="0"/>
      <w:marRight w:val="0"/>
      <w:marTop w:val="0"/>
      <w:marBottom w:val="0"/>
      <w:divBdr>
        <w:top w:val="none" w:sz="0" w:space="0" w:color="auto"/>
        <w:left w:val="none" w:sz="0" w:space="0" w:color="auto"/>
        <w:bottom w:val="none" w:sz="0" w:space="0" w:color="auto"/>
        <w:right w:val="none" w:sz="0" w:space="0" w:color="auto"/>
      </w:divBdr>
    </w:div>
    <w:div w:id="1593003369">
      <w:bodyDiv w:val="1"/>
      <w:marLeft w:val="0"/>
      <w:marRight w:val="0"/>
      <w:marTop w:val="0"/>
      <w:marBottom w:val="0"/>
      <w:divBdr>
        <w:top w:val="none" w:sz="0" w:space="0" w:color="auto"/>
        <w:left w:val="none" w:sz="0" w:space="0" w:color="auto"/>
        <w:bottom w:val="none" w:sz="0" w:space="0" w:color="auto"/>
        <w:right w:val="none" w:sz="0" w:space="0" w:color="auto"/>
      </w:divBdr>
    </w:div>
    <w:div w:id="1606116509">
      <w:bodyDiv w:val="1"/>
      <w:marLeft w:val="0"/>
      <w:marRight w:val="0"/>
      <w:marTop w:val="0"/>
      <w:marBottom w:val="0"/>
      <w:divBdr>
        <w:top w:val="none" w:sz="0" w:space="0" w:color="auto"/>
        <w:left w:val="none" w:sz="0" w:space="0" w:color="auto"/>
        <w:bottom w:val="none" w:sz="0" w:space="0" w:color="auto"/>
        <w:right w:val="none" w:sz="0" w:space="0" w:color="auto"/>
      </w:divBdr>
    </w:div>
    <w:div w:id="1610774470">
      <w:bodyDiv w:val="1"/>
      <w:marLeft w:val="0"/>
      <w:marRight w:val="0"/>
      <w:marTop w:val="0"/>
      <w:marBottom w:val="0"/>
      <w:divBdr>
        <w:top w:val="none" w:sz="0" w:space="0" w:color="auto"/>
        <w:left w:val="none" w:sz="0" w:space="0" w:color="auto"/>
        <w:bottom w:val="none" w:sz="0" w:space="0" w:color="auto"/>
        <w:right w:val="none" w:sz="0" w:space="0" w:color="auto"/>
      </w:divBdr>
    </w:div>
    <w:div w:id="1623343199">
      <w:bodyDiv w:val="1"/>
      <w:marLeft w:val="0"/>
      <w:marRight w:val="0"/>
      <w:marTop w:val="0"/>
      <w:marBottom w:val="0"/>
      <w:divBdr>
        <w:top w:val="none" w:sz="0" w:space="0" w:color="auto"/>
        <w:left w:val="none" w:sz="0" w:space="0" w:color="auto"/>
        <w:bottom w:val="none" w:sz="0" w:space="0" w:color="auto"/>
        <w:right w:val="none" w:sz="0" w:space="0" w:color="auto"/>
      </w:divBdr>
    </w:div>
    <w:div w:id="1684238354">
      <w:bodyDiv w:val="1"/>
      <w:marLeft w:val="0"/>
      <w:marRight w:val="0"/>
      <w:marTop w:val="0"/>
      <w:marBottom w:val="0"/>
      <w:divBdr>
        <w:top w:val="none" w:sz="0" w:space="0" w:color="auto"/>
        <w:left w:val="none" w:sz="0" w:space="0" w:color="auto"/>
        <w:bottom w:val="none" w:sz="0" w:space="0" w:color="auto"/>
        <w:right w:val="none" w:sz="0" w:space="0" w:color="auto"/>
      </w:divBdr>
    </w:div>
    <w:div w:id="1699239288">
      <w:bodyDiv w:val="1"/>
      <w:marLeft w:val="0"/>
      <w:marRight w:val="0"/>
      <w:marTop w:val="0"/>
      <w:marBottom w:val="0"/>
      <w:divBdr>
        <w:top w:val="none" w:sz="0" w:space="0" w:color="auto"/>
        <w:left w:val="none" w:sz="0" w:space="0" w:color="auto"/>
        <w:bottom w:val="none" w:sz="0" w:space="0" w:color="auto"/>
        <w:right w:val="none" w:sz="0" w:space="0" w:color="auto"/>
      </w:divBdr>
    </w:div>
    <w:div w:id="1717778867">
      <w:bodyDiv w:val="1"/>
      <w:marLeft w:val="0"/>
      <w:marRight w:val="0"/>
      <w:marTop w:val="0"/>
      <w:marBottom w:val="0"/>
      <w:divBdr>
        <w:top w:val="none" w:sz="0" w:space="0" w:color="auto"/>
        <w:left w:val="none" w:sz="0" w:space="0" w:color="auto"/>
        <w:bottom w:val="none" w:sz="0" w:space="0" w:color="auto"/>
        <w:right w:val="none" w:sz="0" w:space="0" w:color="auto"/>
      </w:divBdr>
    </w:div>
    <w:div w:id="1724519709">
      <w:bodyDiv w:val="1"/>
      <w:marLeft w:val="0"/>
      <w:marRight w:val="0"/>
      <w:marTop w:val="0"/>
      <w:marBottom w:val="0"/>
      <w:divBdr>
        <w:top w:val="none" w:sz="0" w:space="0" w:color="auto"/>
        <w:left w:val="none" w:sz="0" w:space="0" w:color="auto"/>
        <w:bottom w:val="none" w:sz="0" w:space="0" w:color="auto"/>
        <w:right w:val="none" w:sz="0" w:space="0" w:color="auto"/>
      </w:divBdr>
    </w:div>
    <w:div w:id="1779400149">
      <w:bodyDiv w:val="1"/>
      <w:marLeft w:val="0"/>
      <w:marRight w:val="0"/>
      <w:marTop w:val="0"/>
      <w:marBottom w:val="0"/>
      <w:divBdr>
        <w:top w:val="none" w:sz="0" w:space="0" w:color="auto"/>
        <w:left w:val="none" w:sz="0" w:space="0" w:color="auto"/>
        <w:bottom w:val="none" w:sz="0" w:space="0" w:color="auto"/>
        <w:right w:val="none" w:sz="0" w:space="0" w:color="auto"/>
      </w:divBdr>
    </w:div>
    <w:div w:id="1791511168">
      <w:bodyDiv w:val="1"/>
      <w:marLeft w:val="0"/>
      <w:marRight w:val="0"/>
      <w:marTop w:val="0"/>
      <w:marBottom w:val="0"/>
      <w:divBdr>
        <w:top w:val="none" w:sz="0" w:space="0" w:color="auto"/>
        <w:left w:val="none" w:sz="0" w:space="0" w:color="auto"/>
        <w:bottom w:val="none" w:sz="0" w:space="0" w:color="auto"/>
        <w:right w:val="none" w:sz="0" w:space="0" w:color="auto"/>
      </w:divBdr>
    </w:div>
    <w:div w:id="1793357931">
      <w:bodyDiv w:val="1"/>
      <w:marLeft w:val="0"/>
      <w:marRight w:val="0"/>
      <w:marTop w:val="0"/>
      <w:marBottom w:val="0"/>
      <w:divBdr>
        <w:top w:val="none" w:sz="0" w:space="0" w:color="auto"/>
        <w:left w:val="none" w:sz="0" w:space="0" w:color="auto"/>
        <w:bottom w:val="none" w:sz="0" w:space="0" w:color="auto"/>
        <w:right w:val="none" w:sz="0" w:space="0" w:color="auto"/>
      </w:divBdr>
    </w:div>
    <w:div w:id="1835218313">
      <w:bodyDiv w:val="1"/>
      <w:marLeft w:val="0"/>
      <w:marRight w:val="0"/>
      <w:marTop w:val="0"/>
      <w:marBottom w:val="0"/>
      <w:divBdr>
        <w:top w:val="none" w:sz="0" w:space="0" w:color="auto"/>
        <w:left w:val="none" w:sz="0" w:space="0" w:color="auto"/>
        <w:bottom w:val="none" w:sz="0" w:space="0" w:color="auto"/>
        <w:right w:val="none" w:sz="0" w:space="0" w:color="auto"/>
      </w:divBdr>
    </w:div>
    <w:div w:id="1878002936">
      <w:bodyDiv w:val="1"/>
      <w:marLeft w:val="0"/>
      <w:marRight w:val="0"/>
      <w:marTop w:val="0"/>
      <w:marBottom w:val="0"/>
      <w:divBdr>
        <w:top w:val="none" w:sz="0" w:space="0" w:color="auto"/>
        <w:left w:val="none" w:sz="0" w:space="0" w:color="auto"/>
        <w:bottom w:val="none" w:sz="0" w:space="0" w:color="auto"/>
        <w:right w:val="none" w:sz="0" w:space="0" w:color="auto"/>
      </w:divBdr>
    </w:div>
    <w:div w:id="1900937864">
      <w:bodyDiv w:val="1"/>
      <w:marLeft w:val="0"/>
      <w:marRight w:val="0"/>
      <w:marTop w:val="0"/>
      <w:marBottom w:val="0"/>
      <w:divBdr>
        <w:top w:val="none" w:sz="0" w:space="0" w:color="auto"/>
        <w:left w:val="none" w:sz="0" w:space="0" w:color="auto"/>
        <w:bottom w:val="none" w:sz="0" w:space="0" w:color="auto"/>
        <w:right w:val="none" w:sz="0" w:space="0" w:color="auto"/>
      </w:divBdr>
    </w:div>
    <w:div w:id="1911041028">
      <w:bodyDiv w:val="1"/>
      <w:marLeft w:val="0"/>
      <w:marRight w:val="0"/>
      <w:marTop w:val="0"/>
      <w:marBottom w:val="0"/>
      <w:divBdr>
        <w:top w:val="none" w:sz="0" w:space="0" w:color="auto"/>
        <w:left w:val="none" w:sz="0" w:space="0" w:color="auto"/>
        <w:bottom w:val="none" w:sz="0" w:space="0" w:color="auto"/>
        <w:right w:val="none" w:sz="0" w:space="0" w:color="auto"/>
      </w:divBdr>
    </w:div>
    <w:div w:id="1916744542">
      <w:bodyDiv w:val="1"/>
      <w:marLeft w:val="0"/>
      <w:marRight w:val="0"/>
      <w:marTop w:val="0"/>
      <w:marBottom w:val="0"/>
      <w:divBdr>
        <w:top w:val="none" w:sz="0" w:space="0" w:color="auto"/>
        <w:left w:val="none" w:sz="0" w:space="0" w:color="auto"/>
        <w:bottom w:val="none" w:sz="0" w:space="0" w:color="auto"/>
        <w:right w:val="none" w:sz="0" w:space="0" w:color="auto"/>
      </w:divBdr>
    </w:div>
    <w:div w:id="1957827329">
      <w:bodyDiv w:val="1"/>
      <w:marLeft w:val="0"/>
      <w:marRight w:val="0"/>
      <w:marTop w:val="0"/>
      <w:marBottom w:val="0"/>
      <w:divBdr>
        <w:top w:val="none" w:sz="0" w:space="0" w:color="auto"/>
        <w:left w:val="none" w:sz="0" w:space="0" w:color="auto"/>
        <w:bottom w:val="none" w:sz="0" w:space="0" w:color="auto"/>
        <w:right w:val="none" w:sz="0" w:space="0" w:color="auto"/>
      </w:divBdr>
    </w:div>
    <w:div w:id="1975676878">
      <w:bodyDiv w:val="1"/>
      <w:marLeft w:val="0"/>
      <w:marRight w:val="0"/>
      <w:marTop w:val="0"/>
      <w:marBottom w:val="0"/>
      <w:divBdr>
        <w:top w:val="none" w:sz="0" w:space="0" w:color="auto"/>
        <w:left w:val="none" w:sz="0" w:space="0" w:color="auto"/>
        <w:bottom w:val="none" w:sz="0" w:space="0" w:color="auto"/>
        <w:right w:val="none" w:sz="0" w:space="0" w:color="auto"/>
      </w:divBdr>
    </w:div>
    <w:div w:id="1977489747">
      <w:bodyDiv w:val="1"/>
      <w:marLeft w:val="0"/>
      <w:marRight w:val="0"/>
      <w:marTop w:val="0"/>
      <w:marBottom w:val="0"/>
      <w:divBdr>
        <w:top w:val="none" w:sz="0" w:space="0" w:color="auto"/>
        <w:left w:val="none" w:sz="0" w:space="0" w:color="auto"/>
        <w:bottom w:val="none" w:sz="0" w:space="0" w:color="auto"/>
        <w:right w:val="none" w:sz="0" w:space="0" w:color="auto"/>
      </w:divBdr>
    </w:div>
    <w:div w:id="1987784699">
      <w:bodyDiv w:val="1"/>
      <w:marLeft w:val="0"/>
      <w:marRight w:val="0"/>
      <w:marTop w:val="0"/>
      <w:marBottom w:val="0"/>
      <w:divBdr>
        <w:top w:val="none" w:sz="0" w:space="0" w:color="auto"/>
        <w:left w:val="none" w:sz="0" w:space="0" w:color="auto"/>
        <w:bottom w:val="none" w:sz="0" w:space="0" w:color="auto"/>
        <w:right w:val="none" w:sz="0" w:space="0" w:color="auto"/>
      </w:divBdr>
    </w:div>
    <w:div w:id="2061858769">
      <w:bodyDiv w:val="1"/>
      <w:marLeft w:val="0"/>
      <w:marRight w:val="0"/>
      <w:marTop w:val="0"/>
      <w:marBottom w:val="0"/>
      <w:divBdr>
        <w:top w:val="none" w:sz="0" w:space="0" w:color="auto"/>
        <w:left w:val="none" w:sz="0" w:space="0" w:color="auto"/>
        <w:bottom w:val="none" w:sz="0" w:space="0" w:color="auto"/>
        <w:right w:val="none" w:sz="0" w:space="0" w:color="auto"/>
      </w:divBdr>
    </w:div>
    <w:div w:id="2062823336">
      <w:bodyDiv w:val="1"/>
      <w:marLeft w:val="0"/>
      <w:marRight w:val="0"/>
      <w:marTop w:val="0"/>
      <w:marBottom w:val="0"/>
      <w:divBdr>
        <w:top w:val="none" w:sz="0" w:space="0" w:color="auto"/>
        <w:left w:val="none" w:sz="0" w:space="0" w:color="auto"/>
        <w:bottom w:val="none" w:sz="0" w:space="0" w:color="auto"/>
        <w:right w:val="none" w:sz="0" w:space="0" w:color="auto"/>
      </w:divBdr>
    </w:div>
    <w:div w:id="2079470859">
      <w:bodyDiv w:val="1"/>
      <w:marLeft w:val="0"/>
      <w:marRight w:val="0"/>
      <w:marTop w:val="0"/>
      <w:marBottom w:val="0"/>
      <w:divBdr>
        <w:top w:val="none" w:sz="0" w:space="0" w:color="auto"/>
        <w:left w:val="none" w:sz="0" w:space="0" w:color="auto"/>
        <w:bottom w:val="none" w:sz="0" w:space="0" w:color="auto"/>
        <w:right w:val="none" w:sz="0" w:space="0" w:color="auto"/>
      </w:divBdr>
    </w:div>
    <w:div w:id="2112315854">
      <w:bodyDiv w:val="1"/>
      <w:marLeft w:val="0"/>
      <w:marRight w:val="0"/>
      <w:marTop w:val="0"/>
      <w:marBottom w:val="0"/>
      <w:divBdr>
        <w:top w:val="none" w:sz="0" w:space="0" w:color="auto"/>
        <w:left w:val="none" w:sz="0" w:space="0" w:color="auto"/>
        <w:bottom w:val="none" w:sz="0" w:space="0" w:color="auto"/>
        <w:right w:val="none" w:sz="0" w:space="0" w:color="auto"/>
      </w:divBdr>
    </w:div>
    <w:div w:id="2113091084">
      <w:bodyDiv w:val="1"/>
      <w:marLeft w:val="0"/>
      <w:marRight w:val="0"/>
      <w:marTop w:val="0"/>
      <w:marBottom w:val="0"/>
      <w:divBdr>
        <w:top w:val="none" w:sz="0" w:space="0" w:color="auto"/>
        <w:left w:val="none" w:sz="0" w:space="0" w:color="auto"/>
        <w:bottom w:val="none" w:sz="0" w:space="0" w:color="auto"/>
        <w:right w:val="none" w:sz="0" w:space="0" w:color="auto"/>
      </w:divBdr>
    </w:div>
    <w:div w:id="2113815946">
      <w:bodyDiv w:val="1"/>
      <w:marLeft w:val="0"/>
      <w:marRight w:val="0"/>
      <w:marTop w:val="0"/>
      <w:marBottom w:val="0"/>
      <w:divBdr>
        <w:top w:val="none" w:sz="0" w:space="0" w:color="auto"/>
        <w:left w:val="none" w:sz="0" w:space="0" w:color="auto"/>
        <w:bottom w:val="none" w:sz="0" w:space="0" w:color="auto"/>
        <w:right w:val="none" w:sz="0" w:space="0" w:color="auto"/>
      </w:divBdr>
    </w:div>
    <w:div w:id="214558507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tif"/><Relationship Id="rId21" Type="http://schemas.openxmlformats.org/officeDocument/2006/relationships/image" Target="media/image7.tif"/><Relationship Id="rId34" Type="http://schemas.openxmlformats.org/officeDocument/2006/relationships/image" Target="media/image20.png"/><Relationship Id="rId42" Type="http://schemas.openxmlformats.org/officeDocument/2006/relationships/image" Target="media/image28.tiff"/><Relationship Id="rId47" Type="http://schemas.openxmlformats.org/officeDocument/2006/relationships/image" Target="media/image33.tif"/><Relationship Id="rId50" Type="http://schemas.openxmlformats.org/officeDocument/2006/relationships/image" Target="media/image36.tif"/><Relationship Id="rId55" Type="http://schemas.openxmlformats.org/officeDocument/2006/relationships/image" Target="media/image41.tiff"/><Relationship Id="rId63" Type="http://schemas.openxmlformats.org/officeDocument/2006/relationships/header" Target="header2.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2.tif"/><Relationship Id="rId29" Type="http://schemas.openxmlformats.org/officeDocument/2006/relationships/image" Target="media/image15.tif"/><Relationship Id="rId11" Type="http://schemas.openxmlformats.org/officeDocument/2006/relationships/hyperlink" Target="file:///E:\&#25237;&#31295;&#24037;&#20316;\5.%20&#31532;&#20116;&#31687;&#25991;&#31456;&#20934;&#22791;\20251103\Supplementary%20materials-20251103.docx" TargetMode="External"/><Relationship Id="rId24" Type="http://schemas.openxmlformats.org/officeDocument/2006/relationships/image" Target="media/image10.tif"/><Relationship Id="rId32" Type="http://schemas.openxmlformats.org/officeDocument/2006/relationships/image" Target="media/image18.png"/><Relationship Id="rId37" Type="http://schemas.openxmlformats.org/officeDocument/2006/relationships/image" Target="media/image23.tif"/><Relationship Id="rId40" Type="http://schemas.openxmlformats.org/officeDocument/2006/relationships/image" Target="media/image26.tiff"/><Relationship Id="rId45" Type="http://schemas.openxmlformats.org/officeDocument/2006/relationships/image" Target="media/image31.tif"/><Relationship Id="rId53" Type="http://schemas.openxmlformats.org/officeDocument/2006/relationships/image" Target="media/image39.tif"/><Relationship Id="rId58" Type="http://schemas.openxmlformats.org/officeDocument/2006/relationships/image" Target="media/image44.tif"/><Relationship Id="rId66"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7.tif"/><Relationship Id="rId19" Type="http://schemas.openxmlformats.org/officeDocument/2006/relationships/image" Target="media/image5.tif"/><Relationship Id="rId14" Type="http://schemas.openxmlformats.org/officeDocument/2006/relationships/hyperlink" Target="file:///E:\&#25237;&#31295;&#24037;&#20316;\5.%20&#31532;&#20116;&#31687;&#25991;&#31456;&#20934;&#22791;\20251103\Supplementary%20materials-20251103.docx" TargetMode="External"/><Relationship Id="rId22" Type="http://schemas.openxmlformats.org/officeDocument/2006/relationships/image" Target="media/image8.tif"/><Relationship Id="rId27" Type="http://schemas.openxmlformats.org/officeDocument/2006/relationships/image" Target="media/image13.tif"/><Relationship Id="rId30" Type="http://schemas.openxmlformats.org/officeDocument/2006/relationships/image" Target="media/image16.tif"/><Relationship Id="rId35" Type="http://schemas.openxmlformats.org/officeDocument/2006/relationships/image" Target="media/image21.tiff"/><Relationship Id="rId43" Type="http://schemas.openxmlformats.org/officeDocument/2006/relationships/image" Target="media/image29.tif"/><Relationship Id="rId48" Type="http://schemas.openxmlformats.org/officeDocument/2006/relationships/image" Target="media/image34.tif"/><Relationship Id="rId56" Type="http://schemas.openxmlformats.org/officeDocument/2006/relationships/image" Target="media/image42.tif"/><Relationship Id="rId64"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37.tif"/><Relationship Id="rId3" Type="http://schemas.openxmlformats.org/officeDocument/2006/relationships/numbering" Target="numbering.xml"/><Relationship Id="rId12" Type="http://schemas.openxmlformats.org/officeDocument/2006/relationships/hyperlink" Target="file:///E:\&#25237;&#31295;&#24037;&#20316;\5.%20&#31532;&#20116;&#31687;&#25991;&#31456;&#20934;&#22791;\20251103\Supplementary%20materials-20251103.docx" TargetMode="External"/><Relationship Id="rId17" Type="http://schemas.openxmlformats.org/officeDocument/2006/relationships/image" Target="media/image3.tiff"/><Relationship Id="rId25" Type="http://schemas.openxmlformats.org/officeDocument/2006/relationships/image" Target="media/image11.tif"/><Relationship Id="rId33" Type="http://schemas.openxmlformats.org/officeDocument/2006/relationships/image" Target="media/image19.png"/><Relationship Id="rId38" Type="http://schemas.openxmlformats.org/officeDocument/2006/relationships/image" Target="media/image24.tif"/><Relationship Id="rId46" Type="http://schemas.openxmlformats.org/officeDocument/2006/relationships/image" Target="media/image32.tif"/><Relationship Id="rId59" Type="http://schemas.openxmlformats.org/officeDocument/2006/relationships/image" Target="media/image45.tif"/><Relationship Id="rId67" Type="http://schemas.openxmlformats.org/officeDocument/2006/relationships/theme" Target="theme/theme1.xml"/><Relationship Id="rId20" Type="http://schemas.openxmlformats.org/officeDocument/2006/relationships/image" Target="media/image6.tiff"/><Relationship Id="rId41" Type="http://schemas.openxmlformats.org/officeDocument/2006/relationships/image" Target="media/image27.tiff"/><Relationship Id="rId54" Type="http://schemas.openxmlformats.org/officeDocument/2006/relationships/image" Target="media/image40.tif"/><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tiff"/><Relationship Id="rId23" Type="http://schemas.openxmlformats.org/officeDocument/2006/relationships/image" Target="media/image9.tif"/><Relationship Id="rId28" Type="http://schemas.openxmlformats.org/officeDocument/2006/relationships/image" Target="media/image14.tiff"/><Relationship Id="rId36" Type="http://schemas.openxmlformats.org/officeDocument/2006/relationships/image" Target="media/image22.png"/><Relationship Id="rId49" Type="http://schemas.openxmlformats.org/officeDocument/2006/relationships/image" Target="media/image35.tif"/><Relationship Id="rId57" Type="http://schemas.openxmlformats.org/officeDocument/2006/relationships/image" Target="media/image43.tif"/><Relationship Id="rId10" Type="http://schemas.openxmlformats.org/officeDocument/2006/relationships/hyperlink" Target="file:///E:\&#25237;&#31295;&#24037;&#20316;\5.%20&#31532;&#20116;&#31687;&#25991;&#31456;&#20934;&#22791;\20251103\Supplementary%20materials-20251103.docx" TargetMode="External"/><Relationship Id="rId31" Type="http://schemas.openxmlformats.org/officeDocument/2006/relationships/image" Target="media/image17.tif"/><Relationship Id="rId44" Type="http://schemas.openxmlformats.org/officeDocument/2006/relationships/image" Target="media/image30.tif"/><Relationship Id="rId52" Type="http://schemas.openxmlformats.org/officeDocument/2006/relationships/image" Target="media/image38.tif"/><Relationship Id="rId60" Type="http://schemas.openxmlformats.org/officeDocument/2006/relationships/image" Target="media/image46.tiff"/><Relationship Id="rId65" Type="http://schemas.openxmlformats.org/officeDocument/2006/relationships/footer" Target="footer2.xml"/><Relationship Id="rId4" Type="http://schemas.openxmlformats.org/officeDocument/2006/relationships/styles" Target="styles.xml"/><Relationship Id="rId9" Type="http://schemas.openxmlformats.org/officeDocument/2006/relationships/hyperlink" Target="file:///E:\&#25237;&#31295;&#24037;&#20316;\&#21338;&#21518;&#26399;&#38388;&#21457;&#34920;&#24037;&#20316;\5.%20&#31532;&#20116;&#31687;&#25991;&#31456;&#20934;&#22791;\20251225\Supplementary%20materials-20251225.docx" TargetMode="External"/><Relationship Id="rId13" Type="http://schemas.openxmlformats.org/officeDocument/2006/relationships/hyperlink" Target="file:///E:\&#25237;&#31295;&#24037;&#20316;\5.%20&#31532;&#20116;&#31687;&#25991;&#31456;&#20934;&#22791;\20251103\Supplementary%20materials-20251103.docx" TargetMode="External"/><Relationship Id="rId18" Type="http://schemas.openxmlformats.org/officeDocument/2006/relationships/image" Target="media/image4.tif"/><Relationship Id="rId39" Type="http://schemas.openxmlformats.org/officeDocument/2006/relationships/image" Target="media/image2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48DE11EC-8220-47F7-ABDD-B361B818A0D4}">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4527</TotalTime>
  <Pages>96</Pages>
  <Words>73299</Words>
  <Characters>412674</Characters>
  <Application>Microsoft Office Word</Application>
  <DocSecurity>0</DocSecurity>
  <Lines>14738</Lines>
  <Paragraphs>10339</Paragraphs>
  <ScaleCrop>false</ScaleCrop>
  <Company/>
  <LinksUpToDate>false</LinksUpToDate>
  <CharactersWithSpaces>475634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梁 宇晗</dc:creator>
  <cp:keywords/>
  <dc:description/>
  <cp:lastModifiedBy>洪 刘</cp:lastModifiedBy>
  <cp:revision>96</cp:revision>
  <cp:lastPrinted>2022-02-16T09:54:00Z</cp:lastPrinted>
  <dcterms:created xsi:type="dcterms:W3CDTF">2025-11-04T07:01:00Z</dcterms:created>
  <dcterms:modified xsi:type="dcterms:W3CDTF">2026-01-05T09:37:00Z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documentId_7240</vt:lpwstr>
  </property>
  <property fmtid="{D5CDD505-2E9C-101B-9397-08002B2CF9AE}" pid="3" name="grammarly_documentContext">
    <vt:lpwstr>{"goals":[],"domain":"general","emotions":[],"dialect":"american"}</vt:lpwstr>
  </property>
  <property fmtid="{D5CDD505-2E9C-101B-9397-08002B2CF9AE}" pid="4" name="KSOProductBuildVer">
    <vt:lpwstr>2052-11.1.0.9914</vt:lpwstr>
  </property>
  <property fmtid="{D5CDD505-2E9C-101B-9397-08002B2CF9AE}" pid="5" name="ZOTERO_PREF_1">
    <vt:lpwstr>&lt;data data-version="3" zotero-version="7.0.30"&gt;&lt;session id="IXaoCdHi"/&gt;&lt;style id="http://www.zotero.org/styles/nature" hasBibliography="1" bibliographyStyleHasBeenSet="1"/&gt;&lt;prefs&gt;&lt;pref name="fieldType" value="Field"/&gt;&lt;pref name="delayCitationUpdates" valu</vt:lpwstr>
  </property>
  <property fmtid="{D5CDD505-2E9C-101B-9397-08002B2CF9AE}" pid="6" name="ZOTERO_PREF_2">
    <vt:lpwstr>e="true"/&gt;&lt;pref name="dontAskDelayCitationUpdates" value="true"/&gt;&lt;/prefs&gt;&lt;/data&gt;</vt:lpwstr>
  </property>
</Properties>
</file>