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1F8C6" w14:textId="77777777" w:rsidR="00AF6BD7" w:rsidRPr="00731516" w:rsidRDefault="00AF6BD7" w:rsidP="00AF6BD7">
      <w:pPr>
        <w:rPr>
          <w:rFonts w:ascii="Arial" w:hAnsi="Arial" w:cs="Arial"/>
          <w:sz w:val="20"/>
          <w:szCs w:val="20"/>
        </w:rPr>
      </w:pPr>
      <w:r w:rsidRPr="00731516">
        <w:rPr>
          <w:rFonts w:ascii="Arial" w:hAnsi="Arial" w:cs="Arial"/>
          <w:sz w:val="20"/>
          <w:szCs w:val="20"/>
        </w:rPr>
        <w:t>TABLE 1 Primary antibodies are used for immunofluorescence and Western blotting</w:t>
      </w:r>
    </w:p>
    <w:tbl>
      <w:tblPr>
        <w:tblStyle w:val="a"/>
        <w:tblW w:w="8923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835"/>
        <w:gridCol w:w="2596"/>
        <w:gridCol w:w="2095"/>
        <w:gridCol w:w="1637"/>
      </w:tblGrid>
      <w:tr w:rsidR="00AF6BD7" w:rsidRPr="00731516" w14:paraId="10155BCA" w14:textId="77777777" w:rsidTr="00DE01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6451A3E9" w14:textId="77777777" w:rsidR="00AF6BD7" w:rsidRPr="00731516" w:rsidRDefault="00AF6BD7" w:rsidP="00DE01FF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Antibody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2B0A15A3" w14:textId="77777777" w:rsidR="00AF6BD7" w:rsidRPr="00731516" w:rsidRDefault="00AF6BD7" w:rsidP="00DE01FF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Company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3CECC896" w14:textId="77777777" w:rsidR="00AF6BD7" w:rsidRPr="00731516" w:rsidRDefault="00AF6BD7" w:rsidP="00DE01FF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Catalognumber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62D7E913" w14:textId="77777777" w:rsidR="00AF6BD7" w:rsidRPr="00731516" w:rsidRDefault="00AF6BD7" w:rsidP="00DE01FF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</w:rPr>
              <w:t>Dilution</w:t>
            </w:r>
          </w:p>
        </w:tc>
      </w:tr>
      <w:tr w:rsidR="00AF6BD7" w:rsidRPr="00731516" w14:paraId="1443D4DB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1E6F1EB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Claudin-1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27FA0D2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Invitrogen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3ED74D43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51-9000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64BBD0B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67526819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09498225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Claudin-5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64127BD6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UpingBio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3425BC00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YP-Ab-16961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26AA1E20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28891A56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5F7062F1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Occludin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7590ABE9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Invitrogen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4A200D38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71-1500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4AA7F5A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30DC58BF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2EC40DF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TNF</w:t>
            </w:r>
            <w:r w:rsidRPr="00731516">
              <w:rPr>
                <w:rFonts w:ascii="Cambria Math" w:hAnsi="Cambria Math" w:cs="Cambria Math"/>
                <w:color w:val="000000"/>
                <w:sz w:val="20"/>
                <w:szCs w:val="20"/>
              </w:rPr>
              <w:t>‐</w:t>
            </w: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α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3258837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Proteintech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08B831B1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17590-1-AP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1D571564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1905BFCD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104572C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NF-κB p65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5351ED0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Huabio Co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08FEF51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ET1603-12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380E55FE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7F46D3FA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0C9BDCB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phosphorylated NF-κB p65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526FFA2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Cell Signal Technology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2CDC8C8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3033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2408C3A8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5B574135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5B3F16C1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MMP2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1E58CA8C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UpingBio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4F5F2DEE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YP-mAb-02682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1171F1D5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74F6DF15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3D6D7D5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MMP3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2C6F8DAA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UpingBio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4E9A78AA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YP-Ab-02788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1713FDA8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53CFDFD1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3DD92CA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MMP9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4F92DE9B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UpingBio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5072B54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YP-Ab-02639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5BA13DE2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sz w:val="20"/>
                <w:szCs w:val="20"/>
              </w:rPr>
              <w:t>1:1000 (WB)</w:t>
            </w:r>
          </w:p>
        </w:tc>
      </w:tr>
      <w:tr w:rsidR="00AF6BD7" w:rsidRPr="00731516" w14:paraId="74D04485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68CA3129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CD31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2FCCE2B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R&amp;D Systems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62233544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AF3628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7BBF4BEA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1:200 (IF)</w:t>
            </w:r>
          </w:p>
        </w:tc>
      </w:tr>
      <w:tr w:rsidR="00AF6BD7" w:rsidRPr="00731516" w14:paraId="11B4AB35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74E18D89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</w:t>
            </w: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  <w:vertAlign w:val="subscript"/>
              </w:rPr>
              <w:t>2A</w:t>
            </w: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0BFFBE4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Lausanne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6D3366DB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FI-A2A-Go-Af700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67FDE12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1:200 (WB)</w:t>
            </w:r>
          </w:p>
        </w:tc>
      </w:tr>
      <w:tr w:rsidR="00AF6BD7" w:rsidRPr="00731516" w14:paraId="71121B09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5B18CFA4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IBA1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61E2BA0A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Wako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52080E50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019-19741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1A19F67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1:400 (IF)</w:t>
            </w:r>
          </w:p>
        </w:tc>
      </w:tr>
      <w:tr w:rsidR="00AF6BD7" w:rsidRPr="00731516" w14:paraId="7E863EC6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5EA40B40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AQP4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56506E24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Sigma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669E3763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MABN2527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5EBFC8C6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1:400 (IF)</w:t>
            </w:r>
          </w:p>
        </w:tc>
      </w:tr>
      <w:tr w:rsidR="00AF6BD7" w:rsidRPr="00731516" w14:paraId="4E570E3D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7F2332E1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lastRenderedPageBreak/>
              <w:t>GFAP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0463D2C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Sigma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049B066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G3893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4A52320E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1:400 (IF)</w:t>
            </w:r>
          </w:p>
        </w:tc>
      </w:tr>
      <w:tr w:rsidR="00AF6BD7" w:rsidRPr="00731516" w14:paraId="3353D884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7CCA1B1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CD68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707F2962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Bio-Rad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59638C8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MCA1957GA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5B1442C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1:200 (IF)</w:t>
            </w:r>
          </w:p>
        </w:tc>
      </w:tr>
      <w:tr w:rsidR="00AF6BD7" w:rsidRPr="00731516" w14:paraId="2BFC1924" w14:textId="77777777" w:rsidTr="00DE01FF">
        <w:trPr>
          <w:trHeight w:hRule="exact" w:val="1134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32A60736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RPE65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266F727E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Proteintech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1C881761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83861-1-RR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2BF5A248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1:200 (IF)</w:t>
            </w:r>
          </w:p>
          <w:p w14:paraId="095F66EC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1:1000 (WB)</w:t>
            </w:r>
          </w:p>
        </w:tc>
      </w:tr>
      <w:tr w:rsidR="00AF6BD7" w:rsidRPr="00731516" w14:paraId="62ED450F" w14:textId="77777777" w:rsidTr="00DE01FF">
        <w:trPr>
          <w:trHeight w:hRule="exact" w:val="1134"/>
        </w:trPr>
        <w:tc>
          <w:tcPr>
            <w:tcW w:w="2835" w:type="dxa"/>
            <w:shd w:val="clear" w:color="auto" w:fill="FFFFFF" w:themeFill="background1"/>
            <w:noWrap/>
            <w:vAlign w:val="center"/>
            <w:hideMark/>
          </w:tcPr>
          <w:p w14:paraId="015D56C5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ZO-1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  <w:hideMark/>
          </w:tcPr>
          <w:p w14:paraId="74D66B20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Proteintech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  <w:hideMark/>
          </w:tcPr>
          <w:p w14:paraId="60D8A73B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21773-1-AP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  <w:hideMark/>
          </w:tcPr>
          <w:p w14:paraId="72946A82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1:200 (IF)</w:t>
            </w:r>
          </w:p>
          <w:p w14:paraId="42C6E288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1:5000 (WB)</w:t>
            </w:r>
          </w:p>
        </w:tc>
      </w:tr>
      <w:tr w:rsidR="00AF6BD7" w:rsidRPr="00731516" w14:paraId="1737B08A" w14:textId="77777777" w:rsidTr="00DE01FF">
        <w:trPr>
          <w:trHeight w:hRule="exact" w:val="567"/>
        </w:trPr>
        <w:tc>
          <w:tcPr>
            <w:tcW w:w="2835" w:type="dxa"/>
            <w:shd w:val="clear" w:color="auto" w:fill="FFFFFF" w:themeFill="background1"/>
            <w:noWrap/>
            <w:vAlign w:val="center"/>
          </w:tcPr>
          <w:p w14:paraId="437F3F7E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β-actin</w:t>
            </w:r>
          </w:p>
        </w:tc>
        <w:tc>
          <w:tcPr>
            <w:tcW w:w="2596" w:type="dxa"/>
            <w:shd w:val="clear" w:color="auto" w:fill="FFFFFF" w:themeFill="background1"/>
            <w:noWrap/>
            <w:vAlign w:val="center"/>
          </w:tcPr>
          <w:p w14:paraId="03B3A5F6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Proteintech</w:t>
            </w:r>
          </w:p>
        </w:tc>
        <w:tc>
          <w:tcPr>
            <w:tcW w:w="2095" w:type="dxa"/>
            <w:shd w:val="clear" w:color="auto" w:fill="FFFFFF" w:themeFill="background1"/>
            <w:noWrap/>
            <w:vAlign w:val="center"/>
          </w:tcPr>
          <w:p w14:paraId="1DF27209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66009-1-Ig</w:t>
            </w:r>
          </w:p>
        </w:tc>
        <w:tc>
          <w:tcPr>
            <w:tcW w:w="1637" w:type="dxa"/>
            <w:shd w:val="clear" w:color="auto" w:fill="FFFFFF" w:themeFill="background1"/>
            <w:noWrap/>
            <w:vAlign w:val="center"/>
          </w:tcPr>
          <w:p w14:paraId="790D886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1:1000 (WB)</w:t>
            </w:r>
          </w:p>
        </w:tc>
      </w:tr>
      <w:tr w:rsidR="00AF6BD7" w:rsidRPr="00731516" w14:paraId="583CA416" w14:textId="77777777" w:rsidTr="00DE01FF">
        <w:trPr>
          <w:trHeight w:hRule="exact" w:val="567"/>
        </w:trPr>
        <w:tc>
          <w:tcPr>
            <w:tcW w:w="2835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4E7C6A2F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GAPDH</w:t>
            </w:r>
          </w:p>
        </w:tc>
        <w:tc>
          <w:tcPr>
            <w:tcW w:w="2596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160274ED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Servicebio</w:t>
            </w:r>
          </w:p>
        </w:tc>
        <w:tc>
          <w:tcPr>
            <w:tcW w:w="2095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774C787E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GB15004</w:t>
            </w:r>
          </w:p>
        </w:tc>
        <w:tc>
          <w:tcPr>
            <w:tcW w:w="1637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4BB77627" w14:textId="77777777" w:rsidR="00AF6BD7" w:rsidRPr="00731516" w:rsidRDefault="00AF6BD7" w:rsidP="00DE01FF">
            <w:pPr>
              <w:widowControl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73151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1:1000 (WB)</w:t>
            </w:r>
          </w:p>
        </w:tc>
      </w:tr>
    </w:tbl>
    <w:p w14:paraId="296FCBBE" w14:textId="77777777" w:rsidR="00AF6BD7" w:rsidRPr="00731516" w:rsidRDefault="00AF6BD7" w:rsidP="00AF6BD7">
      <w:pPr>
        <w:wordWrap w:val="0"/>
        <w:rPr>
          <w:rFonts w:ascii="Arial" w:hAnsi="Arial" w:cs="Arial"/>
          <w:sz w:val="20"/>
          <w:szCs w:val="20"/>
        </w:rPr>
      </w:pPr>
      <w:r w:rsidRPr="00731516">
        <w:rPr>
          <w:rFonts w:ascii="Arial" w:hAnsi="Arial" w:cs="Arial"/>
          <w:sz w:val="20"/>
          <w:szCs w:val="20"/>
        </w:rPr>
        <w:t xml:space="preserve">Abbreviations: TNF-α, tumor necrosis factor-alpha; </w:t>
      </w:r>
      <w:r w:rsidRPr="00731516">
        <w:rPr>
          <w:rFonts w:ascii="Arial" w:eastAsia="SimSun" w:hAnsi="Arial" w:cs="Arial"/>
          <w:color w:val="000000"/>
          <w:sz w:val="20"/>
          <w:szCs w:val="20"/>
        </w:rPr>
        <w:t>NF-κB</w:t>
      </w:r>
      <w:r w:rsidRPr="00731516">
        <w:rPr>
          <w:rFonts w:ascii="Arial" w:hAnsi="Arial" w:cs="Arial"/>
          <w:sz w:val="20"/>
          <w:szCs w:val="20"/>
        </w:rPr>
        <w:t xml:space="preserve">, nuclear factor-kappa B; MMP, matrix metallopeptidase; </w:t>
      </w:r>
      <w:r w:rsidRPr="00731516">
        <w:rPr>
          <w:rFonts w:ascii="Arial" w:eastAsia="SimSun" w:hAnsi="Arial" w:cs="Arial"/>
          <w:color w:val="000000"/>
          <w:kern w:val="0"/>
          <w:sz w:val="20"/>
          <w:szCs w:val="20"/>
        </w:rPr>
        <w:t>A</w:t>
      </w:r>
      <w:r w:rsidRPr="00731516">
        <w:rPr>
          <w:rFonts w:ascii="Arial" w:eastAsia="SimSun" w:hAnsi="Arial" w:cs="Arial"/>
          <w:color w:val="000000"/>
          <w:kern w:val="0"/>
          <w:sz w:val="20"/>
          <w:szCs w:val="20"/>
          <w:vertAlign w:val="subscript"/>
        </w:rPr>
        <w:t>2A</w:t>
      </w:r>
      <w:r w:rsidRPr="00731516">
        <w:rPr>
          <w:rFonts w:ascii="Arial" w:eastAsia="SimSun" w:hAnsi="Arial" w:cs="Arial"/>
          <w:color w:val="000000"/>
          <w:kern w:val="0"/>
          <w:sz w:val="20"/>
          <w:szCs w:val="20"/>
        </w:rPr>
        <w:t>R</w:t>
      </w:r>
      <w:r w:rsidRPr="00731516">
        <w:rPr>
          <w:rFonts w:ascii="Arial" w:hAnsi="Arial" w:cs="Arial"/>
          <w:sz w:val="20"/>
          <w:szCs w:val="20"/>
        </w:rPr>
        <w:t>, adenosine A</w:t>
      </w:r>
      <w:r w:rsidRPr="00731516">
        <w:rPr>
          <w:rFonts w:ascii="Arial" w:hAnsi="Arial" w:cs="Arial"/>
          <w:sz w:val="20"/>
          <w:szCs w:val="20"/>
          <w:vertAlign w:val="subscript"/>
        </w:rPr>
        <w:t>2A</w:t>
      </w:r>
      <w:r w:rsidRPr="00731516">
        <w:rPr>
          <w:rFonts w:ascii="Arial" w:hAnsi="Arial" w:cs="Arial"/>
          <w:sz w:val="20"/>
          <w:szCs w:val="20"/>
        </w:rPr>
        <w:t xml:space="preserve"> receptor; IBA1, ionized calcium-binding adapter molecule 1; AQP4, aquaporin 4; GFAP, glial fibrillary acidic protein; RPE, retinal pigment epithelium-specific protein; ZO-1, zonula occludens-1; GAPDH, glyceraldehyde-3-phosphate dehydrogenase; IF, immunofluorescence; WB, western blotting.</w:t>
      </w:r>
    </w:p>
    <w:p w14:paraId="40E7F324" w14:textId="77777777" w:rsidR="00AF6BD7" w:rsidRPr="00731516" w:rsidRDefault="00AF6BD7" w:rsidP="00AF6BD7">
      <w:pPr>
        <w:adjustRightInd w:val="0"/>
        <w:snapToGrid w:val="0"/>
        <w:spacing w:before="120" w:line="480" w:lineRule="auto"/>
        <w:rPr>
          <w:rFonts w:ascii="Arial" w:hAnsi="Arial" w:cs="Arial"/>
          <w:sz w:val="20"/>
          <w:szCs w:val="20"/>
          <w:shd w:val="clear" w:color="auto" w:fill="FFFFFF"/>
        </w:rPr>
      </w:pPr>
    </w:p>
    <w:p w14:paraId="05A1429A" w14:textId="77777777" w:rsidR="00E023F9" w:rsidRDefault="00E023F9"/>
    <w:sectPr w:rsidR="00E023F9" w:rsidSect="00AF6BD7">
      <w:pgSz w:w="16838" w:h="11906" w:orient="landscape"/>
      <w:pgMar w:top="1701" w:right="1134" w:bottom="1701" w:left="1134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D7"/>
    <w:rsid w:val="000C4033"/>
    <w:rsid w:val="004B42CB"/>
    <w:rsid w:val="006536B6"/>
    <w:rsid w:val="00AF6BD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07240"/>
  <w15:chartTrackingRefBased/>
  <w15:docId w15:val="{EA19F105-E33C-495D-B699-70C82B61B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BD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6BD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6BD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BD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BD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BD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BD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BD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BD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BD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B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6B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B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B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B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B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B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B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B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BD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F6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BD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F6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BD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F6B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6BD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F6B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BD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B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BD7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uiPriority w:val="99"/>
    <w:rsid w:val="00AF6BD7"/>
    <w:pPr>
      <w:spacing w:after="0" w:line="240" w:lineRule="auto"/>
    </w:pPr>
    <w:rPr>
      <w:rFonts w:ascii="Times New Roman" w:eastAsia="SimSun" w:hAnsi="Times New Roman"/>
      <w:sz w:val="22"/>
      <w:lang w:val="en-US" w:eastAsia="zh-C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SimSun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F6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1144</Characters>
  <Application>Microsoft Office Word</Application>
  <DocSecurity>0</DocSecurity>
  <Lines>87</Lines>
  <Paragraphs>84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2026-01-13T12:59:00Z</dcterms:created>
  <dcterms:modified xsi:type="dcterms:W3CDTF">2026-01-13T13:00:00Z</dcterms:modified>
</cp:coreProperties>
</file>