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D2C1" w14:textId="5BC1105C" w:rsidR="001B241D" w:rsidRPr="00B7474B" w:rsidRDefault="009F2C2D" w:rsidP="005B4640">
      <w:pPr>
        <w:rPr>
          <w:rFonts w:ascii="Times New Roman" w:hAnsi="Times New Roman" w:cs="Times New Roman"/>
          <w:b/>
          <w:bCs/>
        </w:rPr>
      </w:pPr>
      <w:r w:rsidRPr="00B7474B">
        <w:rPr>
          <w:rFonts w:ascii="Times New Roman" w:hAnsi="Times New Roman" w:cs="Times New Roman"/>
          <w:b/>
          <w:bCs/>
        </w:rPr>
        <w:t>Supplementa</w:t>
      </w:r>
      <w:r w:rsidR="00C0313D" w:rsidRPr="00B7474B">
        <w:rPr>
          <w:rFonts w:ascii="Times New Roman" w:hAnsi="Times New Roman" w:cs="Times New Roman"/>
          <w:b/>
          <w:bCs/>
        </w:rPr>
        <w:t>l</w:t>
      </w:r>
      <w:r w:rsidRPr="00B7474B">
        <w:rPr>
          <w:rFonts w:ascii="Times New Roman" w:hAnsi="Times New Roman" w:cs="Times New Roman"/>
          <w:b/>
          <w:bCs/>
        </w:rPr>
        <w:t xml:space="preserve"> </w:t>
      </w:r>
      <w:r w:rsidR="00413C65">
        <w:rPr>
          <w:rFonts w:ascii="Times New Roman" w:hAnsi="Times New Roman" w:cs="Times New Roman"/>
          <w:b/>
          <w:bCs/>
        </w:rPr>
        <w:t>Digital Content 1</w:t>
      </w:r>
    </w:p>
    <w:p w14:paraId="39B6122C" w14:textId="2DEAD15F" w:rsidR="00E92542" w:rsidRPr="00B7474B" w:rsidRDefault="009F2C2D" w:rsidP="008346B2">
      <w:pPr>
        <w:spacing w:before="120" w:after="120" w:line="240" w:lineRule="auto"/>
        <w:rPr>
          <w:rFonts w:ascii="Times New Roman" w:hAnsi="Times New Roman" w:cs="Times New Roman"/>
          <w:b/>
          <w:bCs/>
          <w:u w:val="single"/>
        </w:rPr>
      </w:pPr>
      <w:r w:rsidRPr="00B7474B">
        <w:rPr>
          <w:rFonts w:ascii="Times New Roman" w:hAnsi="Times New Roman" w:cs="Times New Roman"/>
          <w:b/>
          <w:bCs/>
          <w:u w:val="single"/>
        </w:rPr>
        <w:t>Definitions</w:t>
      </w:r>
      <w:r>
        <w:rPr>
          <w:rFonts w:ascii="Times New Roman" w:hAnsi="Times New Roman" w:cs="Times New Roman"/>
          <w:b/>
          <w:bCs/>
          <w:u w:val="single"/>
        </w:rPr>
        <w:t xml:space="preserve"> </w:t>
      </w:r>
      <w:r w:rsidR="00474CD8">
        <w:rPr>
          <w:rFonts w:ascii="Times New Roman" w:hAnsi="Times New Roman" w:cs="Times New Roman"/>
          <w:b/>
          <w:bCs/>
          <w:u w:val="single"/>
        </w:rPr>
        <w:t>used in the manuscript</w:t>
      </w:r>
    </w:p>
    <w:p w14:paraId="141F78FA" w14:textId="1AAFDA66" w:rsidR="00B7474B" w:rsidRDefault="009F2C2D" w:rsidP="00E31523">
      <w:pPr>
        <w:spacing w:before="120" w:after="120" w:line="240" w:lineRule="auto"/>
        <w:rPr>
          <w:rFonts w:ascii="Times New Roman" w:hAnsi="Times New Roman" w:cs="Times New Roman"/>
          <w:u w:val="single"/>
        </w:rPr>
      </w:pPr>
      <w:r w:rsidRPr="00B7474B">
        <w:rPr>
          <w:rFonts w:ascii="Times New Roman" w:hAnsi="Times New Roman" w:cs="Times New Roman"/>
          <w:u w:val="single"/>
        </w:rPr>
        <w:t>All</w:t>
      </w:r>
      <w:r w:rsidR="00190415">
        <w:rPr>
          <w:rFonts w:ascii="Times New Roman" w:hAnsi="Times New Roman" w:cs="Times New Roman"/>
          <w:u w:val="single"/>
        </w:rPr>
        <w:t>-</w:t>
      </w:r>
      <w:r w:rsidRPr="00B7474B">
        <w:rPr>
          <w:rFonts w:ascii="Times New Roman" w:hAnsi="Times New Roman" w:cs="Times New Roman"/>
          <w:u w:val="single"/>
        </w:rPr>
        <w:t>occurrence morbidity</w:t>
      </w:r>
      <w:r w:rsidRPr="00B7474B">
        <w:rPr>
          <w:rFonts w:ascii="Times New Roman" w:hAnsi="Times New Roman" w:cs="Times New Roman"/>
        </w:rPr>
        <w:t>: A case was included as an all</w:t>
      </w:r>
      <w:r w:rsidR="00190415">
        <w:rPr>
          <w:rFonts w:ascii="Times New Roman" w:hAnsi="Times New Roman" w:cs="Times New Roman"/>
        </w:rPr>
        <w:t>-</w:t>
      </w:r>
      <w:r w:rsidRPr="00B7474B">
        <w:rPr>
          <w:rFonts w:ascii="Times New Roman" w:hAnsi="Times New Roman" w:cs="Times New Roman"/>
        </w:rPr>
        <w:t xml:space="preserve">occurrence </w:t>
      </w:r>
      <w:r w:rsidR="00AB730F" w:rsidRPr="00B7474B">
        <w:rPr>
          <w:rFonts w:ascii="Times New Roman" w:hAnsi="Times New Roman" w:cs="Times New Roman"/>
        </w:rPr>
        <w:t xml:space="preserve">morbidity </w:t>
      </w:r>
      <w:r w:rsidR="00AB730F">
        <w:rPr>
          <w:rFonts w:ascii="Times New Roman" w:hAnsi="Times New Roman" w:cs="Times New Roman"/>
        </w:rPr>
        <w:t>when</w:t>
      </w:r>
      <w:r w:rsidR="003656C5">
        <w:rPr>
          <w:rFonts w:ascii="Times New Roman" w:hAnsi="Times New Roman" w:cs="Times New Roman"/>
        </w:rPr>
        <w:t xml:space="preserve"> </w:t>
      </w:r>
      <w:r w:rsidR="00244A8E">
        <w:rPr>
          <w:rFonts w:ascii="Times New Roman" w:hAnsi="Times New Roman" w:cs="Times New Roman"/>
        </w:rPr>
        <w:t xml:space="preserve">at least one of the </w:t>
      </w:r>
      <w:r w:rsidR="002E4D90">
        <w:rPr>
          <w:rFonts w:ascii="Times New Roman" w:hAnsi="Times New Roman" w:cs="Times New Roman"/>
        </w:rPr>
        <w:t>following events occurred</w:t>
      </w:r>
      <w:r w:rsidR="001C2CB2">
        <w:rPr>
          <w:rFonts w:ascii="Times New Roman" w:hAnsi="Times New Roman" w:cs="Times New Roman"/>
        </w:rPr>
        <w:t xml:space="preserve"> within 30 days of the index procedure</w:t>
      </w:r>
      <w:r w:rsidR="002E4D90">
        <w:rPr>
          <w:rFonts w:ascii="Times New Roman" w:hAnsi="Times New Roman" w:cs="Times New Roman"/>
        </w:rPr>
        <w:t>:</w:t>
      </w:r>
      <w:r w:rsidRPr="00B7474B">
        <w:rPr>
          <w:rFonts w:ascii="Times New Roman" w:hAnsi="Times New Roman" w:cs="Times New Roman"/>
        </w:rPr>
        <w:t xml:space="preserve"> (1) </w:t>
      </w:r>
      <w:r w:rsidR="001C2CB2">
        <w:rPr>
          <w:rFonts w:ascii="Times New Roman" w:hAnsi="Times New Roman" w:cs="Times New Roman"/>
        </w:rPr>
        <w:t xml:space="preserve">serious event, (2) </w:t>
      </w:r>
      <w:r w:rsidRPr="00B7474B">
        <w:rPr>
          <w:rFonts w:ascii="Times New Roman" w:hAnsi="Times New Roman" w:cs="Times New Roman"/>
        </w:rPr>
        <w:t xml:space="preserve">reoperation, </w:t>
      </w:r>
      <w:r w:rsidR="001C2CB2">
        <w:rPr>
          <w:rFonts w:ascii="Times New Roman" w:hAnsi="Times New Roman" w:cs="Times New Roman"/>
        </w:rPr>
        <w:t xml:space="preserve">(3) </w:t>
      </w:r>
      <w:r w:rsidRPr="00B7474B">
        <w:rPr>
          <w:rFonts w:ascii="Times New Roman" w:hAnsi="Times New Roman" w:cs="Times New Roman"/>
        </w:rPr>
        <w:t>readmission</w:t>
      </w:r>
      <w:r w:rsidR="001C2CB2">
        <w:rPr>
          <w:rFonts w:ascii="Times New Roman" w:hAnsi="Times New Roman" w:cs="Times New Roman"/>
        </w:rPr>
        <w:t>, (4) intervention, and</w:t>
      </w:r>
      <w:r w:rsidR="00E85CEC">
        <w:rPr>
          <w:rFonts w:ascii="Times New Roman" w:hAnsi="Times New Roman" w:cs="Times New Roman"/>
        </w:rPr>
        <w:t xml:space="preserve"> (5) postoperative occurrence</w:t>
      </w:r>
      <w:r w:rsidRPr="00B7474B">
        <w:rPr>
          <w:rFonts w:ascii="Times New Roman" w:hAnsi="Times New Roman" w:cs="Times New Roman"/>
        </w:rPr>
        <w:t>.</w:t>
      </w:r>
      <w:r w:rsidR="0089269C">
        <w:rPr>
          <w:rFonts w:ascii="Times New Roman" w:hAnsi="Times New Roman" w:cs="Times New Roman"/>
        </w:rPr>
        <w:t xml:space="preserve"> </w:t>
      </w:r>
      <w:r w:rsidR="00E31523" w:rsidRPr="00AD04D7">
        <w:rPr>
          <w:rFonts w:ascii="Times New Roman" w:hAnsi="Times New Roman" w:cs="Times New Roman"/>
          <w:u w:val="single"/>
        </w:rPr>
        <w:t xml:space="preserve">These 5 </w:t>
      </w:r>
      <w:r w:rsidR="00E31523">
        <w:rPr>
          <w:rFonts w:ascii="Times New Roman" w:hAnsi="Times New Roman" w:cs="Times New Roman"/>
          <w:u w:val="single"/>
        </w:rPr>
        <w:t xml:space="preserve">morbidities are defined by the </w:t>
      </w:r>
      <w:r w:rsidR="00CD4B44" w:rsidRPr="00CD4B44">
        <w:rPr>
          <w:rFonts w:ascii="Times New Roman" w:hAnsi="Times New Roman" w:cs="Times New Roman"/>
          <w:u w:val="single"/>
        </w:rPr>
        <w:t>Metabolic and Bariatric Surgery Accreditation and Quality Improvement Program</w:t>
      </w:r>
      <w:r w:rsidR="00841BC5">
        <w:rPr>
          <w:rFonts w:ascii="Times New Roman" w:hAnsi="Times New Roman" w:cs="Times New Roman"/>
          <w:u w:val="single"/>
        </w:rPr>
        <w:t xml:space="preserve"> (MBSAQIP).</w:t>
      </w:r>
    </w:p>
    <w:p w14:paraId="42BC4194" w14:textId="21168057" w:rsidR="00B21113" w:rsidRDefault="00B21113" w:rsidP="00E31523">
      <w:pPr>
        <w:spacing w:before="120" w:after="120" w:line="240" w:lineRule="auto"/>
        <w:rPr>
          <w:rFonts w:ascii="Times New Roman" w:hAnsi="Times New Roman" w:cs="Times New Roman"/>
        </w:rPr>
      </w:pPr>
      <w:r>
        <w:rPr>
          <w:rFonts w:ascii="Times New Roman" w:hAnsi="Times New Roman" w:cs="Times New Roman"/>
          <w:u w:val="single"/>
        </w:rPr>
        <w:t>Serious Event:</w:t>
      </w:r>
      <w:r>
        <w:rPr>
          <w:rFonts w:ascii="Times New Roman" w:hAnsi="Times New Roman" w:cs="Times New Roman"/>
        </w:rPr>
        <w:t xml:space="preserve"> (including death, unplanned related reoperation, admission to intensive care unit, transfusion,</w:t>
      </w:r>
      <w:r w:rsidRPr="00592C19">
        <w:rPr>
          <w:rFonts w:ascii="Times New Roman" w:hAnsi="Times New Roman" w:cs="Times New Roman"/>
        </w:rPr>
        <w:t xml:space="preserve"> </w:t>
      </w:r>
      <w:r>
        <w:rPr>
          <w:rFonts w:ascii="Times New Roman" w:hAnsi="Times New Roman" w:cs="Times New Roman"/>
        </w:rPr>
        <w:t>intubation, on a ventilator &gt;48 hours, progressive renal insufficiency, renal failure, cerebrovascular accident, cardiac arrest, myocardial infarction, pulmonary embolism, postoperative venous thrombosis requiring therapy, urinary tract infection, postoperative sepsis, septic shock, a</w:t>
      </w:r>
      <w:r w:rsidRPr="00183EB5">
        <w:rPr>
          <w:rFonts w:ascii="Times New Roman" w:hAnsi="Times New Roman" w:cs="Times New Roman"/>
        </w:rPr>
        <w:t>nastomotic/</w:t>
      </w:r>
      <w:r>
        <w:rPr>
          <w:rFonts w:ascii="Times New Roman" w:hAnsi="Times New Roman" w:cs="Times New Roman"/>
        </w:rPr>
        <w:t>s</w:t>
      </w:r>
      <w:r w:rsidRPr="00183EB5">
        <w:rPr>
          <w:rFonts w:ascii="Times New Roman" w:hAnsi="Times New Roman" w:cs="Times New Roman"/>
        </w:rPr>
        <w:t xml:space="preserve">taple </w:t>
      </w:r>
      <w:r>
        <w:rPr>
          <w:rFonts w:ascii="Times New Roman" w:hAnsi="Times New Roman" w:cs="Times New Roman"/>
        </w:rPr>
        <w:t>l</w:t>
      </w:r>
      <w:r w:rsidRPr="00183EB5">
        <w:rPr>
          <w:rFonts w:ascii="Times New Roman" w:hAnsi="Times New Roman" w:cs="Times New Roman"/>
        </w:rPr>
        <w:t xml:space="preserve">ine </w:t>
      </w:r>
      <w:r>
        <w:rPr>
          <w:rFonts w:ascii="Times New Roman" w:hAnsi="Times New Roman" w:cs="Times New Roman"/>
        </w:rPr>
        <w:t>l</w:t>
      </w:r>
      <w:r w:rsidRPr="00183EB5">
        <w:rPr>
          <w:rFonts w:ascii="Times New Roman" w:hAnsi="Times New Roman" w:cs="Times New Roman"/>
        </w:rPr>
        <w:t>eak</w:t>
      </w:r>
      <w:r>
        <w:rPr>
          <w:rFonts w:ascii="Times New Roman" w:hAnsi="Times New Roman" w:cs="Times New Roman"/>
        </w:rPr>
        <w:t>,</w:t>
      </w:r>
      <w:r w:rsidRPr="00183EB5">
        <w:rPr>
          <w:rFonts w:ascii="Times New Roman" w:hAnsi="Times New Roman" w:cs="Times New Roman"/>
        </w:rPr>
        <w:t xml:space="preserve"> </w:t>
      </w:r>
      <w:r>
        <w:rPr>
          <w:rFonts w:ascii="Times New Roman" w:hAnsi="Times New Roman" w:cs="Times New Roman"/>
        </w:rPr>
        <w:t>g</w:t>
      </w:r>
      <w:r w:rsidRPr="00183EB5">
        <w:rPr>
          <w:rFonts w:ascii="Times New Roman" w:hAnsi="Times New Roman" w:cs="Times New Roman"/>
        </w:rPr>
        <w:t xml:space="preserve">astrointestinal </w:t>
      </w:r>
      <w:r>
        <w:rPr>
          <w:rFonts w:ascii="Times New Roman" w:hAnsi="Times New Roman" w:cs="Times New Roman"/>
        </w:rPr>
        <w:t>t</w:t>
      </w:r>
      <w:r w:rsidRPr="00183EB5">
        <w:rPr>
          <w:rFonts w:ascii="Times New Roman" w:hAnsi="Times New Roman" w:cs="Times New Roman"/>
        </w:rPr>
        <w:t xml:space="preserve">ract </w:t>
      </w:r>
      <w:r>
        <w:rPr>
          <w:rFonts w:ascii="Times New Roman" w:hAnsi="Times New Roman" w:cs="Times New Roman"/>
        </w:rPr>
        <w:t>b</w:t>
      </w:r>
      <w:r w:rsidRPr="00183EB5">
        <w:rPr>
          <w:rFonts w:ascii="Times New Roman" w:hAnsi="Times New Roman" w:cs="Times New Roman"/>
        </w:rPr>
        <w:t>leed</w:t>
      </w:r>
      <w:r>
        <w:rPr>
          <w:rFonts w:ascii="Times New Roman" w:hAnsi="Times New Roman" w:cs="Times New Roman"/>
        </w:rPr>
        <w:t>,</w:t>
      </w:r>
      <w:r w:rsidRPr="00183EB5">
        <w:rPr>
          <w:rFonts w:ascii="Times New Roman" w:hAnsi="Times New Roman" w:cs="Times New Roman"/>
        </w:rPr>
        <w:t xml:space="preserve"> </w:t>
      </w:r>
      <w:r>
        <w:rPr>
          <w:rFonts w:ascii="Times New Roman" w:hAnsi="Times New Roman" w:cs="Times New Roman"/>
        </w:rPr>
        <w:t>b</w:t>
      </w:r>
      <w:r w:rsidRPr="00183EB5">
        <w:rPr>
          <w:rFonts w:ascii="Times New Roman" w:hAnsi="Times New Roman" w:cs="Times New Roman"/>
        </w:rPr>
        <w:t xml:space="preserve">owel </w:t>
      </w:r>
      <w:r>
        <w:rPr>
          <w:rFonts w:ascii="Times New Roman" w:hAnsi="Times New Roman" w:cs="Times New Roman"/>
        </w:rPr>
        <w:t>o</w:t>
      </w:r>
      <w:r w:rsidRPr="00183EB5">
        <w:rPr>
          <w:rFonts w:ascii="Times New Roman" w:hAnsi="Times New Roman" w:cs="Times New Roman"/>
        </w:rPr>
        <w:t>bstruction</w:t>
      </w:r>
      <w:r>
        <w:rPr>
          <w:rFonts w:ascii="Times New Roman" w:hAnsi="Times New Roman" w:cs="Times New Roman"/>
        </w:rPr>
        <w:t>);</w:t>
      </w:r>
    </w:p>
    <w:p w14:paraId="1670CBBD" w14:textId="03AD40E8" w:rsidR="00B7474B" w:rsidRPr="00B7474B" w:rsidRDefault="009F2C2D" w:rsidP="008346B2">
      <w:pPr>
        <w:spacing w:before="120" w:after="120" w:line="240" w:lineRule="auto"/>
        <w:rPr>
          <w:rFonts w:ascii="Times New Roman" w:hAnsi="Times New Roman" w:cs="Times New Roman"/>
        </w:rPr>
      </w:pPr>
      <w:r w:rsidRPr="00B7474B">
        <w:rPr>
          <w:rFonts w:ascii="Times New Roman" w:hAnsi="Times New Roman" w:cs="Times New Roman"/>
          <w:u w:val="single"/>
        </w:rPr>
        <w:t>Morbidity:</w:t>
      </w:r>
      <w:r w:rsidRPr="00B7474B">
        <w:rPr>
          <w:rFonts w:ascii="Times New Roman" w:hAnsi="Times New Roman" w:cs="Times New Roman"/>
        </w:rPr>
        <w:t xml:space="preserve"> superficial incisional SSI; deep incisional SSI; organ/space SSI; wound disruption; pneumonia; unplanned intubation; pulmonary embolism; on ventilator &gt;48 h; progressive renal insufficiency; acute renal failure; urinary tract infection; stroke/cerebral vascular accident; cardiac arrest requiring CPR; myocardial infarction; transfusion (within 72 h of surgery start time); postoperative venous thrombosis requiring therapy; </w:t>
      </w:r>
      <w:r w:rsidRPr="00B7474B">
        <w:rPr>
          <w:rFonts w:ascii="Times New Roman" w:hAnsi="Times New Roman" w:cs="Times New Roman"/>
          <w:i/>
          <w:iCs/>
        </w:rPr>
        <w:t>Clostridioides difficile</w:t>
      </w:r>
      <w:r w:rsidRPr="00B7474B">
        <w:rPr>
          <w:rFonts w:ascii="Times New Roman" w:hAnsi="Times New Roman" w:cs="Times New Roman"/>
        </w:rPr>
        <w:t>; postoperative sepsis; postoperative septic shock; anastomotic/staple line leak; gastrointestinal tract bleed</w:t>
      </w:r>
      <w:r>
        <w:rPr>
          <w:rFonts w:ascii="Times New Roman" w:eastAsia="Aptos" w:hAnsi="Times New Roman" w:cs="Times New Roman"/>
        </w:rPr>
        <w:t>ing; bowel obstruction</w:t>
      </w:r>
      <w:r w:rsidR="003E4F1D">
        <w:rPr>
          <w:rFonts w:ascii="Times New Roman" w:hAnsi="Times New Roman" w:cs="Times New Roman"/>
        </w:rPr>
        <w:t>.</w:t>
      </w:r>
    </w:p>
    <w:p w14:paraId="0044DEFE" w14:textId="4303A524" w:rsidR="00B7474B" w:rsidRPr="00B7474B" w:rsidRDefault="009F2C2D" w:rsidP="008346B2">
      <w:pPr>
        <w:spacing w:before="120" w:after="120" w:line="240" w:lineRule="auto"/>
        <w:ind w:left="540"/>
        <w:rPr>
          <w:rFonts w:ascii="Times New Roman" w:hAnsi="Times New Roman" w:cs="Times New Roman"/>
        </w:rPr>
      </w:pPr>
      <w:r w:rsidRPr="00B7474B">
        <w:rPr>
          <w:rFonts w:ascii="Times New Roman" w:hAnsi="Times New Roman" w:cs="Times New Roman"/>
          <w:u w:val="single"/>
        </w:rPr>
        <w:t>SSI</w:t>
      </w:r>
      <w:r w:rsidRPr="00B7474B">
        <w:rPr>
          <w:rFonts w:ascii="Times New Roman" w:hAnsi="Times New Roman" w:cs="Times New Roman"/>
        </w:rPr>
        <w:t>: An infection that occurs at the surgical site/sites integral to the primary procedure within 30 days after the primary procedure and involves superficial/deep/organ space (site/level) and at least ONE of the following:</w:t>
      </w:r>
    </w:p>
    <w:p w14:paraId="6D2B54C4" w14:textId="643E1E4C" w:rsidR="00B7474B" w:rsidRPr="00B7474B" w:rsidRDefault="009F2C2D" w:rsidP="008346B2">
      <w:pPr>
        <w:pStyle w:val="ListParagraph"/>
        <w:numPr>
          <w:ilvl w:val="0"/>
          <w:numId w:val="1"/>
        </w:numPr>
        <w:spacing w:before="120" w:after="120" w:line="240" w:lineRule="auto"/>
        <w:contextualSpacing w:val="0"/>
        <w:rPr>
          <w:rFonts w:ascii="Times New Roman" w:hAnsi="Times New Roman" w:cs="Times New Roman"/>
        </w:rPr>
      </w:pPr>
      <w:r w:rsidRPr="00B7474B">
        <w:rPr>
          <w:rFonts w:ascii="Times New Roman" w:hAnsi="Times New Roman" w:cs="Times New Roman"/>
        </w:rPr>
        <w:t>Purulent drainage or a positive culture from the superficial/deep/organ space (site/level) but not from the organ/space component of the surgical site</w:t>
      </w:r>
      <w:r w:rsidR="003E4F1D">
        <w:rPr>
          <w:rFonts w:ascii="Times New Roman" w:hAnsi="Times New Roman" w:cs="Times New Roman"/>
        </w:rPr>
        <w:t>.</w:t>
      </w:r>
      <w:r w:rsidRPr="00B7474B">
        <w:rPr>
          <w:rFonts w:ascii="Times New Roman" w:hAnsi="Times New Roman" w:cs="Times New Roman"/>
        </w:rPr>
        <w:t xml:space="preserve"> </w:t>
      </w:r>
    </w:p>
    <w:p w14:paraId="325FE0A3" w14:textId="608EBCA0" w:rsidR="00B7474B" w:rsidRPr="00B7474B" w:rsidRDefault="009F2C2D" w:rsidP="008346B2">
      <w:pPr>
        <w:pStyle w:val="ListParagraph"/>
        <w:numPr>
          <w:ilvl w:val="0"/>
          <w:numId w:val="1"/>
        </w:numPr>
        <w:spacing w:before="120" w:after="120" w:line="240" w:lineRule="auto"/>
        <w:contextualSpacing w:val="0"/>
        <w:rPr>
          <w:rFonts w:ascii="Times New Roman" w:hAnsi="Times New Roman" w:cs="Times New Roman"/>
        </w:rPr>
      </w:pPr>
      <w:r w:rsidRPr="00B7474B">
        <w:rPr>
          <w:rFonts w:ascii="Times New Roman" w:hAnsi="Times New Roman" w:cs="Times New Roman"/>
        </w:rPr>
        <w:t xml:space="preserve">A superficial/deep/organ space (site/level) spontaneously dehisces or is deliberately opened by a physician or advanced practitioner when the patient has at least one of the following signs or symptoms: fever (greater than 38°C), localized pain, or tenderness unless the site is </w:t>
      </w:r>
      <w:r w:rsidR="008A7D3F" w:rsidRPr="00B7474B">
        <w:rPr>
          <w:rFonts w:ascii="Times New Roman" w:hAnsi="Times New Roman" w:cs="Times New Roman"/>
        </w:rPr>
        <w:t>culture negative</w:t>
      </w:r>
      <w:r w:rsidR="003E4F1D">
        <w:rPr>
          <w:rFonts w:ascii="Times New Roman" w:hAnsi="Times New Roman" w:cs="Times New Roman"/>
        </w:rPr>
        <w:t>.</w:t>
      </w:r>
    </w:p>
    <w:p w14:paraId="233991A0" w14:textId="24D66115" w:rsidR="00B7474B" w:rsidRPr="00B7474B" w:rsidRDefault="009F2C2D" w:rsidP="008346B2">
      <w:pPr>
        <w:pStyle w:val="ListParagraph"/>
        <w:numPr>
          <w:ilvl w:val="0"/>
          <w:numId w:val="1"/>
        </w:numPr>
        <w:spacing w:before="120" w:after="120" w:line="240" w:lineRule="auto"/>
        <w:contextualSpacing w:val="0"/>
        <w:rPr>
          <w:rFonts w:ascii="Times New Roman" w:hAnsi="Times New Roman" w:cs="Times New Roman"/>
        </w:rPr>
      </w:pPr>
      <w:r w:rsidRPr="00B7474B">
        <w:rPr>
          <w:rFonts w:ascii="Times New Roman" w:hAnsi="Times New Roman" w:cs="Times New Roman"/>
        </w:rPr>
        <w:t>An abscess or other evidence of infection involving the superficial/deep/organ space (site/level) is found on direct examination, during reoperation, or by radiologic</w:t>
      </w:r>
      <w:r>
        <w:rPr>
          <w:rFonts w:ascii="Times New Roman" w:eastAsia="Aptos" w:hAnsi="Times New Roman" w:cs="Times New Roman"/>
        </w:rPr>
        <w:t>al examination</w:t>
      </w:r>
      <w:r w:rsidR="003E4F1D">
        <w:rPr>
          <w:rFonts w:ascii="Times New Roman" w:hAnsi="Times New Roman" w:cs="Times New Roman"/>
        </w:rPr>
        <w:t>.</w:t>
      </w:r>
      <w:r w:rsidRPr="00B7474B">
        <w:rPr>
          <w:rFonts w:ascii="Times New Roman" w:hAnsi="Times New Roman" w:cs="Times New Roman"/>
        </w:rPr>
        <w:t xml:space="preserve"> </w:t>
      </w:r>
    </w:p>
    <w:p w14:paraId="72947ABE" w14:textId="395FAF54" w:rsidR="00B7474B" w:rsidRPr="00B7474B" w:rsidRDefault="009F2C2D" w:rsidP="008346B2">
      <w:pPr>
        <w:pStyle w:val="ListParagraph"/>
        <w:numPr>
          <w:ilvl w:val="0"/>
          <w:numId w:val="1"/>
        </w:numPr>
        <w:spacing w:before="120" w:after="120" w:line="240" w:lineRule="auto"/>
        <w:contextualSpacing w:val="0"/>
        <w:rPr>
          <w:rFonts w:ascii="Times New Roman" w:hAnsi="Times New Roman" w:cs="Times New Roman"/>
        </w:rPr>
      </w:pPr>
      <w:r w:rsidRPr="00B7474B">
        <w:rPr>
          <w:rFonts w:ascii="Times New Roman" w:hAnsi="Times New Roman" w:cs="Times New Roman"/>
        </w:rPr>
        <w:t>Diagnosis of superficial/deep/organ space (site/level) SSI by a physician or advanced practitioner</w:t>
      </w:r>
      <w:r w:rsidR="003E4F1D">
        <w:rPr>
          <w:rFonts w:ascii="Times New Roman" w:hAnsi="Times New Roman" w:cs="Times New Roman"/>
        </w:rPr>
        <w:t>.</w:t>
      </w:r>
    </w:p>
    <w:p w14:paraId="4535C023" w14:textId="178CDE55" w:rsidR="00B7474B" w:rsidRPr="00B7474B" w:rsidRDefault="009F2C2D" w:rsidP="008346B2">
      <w:pPr>
        <w:spacing w:before="120" w:after="120" w:line="240" w:lineRule="auto"/>
        <w:ind w:left="990"/>
        <w:rPr>
          <w:rFonts w:ascii="Times New Roman" w:hAnsi="Times New Roman" w:cs="Times New Roman"/>
        </w:rPr>
      </w:pPr>
      <w:r w:rsidRPr="00B7474B">
        <w:rPr>
          <w:rFonts w:ascii="Times New Roman" w:hAnsi="Times New Roman" w:cs="Times New Roman"/>
          <w:i/>
          <w:iCs/>
        </w:rPr>
        <w:t>Superficial Incisional SSI</w:t>
      </w:r>
      <w:r w:rsidRPr="00B7474B">
        <w:rPr>
          <w:rFonts w:ascii="Times New Roman" w:hAnsi="Times New Roman" w:cs="Times New Roman"/>
        </w:rPr>
        <w:t xml:space="preserve">: An infection that involves only </w:t>
      </w:r>
      <w:r>
        <w:rPr>
          <w:rFonts w:ascii="Times New Roman" w:eastAsia="Aptos" w:hAnsi="Times New Roman" w:cs="Times New Roman"/>
        </w:rPr>
        <w:t>the skin or subcutaneous tissue of the surgical incision</w:t>
      </w:r>
      <w:r w:rsidR="003E4F1D">
        <w:rPr>
          <w:rFonts w:ascii="Times New Roman" w:hAnsi="Times New Roman" w:cs="Times New Roman"/>
        </w:rPr>
        <w:t>.</w:t>
      </w:r>
    </w:p>
    <w:p w14:paraId="3A18D4F5" w14:textId="075A64E0" w:rsidR="00B7474B" w:rsidRPr="00B7474B" w:rsidRDefault="009F2C2D" w:rsidP="008346B2">
      <w:pPr>
        <w:spacing w:before="120" w:after="120" w:line="240" w:lineRule="auto"/>
        <w:ind w:left="990"/>
        <w:rPr>
          <w:rFonts w:ascii="Times New Roman" w:hAnsi="Times New Roman" w:cs="Times New Roman"/>
        </w:rPr>
      </w:pPr>
      <w:r w:rsidRPr="00B7474B">
        <w:rPr>
          <w:rFonts w:ascii="Times New Roman" w:hAnsi="Times New Roman" w:cs="Times New Roman"/>
          <w:i/>
          <w:iCs/>
        </w:rPr>
        <w:t>Deep Incisional SSI</w:t>
      </w:r>
      <w:r w:rsidRPr="00B7474B">
        <w:rPr>
          <w:rFonts w:ascii="Times New Roman" w:hAnsi="Times New Roman" w:cs="Times New Roman"/>
        </w:rPr>
        <w:t xml:space="preserve">: An infection that involves deep soft tissues, which are typically any tissue beneath </w:t>
      </w:r>
      <w:r>
        <w:rPr>
          <w:rFonts w:ascii="Times New Roman" w:eastAsia="Aptos" w:hAnsi="Times New Roman" w:cs="Times New Roman"/>
        </w:rPr>
        <w:t>the skin and immediate subcutaneous fat (</w:t>
      </w:r>
      <w:r w:rsidRPr="00B7474B">
        <w:rPr>
          <w:rFonts w:ascii="Times New Roman" w:hAnsi="Times New Roman" w:cs="Times New Roman"/>
        </w:rPr>
        <w:t>e.g., fascial and muscle layers)</w:t>
      </w:r>
      <w:r w:rsidR="003E4F1D">
        <w:rPr>
          <w:rFonts w:ascii="Times New Roman" w:hAnsi="Times New Roman" w:cs="Times New Roman"/>
        </w:rPr>
        <w:t>.</w:t>
      </w:r>
    </w:p>
    <w:p w14:paraId="65AE9777" w14:textId="7518698B" w:rsidR="00B7474B" w:rsidRPr="00B7474B" w:rsidRDefault="009F2C2D" w:rsidP="008346B2">
      <w:pPr>
        <w:spacing w:before="120" w:after="120" w:line="240" w:lineRule="auto"/>
        <w:ind w:left="990"/>
        <w:rPr>
          <w:rFonts w:ascii="Times New Roman" w:hAnsi="Times New Roman" w:cs="Times New Roman"/>
        </w:rPr>
      </w:pPr>
      <w:r w:rsidRPr="00B7474B">
        <w:rPr>
          <w:rFonts w:ascii="Times New Roman" w:hAnsi="Times New Roman" w:cs="Times New Roman"/>
          <w:i/>
          <w:iCs/>
        </w:rPr>
        <w:t>Organ/Space SSI</w:t>
      </w:r>
      <w:r w:rsidRPr="00B7474B">
        <w:rPr>
          <w:rFonts w:ascii="Times New Roman" w:hAnsi="Times New Roman" w:cs="Times New Roman"/>
        </w:rPr>
        <w:t>: An infection that involves any part of the anatomy (e.g., organs or spaces) other than the incision, which was opened or manipulated during the primary procedure</w:t>
      </w:r>
      <w:r w:rsidR="003E4F1D">
        <w:rPr>
          <w:rFonts w:ascii="Times New Roman" w:hAnsi="Times New Roman" w:cs="Times New Roman"/>
        </w:rPr>
        <w:t>.</w:t>
      </w:r>
    </w:p>
    <w:p w14:paraId="10BC2CF6" w14:textId="49EF6A9B" w:rsidR="00B7474B" w:rsidRPr="00B7474B" w:rsidRDefault="009F2C2D" w:rsidP="008346B2">
      <w:pPr>
        <w:spacing w:before="120" w:after="120" w:line="240" w:lineRule="auto"/>
        <w:ind w:left="990"/>
        <w:rPr>
          <w:rFonts w:ascii="Times New Roman" w:hAnsi="Times New Roman" w:cs="Times New Roman"/>
        </w:rPr>
      </w:pPr>
      <w:r w:rsidRPr="00B7474B">
        <w:rPr>
          <w:rFonts w:ascii="Times New Roman" w:hAnsi="Times New Roman" w:cs="Times New Roman"/>
        </w:rPr>
        <w:lastRenderedPageBreak/>
        <w:t xml:space="preserve">Only one SSI occurrence was assigned during the 30-day postoperative timeframe. If multiple incision sites or layers of the same surgical incision (of the primary procedure or an integral procedure) meet </w:t>
      </w:r>
      <w:r>
        <w:rPr>
          <w:rFonts w:ascii="Times New Roman" w:eastAsia="Aptos" w:hAnsi="Times New Roman" w:cs="Times New Roman"/>
        </w:rPr>
        <w:t xml:space="preserve">the SSI criteria, assign the only SSI occurrence during the 30-day postoperative timeframe at the deepest level (superficial incisional, deep incisional, or organ/space). When a diagnosis of an infection was made and/or antimicrobial treatment </w:t>
      </w:r>
      <w:r w:rsidRPr="00B7474B">
        <w:rPr>
          <w:rFonts w:ascii="Times New Roman" w:hAnsi="Times New Roman" w:cs="Times New Roman"/>
        </w:rPr>
        <w:t>was initiated based on any diagnostic test, that test was used to assign the occurrence. Examples include but are not limited to point-of-care testing (e.g., Gram stain, rapid strep, whiff test) or a culture collected from a drain, but only in conjunction with a diagnosis of infection being made and recorded</w:t>
      </w:r>
      <w:r>
        <w:rPr>
          <w:rFonts w:ascii="Times New Roman" w:eastAsia="Aptos" w:hAnsi="Times New Roman" w:cs="Times New Roman"/>
        </w:rPr>
        <w:t>, or treatment being initiated. If a diagnosis of an inflammatory condition (e.g.</w:t>
      </w:r>
      <w:r w:rsidRPr="00B7474B">
        <w:rPr>
          <w:rFonts w:ascii="Times New Roman" w:hAnsi="Times New Roman" w:cs="Times New Roman"/>
        </w:rPr>
        <w:t xml:space="preserve">, </w:t>
      </w:r>
      <w:r>
        <w:rPr>
          <w:rFonts w:ascii="Times New Roman" w:eastAsia="Aptos" w:hAnsi="Times New Roman" w:cs="Times New Roman"/>
        </w:rPr>
        <w:t>itis</w:t>
      </w:r>
      <w:r w:rsidRPr="00B7474B">
        <w:rPr>
          <w:rFonts w:ascii="Times New Roman" w:hAnsi="Times New Roman" w:cs="Times New Roman"/>
        </w:rPr>
        <w:t>”, peritonitis, etc.) is treated with oral/</w:t>
      </w:r>
      <w:r w:rsidR="003D75BB">
        <w:rPr>
          <w:rFonts w:ascii="Times New Roman" w:hAnsi="Times New Roman" w:cs="Times New Roman"/>
        </w:rPr>
        <w:t>intravenous (</w:t>
      </w:r>
      <w:r w:rsidRPr="00B7474B">
        <w:rPr>
          <w:rFonts w:ascii="Times New Roman" w:hAnsi="Times New Roman" w:cs="Times New Roman"/>
        </w:rPr>
        <w:t>IV</w:t>
      </w:r>
      <w:r w:rsidR="003D75BB">
        <w:rPr>
          <w:rFonts w:ascii="Times New Roman" w:hAnsi="Times New Roman" w:cs="Times New Roman"/>
        </w:rPr>
        <w:t>)</w:t>
      </w:r>
      <w:r w:rsidRPr="00B7474B">
        <w:rPr>
          <w:rFonts w:ascii="Times New Roman" w:hAnsi="Times New Roman" w:cs="Times New Roman"/>
        </w:rPr>
        <w:t>/</w:t>
      </w:r>
      <w:r w:rsidR="003D75BB">
        <w:rPr>
          <w:rFonts w:ascii="Times New Roman" w:hAnsi="Times New Roman" w:cs="Times New Roman"/>
        </w:rPr>
        <w:t>intramuscular (</w:t>
      </w:r>
      <w:r w:rsidRPr="00B7474B">
        <w:rPr>
          <w:rFonts w:ascii="Times New Roman" w:hAnsi="Times New Roman" w:cs="Times New Roman"/>
        </w:rPr>
        <w:t>IM</w:t>
      </w:r>
      <w:r w:rsidR="003D75BB">
        <w:rPr>
          <w:rFonts w:ascii="Times New Roman" w:hAnsi="Times New Roman" w:cs="Times New Roman"/>
        </w:rPr>
        <w:t>)</w:t>
      </w:r>
      <w:r w:rsidRPr="00B7474B">
        <w:rPr>
          <w:rFonts w:ascii="Times New Roman" w:hAnsi="Times New Roman" w:cs="Times New Roman"/>
        </w:rPr>
        <w:t xml:space="preserve"> antimicrobials, this is considered a diagnosis of an infection (i.e., meets criterion D). However, a gastrointestinal intraluminal infection (gastritis, enteritis, or colitis) does not meet </w:t>
      </w:r>
      <w:r>
        <w:rPr>
          <w:rFonts w:ascii="Times New Roman" w:eastAsia="Aptos" w:hAnsi="Times New Roman" w:cs="Times New Roman"/>
        </w:rPr>
        <w:t xml:space="preserve">the criteria </w:t>
      </w:r>
      <w:r w:rsidRPr="00B7474B">
        <w:rPr>
          <w:rFonts w:ascii="Times New Roman" w:hAnsi="Times New Roman" w:cs="Times New Roman"/>
        </w:rPr>
        <w:t>for assign</w:t>
      </w:r>
      <w:r>
        <w:rPr>
          <w:rFonts w:ascii="Times New Roman" w:eastAsia="Aptos" w:hAnsi="Times New Roman" w:cs="Times New Roman"/>
        </w:rPr>
        <w:t xml:space="preserve">ing an organ/space SSI, regardless of treatment. In addition, </w:t>
      </w:r>
      <w:r w:rsidRPr="00B7474B">
        <w:rPr>
          <w:rFonts w:ascii="Times New Roman" w:hAnsi="Times New Roman" w:cs="Times New Roman"/>
          <w:i/>
          <w:iCs/>
        </w:rPr>
        <w:t>C. diff</w:t>
      </w:r>
      <w:r w:rsidRPr="00B7474B">
        <w:rPr>
          <w:rFonts w:ascii="Times New Roman" w:hAnsi="Times New Roman" w:cs="Times New Roman"/>
        </w:rPr>
        <w:t xml:space="preserve"> colitis infections were captured under the “</w:t>
      </w:r>
      <w:r w:rsidRPr="00B7474B">
        <w:rPr>
          <w:rFonts w:ascii="Times New Roman" w:hAnsi="Times New Roman" w:cs="Times New Roman"/>
          <w:i/>
          <w:iCs/>
        </w:rPr>
        <w:t>C. diff</w:t>
      </w:r>
      <w:r w:rsidRPr="00B7474B">
        <w:rPr>
          <w:rFonts w:ascii="Times New Roman" w:hAnsi="Times New Roman" w:cs="Times New Roman"/>
        </w:rPr>
        <w:t xml:space="preserve"> colitis” variable.</w:t>
      </w:r>
    </w:p>
    <w:p w14:paraId="350C4398" w14:textId="3D7F1693" w:rsidR="00A5055E" w:rsidRPr="00B7474B" w:rsidRDefault="009F2C2D" w:rsidP="008346B2">
      <w:pPr>
        <w:spacing w:before="120" w:after="120" w:line="240" w:lineRule="auto"/>
        <w:ind w:left="540"/>
        <w:rPr>
          <w:rFonts w:ascii="Times New Roman" w:hAnsi="Times New Roman" w:cs="Times New Roman"/>
        </w:rPr>
      </w:pPr>
      <w:r w:rsidRPr="00B7474B">
        <w:rPr>
          <w:rFonts w:ascii="Times New Roman" w:hAnsi="Times New Roman" w:cs="Times New Roman"/>
          <w:u w:val="single"/>
        </w:rPr>
        <w:t>Wound disruption</w:t>
      </w:r>
      <w:r w:rsidRPr="00B7474B">
        <w:rPr>
          <w:rFonts w:ascii="Times New Roman" w:hAnsi="Times New Roman" w:cs="Times New Roman"/>
        </w:rPr>
        <w:t xml:space="preserve">: A spontaneous reopening of a surgically closed wound that occurred within 30 days after the primary procedure and loss of the integrity of fascial closure (or whatever closure was performed in the absence of fascial closure). The following are NOT examples of wound disruption: an ostomy with a small separation around it, anastomotic leaks, a surgical wound that was intentionally reopened by an advanced provider, </w:t>
      </w:r>
      <w:r>
        <w:rPr>
          <w:rFonts w:ascii="Times New Roman" w:eastAsia="Aptos" w:hAnsi="Times New Roman" w:cs="Times New Roman"/>
        </w:rPr>
        <w:t>and flap closure</w:t>
      </w:r>
      <w:r w:rsidRPr="00B7474B">
        <w:rPr>
          <w:rFonts w:ascii="Times New Roman" w:hAnsi="Times New Roman" w:cs="Times New Roman"/>
        </w:rPr>
        <w:t xml:space="preserve"> when the flap fails due to poor perfusion rather than when the closure spontaneously dehisces.</w:t>
      </w:r>
    </w:p>
    <w:p w14:paraId="7CCFC644" w14:textId="77777777" w:rsidR="00A5055E" w:rsidRPr="00B7474B" w:rsidRDefault="009F2C2D" w:rsidP="008346B2">
      <w:pPr>
        <w:spacing w:before="120" w:after="120" w:line="240" w:lineRule="auto"/>
        <w:ind w:left="540"/>
        <w:rPr>
          <w:rFonts w:ascii="Times New Roman" w:hAnsi="Times New Roman" w:cs="Times New Roman"/>
          <w:u w:val="single"/>
        </w:rPr>
      </w:pPr>
      <w:r w:rsidRPr="00B7474B">
        <w:rPr>
          <w:rFonts w:ascii="Times New Roman" w:hAnsi="Times New Roman" w:cs="Times New Roman"/>
          <w:u w:val="single"/>
        </w:rPr>
        <w:t>Renal insufficiency:</w:t>
      </w:r>
    </w:p>
    <w:p w14:paraId="49F618C3" w14:textId="12906084" w:rsidR="00A5055E" w:rsidRPr="00B7474B" w:rsidRDefault="009F2C2D" w:rsidP="008346B2">
      <w:pPr>
        <w:pStyle w:val="ListParagraph"/>
        <w:numPr>
          <w:ilvl w:val="0"/>
          <w:numId w:val="3"/>
        </w:numPr>
        <w:spacing w:before="120" w:after="120" w:line="240" w:lineRule="auto"/>
        <w:contextualSpacing w:val="0"/>
        <w:rPr>
          <w:rFonts w:ascii="Times New Roman" w:hAnsi="Times New Roman" w:cs="Times New Roman"/>
        </w:rPr>
      </w:pPr>
      <w:r w:rsidRPr="00B7474B">
        <w:rPr>
          <w:rFonts w:ascii="Times New Roman" w:hAnsi="Times New Roman" w:cs="Times New Roman"/>
          <w:i/>
          <w:iCs/>
        </w:rPr>
        <w:t>Progressive renal insufficiency:</w:t>
      </w:r>
      <w:r w:rsidRPr="00B7474B">
        <w:rPr>
          <w:rFonts w:ascii="Times New Roman" w:hAnsi="Times New Roman" w:cs="Times New Roman"/>
        </w:rPr>
        <w:t xml:space="preserve"> A rise in creatinine </w:t>
      </w:r>
      <w:r>
        <w:rPr>
          <w:rFonts w:ascii="Times New Roman" w:eastAsia="Aptos" w:hAnsi="Times New Roman" w:cs="Times New Roman"/>
        </w:rPr>
        <w:t>level of &gt;2 mg/dL from the preoperative value but with no requirement for preoperative (within the 2-week timeframe prior to surgery) or postoperative dialysis</w:t>
      </w:r>
      <w:r w:rsidR="003E4F1D">
        <w:rPr>
          <w:rFonts w:ascii="Times New Roman" w:hAnsi="Times New Roman" w:cs="Times New Roman"/>
        </w:rPr>
        <w:t>.</w:t>
      </w:r>
    </w:p>
    <w:p w14:paraId="0120DD91" w14:textId="0EE668C9" w:rsidR="00A5055E" w:rsidRPr="00B7474B" w:rsidRDefault="009F2C2D" w:rsidP="008346B2">
      <w:pPr>
        <w:pStyle w:val="ListParagraph"/>
        <w:numPr>
          <w:ilvl w:val="0"/>
          <w:numId w:val="3"/>
        </w:numPr>
        <w:spacing w:before="120" w:after="120" w:line="240" w:lineRule="auto"/>
        <w:contextualSpacing w:val="0"/>
        <w:rPr>
          <w:rFonts w:ascii="Times New Roman" w:hAnsi="Times New Roman" w:cs="Times New Roman"/>
        </w:rPr>
      </w:pPr>
      <w:r w:rsidRPr="00B7474B">
        <w:rPr>
          <w:rFonts w:ascii="Times New Roman" w:hAnsi="Times New Roman" w:cs="Times New Roman"/>
          <w:i/>
          <w:iCs/>
        </w:rPr>
        <w:t>Acute renal failure requiring dialysis:</w:t>
      </w:r>
      <w:r w:rsidRPr="00B7474B">
        <w:rPr>
          <w:rFonts w:ascii="Times New Roman" w:hAnsi="Times New Roman" w:cs="Times New Roman"/>
        </w:rPr>
        <w:t xml:space="preserve"> A patient who did not require dialysis preoperatively (within the 2-week timeframe prior to surgery) and worsening of renal dysfunction postoperatively requiring dialysis</w:t>
      </w:r>
      <w:r w:rsidR="003E4F1D">
        <w:rPr>
          <w:rFonts w:ascii="Times New Roman" w:hAnsi="Times New Roman" w:cs="Times New Roman"/>
        </w:rPr>
        <w:t>.</w:t>
      </w:r>
    </w:p>
    <w:p w14:paraId="0DD0D877" w14:textId="3584225B" w:rsidR="00B7474B" w:rsidRPr="00B7474B" w:rsidRDefault="009F2C2D" w:rsidP="008346B2">
      <w:pPr>
        <w:spacing w:before="120" w:after="120" w:line="240" w:lineRule="auto"/>
        <w:ind w:left="540"/>
        <w:rPr>
          <w:rFonts w:ascii="Times New Roman" w:hAnsi="Times New Roman" w:cs="Times New Roman"/>
        </w:rPr>
      </w:pPr>
      <w:r w:rsidRPr="00B7474B">
        <w:rPr>
          <w:rFonts w:ascii="Times New Roman" w:hAnsi="Times New Roman" w:cs="Times New Roman"/>
          <w:u w:val="single"/>
        </w:rPr>
        <w:t>Stroke/cerebrovascular accident:</w:t>
      </w:r>
      <w:r w:rsidRPr="00B7474B">
        <w:rPr>
          <w:rFonts w:ascii="Times New Roman" w:hAnsi="Times New Roman" w:cs="Times New Roman"/>
        </w:rPr>
        <w:t xml:space="preserve"> Motor, sensory, or cognitive dysfunction that persists for 24 h or more in the setting of a suspected stroke. This also includes a diagnosis of stroke in the absence of documentation of a specific timeframe for dysfunction in the medical record, unless documentation specifically states that the motor, sensory, or cognitive dysfunction resolved within 24 hours.</w:t>
      </w:r>
    </w:p>
    <w:p w14:paraId="2DA77404" w14:textId="226BB77A" w:rsidR="00B7474B" w:rsidRPr="00B7474B" w:rsidRDefault="009F2C2D" w:rsidP="008346B2">
      <w:pPr>
        <w:spacing w:before="120" w:after="120" w:line="240" w:lineRule="auto"/>
        <w:ind w:left="540"/>
        <w:rPr>
          <w:rFonts w:ascii="Times New Roman" w:hAnsi="Times New Roman" w:cs="Times New Roman"/>
        </w:rPr>
      </w:pPr>
      <w:r w:rsidRPr="00B7474B">
        <w:rPr>
          <w:rFonts w:ascii="Times New Roman" w:hAnsi="Times New Roman" w:cs="Times New Roman"/>
          <w:u w:val="single"/>
        </w:rPr>
        <w:t>Postoperative venous thrombosis requiring therapy:</w:t>
      </w:r>
      <w:r w:rsidRPr="00B7474B">
        <w:rPr>
          <w:rFonts w:ascii="Times New Roman" w:hAnsi="Times New Roman" w:cs="Times New Roman"/>
        </w:rPr>
        <w:t xml:space="preserve"> Postoperative diagnosis of a new venous thrombosis (superficial or deep), confirmed by a duplex, venogram, </w:t>
      </w:r>
      <w:r w:rsidR="003D75BB">
        <w:rPr>
          <w:rFonts w:ascii="Times New Roman" w:hAnsi="Times New Roman" w:cs="Times New Roman"/>
        </w:rPr>
        <w:t>computed tomography (</w:t>
      </w:r>
      <w:r w:rsidRPr="00B7474B">
        <w:rPr>
          <w:rFonts w:ascii="Times New Roman" w:hAnsi="Times New Roman" w:cs="Times New Roman"/>
        </w:rPr>
        <w:t>CT</w:t>
      </w:r>
      <w:r w:rsidR="003D75BB">
        <w:rPr>
          <w:rFonts w:ascii="Times New Roman" w:hAnsi="Times New Roman" w:cs="Times New Roman"/>
        </w:rPr>
        <w:t>)</w:t>
      </w:r>
      <w:r w:rsidRPr="00B7474B">
        <w:rPr>
          <w:rFonts w:ascii="Times New Roman" w:hAnsi="Times New Roman" w:cs="Times New Roman"/>
        </w:rPr>
        <w:t xml:space="preserve"> scan, or any other definitive imaging modality (including direct pathology examination such as autopsy)</w:t>
      </w:r>
      <w:r>
        <w:rPr>
          <w:rFonts w:ascii="Times New Roman" w:eastAsia="Aptos" w:hAnsi="Times New Roman" w:cs="Times New Roman"/>
        </w:rPr>
        <w:t xml:space="preserve">, </w:t>
      </w:r>
      <w:r w:rsidRPr="00B7474B">
        <w:rPr>
          <w:rFonts w:ascii="Times New Roman" w:hAnsi="Times New Roman" w:cs="Times New Roman"/>
        </w:rPr>
        <w:t>and the patient must have been treated. The treatment criterion was also met if the record indicated that treatment was warranted but (1) no additional appropriate treatment option was available</w:t>
      </w:r>
      <w:r>
        <w:rPr>
          <w:rFonts w:ascii="Times New Roman" w:eastAsia="Aptos" w:hAnsi="Times New Roman" w:cs="Times New Roman"/>
        </w:rPr>
        <w:t xml:space="preserve">, or (2) the patient or decision maker refused treatment, </w:t>
      </w:r>
      <w:r w:rsidRPr="00B7474B">
        <w:rPr>
          <w:rFonts w:ascii="Times New Roman" w:hAnsi="Times New Roman" w:cs="Times New Roman"/>
        </w:rPr>
        <w:t xml:space="preserve">which was documented in the medical record. Examples include internal jugular clots, cephalic vein clots, portal vein clots, patient refusal of required therapy, preoperative presentation of chronic venous thrombosis that was also noted postoperatively with evidence of new </w:t>
      </w:r>
      <w:r w:rsidRPr="00B7474B">
        <w:rPr>
          <w:rFonts w:ascii="Times New Roman" w:hAnsi="Times New Roman" w:cs="Times New Roman"/>
        </w:rPr>
        <w:lastRenderedPageBreak/>
        <w:t xml:space="preserve">progression, </w:t>
      </w:r>
      <w:r>
        <w:rPr>
          <w:rFonts w:ascii="Times New Roman" w:eastAsia="Aptos" w:hAnsi="Times New Roman" w:cs="Times New Roman"/>
        </w:rPr>
        <w:t>and documentation of a new thrombus, but the medical professional documented that a current anticoagulant the patient was taking was sufficient to treat the new thrombus.</w:t>
      </w:r>
    </w:p>
    <w:p w14:paraId="0C1A762D" w14:textId="6E9011EB" w:rsidR="00B7474B" w:rsidRPr="00B7474B" w:rsidRDefault="009F2C2D" w:rsidP="008346B2">
      <w:pPr>
        <w:spacing w:before="120" w:after="120" w:line="240" w:lineRule="auto"/>
        <w:ind w:left="540"/>
        <w:rPr>
          <w:rFonts w:ascii="Times New Roman" w:hAnsi="Times New Roman" w:cs="Times New Roman"/>
        </w:rPr>
      </w:pPr>
      <w:r w:rsidRPr="00B7474B">
        <w:rPr>
          <w:rFonts w:ascii="Times New Roman" w:hAnsi="Times New Roman" w:cs="Times New Roman"/>
          <w:u w:val="single"/>
        </w:rPr>
        <w:t>Postoperative sepsis:</w:t>
      </w:r>
      <w:r w:rsidRPr="00B7474B">
        <w:rPr>
          <w:rFonts w:ascii="Times New Roman" w:hAnsi="Times New Roman" w:cs="Times New Roman"/>
        </w:rPr>
        <w:t xml:space="preserve"> A documented infectious process noted within the specified timeframe was accompanied by at least one sign of hypoperfusion or organ dysfunction that was new and not explained by </w:t>
      </w:r>
      <w:r>
        <w:rPr>
          <w:rFonts w:ascii="Times New Roman" w:eastAsia="Aptos" w:hAnsi="Times New Roman" w:cs="Times New Roman"/>
        </w:rPr>
        <w:t xml:space="preserve">another known etiology of organ dysfunction noted within 30 days </w:t>
      </w:r>
      <w:r w:rsidRPr="00B7474B">
        <w:rPr>
          <w:rFonts w:ascii="Times New Roman" w:hAnsi="Times New Roman" w:cs="Times New Roman"/>
        </w:rPr>
        <w:t>following the primary procedure. BOTH Criteria A and B must have been met within the outlined infection window:</w:t>
      </w:r>
    </w:p>
    <w:p w14:paraId="6E346314" w14:textId="675B5790" w:rsidR="00B7474B" w:rsidRPr="00B7474B" w:rsidRDefault="009F2C2D" w:rsidP="008346B2">
      <w:pPr>
        <w:spacing w:before="120" w:after="120" w:line="240" w:lineRule="auto"/>
        <w:ind w:left="990"/>
        <w:rPr>
          <w:rFonts w:ascii="Times New Roman" w:hAnsi="Times New Roman" w:cs="Times New Roman"/>
        </w:rPr>
      </w:pPr>
      <w:r w:rsidRPr="00B7474B">
        <w:rPr>
          <w:rFonts w:ascii="Times New Roman" w:hAnsi="Times New Roman" w:cs="Times New Roman"/>
          <w:i/>
          <w:iCs/>
        </w:rPr>
        <w:t>Infection window:</w:t>
      </w:r>
      <w:r w:rsidRPr="00B7474B">
        <w:rPr>
          <w:rFonts w:ascii="Times New Roman" w:hAnsi="Times New Roman" w:cs="Times New Roman"/>
        </w:rPr>
        <w:t xml:space="preserve"> the 7 days during which all criteria must be met. The date on which the infection criteria (Criterion A) were met establishes the window. The window then extends three calendar days before and three calendar days after the date Criterion A was met. Organ dysfunction (Criterion B) had to occur within the 7-day infection window. If part of the infection window extended beyond the 30-day postoperative period, criteria occurring outside the 30-day postoperative period were not utilized to assign this occurrence.</w:t>
      </w:r>
    </w:p>
    <w:p w14:paraId="6AC9E216" w14:textId="0D7C7393" w:rsidR="00B7474B" w:rsidRPr="00B7474B" w:rsidRDefault="009F2C2D" w:rsidP="00D66974">
      <w:pPr>
        <w:pStyle w:val="ListParagraph"/>
        <w:numPr>
          <w:ilvl w:val="0"/>
          <w:numId w:val="5"/>
        </w:numPr>
        <w:spacing w:before="120" w:after="120" w:line="240" w:lineRule="auto"/>
        <w:contextualSpacing w:val="0"/>
        <w:rPr>
          <w:rFonts w:ascii="Times New Roman" w:hAnsi="Times New Roman" w:cs="Times New Roman"/>
        </w:rPr>
      </w:pPr>
      <w:r w:rsidRPr="00B7474B">
        <w:rPr>
          <w:rFonts w:ascii="Times New Roman" w:hAnsi="Times New Roman" w:cs="Times New Roman"/>
        </w:rPr>
        <w:t xml:space="preserve">Definitive diagnosis of sepsis/septic shock by an advanced </w:t>
      </w:r>
      <w:r w:rsidR="00D43950">
        <w:rPr>
          <w:rFonts w:ascii="Times New Roman" w:hAnsi="Times New Roman" w:cs="Times New Roman"/>
        </w:rPr>
        <w:t>p</w:t>
      </w:r>
      <w:r w:rsidRPr="00B7474B">
        <w:rPr>
          <w:rFonts w:ascii="Times New Roman" w:hAnsi="Times New Roman" w:cs="Times New Roman"/>
        </w:rPr>
        <w:t xml:space="preserve">rovider or physician OR evidence of infection: </w:t>
      </w:r>
      <w:r w:rsidR="002A0616">
        <w:rPr>
          <w:rFonts w:ascii="Times New Roman" w:hAnsi="Times New Roman" w:cs="Times New Roman"/>
        </w:rPr>
        <w:t>p</w:t>
      </w:r>
      <w:r w:rsidRPr="00B7474B">
        <w:rPr>
          <w:rFonts w:ascii="Times New Roman" w:hAnsi="Times New Roman" w:cs="Times New Roman"/>
        </w:rPr>
        <w:t xml:space="preserve">ositive </w:t>
      </w:r>
      <w:r w:rsidR="002A0616">
        <w:rPr>
          <w:rFonts w:ascii="Times New Roman" w:hAnsi="Times New Roman" w:cs="Times New Roman"/>
        </w:rPr>
        <w:t>b</w:t>
      </w:r>
      <w:r w:rsidRPr="00B7474B">
        <w:rPr>
          <w:rFonts w:ascii="Times New Roman" w:hAnsi="Times New Roman" w:cs="Times New Roman"/>
        </w:rPr>
        <w:t>lood culture</w:t>
      </w:r>
      <w:r w:rsidR="00F635EA">
        <w:rPr>
          <w:rFonts w:ascii="Times New Roman" w:hAnsi="Times New Roman" w:cs="Times New Roman"/>
        </w:rPr>
        <w:t>;</w:t>
      </w:r>
      <w:r w:rsidR="002A0616">
        <w:rPr>
          <w:rFonts w:ascii="Times New Roman" w:hAnsi="Times New Roman" w:cs="Times New Roman"/>
        </w:rPr>
        <w:t xml:space="preserve"> a</w:t>
      </w:r>
      <w:r w:rsidRPr="00B7474B">
        <w:rPr>
          <w:rFonts w:ascii="Times New Roman" w:hAnsi="Times New Roman" w:cs="Times New Roman"/>
        </w:rPr>
        <w:t xml:space="preserve"> positive result of bacteria, fungus, or virus from any appropriately obtained culture or non</w:t>
      </w:r>
      <w:r w:rsidR="00F635EA">
        <w:rPr>
          <w:rFonts w:ascii="Times New Roman" w:hAnsi="Times New Roman" w:cs="Times New Roman"/>
        </w:rPr>
        <w:t>-</w:t>
      </w:r>
      <w:r w:rsidRPr="00B7474B">
        <w:rPr>
          <w:rFonts w:ascii="Times New Roman" w:hAnsi="Times New Roman" w:cs="Times New Roman"/>
        </w:rPr>
        <w:t>culture-based microbiologic test (e.g., PCR/nucleic acid or antigen testing)</w:t>
      </w:r>
      <w:r w:rsidR="00F635EA">
        <w:rPr>
          <w:rFonts w:ascii="Times New Roman" w:hAnsi="Times New Roman" w:cs="Times New Roman"/>
        </w:rPr>
        <w:t>; p</w:t>
      </w:r>
      <w:r w:rsidRPr="00B7474B">
        <w:rPr>
          <w:rFonts w:ascii="Times New Roman" w:hAnsi="Times New Roman" w:cs="Times New Roman"/>
        </w:rPr>
        <w:t>rocalcitonin level &gt;2ng/mL</w:t>
      </w:r>
      <w:r w:rsidR="00F635EA">
        <w:rPr>
          <w:rFonts w:ascii="Times New Roman" w:hAnsi="Times New Roman" w:cs="Times New Roman"/>
        </w:rPr>
        <w:t>; p</w:t>
      </w:r>
      <w:r w:rsidRPr="00B7474B">
        <w:rPr>
          <w:rFonts w:ascii="Times New Roman" w:hAnsi="Times New Roman" w:cs="Times New Roman"/>
        </w:rPr>
        <w:t>urulence from any site</w:t>
      </w:r>
      <w:r w:rsidR="00F635EA">
        <w:rPr>
          <w:rFonts w:ascii="Times New Roman" w:hAnsi="Times New Roman" w:cs="Times New Roman"/>
        </w:rPr>
        <w:t>; d</w:t>
      </w:r>
      <w:r w:rsidRPr="00B7474B">
        <w:rPr>
          <w:rFonts w:ascii="Times New Roman" w:hAnsi="Times New Roman" w:cs="Times New Roman"/>
        </w:rPr>
        <w:t xml:space="preserve">efinitive diagnosis of acute infection by an advanced provider or physician (e.g., pneumonia, UTI, </w:t>
      </w:r>
      <w:r w:rsidR="00F635EA">
        <w:rPr>
          <w:rFonts w:ascii="Times New Roman" w:hAnsi="Times New Roman" w:cs="Times New Roman"/>
        </w:rPr>
        <w:t>p</w:t>
      </w:r>
      <w:r w:rsidRPr="00B7474B">
        <w:rPr>
          <w:rFonts w:ascii="Times New Roman" w:hAnsi="Times New Roman" w:cs="Times New Roman"/>
        </w:rPr>
        <w:t>neumatosis, necrotizing fasciitis</w:t>
      </w:r>
      <w:r w:rsidR="00F635EA">
        <w:rPr>
          <w:rFonts w:ascii="Times New Roman" w:hAnsi="Times New Roman" w:cs="Times New Roman"/>
        </w:rPr>
        <w:t>,</w:t>
      </w:r>
      <w:r w:rsidRPr="00B7474B">
        <w:rPr>
          <w:rFonts w:ascii="Times New Roman" w:hAnsi="Times New Roman" w:cs="Times New Roman"/>
        </w:rPr>
        <w:t xml:space="preserve"> or other necrotizing soft tissue infections)</w:t>
      </w:r>
      <w:r w:rsidR="00F635EA">
        <w:rPr>
          <w:rFonts w:ascii="Times New Roman" w:hAnsi="Times New Roman" w:cs="Times New Roman"/>
        </w:rPr>
        <w:t>;</w:t>
      </w:r>
      <w:r w:rsidRPr="00B7474B">
        <w:rPr>
          <w:rFonts w:ascii="Times New Roman" w:hAnsi="Times New Roman" w:cs="Times New Roman"/>
        </w:rPr>
        <w:t xml:space="preserve"> </w:t>
      </w:r>
      <w:r w:rsidR="00F635EA">
        <w:rPr>
          <w:rFonts w:ascii="Times New Roman" w:hAnsi="Times New Roman" w:cs="Times New Roman"/>
        </w:rPr>
        <w:t>c</w:t>
      </w:r>
      <w:r w:rsidRPr="00B7474B">
        <w:rPr>
          <w:rFonts w:ascii="Times New Roman" w:hAnsi="Times New Roman" w:cs="Times New Roman"/>
        </w:rPr>
        <w:t>onfirmed intraoperative findings of ischemic/infarcted bowel or other organ</w:t>
      </w:r>
      <w:r>
        <w:rPr>
          <w:rFonts w:ascii="Times New Roman" w:eastAsia="Aptos" w:hAnsi="Times New Roman" w:cs="Times New Roman"/>
        </w:rPr>
        <w:t>s requiring resection; or findings of necrotic or perforated bowel or other viscus (</w:t>
      </w:r>
      <w:r w:rsidRPr="00B7474B">
        <w:rPr>
          <w:rFonts w:ascii="Times New Roman" w:hAnsi="Times New Roman" w:cs="Times New Roman"/>
        </w:rPr>
        <w:t>e.g., gangrenous gallbladder, perforated appendix)</w:t>
      </w:r>
      <w:r w:rsidR="00F635EA">
        <w:rPr>
          <w:rFonts w:ascii="Times New Roman" w:hAnsi="Times New Roman" w:cs="Times New Roman"/>
        </w:rPr>
        <w:t>; e</w:t>
      </w:r>
      <w:r w:rsidRPr="00B7474B">
        <w:rPr>
          <w:rFonts w:ascii="Times New Roman" w:hAnsi="Times New Roman" w:cs="Times New Roman"/>
        </w:rPr>
        <w:t>xtravasation of enteric contents</w:t>
      </w:r>
      <w:r w:rsidR="00F635EA">
        <w:rPr>
          <w:rFonts w:ascii="Times New Roman" w:hAnsi="Times New Roman" w:cs="Times New Roman"/>
        </w:rPr>
        <w:t>; n</w:t>
      </w:r>
      <w:r w:rsidRPr="00B7474B">
        <w:rPr>
          <w:rFonts w:ascii="Times New Roman" w:hAnsi="Times New Roman" w:cs="Times New Roman"/>
        </w:rPr>
        <w:t>egative/inconclusive blood culture AND new antimicrobial therapy started within the infection window and continued for a minimum of 4 days within the 30-day postoperative timeframe</w:t>
      </w:r>
      <w:r w:rsidR="003E4F1D">
        <w:rPr>
          <w:rFonts w:ascii="Times New Roman" w:hAnsi="Times New Roman" w:cs="Times New Roman"/>
        </w:rPr>
        <w:t>.</w:t>
      </w:r>
    </w:p>
    <w:p w14:paraId="5DF34E84" w14:textId="0026808E" w:rsidR="00B7474B" w:rsidRPr="00B7474B" w:rsidRDefault="009F2C2D" w:rsidP="00D66974">
      <w:pPr>
        <w:pStyle w:val="ListParagraph"/>
        <w:numPr>
          <w:ilvl w:val="0"/>
          <w:numId w:val="5"/>
        </w:numPr>
        <w:spacing w:before="120" w:after="120" w:line="240" w:lineRule="auto"/>
        <w:contextualSpacing w:val="0"/>
        <w:rPr>
          <w:rFonts w:ascii="Times New Roman" w:hAnsi="Times New Roman" w:cs="Times New Roman"/>
        </w:rPr>
      </w:pPr>
      <w:r w:rsidRPr="00B7474B">
        <w:rPr>
          <w:rFonts w:ascii="Times New Roman" w:hAnsi="Times New Roman" w:cs="Times New Roman"/>
        </w:rPr>
        <w:t>Organ dysfunction: One or more of the following noted within the 30-day postoperative timeframe present during the infection window: sustained hypotension (</w:t>
      </w:r>
      <w:r w:rsidR="00F635EA">
        <w:rPr>
          <w:rFonts w:ascii="Times New Roman" w:hAnsi="Times New Roman" w:cs="Times New Roman"/>
        </w:rPr>
        <w:t>2</w:t>
      </w:r>
      <w:r w:rsidRPr="00B7474B">
        <w:rPr>
          <w:rFonts w:ascii="Times New Roman" w:hAnsi="Times New Roman" w:cs="Times New Roman"/>
        </w:rPr>
        <w:t xml:space="preserve"> hypotensive blood pressure readings obtained greater than 30</w:t>
      </w:r>
      <w:r w:rsidR="00F635EA">
        <w:rPr>
          <w:rFonts w:ascii="Times New Roman" w:hAnsi="Times New Roman" w:cs="Times New Roman"/>
        </w:rPr>
        <w:t> </w:t>
      </w:r>
      <w:r w:rsidRPr="00B7474B">
        <w:rPr>
          <w:rFonts w:ascii="Times New Roman" w:hAnsi="Times New Roman" w:cs="Times New Roman"/>
        </w:rPr>
        <w:t>min apart with no normotensive readings in between</w:t>
      </w:r>
      <w:r>
        <w:rPr>
          <w:rFonts w:ascii="Times New Roman" w:eastAsia="Aptos" w:hAnsi="Times New Roman" w:cs="Times New Roman"/>
        </w:rPr>
        <w:t xml:space="preserve">). Hypotension </w:t>
      </w:r>
      <w:r w:rsidRPr="00B7474B">
        <w:rPr>
          <w:rFonts w:ascii="Times New Roman" w:hAnsi="Times New Roman" w:cs="Times New Roman"/>
        </w:rPr>
        <w:t xml:space="preserve">was defined as </w:t>
      </w:r>
      <w:r w:rsidR="005C6C53">
        <w:rPr>
          <w:rFonts w:ascii="Times New Roman" w:hAnsi="Times New Roman" w:cs="Times New Roman"/>
        </w:rPr>
        <w:t>systolic blood pressure (</w:t>
      </w:r>
      <w:r w:rsidRPr="00B7474B">
        <w:rPr>
          <w:rFonts w:ascii="Times New Roman" w:hAnsi="Times New Roman" w:cs="Times New Roman"/>
        </w:rPr>
        <w:t>SBP</w:t>
      </w:r>
      <w:r w:rsidR="005C6C53">
        <w:rPr>
          <w:rFonts w:ascii="Times New Roman" w:hAnsi="Times New Roman" w:cs="Times New Roman"/>
        </w:rPr>
        <w:t>)</w:t>
      </w:r>
      <w:r w:rsidRPr="00B7474B">
        <w:rPr>
          <w:rFonts w:ascii="Times New Roman" w:hAnsi="Times New Roman" w:cs="Times New Roman"/>
        </w:rPr>
        <w:t xml:space="preserve"> &lt;90 mmHg or </w:t>
      </w:r>
      <w:r w:rsidR="00163170">
        <w:rPr>
          <w:rFonts w:ascii="Times New Roman" w:hAnsi="Times New Roman" w:cs="Times New Roman"/>
        </w:rPr>
        <w:t>mean arterial pressure (</w:t>
      </w:r>
      <w:r w:rsidRPr="00B7474B">
        <w:rPr>
          <w:rFonts w:ascii="Times New Roman" w:hAnsi="Times New Roman" w:cs="Times New Roman"/>
        </w:rPr>
        <w:t>MAP</w:t>
      </w:r>
      <w:r w:rsidR="00163170">
        <w:rPr>
          <w:rFonts w:ascii="Times New Roman" w:hAnsi="Times New Roman" w:cs="Times New Roman"/>
        </w:rPr>
        <w:t>)</w:t>
      </w:r>
      <w:r w:rsidRPr="00B7474B">
        <w:rPr>
          <w:rFonts w:ascii="Times New Roman" w:hAnsi="Times New Roman" w:cs="Times New Roman"/>
        </w:rPr>
        <w:t xml:space="preserve"> &lt;65 mmHg (MAP = [SBP + (2 · </w:t>
      </w:r>
      <w:r w:rsidR="005C6C53">
        <w:rPr>
          <w:rFonts w:ascii="Times New Roman" w:hAnsi="Times New Roman" w:cs="Times New Roman"/>
        </w:rPr>
        <w:t>diastolic blood pressure [</w:t>
      </w:r>
      <w:r w:rsidRPr="00B7474B">
        <w:rPr>
          <w:rFonts w:ascii="Times New Roman" w:hAnsi="Times New Roman" w:cs="Times New Roman"/>
        </w:rPr>
        <w:t>DBP</w:t>
      </w:r>
      <w:r w:rsidR="005C6C53">
        <w:rPr>
          <w:rFonts w:ascii="Times New Roman" w:hAnsi="Times New Roman" w:cs="Times New Roman"/>
        </w:rPr>
        <w:t>]</w:t>
      </w:r>
      <w:r w:rsidRPr="00B7474B">
        <w:rPr>
          <w:rFonts w:ascii="Times New Roman" w:hAnsi="Times New Roman" w:cs="Times New Roman"/>
        </w:rPr>
        <w:t xml:space="preserve"> ÷ 3) </w:t>
      </w:r>
      <w:r w:rsidR="00EB1D8D">
        <w:rPr>
          <w:rFonts w:ascii="Times New Roman" w:hAnsi="Times New Roman" w:cs="Times New Roman"/>
        </w:rPr>
        <w:t>(n</w:t>
      </w:r>
      <w:r w:rsidRPr="00B7474B">
        <w:rPr>
          <w:rFonts w:ascii="Times New Roman" w:hAnsi="Times New Roman" w:cs="Times New Roman"/>
        </w:rPr>
        <w:t xml:space="preserve">ote: hypotensive readings due to hypovolemia, blood loss, or hemodynamic changes due to operative management during the procedure were excluded); creatinine &gt;2 mg/dL; </w:t>
      </w:r>
      <w:r w:rsidR="00506C9A">
        <w:rPr>
          <w:rFonts w:ascii="Times New Roman" w:hAnsi="Times New Roman" w:cs="Times New Roman"/>
        </w:rPr>
        <w:t>u</w:t>
      </w:r>
      <w:r w:rsidR="00585C88" w:rsidRPr="00585C88">
        <w:rPr>
          <w:rFonts w:ascii="Times New Roman" w:hAnsi="Times New Roman" w:cs="Times New Roman"/>
        </w:rPr>
        <w:t xml:space="preserve">rine output </w:t>
      </w:r>
      <w:r w:rsidR="00506C9A">
        <w:rPr>
          <w:rFonts w:ascii="Times New Roman" w:hAnsi="Times New Roman" w:cs="Times New Roman"/>
        </w:rPr>
        <w:t>&lt;400</w:t>
      </w:r>
      <w:r w:rsidR="009078F5">
        <w:rPr>
          <w:rFonts w:ascii="Times New Roman" w:hAnsi="Times New Roman" w:cs="Times New Roman"/>
        </w:rPr>
        <w:t xml:space="preserve"> </w:t>
      </w:r>
      <w:r w:rsidR="00506C9A">
        <w:rPr>
          <w:rFonts w:ascii="Times New Roman" w:hAnsi="Times New Roman" w:cs="Times New Roman"/>
        </w:rPr>
        <w:t xml:space="preserve">mL/day; </w:t>
      </w:r>
      <w:r w:rsidR="003E6FE3">
        <w:rPr>
          <w:rFonts w:ascii="Times New Roman" w:hAnsi="Times New Roman" w:cs="Times New Roman"/>
        </w:rPr>
        <w:t>t</w:t>
      </w:r>
      <w:r w:rsidR="003E6FE3" w:rsidRPr="003E6FE3">
        <w:rPr>
          <w:rFonts w:ascii="Times New Roman" w:hAnsi="Times New Roman" w:cs="Times New Roman"/>
        </w:rPr>
        <w:t xml:space="preserve">otal </w:t>
      </w:r>
      <w:r w:rsidR="002E0145">
        <w:rPr>
          <w:rFonts w:ascii="Times New Roman" w:hAnsi="Times New Roman" w:cs="Times New Roman"/>
        </w:rPr>
        <w:t>b</w:t>
      </w:r>
      <w:r w:rsidR="003E6FE3" w:rsidRPr="003E6FE3">
        <w:rPr>
          <w:rFonts w:ascii="Times New Roman" w:hAnsi="Times New Roman" w:cs="Times New Roman"/>
        </w:rPr>
        <w:t>ilirubin &gt;2</w:t>
      </w:r>
      <w:r w:rsidR="002E0145">
        <w:rPr>
          <w:rFonts w:ascii="Times New Roman" w:hAnsi="Times New Roman" w:cs="Times New Roman"/>
        </w:rPr>
        <w:t xml:space="preserve"> </w:t>
      </w:r>
      <w:r w:rsidR="003E6FE3" w:rsidRPr="003E6FE3">
        <w:rPr>
          <w:rFonts w:ascii="Times New Roman" w:hAnsi="Times New Roman" w:cs="Times New Roman"/>
        </w:rPr>
        <w:t>mg/dL and</w:t>
      </w:r>
      <w:r w:rsidR="002E0145">
        <w:rPr>
          <w:rFonts w:ascii="Times New Roman" w:hAnsi="Times New Roman" w:cs="Times New Roman"/>
        </w:rPr>
        <w:t xml:space="preserve"> </w:t>
      </w:r>
      <w:r w:rsidR="00A70779" w:rsidRPr="00A70779">
        <w:rPr>
          <w:rFonts w:ascii="Times New Roman" w:hAnsi="Times New Roman" w:cs="Times New Roman"/>
        </w:rPr>
        <w:t xml:space="preserve">100% increase from baseline </w:t>
      </w:r>
      <w:r w:rsidRPr="00B7474B">
        <w:rPr>
          <w:rFonts w:ascii="Times New Roman" w:hAnsi="Times New Roman" w:cs="Times New Roman"/>
        </w:rPr>
        <w:t xml:space="preserve">OR if no baseline </w:t>
      </w:r>
      <w:r>
        <w:rPr>
          <w:rFonts w:ascii="Times New Roman" w:eastAsia="Aptos" w:hAnsi="Times New Roman" w:cs="Times New Roman"/>
        </w:rPr>
        <w:t>was identified, total bilirubin &gt;4 mg/dL, platelets &lt;100,000, coagulopathy defined by I</w:t>
      </w:r>
      <w:r w:rsidR="00165E40">
        <w:rPr>
          <w:rFonts w:ascii="Times New Roman" w:hAnsi="Times New Roman" w:cs="Times New Roman"/>
        </w:rPr>
        <w:t xml:space="preserve">nternational </w:t>
      </w:r>
      <w:r w:rsidRPr="00B7474B">
        <w:rPr>
          <w:rFonts w:ascii="Times New Roman" w:hAnsi="Times New Roman" w:cs="Times New Roman"/>
        </w:rPr>
        <w:t>N</w:t>
      </w:r>
      <w:r w:rsidR="00165E40">
        <w:rPr>
          <w:rFonts w:ascii="Times New Roman" w:hAnsi="Times New Roman" w:cs="Times New Roman"/>
        </w:rPr>
        <w:t xml:space="preserve">ormalized </w:t>
      </w:r>
      <w:r w:rsidRPr="00B7474B">
        <w:rPr>
          <w:rFonts w:ascii="Times New Roman" w:hAnsi="Times New Roman" w:cs="Times New Roman"/>
        </w:rPr>
        <w:t>R</w:t>
      </w:r>
      <w:r w:rsidR="00165E40">
        <w:rPr>
          <w:rFonts w:ascii="Times New Roman" w:hAnsi="Times New Roman" w:cs="Times New Roman"/>
        </w:rPr>
        <w:t>atio</w:t>
      </w:r>
      <w:r w:rsidRPr="00B7474B">
        <w:rPr>
          <w:rFonts w:ascii="Times New Roman" w:hAnsi="Times New Roman" w:cs="Times New Roman"/>
        </w:rPr>
        <w:t xml:space="preserve"> &gt;1.5 OR aP</w:t>
      </w:r>
      <w:r w:rsidR="00EB1D8D">
        <w:rPr>
          <w:rFonts w:ascii="Times New Roman" w:hAnsi="Times New Roman" w:cs="Times New Roman"/>
        </w:rPr>
        <w:t>TT</w:t>
      </w:r>
      <w:r w:rsidRPr="00B7474B">
        <w:rPr>
          <w:rFonts w:ascii="Times New Roman" w:hAnsi="Times New Roman" w:cs="Times New Roman"/>
        </w:rPr>
        <w:t xml:space="preserve"> &gt;60 sec, lactate &gt;2 mmol/L, acute respiratory failure as evidenced by new or increased need for invasive (e.g., </w:t>
      </w:r>
      <w:r w:rsidR="005D10B5">
        <w:rPr>
          <w:rFonts w:ascii="Times New Roman" w:hAnsi="Times New Roman" w:cs="Times New Roman"/>
        </w:rPr>
        <w:t>endotracheal tube [</w:t>
      </w:r>
      <w:r w:rsidRPr="00B7474B">
        <w:rPr>
          <w:rFonts w:ascii="Times New Roman" w:hAnsi="Times New Roman" w:cs="Times New Roman"/>
        </w:rPr>
        <w:t>ETT</w:t>
      </w:r>
      <w:r w:rsidR="005D10B5">
        <w:rPr>
          <w:rFonts w:ascii="Times New Roman" w:hAnsi="Times New Roman" w:cs="Times New Roman"/>
        </w:rPr>
        <w:t>]</w:t>
      </w:r>
      <w:r w:rsidRPr="00B7474B">
        <w:rPr>
          <w:rFonts w:ascii="Times New Roman" w:hAnsi="Times New Roman" w:cs="Times New Roman"/>
        </w:rPr>
        <w:t>, trach) or non-invasive (e.g., CPAP, BIPAP) mechanical ventilation, Glasgow Coma Scale &lt;11</w:t>
      </w:r>
      <w:r w:rsidR="003E4F1D">
        <w:rPr>
          <w:rFonts w:ascii="Times New Roman" w:hAnsi="Times New Roman" w:cs="Times New Roman"/>
        </w:rPr>
        <w:t>.</w:t>
      </w:r>
    </w:p>
    <w:p w14:paraId="66C8DE8D" w14:textId="617D059A" w:rsidR="00B7474B" w:rsidRPr="00B7474B" w:rsidRDefault="009F2C2D" w:rsidP="008346B2">
      <w:pPr>
        <w:spacing w:before="120" w:after="120" w:line="240" w:lineRule="auto"/>
        <w:ind w:left="540"/>
        <w:rPr>
          <w:rFonts w:ascii="Times New Roman" w:hAnsi="Times New Roman" w:cs="Times New Roman"/>
        </w:rPr>
      </w:pPr>
      <w:r w:rsidRPr="00B7474B">
        <w:rPr>
          <w:rFonts w:ascii="Times New Roman" w:hAnsi="Times New Roman" w:cs="Times New Roman"/>
          <w:u w:val="single"/>
        </w:rPr>
        <w:t>Postoperative septic shock:</w:t>
      </w:r>
      <w:r w:rsidRPr="00B7474B">
        <w:rPr>
          <w:rFonts w:ascii="Times New Roman" w:hAnsi="Times New Roman" w:cs="Times New Roman"/>
        </w:rPr>
        <w:t xml:space="preserve"> Definitive diagnosis of sepsis/septic shock by an advanced provider or physician or evidence of infection and organ dysfunction: met at least one of the following within the infection window occurring within the 30-day postoperative timeframe: </w:t>
      </w:r>
      <w:r w:rsidRPr="00B7474B">
        <w:rPr>
          <w:rFonts w:ascii="Times New Roman" w:hAnsi="Times New Roman" w:cs="Times New Roman"/>
        </w:rPr>
        <w:lastRenderedPageBreak/>
        <w:t xml:space="preserve">lactate level &gt;4 mmol/L, new or increased vasopressor continuous infusion to maintain blood pressure </w:t>
      </w:r>
      <w:r>
        <w:rPr>
          <w:rFonts w:ascii="Times New Roman" w:eastAsia="Aptos" w:hAnsi="Times New Roman" w:cs="Times New Roman"/>
        </w:rPr>
        <w:t xml:space="preserve">within the normal range that was specifically not explainable by hypovolemia, blood loss, operative management of hemodynamics during a procedure, defined by either dopamine &gt;5 </w:t>
      </w:r>
      <w:r w:rsidR="005D10B5">
        <w:rPr>
          <w:rFonts w:ascii="Times New Roman" w:hAnsi="Times New Roman" w:cs="Times New Roman"/>
        </w:rPr>
        <w:t>µ</w:t>
      </w:r>
      <w:r w:rsidRPr="00B7474B">
        <w:rPr>
          <w:rFonts w:ascii="Times New Roman" w:hAnsi="Times New Roman" w:cs="Times New Roman"/>
        </w:rPr>
        <w:t>g/kg/min or any dose of d</w:t>
      </w:r>
      <w:r w:rsidR="00D33C85">
        <w:rPr>
          <w:rFonts w:ascii="Times New Roman" w:hAnsi="Times New Roman" w:cs="Times New Roman"/>
        </w:rPr>
        <w:t>o</w:t>
      </w:r>
      <w:r w:rsidRPr="00B7474B">
        <w:rPr>
          <w:rFonts w:ascii="Times New Roman" w:hAnsi="Times New Roman" w:cs="Times New Roman"/>
        </w:rPr>
        <w:t>butamine, epinephrine, norepinephrine, phenylephrine, or vasopressin</w:t>
      </w:r>
      <w:r w:rsidR="003E4F1D">
        <w:rPr>
          <w:rFonts w:ascii="Times New Roman" w:hAnsi="Times New Roman" w:cs="Times New Roman"/>
        </w:rPr>
        <w:t>.</w:t>
      </w:r>
    </w:p>
    <w:p w14:paraId="56C625D8" w14:textId="5618EAA9" w:rsidR="00307562" w:rsidRPr="00B7474B" w:rsidRDefault="009F2C2D" w:rsidP="008346B2">
      <w:pPr>
        <w:spacing w:before="120" w:after="120" w:line="240" w:lineRule="auto"/>
        <w:ind w:left="540"/>
        <w:rPr>
          <w:rFonts w:ascii="Times New Roman" w:hAnsi="Times New Roman" w:cs="Times New Roman"/>
        </w:rPr>
      </w:pPr>
      <w:r w:rsidRPr="00B7474B">
        <w:rPr>
          <w:rFonts w:ascii="Times New Roman" w:hAnsi="Times New Roman" w:cs="Times New Roman"/>
          <w:u w:val="single"/>
        </w:rPr>
        <w:t>Anastomotic/staple line leak:</w:t>
      </w:r>
      <w:r w:rsidRPr="00B7474B">
        <w:rPr>
          <w:rFonts w:ascii="Times New Roman" w:hAnsi="Times New Roman" w:cs="Times New Roman"/>
        </w:rPr>
        <w:t xml:space="preserve"> A leak of endoluminal contents through an anastomosis or staple line from metabolic and bariatric procedure</w:t>
      </w:r>
      <w:r>
        <w:rPr>
          <w:rFonts w:ascii="Times New Roman" w:eastAsia="Aptos" w:hAnsi="Times New Roman" w:cs="Times New Roman"/>
        </w:rPr>
        <w:t xml:space="preserve">s. This could include air, fluid, </w:t>
      </w:r>
      <w:r w:rsidR="005359B0">
        <w:rPr>
          <w:rFonts w:ascii="Times New Roman" w:hAnsi="Times New Roman" w:cs="Times New Roman"/>
        </w:rPr>
        <w:t>gastrointestinal</w:t>
      </w:r>
      <w:r w:rsidRPr="00B7474B">
        <w:rPr>
          <w:rFonts w:ascii="Times New Roman" w:hAnsi="Times New Roman" w:cs="Times New Roman"/>
        </w:rPr>
        <w:t xml:space="preserve"> contents, contrast material, or the presence of an infection/abscess </w:t>
      </w:r>
      <w:r>
        <w:rPr>
          <w:rFonts w:ascii="Times New Roman" w:eastAsia="Aptos" w:hAnsi="Times New Roman" w:cs="Times New Roman"/>
        </w:rPr>
        <w:t xml:space="preserve">that is thought to be related to anastomosis. An organ/space SSI was assigned AND </w:t>
      </w:r>
      <w:r w:rsidRPr="00B7474B">
        <w:rPr>
          <w:rFonts w:ascii="Times New Roman" w:hAnsi="Times New Roman" w:cs="Times New Roman"/>
        </w:rPr>
        <w:t xml:space="preserve">due to a leak of endoluminal contents through an anastomosis or staple line from the metabolic and bariatric procedure and was either a reoperation due to a leak or an intervention due to a leak. Examples include drainage of </w:t>
      </w:r>
      <w:r>
        <w:rPr>
          <w:rFonts w:ascii="Times New Roman" w:eastAsia="Aptos" w:hAnsi="Times New Roman" w:cs="Times New Roman"/>
        </w:rPr>
        <w:t>the leak (</w:t>
      </w:r>
      <w:r w:rsidRPr="00B7474B">
        <w:rPr>
          <w:rFonts w:ascii="Times New Roman" w:hAnsi="Times New Roman" w:cs="Times New Roman"/>
        </w:rPr>
        <w:t xml:space="preserve">e.g., interventional radiology drainage), placement of a drain due to a leak, placement of a stent due to a leak, </w:t>
      </w:r>
      <w:r>
        <w:rPr>
          <w:rFonts w:ascii="Times New Roman" w:eastAsia="Aptos" w:hAnsi="Times New Roman" w:cs="Times New Roman"/>
        </w:rPr>
        <w:t>and leak noted on reoperation. The following are NOT e</w:t>
      </w:r>
      <w:bookmarkStart w:id="0" w:name="_Hlk183786726"/>
      <w:r w:rsidRPr="00B7474B">
        <w:rPr>
          <w:rFonts w:ascii="Times New Roman" w:hAnsi="Times New Roman" w:cs="Times New Roman"/>
        </w:rPr>
        <w:t xml:space="preserve">xamples of anastomotic/staple line leaks: </w:t>
      </w:r>
      <w:bookmarkEnd w:id="0"/>
      <w:r w:rsidRPr="00B7474B">
        <w:rPr>
          <w:rFonts w:ascii="Times New Roman" w:hAnsi="Times New Roman" w:cs="Times New Roman"/>
        </w:rPr>
        <w:t>a leak definitively ruled out during a reoperation, patient treatment with antibiotics only, leak or possible leak noted on radiologic study but not confirmed via reoperation or intervention.</w:t>
      </w:r>
    </w:p>
    <w:p w14:paraId="262B531F" w14:textId="213E746E" w:rsidR="00B7474B" w:rsidRPr="00B7474B" w:rsidRDefault="009F2C2D" w:rsidP="008346B2">
      <w:pPr>
        <w:spacing w:before="120" w:after="120" w:line="240" w:lineRule="auto"/>
        <w:ind w:left="540"/>
        <w:rPr>
          <w:rFonts w:ascii="Times New Roman" w:hAnsi="Times New Roman" w:cs="Times New Roman"/>
        </w:rPr>
      </w:pPr>
      <w:r w:rsidRPr="00B7474B">
        <w:rPr>
          <w:rFonts w:ascii="Times New Roman" w:hAnsi="Times New Roman" w:cs="Times New Roman"/>
          <w:u w:val="single"/>
        </w:rPr>
        <w:t>Gastrointestinal tract bleed:</w:t>
      </w:r>
      <w:r w:rsidRPr="00B7474B">
        <w:rPr>
          <w:rFonts w:ascii="Times New Roman" w:hAnsi="Times New Roman" w:cs="Times New Roman"/>
        </w:rPr>
        <w:t xml:space="preserve"> bleeding from any portion of the gastrointestinal tract. This could have been at a staple line, anastomosis, enterotomy, or ulcer</w:t>
      </w:r>
      <w:r>
        <w:rPr>
          <w:rFonts w:ascii="Times New Roman" w:eastAsia="Aptos" w:hAnsi="Times New Roman" w:cs="Times New Roman"/>
        </w:rPr>
        <w:t xml:space="preserve">, </w:t>
      </w:r>
      <w:r w:rsidRPr="00B7474B">
        <w:rPr>
          <w:rFonts w:ascii="Times New Roman" w:hAnsi="Times New Roman" w:cs="Times New Roman"/>
        </w:rPr>
        <w:t>and one of the following: readmission, reoperation, intervention, any blood transfusion (</w:t>
      </w:r>
      <w:r w:rsidR="00EC5C48">
        <w:rPr>
          <w:rFonts w:ascii="Times New Roman" w:hAnsi="Times New Roman" w:cs="Times New Roman"/>
        </w:rPr>
        <w:t>packed red blood cell</w:t>
      </w:r>
      <w:r w:rsidRPr="00B7474B">
        <w:rPr>
          <w:rFonts w:ascii="Times New Roman" w:hAnsi="Times New Roman" w:cs="Times New Roman"/>
        </w:rPr>
        <w:t>s only; NOT fresh frozen plasma), platelets, or volume expanders (e.g., crystalloids or colloids), critical drop in blood pres</w:t>
      </w:r>
      <w:r w:rsidR="00D33C85">
        <w:rPr>
          <w:rFonts w:ascii="Times New Roman" w:hAnsi="Times New Roman" w:cs="Times New Roman"/>
        </w:rPr>
        <w:t>s</w:t>
      </w:r>
      <w:r w:rsidRPr="00B7474B">
        <w:rPr>
          <w:rFonts w:ascii="Times New Roman" w:hAnsi="Times New Roman" w:cs="Times New Roman"/>
        </w:rPr>
        <w:t>ure</w:t>
      </w:r>
      <w:r>
        <w:rPr>
          <w:rFonts w:ascii="Times New Roman" w:eastAsia="Aptos" w:hAnsi="Times New Roman" w:cs="Times New Roman"/>
        </w:rPr>
        <w:t>, and/or increase in heart rate, resulting in a transfer to a higher level of care or the administration of pressors. Examples include</w:t>
      </w:r>
      <w:r w:rsidRPr="00B7474B">
        <w:rPr>
          <w:rFonts w:ascii="Times New Roman" w:hAnsi="Times New Roman" w:cs="Times New Roman"/>
        </w:rPr>
        <w:t>d bleeding from the omentum and hematoma found during reoperation.</w:t>
      </w:r>
    </w:p>
    <w:p w14:paraId="6663B539" w14:textId="1B79EA37" w:rsidR="00B7474B" w:rsidRPr="00B7474B" w:rsidRDefault="009F2C2D" w:rsidP="008346B2">
      <w:pPr>
        <w:spacing w:before="120" w:after="120" w:line="240" w:lineRule="auto"/>
        <w:ind w:left="540"/>
        <w:rPr>
          <w:rFonts w:ascii="Times New Roman" w:hAnsi="Times New Roman" w:cs="Times New Roman"/>
        </w:rPr>
      </w:pPr>
      <w:r w:rsidRPr="00B7474B">
        <w:rPr>
          <w:rFonts w:ascii="Times New Roman" w:hAnsi="Times New Roman" w:cs="Times New Roman"/>
          <w:u w:val="single"/>
        </w:rPr>
        <w:t>Bowel obstruction:</w:t>
      </w:r>
      <w:r w:rsidRPr="00B7474B">
        <w:rPr>
          <w:rFonts w:ascii="Times New Roman" w:hAnsi="Times New Roman" w:cs="Times New Roman"/>
        </w:rPr>
        <w:t xml:space="preserve"> partial or complete blockage of the gastrointestinal tract following metabolic and bariatric surgery. Bowel obstruction could have been related to ileus, internal hernias, adhesions, or strictures</w:t>
      </w:r>
      <w:r>
        <w:rPr>
          <w:rFonts w:ascii="Times New Roman" w:eastAsia="Aptos" w:hAnsi="Times New Roman" w:cs="Times New Roman"/>
        </w:rPr>
        <w:t xml:space="preserve">, </w:t>
      </w:r>
      <w:r w:rsidRPr="00B7474B">
        <w:rPr>
          <w:rFonts w:ascii="Times New Roman" w:hAnsi="Times New Roman" w:cs="Times New Roman"/>
        </w:rPr>
        <w:t xml:space="preserve">and one of the following: readmission, reoperation, intervention, initial hospital stay ≥4 days primarily due to delayed bowel function, placement of </w:t>
      </w:r>
      <w:r>
        <w:rPr>
          <w:rFonts w:ascii="Times New Roman" w:eastAsia="Aptos" w:hAnsi="Times New Roman" w:cs="Times New Roman"/>
        </w:rPr>
        <w:t xml:space="preserve">a </w:t>
      </w:r>
      <w:r w:rsidR="003A1507">
        <w:rPr>
          <w:rFonts w:ascii="Times New Roman" w:hAnsi="Times New Roman" w:cs="Times New Roman"/>
        </w:rPr>
        <w:t xml:space="preserve">nasogastric </w:t>
      </w:r>
      <w:r w:rsidRPr="00B7474B">
        <w:rPr>
          <w:rFonts w:ascii="Times New Roman" w:hAnsi="Times New Roman" w:cs="Times New Roman"/>
        </w:rPr>
        <w:t xml:space="preserve">tube, prolonged bowel rest, and/or reinstating </w:t>
      </w:r>
      <w:r w:rsidR="005C60E2" w:rsidRPr="005C60E2">
        <w:rPr>
          <w:rFonts w:ascii="Times New Roman" w:hAnsi="Times New Roman" w:cs="Times New Roman"/>
        </w:rPr>
        <w:t>nil per os</w:t>
      </w:r>
      <w:r w:rsidR="005C60E2">
        <w:rPr>
          <w:rFonts w:ascii="Times New Roman" w:hAnsi="Times New Roman" w:cs="Times New Roman"/>
        </w:rPr>
        <w:t xml:space="preserve"> (nothing b</w:t>
      </w:r>
      <w:r w:rsidR="003E4507">
        <w:rPr>
          <w:rFonts w:ascii="Times New Roman" w:hAnsi="Times New Roman" w:cs="Times New Roman"/>
        </w:rPr>
        <w:t>y mouth [</w:t>
      </w:r>
      <w:r w:rsidRPr="00B7474B">
        <w:rPr>
          <w:rFonts w:ascii="Times New Roman" w:hAnsi="Times New Roman" w:cs="Times New Roman"/>
        </w:rPr>
        <w:t>NPO</w:t>
      </w:r>
      <w:r w:rsidR="003E4507">
        <w:rPr>
          <w:rFonts w:ascii="Times New Roman" w:hAnsi="Times New Roman" w:cs="Times New Roman"/>
        </w:rPr>
        <w:t>])</w:t>
      </w:r>
      <w:r w:rsidRPr="00B7474B">
        <w:rPr>
          <w:rFonts w:ascii="Times New Roman" w:hAnsi="Times New Roman" w:cs="Times New Roman"/>
        </w:rPr>
        <w:t xml:space="preserve"> status on or after </w:t>
      </w:r>
      <w:r>
        <w:rPr>
          <w:rFonts w:ascii="Times New Roman" w:eastAsia="Aptos" w:hAnsi="Times New Roman" w:cs="Times New Roman"/>
        </w:rPr>
        <w:t xml:space="preserve">the </w:t>
      </w:r>
      <w:r w:rsidR="00286D98">
        <w:rPr>
          <w:rFonts w:ascii="Times New Roman" w:hAnsi="Times New Roman" w:cs="Times New Roman"/>
        </w:rPr>
        <w:t>postoperative day (</w:t>
      </w:r>
      <w:r w:rsidRPr="00B7474B">
        <w:rPr>
          <w:rFonts w:ascii="Times New Roman" w:hAnsi="Times New Roman" w:cs="Times New Roman"/>
        </w:rPr>
        <w:t>POD 4</w:t>
      </w:r>
      <w:r w:rsidR="00286D98">
        <w:rPr>
          <w:rFonts w:ascii="Times New Roman" w:hAnsi="Times New Roman" w:cs="Times New Roman"/>
        </w:rPr>
        <w:t>)</w:t>
      </w:r>
      <w:r w:rsidR="003E4F1D">
        <w:rPr>
          <w:rFonts w:ascii="Times New Roman" w:hAnsi="Times New Roman" w:cs="Times New Roman"/>
        </w:rPr>
        <w:t>.</w:t>
      </w:r>
    </w:p>
    <w:p w14:paraId="1A2C49F7" w14:textId="1707C871" w:rsidR="00B7474B" w:rsidRPr="00B7474B" w:rsidRDefault="009F2C2D" w:rsidP="008346B2">
      <w:pPr>
        <w:spacing w:before="120" w:after="120" w:line="240" w:lineRule="auto"/>
        <w:rPr>
          <w:rFonts w:ascii="Times New Roman" w:hAnsi="Times New Roman" w:cs="Times New Roman"/>
        </w:rPr>
      </w:pPr>
      <w:r w:rsidRPr="00B7474B">
        <w:rPr>
          <w:rFonts w:ascii="Times New Roman" w:hAnsi="Times New Roman" w:cs="Times New Roman"/>
          <w:u w:val="single"/>
        </w:rPr>
        <w:t>30</w:t>
      </w:r>
      <w:r w:rsidR="00912A7A">
        <w:rPr>
          <w:rFonts w:ascii="Times New Roman" w:hAnsi="Times New Roman" w:cs="Times New Roman"/>
          <w:u w:val="single"/>
        </w:rPr>
        <w:t>-</w:t>
      </w:r>
      <w:r w:rsidRPr="00B7474B">
        <w:rPr>
          <w:rFonts w:ascii="Times New Roman" w:hAnsi="Times New Roman" w:cs="Times New Roman"/>
          <w:u w:val="single"/>
        </w:rPr>
        <w:t>d</w:t>
      </w:r>
      <w:r w:rsidR="00912A7A">
        <w:rPr>
          <w:rFonts w:ascii="Times New Roman" w:hAnsi="Times New Roman" w:cs="Times New Roman"/>
          <w:u w:val="single"/>
        </w:rPr>
        <w:t>ay</w:t>
      </w:r>
      <w:r w:rsidRPr="00B7474B">
        <w:rPr>
          <w:rFonts w:ascii="Times New Roman" w:hAnsi="Times New Roman" w:cs="Times New Roman"/>
          <w:u w:val="single"/>
        </w:rPr>
        <w:t xml:space="preserve"> event</w:t>
      </w:r>
      <w:r w:rsidRPr="00B7474B">
        <w:rPr>
          <w:rFonts w:ascii="Times New Roman" w:hAnsi="Times New Roman" w:cs="Times New Roman"/>
        </w:rPr>
        <w:t xml:space="preserve">: An event that presents within 30 days (prior to midnight of POD 30 of the primary procedure) following the primary procedure and meets any of the corresponding variable criteria. Each day of this 30-day postoperative period is commonly referred to as POD. The 30-day postoperative period begins when the patient’s surgery ends (POD 0), the next day is POD 1, etc. The postoperative period begins on POD 0 after </w:t>
      </w:r>
      <w:r>
        <w:rPr>
          <w:rFonts w:ascii="Times New Roman" w:eastAsia="Aptos" w:hAnsi="Times New Roman" w:cs="Times New Roman"/>
        </w:rPr>
        <w:t xml:space="preserve">the </w:t>
      </w:r>
      <w:r w:rsidRPr="00B7474B">
        <w:rPr>
          <w:rFonts w:ascii="Times New Roman" w:hAnsi="Times New Roman" w:cs="Times New Roman"/>
        </w:rPr>
        <w:t>patient was transported out of the operating room (patient out-of-room time) following the primary procedure</w:t>
      </w:r>
      <w:r w:rsidR="003E4F1D">
        <w:rPr>
          <w:rFonts w:ascii="Times New Roman" w:hAnsi="Times New Roman" w:cs="Times New Roman"/>
        </w:rPr>
        <w:t>.</w:t>
      </w:r>
    </w:p>
    <w:p w14:paraId="301E3EAE" w14:textId="4CAE6FC4" w:rsidR="00B7474B" w:rsidRPr="00B7474B" w:rsidRDefault="009F2C2D" w:rsidP="008346B2">
      <w:pPr>
        <w:spacing w:before="120" w:after="120" w:line="240" w:lineRule="auto"/>
        <w:rPr>
          <w:rFonts w:ascii="Times New Roman" w:hAnsi="Times New Roman" w:cs="Times New Roman"/>
        </w:rPr>
      </w:pPr>
      <w:r w:rsidRPr="00B7474B">
        <w:rPr>
          <w:rFonts w:ascii="Times New Roman" w:hAnsi="Times New Roman" w:cs="Times New Roman"/>
          <w:u w:val="single"/>
        </w:rPr>
        <w:t>Unplanned</w:t>
      </w:r>
      <w:r w:rsidRPr="00D66974">
        <w:rPr>
          <w:rFonts w:ascii="Times New Roman" w:hAnsi="Times New Roman" w:cs="Times New Roman"/>
        </w:rPr>
        <w:t xml:space="preserve">: </w:t>
      </w:r>
      <w:r w:rsidRPr="00B7474B">
        <w:rPr>
          <w:rFonts w:ascii="Times New Roman" w:hAnsi="Times New Roman" w:cs="Times New Roman"/>
        </w:rPr>
        <w:t xml:space="preserve">qualifier meant to reflect that there was no prior documentation in any available records, before or during the primary procedure (operative report), </w:t>
      </w:r>
      <w:r>
        <w:rPr>
          <w:rFonts w:ascii="Times New Roman" w:eastAsia="Aptos" w:hAnsi="Times New Roman" w:cs="Times New Roman"/>
        </w:rPr>
        <w:t>that this reoperation/readmission/intervention was part of a plan of care for the patient.</w:t>
      </w:r>
    </w:p>
    <w:p w14:paraId="13576AA9" w14:textId="17EBECBD" w:rsidR="00B7474B" w:rsidRPr="00B7474B" w:rsidRDefault="009F2C2D" w:rsidP="008346B2">
      <w:pPr>
        <w:spacing w:before="120" w:after="120" w:line="240" w:lineRule="auto"/>
        <w:rPr>
          <w:rFonts w:ascii="Times New Roman" w:hAnsi="Times New Roman" w:cs="Times New Roman"/>
        </w:rPr>
      </w:pPr>
      <w:r w:rsidRPr="00B7474B">
        <w:rPr>
          <w:rFonts w:ascii="Times New Roman" w:hAnsi="Times New Roman" w:cs="Times New Roman"/>
          <w:u w:val="single"/>
        </w:rPr>
        <w:t xml:space="preserve">Outpatient IV hydration visit: </w:t>
      </w:r>
      <w:r w:rsidRPr="00680D20">
        <w:rPr>
          <w:rFonts w:ascii="Times New Roman" w:hAnsi="Times New Roman" w:cs="Times New Roman"/>
        </w:rPr>
        <w:t xml:space="preserve">Outpatient visit </w:t>
      </w:r>
      <w:r w:rsidRPr="00B7474B">
        <w:rPr>
          <w:rFonts w:ascii="Times New Roman" w:hAnsi="Times New Roman" w:cs="Times New Roman"/>
        </w:rPr>
        <w:t>within the 30-day postoperative timeframe</w:t>
      </w:r>
      <w:r w:rsidRPr="00680D20">
        <w:rPr>
          <w:rFonts w:ascii="Times New Roman" w:hAnsi="Times New Roman" w:cs="Times New Roman"/>
        </w:rPr>
        <w:t xml:space="preserve"> </w:t>
      </w:r>
      <w:r w:rsidRPr="00B7474B">
        <w:rPr>
          <w:rFonts w:ascii="Times New Roman" w:hAnsi="Times New Roman" w:cs="Times New Roman"/>
          <w:u w:val="single"/>
        </w:rPr>
        <w:t>during which</w:t>
      </w:r>
      <w:r w:rsidRPr="00B7474B">
        <w:rPr>
          <w:rFonts w:ascii="Times New Roman" w:hAnsi="Times New Roman" w:cs="Times New Roman"/>
        </w:rPr>
        <w:t xml:space="preserve"> IV fluids or IV medication was administered for nausea and vomiting or fluid, electrolyte, or nutritional depletion.</w:t>
      </w:r>
    </w:p>
    <w:p w14:paraId="1BA399E2" w14:textId="6ED198F8" w:rsidR="00B7474B" w:rsidRDefault="009F2C2D" w:rsidP="008346B2">
      <w:pPr>
        <w:spacing w:before="120" w:after="120" w:line="240" w:lineRule="auto"/>
        <w:rPr>
          <w:rFonts w:ascii="Times New Roman" w:eastAsia="Aptos" w:hAnsi="Times New Roman" w:cs="Times New Roman"/>
        </w:rPr>
      </w:pPr>
      <w:r w:rsidRPr="00B7474B">
        <w:rPr>
          <w:rFonts w:ascii="Times New Roman" w:hAnsi="Times New Roman" w:cs="Times New Roman"/>
          <w:u w:val="single"/>
        </w:rPr>
        <w:t xml:space="preserve">Emergency department (ED) visit: </w:t>
      </w:r>
      <w:r w:rsidRPr="00680D20">
        <w:rPr>
          <w:rFonts w:ascii="Times New Roman" w:hAnsi="Times New Roman" w:cs="Times New Roman"/>
        </w:rPr>
        <w:t>ED visit</w:t>
      </w:r>
      <w:r>
        <w:rPr>
          <w:rFonts w:ascii="Times New Roman" w:eastAsia="Aptos" w:hAnsi="Times New Roman" w:cs="Times New Roman"/>
        </w:rPr>
        <w:t>s during which</w:t>
      </w:r>
      <w:r w:rsidRPr="00612F41">
        <w:rPr>
          <w:rFonts w:ascii="Times New Roman" w:hAnsi="Times New Roman" w:cs="Times New Roman"/>
        </w:rPr>
        <w:t xml:space="preserve"> </w:t>
      </w:r>
      <w:r w:rsidRPr="00B7474B">
        <w:rPr>
          <w:rFonts w:ascii="Times New Roman" w:hAnsi="Times New Roman" w:cs="Times New Roman"/>
        </w:rPr>
        <w:t>criteria were not met for readmission. Visits to urgent care centers that function</w:t>
      </w:r>
      <w:r>
        <w:rPr>
          <w:rFonts w:ascii="Times New Roman" w:eastAsia="Aptos" w:hAnsi="Times New Roman" w:cs="Times New Roman"/>
        </w:rPr>
        <w:t xml:space="preserve">ed as EDs were also counted. This included visits in </w:t>
      </w:r>
      <w:r>
        <w:rPr>
          <w:rFonts w:ascii="Times New Roman" w:eastAsia="Aptos" w:hAnsi="Times New Roman" w:cs="Times New Roman"/>
        </w:rPr>
        <w:lastRenderedPageBreak/>
        <w:t>which a patient was evaluated by an emergency provider (</w:t>
      </w:r>
      <w:r w:rsidRPr="00B7474B">
        <w:rPr>
          <w:rFonts w:ascii="Times New Roman" w:hAnsi="Times New Roman" w:cs="Times New Roman"/>
        </w:rPr>
        <w:t xml:space="preserve">i.e., MD, DO, PA, </w:t>
      </w:r>
      <w:r>
        <w:rPr>
          <w:rFonts w:ascii="Times New Roman" w:eastAsia="Aptos" w:hAnsi="Times New Roman" w:cs="Times New Roman"/>
        </w:rPr>
        <w:t>and NP), but eloped or left against medical advice.</w:t>
      </w:r>
    </w:p>
    <w:p w14:paraId="30C53D0A" w14:textId="7BFFF75B" w:rsidR="005B4640" w:rsidRDefault="00D272FC" w:rsidP="008346B2">
      <w:pPr>
        <w:spacing w:before="120" w:after="120" w:line="240" w:lineRule="auto"/>
        <w:rPr>
          <w:rFonts w:ascii="Times New Roman" w:eastAsia="Aptos" w:hAnsi="Times New Roman" w:cs="Times New Roman"/>
        </w:rPr>
      </w:pPr>
      <w:r w:rsidRPr="00BA326B">
        <w:rPr>
          <w:rFonts w:ascii="Times New Roman" w:hAnsi="Times New Roman" w:cs="Times New Roman"/>
          <w:u w:val="single"/>
        </w:rPr>
        <w:t>Re-</w:t>
      </w:r>
      <w:r w:rsidR="00D46008" w:rsidRPr="00BA326B">
        <w:rPr>
          <w:rFonts w:ascii="Times New Roman" w:hAnsi="Times New Roman" w:cs="Times New Roman"/>
          <w:u w:val="single"/>
        </w:rPr>
        <w:t>Smoking</w:t>
      </w:r>
      <w:r w:rsidR="00D46008">
        <w:rPr>
          <w:rFonts w:ascii="Times New Roman" w:hAnsi="Times New Roman" w:cs="Times New Roman"/>
        </w:rPr>
        <w:t xml:space="preserve"> - </w:t>
      </w:r>
      <w:r w:rsidRPr="00A61E47">
        <w:rPr>
          <w:rFonts w:ascii="Times New Roman" w:hAnsi="Times New Roman" w:cs="Times New Roman"/>
        </w:rPr>
        <w:t>We adhered to the MBSAQIP standard: If it is reported in either EMR within 12 months of surgery (</w:t>
      </w:r>
      <w:r>
        <w:rPr>
          <w:rFonts w:ascii="Times New Roman" w:hAnsi="Times New Roman" w:cs="Times New Roman"/>
        </w:rPr>
        <w:t xml:space="preserve">office </w:t>
      </w:r>
      <w:r w:rsidRPr="00A61E47">
        <w:rPr>
          <w:rFonts w:ascii="Times New Roman" w:hAnsi="Times New Roman" w:cs="Times New Roman"/>
        </w:rPr>
        <w:t>notes or anesthesia or pre-op clinic RN) per standard: A person who has used tobacco/nicotine products at any point within the 12 months prior to admission for surgery. This include</w:t>
      </w:r>
      <w:r>
        <w:rPr>
          <w:rFonts w:ascii="Times New Roman" w:hAnsi="Times New Roman" w:cs="Times New Roman"/>
        </w:rPr>
        <w:t>d</w:t>
      </w:r>
      <w:r w:rsidRPr="00A61E47">
        <w:rPr>
          <w:rFonts w:ascii="Times New Roman" w:hAnsi="Times New Roman" w:cs="Times New Roman"/>
        </w:rPr>
        <w:t xml:space="preserve"> all forms of tobacco and nicotine use, such as smoking, chewing, vaping, and other methods of consumption. This d</w:t>
      </w:r>
      <w:r w:rsidR="00481D74">
        <w:rPr>
          <w:rFonts w:ascii="Times New Roman" w:hAnsi="Times New Roman" w:cs="Times New Roman"/>
        </w:rPr>
        <w:t>id</w:t>
      </w:r>
      <w:r w:rsidRPr="00A61E47">
        <w:rPr>
          <w:rFonts w:ascii="Times New Roman" w:hAnsi="Times New Roman" w:cs="Times New Roman"/>
        </w:rPr>
        <w:t xml:space="preserve"> not include the use of marijuana or tobacco/nicotine-free mechanical/electronic cigarette</w:t>
      </w:r>
      <w:r w:rsidR="00D46008">
        <w:rPr>
          <w:rFonts w:ascii="Times New Roman" w:hAnsi="Times New Roman" w:cs="Times New Roman"/>
        </w:rPr>
        <w:t>s</w:t>
      </w:r>
    </w:p>
    <w:p w14:paraId="78EA963C" w14:textId="77777777" w:rsidR="005B4640" w:rsidRPr="00B7474B" w:rsidRDefault="005B4640" w:rsidP="008346B2">
      <w:pPr>
        <w:spacing w:before="120" w:after="120" w:line="240" w:lineRule="auto"/>
        <w:rPr>
          <w:rFonts w:ascii="Times New Roman" w:hAnsi="Times New Roman" w:cs="Times New Roman"/>
        </w:rPr>
      </w:pPr>
    </w:p>
    <w:p w14:paraId="137BCCFA" w14:textId="45469ED2" w:rsidR="006C4EC4" w:rsidRPr="006C4EC4" w:rsidRDefault="009F2C2D">
      <w:pPr>
        <w:rPr>
          <w:rFonts w:ascii="Times New Roman" w:hAnsi="Times New Roman" w:cs="Times New Roman"/>
          <w:b/>
          <w:bCs/>
        </w:rPr>
      </w:pPr>
      <w:r w:rsidRPr="006C4EC4">
        <w:rPr>
          <w:rFonts w:ascii="Times New Roman" w:hAnsi="Times New Roman" w:cs="Times New Roman"/>
          <w:b/>
          <w:bCs/>
        </w:rPr>
        <w:t>Methods</w:t>
      </w:r>
    </w:p>
    <w:p w14:paraId="3F7F7335" w14:textId="0BBA4365" w:rsidR="006C4EC4" w:rsidRPr="00342DAA" w:rsidRDefault="009F2C2D" w:rsidP="006C4EC4">
      <w:pPr>
        <w:spacing w:before="120" w:after="120" w:line="240" w:lineRule="auto"/>
        <w:rPr>
          <w:rFonts w:ascii="Times New Roman" w:hAnsi="Times New Roman" w:cs="Times New Roman"/>
          <w:i/>
          <w:iCs/>
        </w:rPr>
      </w:pPr>
      <w:r w:rsidRPr="00342DAA">
        <w:rPr>
          <w:rFonts w:ascii="Times New Roman" w:hAnsi="Times New Roman" w:cs="Times New Roman"/>
          <w:i/>
          <w:iCs/>
        </w:rPr>
        <w:t>Preoperative proc</w:t>
      </w:r>
      <w:r w:rsidR="009C1875">
        <w:rPr>
          <w:rFonts w:ascii="Times New Roman" w:hAnsi="Times New Roman" w:cs="Times New Roman"/>
          <w:i/>
          <w:iCs/>
        </w:rPr>
        <w:t>ess</w:t>
      </w:r>
    </w:p>
    <w:p w14:paraId="75391C79" w14:textId="3B267937" w:rsidR="005B49EB" w:rsidRDefault="009F2C2D" w:rsidP="001553E2">
      <w:pPr>
        <w:spacing w:before="120" w:after="120" w:line="240" w:lineRule="auto"/>
        <w:rPr>
          <w:rFonts w:ascii="Times New Roman" w:hAnsi="Times New Roman" w:cs="Times New Roman"/>
        </w:rPr>
      </w:pPr>
      <w:r w:rsidRPr="00592C19">
        <w:rPr>
          <w:rFonts w:ascii="Times New Roman" w:hAnsi="Times New Roman" w:cs="Times New Roman"/>
        </w:rPr>
        <w:t xml:space="preserve">Preoperative evaluation was initiated by </w:t>
      </w:r>
      <w:r w:rsidR="00A75ECC" w:rsidRPr="00592C19">
        <w:rPr>
          <w:rFonts w:ascii="Times New Roman" w:hAnsi="Times New Roman" w:cs="Times New Roman"/>
        </w:rPr>
        <w:t>consultation</w:t>
      </w:r>
      <w:r w:rsidRPr="00592C19">
        <w:rPr>
          <w:rFonts w:ascii="Times New Roman" w:hAnsi="Times New Roman" w:cs="Times New Roman"/>
        </w:rPr>
        <w:t xml:space="preserve"> with the surgeon</w:t>
      </w:r>
      <w:r>
        <w:rPr>
          <w:rFonts w:ascii="Times New Roman" w:eastAsia="Aptos" w:hAnsi="Times New Roman" w:cs="Times New Roman"/>
        </w:rPr>
        <w:t>, followed by additional visits for nutritional assessment, activity, lifestyle modification, blood sugar control, weight loss to ensure patient optimization, psychological assessment</w:t>
      </w:r>
      <w:r>
        <w:rPr>
          <w:rFonts w:ascii="Times New Roman" w:hAnsi="Times New Roman" w:cs="Times New Roman"/>
        </w:rPr>
        <w:t>,</w:t>
      </w:r>
      <w:r w:rsidRPr="00592C19">
        <w:rPr>
          <w:rFonts w:ascii="Times New Roman" w:hAnsi="Times New Roman" w:cs="Times New Roman"/>
        </w:rPr>
        <w:t xml:space="preserve"> and other payor</w:t>
      </w:r>
      <w:r>
        <w:rPr>
          <w:rFonts w:ascii="Times New Roman" w:hAnsi="Times New Roman" w:cs="Times New Roman"/>
        </w:rPr>
        <w:t>-</w:t>
      </w:r>
      <w:r w:rsidRPr="00592C19">
        <w:rPr>
          <w:rFonts w:ascii="Times New Roman" w:hAnsi="Times New Roman" w:cs="Times New Roman"/>
        </w:rPr>
        <w:t>specific pre-surgery processes. Standard lab</w:t>
      </w:r>
      <w:r>
        <w:rPr>
          <w:rFonts w:ascii="Times New Roman" w:eastAsia="Aptos" w:hAnsi="Times New Roman" w:cs="Times New Roman"/>
        </w:rPr>
        <w:t xml:space="preserve">oratories, electrocardiography, focused assessment of the upper gastrointestinal </w:t>
      </w:r>
      <w:r w:rsidR="002073D1">
        <w:rPr>
          <w:rFonts w:ascii="Times New Roman" w:hAnsi="Times New Roman" w:cs="Times New Roman"/>
        </w:rPr>
        <w:t xml:space="preserve">(UGI) </w:t>
      </w:r>
      <w:r w:rsidRPr="00592C19">
        <w:rPr>
          <w:rFonts w:ascii="Times New Roman" w:hAnsi="Times New Roman" w:cs="Times New Roman"/>
        </w:rPr>
        <w:t xml:space="preserve">tract </w:t>
      </w:r>
      <w:r>
        <w:rPr>
          <w:rFonts w:ascii="Times New Roman" w:hAnsi="Times New Roman" w:cs="Times New Roman"/>
        </w:rPr>
        <w:t>(</w:t>
      </w:r>
      <w:r w:rsidRPr="00592C19">
        <w:rPr>
          <w:rFonts w:ascii="Times New Roman" w:hAnsi="Times New Roman" w:cs="Times New Roman"/>
        </w:rPr>
        <w:t xml:space="preserve">including endoscopy and fluoroscopic evaluation </w:t>
      </w:r>
      <w:r>
        <w:rPr>
          <w:rFonts w:ascii="Times New Roman" w:hAnsi="Times New Roman" w:cs="Times New Roman"/>
        </w:rPr>
        <w:t>i</w:t>
      </w:r>
      <w:r w:rsidRPr="00592C19">
        <w:rPr>
          <w:rFonts w:ascii="Times New Roman" w:hAnsi="Times New Roman" w:cs="Times New Roman"/>
        </w:rPr>
        <w:t>n patients undergoing revisions</w:t>
      </w:r>
      <w:r>
        <w:rPr>
          <w:rFonts w:ascii="Times New Roman" w:hAnsi="Times New Roman" w:cs="Times New Roman"/>
        </w:rPr>
        <w:t>),</w:t>
      </w:r>
      <w:r w:rsidRPr="00592C19">
        <w:rPr>
          <w:rFonts w:ascii="Times New Roman" w:hAnsi="Times New Roman" w:cs="Times New Roman"/>
        </w:rPr>
        <w:t xml:space="preserve"> abdominal ultrasound, chest</w:t>
      </w:r>
      <w:r>
        <w:rPr>
          <w:rFonts w:ascii="Times New Roman" w:hAnsi="Times New Roman" w:cs="Times New Roman"/>
        </w:rPr>
        <w:t xml:space="preserve"> </w:t>
      </w:r>
      <w:r w:rsidRPr="00592C19">
        <w:rPr>
          <w:rFonts w:ascii="Times New Roman" w:hAnsi="Times New Roman" w:cs="Times New Roman"/>
        </w:rPr>
        <w:t xml:space="preserve">radiography, </w:t>
      </w:r>
      <w:r>
        <w:rPr>
          <w:rFonts w:ascii="Times New Roman" w:hAnsi="Times New Roman" w:cs="Times New Roman"/>
        </w:rPr>
        <w:t>and</w:t>
      </w:r>
      <w:r w:rsidRPr="00592C19">
        <w:rPr>
          <w:rFonts w:ascii="Times New Roman" w:hAnsi="Times New Roman" w:cs="Times New Roman"/>
        </w:rPr>
        <w:t xml:space="preserve"> bone densitometry</w:t>
      </w:r>
      <w:r>
        <w:rPr>
          <w:rFonts w:ascii="Times New Roman" w:hAnsi="Times New Roman" w:cs="Times New Roman"/>
        </w:rPr>
        <w:t xml:space="preserve"> were performed</w:t>
      </w:r>
      <w:r w:rsidRPr="00592C19">
        <w:rPr>
          <w:rFonts w:ascii="Times New Roman" w:hAnsi="Times New Roman" w:cs="Times New Roman"/>
        </w:rPr>
        <w:t xml:space="preserve">. </w:t>
      </w:r>
      <w:r>
        <w:rPr>
          <w:rFonts w:ascii="Times New Roman" w:eastAsia="Aptos" w:hAnsi="Times New Roman" w:cs="Times New Roman"/>
        </w:rPr>
        <w:t xml:space="preserve">The </w:t>
      </w:r>
      <w:r w:rsidRPr="00592C19">
        <w:rPr>
          <w:rFonts w:ascii="Times New Roman" w:hAnsi="Times New Roman" w:cs="Times New Roman"/>
        </w:rPr>
        <w:t>evaluation included a risk assessment for noncardiac surgery by the team and consultants</w:t>
      </w:r>
      <w:r>
        <w:rPr>
          <w:rFonts w:ascii="Times New Roman" w:hAnsi="Times New Roman" w:cs="Times New Roman"/>
        </w:rPr>
        <w:t>.</w:t>
      </w:r>
      <w:r w:rsidRPr="00592C19">
        <w:rPr>
          <w:rFonts w:ascii="Times New Roman" w:hAnsi="Times New Roman" w:cs="Times New Roman"/>
        </w:rPr>
        <w:t xml:space="preserve"> </w:t>
      </w:r>
    </w:p>
    <w:p w14:paraId="60D1C95B" w14:textId="0914AEC9" w:rsidR="009C3519" w:rsidRPr="00B4113E" w:rsidRDefault="001553E2" w:rsidP="001553E2">
      <w:pPr>
        <w:spacing w:before="120" w:after="120" w:line="240" w:lineRule="auto"/>
        <w:rPr>
          <w:rFonts w:ascii="Times New Roman" w:hAnsi="Times New Roman" w:cs="Times New Roman"/>
        </w:rPr>
      </w:pPr>
      <w:r w:rsidRPr="00C969B3">
        <w:rPr>
          <w:rFonts w:ascii="Times New Roman" w:hAnsi="Times New Roman" w:cs="Times New Roman"/>
        </w:rPr>
        <w:t xml:space="preserve">All smokers were counseled about the higher complication rates in smokers </w:t>
      </w:r>
      <w:r w:rsidR="0023147E">
        <w:rPr>
          <w:rFonts w:ascii="Times New Roman" w:hAnsi="Times New Roman" w:cs="Times New Roman"/>
        </w:rPr>
        <w:t xml:space="preserve">and </w:t>
      </w:r>
      <w:r w:rsidRPr="00C969B3">
        <w:rPr>
          <w:rFonts w:ascii="Times New Roman" w:hAnsi="Times New Roman" w:cs="Times New Roman"/>
        </w:rPr>
        <w:t xml:space="preserve">encouraged to quit smoking at least 4 weeks prior. Most did, however, some chose not to and decided to proceed  understanding this risk (or needed the revision/ conversion to address complications). The number of smokers that quit smoking prior to the MBS surgery was not separately tracked. </w:t>
      </w:r>
    </w:p>
    <w:p w14:paraId="45EDF8FB" w14:textId="0578A8BB" w:rsidR="006C4EC4" w:rsidRPr="00592C19" w:rsidRDefault="009F2C2D" w:rsidP="006C4EC4">
      <w:pPr>
        <w:spacing w:before="120" w:after="120" w:line="240" w:lineRule="auto"/>
        <w:rPr>
          <w:rFonts w:ascii="Times New Roman" w:hAnsi="Times New Roman" w:cs="Times New Roman"/>
        </w:rPr>
      </w:pPr>
      <w:r w:rsidRPr="00592C19">
        <w:rPr>
          <w:rFonts w:ascii="Times New Roman" w:hAnsi="Times New Roman" w:cs="Times New Roman"/>
        </w:rPr>
        <w:t xml:space="preserve">A final pre-surgery assessment with the surgeon </w:t>
      </w:r>
      <w:r w:rsidR="008C5815">
        <w:rPr>
          <w:rFonts w:ascii="Times New Roman" w:hAnsi="Times New Roman" w:cs="Times New Roman"/>
        </w:rPr>
        <w:t xml:space="preserve">~1-4wks prior to surgery </w:t>
      </w:r>
      <w:r>
        <w:rPr>
          <w:rFonts w:ascii="Times New Roman" w:hAnsi="Times New Roman" w:cs="Times New Roman"/>
        </w:rPr>
        <w:t xml:space="preserve">was conducted </w:t>
      </w:r>
      <w:r w:rsidRPr="00592C19">
        <w:rPr>
          <w:rFonts w:ascii="Times New Roman" w:hAnsi="Times New Roman" w:cs="Times New Roman"/>
        </w:rPr>
        <w:t xml:space="preserve">to review these findings </w:t>
      </w:r>
      <w:r>
        <w:rPr>
          <w:rFonts w:ascii="Times New Roman" w:hAnsi="Times New Roman" w:cs="Times New Roman"/>
        </w:rPr>
        <w:t>and obtain</w:t>
      </w:r>
      <w:r w:rsidRPr="00592C19">
        <w:rPr>
          <w:rFonts w:ascii="Times New Roman" w:hAnsi="Times New Roman" w:cs="Times New Roman"/>
        </w:rPr>
        <w:t xml:space="preserve"> informed consent, set patient expectations</w:t>
      </w:r>
      <w:r>
        <w:rPr>
          <w:rFonts w:ascii="Times New Roman" w:hAnsi="Times New Roman" w:cs="Times New Roman"/>
        </w:rPr>
        <w:t>,</w:t>
      </w:r>
      <w:r w:rsidRPr="00592C19">
        <w:rPr>
          <w:rFonts w:ascii="Times New Roman" w:hAnsi="Times New Roman" w:cs="Times New Roman"/>
        </w:rPr>
        <w:t xml:space="preserve"> </w:t>
      </w:r>
      <w:r>
        <w:rPr>
          <w:rFonts w:ascii="Times New Roman" w:hAnsi="Times New Roman" w:cs="Times New Roman"/>
        </w:rPr>
        <w:t>and</w:t>
      </w:r>
      <w:r w:rsidRPr="00592C19">
        <w:rPr>
          <w:rFonts w:ascii="Times New Roman" w:hAnsi="Times New Roman" w:cs="Times New Roman"/>
        </w:rPr>
        <w:t xml:space="preserve"> assess patient support systems in preparation for surgery. </w:t>
      </w:r>
    </w:p>
    <w:p w14:paraId="55759038" w14:textId="09ACFEB9" w:rsidR="006C4EC4" w:rsidRDefault="009F2C2D" w:rsidP="006C4EC4">
      <w:pPr>
        <w:spacing w:before="120" w:after="120" w:line="240" w:lineRule="auto"/>
        <w:rPr>
          <w:rFonts w:ascii="Times New Roman" w:hAnsi="Times New Roman" w:cs="Times New Roman"/>
        </w:rPr>
      </w:pPr>
      <w:r w:rsidRPr="00592C19">
        <w:rPr>
          <w:rFonts w:ascii="Times New Roman" w:hAnsi="Times New Roman" w:cs="Times New Roman"/>
        </w:rPr>
        <w:t>All patients were required to attend a pre-surgery educational session</w:t>
      </w:r>
      <w:r w:rsidR="00714344">
        <w:rPr>
          <w:rFonts w:ascii="Times New Roman" w:hAnsi="Times New Roman" w:cs="Times New Roman"/>
        </w:rPr>
        <w:t xml:space="preserve"> ~2-wks prior to surgery</w:t>
      </w:r>
      <w:r w:rsidRPr="00592C19">
        <w:rPr>
          <w:rFonts w:ascii="Times New Roman" w:hAnsi="Times New Roman" w:cs="Times New Roman"/>
        </w:rPr>
        <w:t xml:space="preserve"> </w:t>
      </w:r>
      <w:r>
        <w:rPr>
          <w:rFonts w:ascii="Times New Roman" w:hAnsi="Times New Roman" w:cs="Times New Roman"/>
        </w:rPr>
        <w:t>to learn about</w:t>
      </w:r>
      <w:r w:rsidRPr="00592C19">
        <w:rPr>
          <w:rFonts w:ascii="Times New Roman" w:hAnsi="Times New Roman" w:cs="Times New Roman"/>
        </w:rPr>
        <w:t xml:space="preserve"> perioperative risk-mitigation techniques, diet progression</w:t>
      </w:r>
      <w:r>
        <w:rPr>
          <w:rFonts w:ascii="Times New Roman" w:hAnsi="Times New Roman" w:cs="Times New Roman"/>
        </w:rPr>
        <w:t>,</w:t>
      </w:r>
      <w:r w:rsidRPr="00592C19">
        <w:rPr>
          <w:rFonts w:ascii="Times New Roman" w:hAnsi="Times New Roman" w:cs="Times New Roman"/>
        </w:rPr>
        <w:t xml:space="preserve"> nutritional supplementation</w:t>
      </w:r>
      <w:r>
        <w:rPr>
          <w:rFonts w:ascii="Times New Roman" w:hAnsi="Times New Roman" w:cs="Times New Roman"/>
        </w:rPr>
        <w:t xml:space="preserve">, </w:t>
      </w:r>
      <w:r w:rsidRPr="00592C19">
        <w:rPr>
          <w:rFonts w:ascii="Times New Roman" w:hAnsi="Times New Roman" w:cs="Times New Roman"/>
        </w:rPr>
        <w:t>day</w:t>
      </w:r>
      <w:r>
        <w:rPr>
          <w:rFonts w:ascii="Times New Roman" w:hAnsi="Times New Roman" w:cs="Times New Roman"/>
        </w:rPr>
        <w:t xml:space="preserve"> </w:t>
      </w:r>
      <w:r w:rsidRPr="00592C19">
        <w:rPr>
          <w:rFonts w:ascii="Times New Roman" w:hAnsi="Times New Roman" w:cs="Times New Roman"/>
        </w:rPr>
        <w:t>of</w:t>
      </w:r>
      <w:r>
        <w:rPr>
          <w:rFonts w:ascii="Times New Roman" w:hAnsi="Times New Roman" w:cs="Times New Roman"/>
        </w:rPr>
        <w:t xml:space="preserve"> </w:t>
      </w:r>
      <w:r w:rsidRPr="00592C19">
        <w:rPr>
          <w:rFonts w:ascii="Times New Roman" w:hAnsi="Times New Roman" w:cs="Times New Roman"/>
        </w:rPr>
        <w:t xml:space="preserve">surgery event progression, pain management, hydration, mobility, ambulation, gastrointestinal symptom management, post-surgery course, symptoms, signs of complications, </w:t>
      </w:r>
      <w:r>
        <w:rPr>
          <w:rFonts w:ascii="Times New Roman" w:hAnsi="Times New Roman" w:cs="Times New Roman"/>
        </w:rPr>
        <w:t>and instructions for</w:t>
      </w:r>
      <w:r w:rsidRPr="00592C19">
        <w:rPr>
          <w:rFonts w:ascii="Times New Roman" w:hAnsi="Times New Roman" w:cs="Times New Roman"/>
        </w:rPr>
        <w:t xml:space="preserve"> contact</w:t>
      </w:r>
      <w:r>
        <w:rPr>
          <w:rFonts w:ascii="Times New Roman" w:hAnsi="Times New Roman" w:cs="Times New Roman"/>
        </w:rPr>
        <w:t>ing</w:t>
      </w:r>
      <w:r w:rsidRPr="00592C19">
        <w:rPr>
          <w:rFonts w:ascii="Times New Roman" w:hAnsi="Times New Roman" w:cs="Times New Roman"/>
        </w:rPr>
        <w:t xml:space="preserve"> the surgery team for questions and concerns. </w:t>
      </w:r>
      <w:r>
        <w:rPr>
          <w:rFonts w:ascii="Times New Roman" w:hAnsi="Times New Roman" w:cs="Times New Roman"/>
        </w:rPr>
        <w:t>S</w:t>
      </w:r>
      <w:r w:rsidRPr="00592C19">
        <w:rPr>
          <w:rFonts w:ascii="Times New Roman" w:hAnsi="Times New Roman" w:cs="Times New Roman"/>
        </w:rPr>
        <w:t>upport persons w</w:t>
      </w:r>
      <w:r>
        <w:rPr>
          <w:rFonts w:ascii="Times New Roman" w:hAnsi="Times New Roman" w:cs="Times New Roman"/>
        </w:rPr>
        <w:t>ere</w:t>
      </w:r>
      <w:r w:rsidRPr="00592C19">
        <w:rPr>
          <w:rFonts w:ascii="Times New Roman" w:hAnsi="Times New Roman" w:cs="Times New Roman"/>
        </w:rPr>
        <w:t xml:space="preserve"> encouraged to accompany </w:t>
      </w:r>
      <w:r>
        <w:rPr>
          <w:rFonts w:ascii="Times New Roman" w:eastAsia="Aptos" w:hAnsi="Times New Roman" w:cs="Times New Roman"/>
        </w:rPr>
        <w:t xml:space="preserve">the </w:t>
      </w:r>
      <w:r>
        <w:rPr>
          <w:rFonts w:ascii="Times New Roman" w:hAnsi="Times New Roman" w:cs="Times New Roman"/>
        </w:rPr>
        <w:t xml:space="preserve">patients </w:t>
      </w:r>
      <w:r w:rsidRPr="00592C19">
        <w:rPr>
          <w:rFonts w:ascii="Times New Roman" w:hAnsi="Times New Roman" w:cs="Times New Roman"/>
        </w:rPr>
        <w:t xml:space="preserve">during these visits. </w:t>
      </w:r>
      <w:r>
        <w:rPr>
          <w:rFonts w:ascii="Times New Roman" w:hAnsi="Times New Roman" w:cs="Times New Roman"/>
        </w:rPr>
        <w:t>The f</w:t>
      </w:r>
      <w:r w:rsidRPr="00592C19">
        <w:rPr>
          <w:rFonts w:ascii="Times New Roman" w:hAnsi="Times New Roman" w:cs="Times New Roman"/>
        </w:rPr>
        <w:t xml:space="preserve">acility </w:t>
      </w:r>
      <w:r>
        <w:rPr>
          <w:rFonts w:ascii="Times New Roman" w:hAnsi="Times New Roman" w:cs="Times New Roman"/>
        </w:rPr>
        <w:t>p</w:t>
      </w:r>
      <w:r w:rsidRPr="00592C19">
        <w:rPr>
          <w:rFonts w:ascii="Times New Roman" w:hAnsi="Times New Roman" w:cs="Times New Roman"/>
        </w:rPr>
        <w:t>reop</w:t>
      </w:r>
      <w:r>
        <w:rPr>
          <w:rFonts w:ascii="Times New Roman" w:hAnsi="Times New Roman" w:cs="Times New Roman"/>
        </w:rPr>
        <w:t>erative</w:t>
      </w:r>
      <w:r w:rsidRPr="00592C19">
        <w:rPr>
          <w:rFonts w:ascii="Times New Roman" w:hAnsi="Times New Roman" w:cs="Times New Roman"/>
        </w:rPr>
        <w:t xml:space="preserve"> clinic completed the anesthesia screening</w:t>
      </w:r>
      <w:r>
        <w:rPr>
          <w:rFonts w:ascii="Times New Roman" w:hAnsi="Times New Roman" w:cs="Times New Roman"/>
        </w:rPr>
        <w:t>,</w:t>
      </w:r>
      <w:r w:rsidRPr="00592C19">
        <w:rPr>
          <w:rFonts w:ascii="Times New Roman" w:hAnsi="Times New Roman" w:cs="Times New Roman"/>
        </w:rPr>
        <w:t xml:space="preserve"> where instructions were provided </w:t>
      </w:r>
      <w:r>
        <w:rPr>
          <w:rFonts w:ascii="Times New Roman" w:hAnsi="Times New Roman" w:cs="Times New Roman"/>
        </w:rPr>
        <w:t xml:space="preserve">to patients </w:t>
      </w:r>
      <w:r w:rsidRPr="00592C19">
        <w:rPr>
          <w:rFonts w:ascii="Times New Roman" w:hAnsi="Times New Roman" w:cs="Times New Roman"/>
        </w:rPr>
        <w:t>on perioperative management of antihypertensives, diabetic medications, anticoagulants, glucagon-like peptide-1 (GLP-1)</w:t>
      </w:r>
      <w:r w:rsidR="00EB08DF">
        <w:rPr>
          <w:rFonts w:ascii="Times New Roman" w:hAnsi="Times New Roman" w:cs="Times New Roman"/>
        </w:rPr>
        <w:t xml:space="preserve"> receptor</w:t>
      </w:r>
      <w:r w:rsidRPr="00592C19">
        <w:rPr>
          <w:rFonts w:ascii="Times New Roman" w:hAnsi="Times New Roman" w:cs="Times New Roman"/>
        </w:rPr>
        <w:t xml:space="preserve"> agonists</w:t>
      </w:r>
      <w:r>
        <w:rPr>
          <w:rFonts w:ascii="Times New Roman" w:hAnsi="Times New Roman" w:cs="Times New Roman"/>
        </w:rPr>
        <w:t>,</w:t>
      </w:r>
      <w:r w:rsidRPr="00592C19">
        <w:rPr>
          <w:rFonts w:ascii="Times New Roman" w:hAnsi="Times New Roman" w:cs="Times New Roman"/>
        </w:rPr>
        <w:t xml:space="preserve"> and discontinuation of medication and supplements that could increase bleeding risk</w:t>
      </w:r>
      <w:r>
        <w:rPr>
          <w:rFonts w:ascii="Times New Roman" w:hAnsi="Times New Roman" w:cs="Times New Roman"/>
        </w:rPr>
        <w:t>,</w:t>
      </w:r>
      <w:r w:rsidRPr="00592C19">
        <w:rPr>
          <w:rFonts w:ascii="Times New Roman" w:hAnsi="Times New Roman" w:cs="Times New Roman"/>
        </w:rPr>
        <w:t xml:space="preserve"> such as vitamin E and fish oils.</w:t>
      </w:r>
    </w:p>
    <w:p w14:paraId="1A2AA8C9" w14:textId="50D880DA" w:rsidR="006C4EC4" w:rsidRPr="00206E36" w:rsidRDefault="009F2C2D" w:rsidP="006C4EC4">
      <w:pPr>
        <w:spacing w:before="120" w:after="120" w:line="240" w:lineRule="auto"/>
        <w:rPr>
          <w:rFonts w:ascii="Times New Roman" w:hAnsi="Times New Roman" w:cs="Times New Roman"/>
          <w:i/>
          <w:iCs/>
        </w:rPr>
      </w:pPr>
      <w:r>
        <w:rPr>
          <w:rFonts w:ascii="Times New Roman" w:hAnsi="Times New Roman" w:cs="Times New Roman"/>
          <w:i/>
          <w:iCs/>
        </w:rPr>
        <w:t xml:space="preserve">Perioperative </w:t>
      </w:r>
      <w:r w:rsidR="00997DCB">
        <w:rPr>
          <w:rFonts w:ascii="Times New Roman" w:hAnsi="Times New Roman" w:cs="Times New Roman"/>
          <w:i/>
          <w:iCs/>
        </w:rPr>
        <w:t xml:space="preserve">&amp; </w:t>
      </w:r>
      <w:r w:rsidR="00BB46FD">
        <w:rPr>
          <w:rFonts w:ascii="Times New Roman" w:hAnsi="Times New Roman" w:cs="Times New Roman"/>
          <w:i/>
          <w:iCs/>
        </w:rPr>
        <w:t>i</w:t>
      </w:r>
      <w:r w:rsidR="00997DCB">
        <w:rPr>
          <w:rFonts w:ascii="Times New Roman" w:hAnsi="Times New Roman" w:cs="Times New Roman"/>
          <w:i/>
          <w:iCs/>
        </w:rPr>
        <w:t xml:space="preserve">ntraoperative </w:t>
      </w:r>
      <w:r w:rsidR="00BB46FD">
        <w:rPr>
          <w:rFonts w:ascii="Times New Roman" w:hAnsi="Times New Roman" w:cs="Times New Roman"/>
          <w:i/>
          <w:iCs/>
        </w:rPr>
        <w:t>p</w:t>
      </w:r>
      <w:r>
        <w:rPr>
          <w:rFonts w:ascii="Times New Roman" w:hAnsi="Times New Roman" w:cs="Times New Roman"/>
          <w:i/>
          <w:iCs/>
        </w:rPr>
        <w:t xml:space="preserve">rocess </w:t>
      </w:r>
    </w:p>
    <w:p w14:paraId="4FF1B325" w14:textId="5B321CE7" w:rsidR="00326674" w:rsidRDefault="009F2C2D" w:rsidP="006C4EC4">
      <w:pPr>
        <w:spacing w:before="120" w:after="120" w:line="240" w:lineRule="auto"/>
        <w:rPr>
          <w:rFonts w:ascii="Times New Roman" w:hAnsi="Times New Roman" w:cs="Times New Roman"/>
        </w:rPr>
      </w:pPr>
      <w:r w:rsidRPr="00592C19">
        <w:rPr>
          <w:rFonts w:ascii="Times New Roman" w:hAnsi="Times New Roman" w:cs="Times New Roman"/>
        </w:rPr>
        <w:t>Perioperative care on the day of surgery commenced with a</w:t>
      </w:r>
      <w:r>
        <w:rPr>
          <w:rFonts w:ascii="Times New Roman" w:hAnsi="Times New Roman" w:cs="Times New Roman"/>
        </w:rPr>
        <w:t xml:space="preserve"> </w:t>
      </w:r>
      <w:r w:rsidRPr="00592C19">
        <w:rPr>
          <w:rFonts w:ascii="Times New Roman" w:hAnsi="Times New Roman" w:cs="Times New Roman"/>
        </w:rPr>
        <w:t>n</w:t>
      </w:r>
      <w:r>
        <w:rPr>
          <w:rFonts w:ascii="Times New Roman" w:hAnsi="Times New Roman" w:cs="Times New Roman"/>
        </w:rPr>
        <w:t>urse</w:t>
      </w:r>
      <w:r w:rsidRPr="00592C19">
        <w:rPr>
          <w:rFonts w:ascii="Times New Roman" w:hAnsi="Times New Roman" w:cs="Times New Roman"/>
        </w:rPr>
        <w:t xml:space="preserve"> assessment, large</w:t>
      </w:r>
      <w:r>
        <w:rPr>
          <w:rFonts w:ascii="Times New Roman" w:hAnsi="Times New Roman" w:cs="Times New Roman"/>
        </w:rPr>
        <w:t>-</w:t>
      </w:r>
      <w:r w:rsidRPr="00592C19">
        <w:rPr>
          <w:rFonts w:ascii="Times New Roman" w:hAnsi="Times New Roman" w:cs="Times New Roman"/>
        </w:rPr>
        <w:t>bore IV placement, anesthesiologist assessment</w:t>
      </w:r>
      <w:r>
        <w:rPr>
          <w:rFonts w:ascii="Times New Roman" w:hAnsi="Times New Roman" w:cs="Times New Roman"/>
        </w:rPr>
        <w:t>,</w:t>
      </w:r>
      <w:r w:rsidRPr="00592C19">
        <w:rPr>
          <w:rFonts w:ascii="Times New Roman" w:hAnsi="Times New Roman" w:cs="Times New Roman"/>
        </w:rPr>
        <w:t xml:space="preserve"> and pre-emptive abdominal plane nerve block</w:t>
      </w:r>
      <w:r>
        <w:rPr>
          <w:rFonts w:ascii="Times New Roman" w:hAnsi="Times New Roman" w:cs="Times New Roman"/>
        </w:rPr>
        <w:t>,</w:t>
      </w:r>
      <w:r w:rsidRPr="00592C19">
        <w:rPr>
          <w:rFonts w:ascii="Times New Roman" w:hAnsi="Times New Roman" w:cs="Times New Roman"/>
        </w:rPr>
        <w:t xml:space="preserve"> which was an </w:t>
      </w:r>
      <w:bookmarkStart w:id="1" w:name="OLE_LINK3"/>
      <w:bookmarkStart w:id="2" w:name="OLE_LINK4"/>
      <w:r w:rsidRPr="00592C19">
        <w:rPr>
          <w:rFonts w:ascii="Times New Roman" w:hAnsi="Times New Roman" w:cs="Times New Roman"/>
        </w:rPr>
        <w:t xml:space="preserve">erector spinae block </w:t>
      </w:r>
      <w:bookmarkEnd w:id="1"/>
      <w:bookmarkEnd w:id="2"/>
      <w:r w:rsidRPr="00592C19">
        <w:rPr>
          <w:rFonts w:ascii="Times New Roman" w:hAnsi="Times New Roman" w:cs="Times New Roman"/>
        </w:rPr>
        <w:t>under ultrasound guidance with 25</w:t>
      </w:r>
      <w:r>
        <w:rPr>
          <w:rFonts w:ascii="Times New Roman" w:hAnsi="Times New Roman" w:cs="Times New Roman"/>
        </w:rPr>
        <w:t xml:space="preserve"> to </w:t>
      </w:r>
      <w:r w:rsidRPr="00592C19">
        <w:rPr>
          <w:rFonts w:ascii="Times New Roman" w:hAnsi="Times New Roman" w:cs="Times New Roman"/>
        </w:rPr>
        <w:t>30</w:t>
      </w:r>
      <w:r>
        <w:rPr>
          <w:rFonts w:ascii="Times New Roman" w:hAnsi="Times New Roman" w:cs="Times New Roman"/>
        </w:rPr>
        <w:t xml:space="preserve"> </w:t>
      </w:r>
      <w:r w:rsidRPr="00592C19">
        <w:rPr>
          <w:rFonts w:ascii="Times New Roman" w:hAnsi="Times New Roman" w:cs="Times New Roman"/>
        </w:rPr>
        <w:t>mL 0.25% Marcaine with epinephrine on either side</w:t>
      </w:r>
      <w:r>
        <w:rPr>
          <w:rFonts w:ascii="Times New Roman" w:hAnsi="Times New Roman" w:cs="Times New Roman"/>
        </w:rPr>
        <w:t xml:space="preserve"> (</w:t>
      </w:r>
      <w:r w:rsidR="00AD32F5">
        <w:rPr>
          <w:rFonts w:ascii="Times New Roman" w:hAnsi="Times New Roman" w:cs="Times New Roman"/>
        </w:rPr>
        <w:t xml:space="preserve">just surgically directed </w:t>
      </w:r>
      <w:r w:rsidR="00E9787C" w:rsidRPr="00592C19">
        <w:rPr>
          <w:rFonts w:ascii="Times New Roman" w:hAnsi="Times New Roman" w:cs="Times New Roman"/>
        </w:rPr>
        <w:t xml:space="preserve">transverse abdominal plane </w:t>
      </w:r>
      <w:r w:rsidR="00D66974">
        <w:rPr>
          <w:rFonts w:ascii="Times New Roman" w:hAnsi="Times New Roman" w:cs="Times New Roman"/>
        </w:rPr>
        <w:t>[</w:t>
      </w:r>
      <w:r w:rsidR="001E2138">
        <w:rPr>
          <w:rFonts w:ascii="Times New Roman" w:hAnsi="Times New Roman" w:cs="Times New Roman"/>
        </w:rPr>
        <w:t>TAP</w:t>
      </w:r>
      <w:r w:rsidR="00D66974">
        <w:rPr>
          <w:rFonts w:ascii="Times New Roman" w:hAnsi="Times New Roman" w:cs="Times New Roman"/>
        </w:rPr>
        <w:t>]</w:t>
      </w:r>
      <w:r w:rsidR="001E2138">
        <w:rPr>
          <w:rFonts w:ascii="Times New Roman" w:hAnsi="Times New Roman" w:cs="Times New Roman"/>
        </w:rPr>
        <w:t xml:space="preserve"> </w:t>
      </w:r>
      <w:r w:rsidR="00E9787C" w:rsidRPr="00592C19">
        <w:rPr>
          <w:rFonts w:ascii="Times New Roman" w:hAnsi="Times New Roman" w:cs="Times New Roman"/>
        </w:rPr>
        <w:t xml:space="preserve">block </w:t>
      </w:r>
      <w:r w:rsidR="001E2138">
        <w:rPr>
          <w:rFonts w:ascii="Times New Roman" w:hAnsi="Times New Roman" w:cs="Times New Roman"/>
        </w:rPr>
        <w:t xml:space="preserve">prior to </w:t>
      </w:r>
      <w:r>
        <w:rPr>
          <w:rFonts w:ascii="Times New Roman" w:hAnsi="Times New Roman" w:cs="Times New Roman"/>
        </w:rPr>
        <w:t>Nov</w:t>
      </w:r>
      <w:r w:rsidRPr="00592C19">
        <w:rPr>
          <w:rFonts w:ascii="Times New Roman" w:hAnsi="Times New Roman" w:cs="Times New Roman"/>
        </w:rPr>
        <w:t xml:space="preserve"> 2019</w:t>
      </w:r>
      <w:r>
        <w:rPr>
          <w:rFonts w:ascii="Times New Roman" w:hAnsi="Times New Roman" w:cs="Times New Roman"/>
        </w:rPr>
        <w:t>)</w:t>
      </w:r>
      <w:r w:rsidRPr="00592C19">
        <w:rPr>
          <w:rFonts w:ascii="Times New Roman" w:hAnsi="Times New Roman" w:cs="Times New Roman"/>
        </w:rPr>
        <w:t>. This was complemented with an additional</w:t>
      </w:r>
      <w:r>
        <w:rPr>
          <w:rFonts w:ascii="Times New Roman" w:hAnsi="Times New Roman" w:cs="Times New Roman"/>
        </w:rPr>
        <w:t xml:space="preserve"> </w:t>
      </w:r>
      <w:r w:rsidRPr="00592C19">
        <w:rPr>
          <w:rFonts w:ascii="Times New Roman" w:hAnsi="Times New Roman" w:cs="Times New Roman"/>
        </w:rPr>
        <w:t>40</w:t>
      </w:r>
      <w:r>
        <w:rPr>
          <w:rFonts w:ascii="Times New Roman" w:hAnsi="Times New Roman" w:cs="Times New Roman"/>
        </w:rPr>
        <w:t xml:space="preserve"> to </w:t>
      </w:r>
      <w:r w:rsidRPr="00592C19">
        <w:rPr>
          <w:rFonts w:ascii="Times New Roman" w:hAnsi="Times New Roman" w:cs="Times New Roman"/>
        </w:rPr>
        <w:t>50</w:t>
      </w:r>
      <w:r>
        <w:rPr>
          <w:rFonts w:ascii="Times New Roman" w:hAnsi="Times New Roman" w:cs="Times New Roman"/>
        </w:rPr>
        <w:t xml:space="preserve"> </w:t>
      </w:r>
      <w:r w:rsidRPr="00592C19">
        <w:rPr>
          <w:rFonts w:ascii="Times New Roman" w:hAnsi="Times New Roman" w:cs="Times New Roman"/>
        </w:rPr>
        <w:t xml:space="preserve">mL by rectus sheath and </w:t>
      </w:r>
      <w:r w:rsidRPr="00592C19">
        <w:rPr>
          <w:rFonts w:ascii="Times New Roman" w:hAnsi="Times New Roman" w:cs="Times New Roman"/>
        </w:rPr>
        <w:lastRenderedPageBreak/>
        <w:t>transverse abdominal plane block administered under laparoscopic guidance at the end of the surgery. Unless otherwise contraindicated</w:t>
      </w:r>
      <w:r>
        <w:rPr>
          <w:rFonts w:ascii="Times New Roman" w:hAnsi="Times New Roman" w:cs="Times New Roman"/>
        </w:rPr>
        <w:t>,</w:t>
      </w:r>
      <w:r w:rsidRPr="00592C19">
        <w:rPr>
          <w:rFonts w:ascii="Times New Roman" w:hAnsi="Times New Roman" w:cs="Times New Roman"/>
        </w:rPr>
        <w:t xml:space="preserve"> all patients received enoxaparin 40</w:t>
      </w:r>
      <w:r>
        <w:rPr>
          <w:rFonts w:ascii="Times New Roman" w:hAnsi="Times New Roman" w:cs="Times New Roman"/>
        </w:rPr>
        <w:t xml:space="preserve"> </w:t>
      </w:r>
      <w:r w:rsidRPr="00592C19">
        <w:rPr>
          <w:rFonts w:ascii="Times New Roman" w:hAnsi="Times New Roman" w:cs="Times New Roman"/>
        </w:rPr>
        <w:t xml:space="preserve">mg subcutaneously preoperatively </w:t>
      </w:r>
      <w:r>
        <w:rPr>
          <w:rFonts w:ascii="Times New Roman" w:hAnsi="Times New Roman" w:cs="Times New Roman"/>
        </w:rPr>
        <w:t>~2</w:t>
      </w:r>
      <w:r w:rsidRPr="00592C19">
        <w:rPr>
          <w:rFonts w:ascii="Times New Roman" w:hAnsi="Times New Roman" w:cs="Times New Roman"/>
        </w:rPr>
        <w:t xml:space="preserve"> hours prior to the planned incision time, cefazolin 2</w:t>
      </w:r>
      <w:r>
        <w:rPr>
          <w:rFonts w:ascii="Times New Roman" w:hAnsi="Times New Roman" w:cs="Times New Roman"/>
        </w:rPr>
        <w:t xml:space="preserve"> g</w:t>
      </w:r>
      <w:r w:rsidRPr="00592C19">
        <w:rPr>
          <w:rFonts w:ascii="Times New Roman" w:hAnsi="Times New Roman" w:cs="Times New Roman"/>
        </w:rPr>
        <w:t xml:space="preserve"> (3</w:t>
      </w:r>
      <w:r>
        <w:rPr>
          <w:rFonts w:ascii="Times New Roman" w:hAnsi="Times New Roman" w:cs="Times New Roman"/>
        </w:rPr>
        <w:t xml:space="preserve"> g</w:t>
      </w:r>
      <w:r w:rsidRPr="00592C19">
        <w:rPr>
          <w:rFonts w:ascii="Times New Roman" w:hAnsi="Times New Roman" w:cs="Times New Roman"/>
        </w:rPr>
        <w:t xml:space="preserve"> in p</w:t>
      </w:r>
      <w:r>
        <w:rPr>
          <w:rFonts w:ascii="Times New Roman" w:hAnsi="Times New Roman" w:cs="Times New Roman"/>
        </w:rPr>
        <w:t>a</w:t>
      </w:r>
      <w:r w:rsidRPr="00592C19">
        <w:rPr>
          <w:rFonts w:ascii="Times New Roman" w:hAnsi="Times New Roman" w:cs="Times New Roman"/>
        </w:rPr>
        <w:t>t</w:t>
      </w:r>
      <w:r>
        <w:rPr>
          <w:rFonts w:ascii="Times New Roman" w:hAnsi="Times New Roman" w:cs="Times New Roman"/>
        </w:rPr>
        <w:t>ient</w:t>
      </w:r>
      <w:r w:rsidRPr="00592C19">
        <w:rPr>
          <w:rFonts w:ascii="Times New Roman" w:hAnsi="Times New Roman" w:cs="Times New Roman"/>
        </w:rPr>
        <w:t>s weighing &gt;120</w:t>
      </w:r>
      <w:r>
        <w:rPr>
          <w:rFonts w:ascii="Times New Roman" w:hAnsi="Times New Roman" w:cs="Times New Roman"/>
        </w:rPr>
        <w:t xml:space="preserve"> </w:t>
      </w:r>
      <w:r w:rsidRPr="00592C19">
        <w:rPr>
          <w:rFonts w:ascii="Times New Roman" w:hAnsi="Times New Roman" w:cs="Times New Roman"/>
        </w:rPr>
        <w:t>kg), metronidazole 500</w:t>
      </w:r>
      <w:r>
        <w:rPr>
          <w:rFonts w:ascii="Times New Roman" w:hAnsi="Times New Roman" w:cs="Times New Roman"/>
        </w:rPr>
        <w:t xml:space="preserve"> </w:t>
      </w:r>
      <w:r w:rsidRPr="00592C19">
        <w:rPr>
          <w:rFonts w:ascii="Times New Roman" w:hAnsi="Times New Roman" w:cs="Times New Roman"/>
        </w:rPr>
        <w:t>mg, magnesium sulfate 4</w:t>
      </w:r>
      <w:r>
        <w:rPr>
          <w:rFonts w:ascii="Times New Roman" w:hAnsi="Times New Roman" w:cs="Times New Roman"/>
        </w:rPr>
        <w:t xml:space="preserve"> g,</w:t>
      </w:r>
      <w:r w:rsidRPr="00592C19">
        <w:rPr>
          <w:rFonts w:ascii="Times New Roman" w:hAnsi="Times New Roman" w:cs="Times New Roman"/>
        </w:rPr>
        <w:t xml:space="preserve"> and iron sucrose 250</w:t>
      </w:r>
      <w:r>
        <w:rPr>
          <w:rFonts w:ascii="Times New Roman" w:hAnsi="Times New Roman" w:cs="Times New Roman"/>
        </w:rPr>
        <w:t xml:space="preserve"> </w:t>
      </w:r>
      <w:r w:rsidRPr="00592C19">
        <w:rPr>
          <w:rFonts w:ascii="Times New Roman" w:hAnsi="Times New Roman" w:cs="Times New Roman"/>
        </w:rPr>
        <w:t>mg if they were iron deficient. Levaquin 500</w:t>
      </w:r>
      <w:r>
        <w:rPr>
          <w:rFonts w:ascii="Times New Roman" w:hAnsi="Times New Roman" w:cs="Times New Roman"/>
        </w:rPr>
        <w:t xml:space="preserve"> </w:t>
      </w:r>
      <w:r w:rsidRPr="00592C19">
        <w:rPr>
          <w:rFonts w:ascii="Times New Roman" w:hAnsi="Times New Roman" w:cs="Times New Roman"/>
        </w:rPr>
        <w:t xml:space="preserve">mg was administered to patients with a history </w:t>
      </w:r>
      <w:r>
        <w:rPr>
          <w:rFonts w:ascii="Times New Roman" w:eastAsia="Aptos" w:hAnsi="Times New Roman" w:cs="Times New Roman"/>
        </w:rPr>
        <w:t>of anaphylaxis to cephalosporins. Fluconazole 400</w:t>
      </w:r>
      <w:r>
        <w:rPr>
          <w:rFonts w:ascii="Times New Roman" w:hAnsi="Times New Roman" w:cs="Times New Roman"/>
        </w:rPr>
        <w:t xml:space="preserve"> </w:t>
      </w:r>
      <w:r w:rsidRPr="00592C19">
        <w:rPr>
          <w:rFonts w:ascii="Times New Roman" w:hAnsi="Times New Roman" w:cs="Times New Roman"/>
        </w:rPr>
        <w:t xml:space="preserve">mg was also administered to patients undergoing gastric revision. </w:t>
      </w:r>
      <w:r>
        <w:rPr>
          <w:rFonts w:ascii="Times New Roman" w:eastAsia="Aptos" w:hAnsi="Times New Roman" w:cs="Times New Roman"/>
        </w:rPr>
        <w:t xml:space="preserve">A Foley catheter was inserted in all surgeries </w:t>
      </w:r>
      <w:r w:rsidR="00A158A0">
        <w:rPr>
          <w:rFonts w:ascii="Times New Roman" w:hAnsi="Times New Roman" w:cs="Times New Roman"/>
        </w:rPr>
        <w:t xml:space="preserve">planned </w:t>
      </w:r>
      <w:r w:rsidR="00C144F3">
        <w:rPr>
          <w:rFonts w:ascii="Times New Roman" w:hAnsi="Times New Roman" w:cs="Times New Roman"/>
        </w:rPr>
        <w:t>to exceed</w:t>
      </w:r>
      <w:r w:rsidRPr="00592C19">
        <w:rPr>
          <w:rFonts w:ascii="Times New Roman" w:hAnsi="Times New Roman" w:cs="Times New Roman"/>
        </w:rPr>
        <w:t xml:space="preserve"> </w:t>
      </w:r>
      <w:r>
        <w:rPr>
          <w:rFonts w:ascii="Times New Roman" w:hAnsi="Times New Roman" w:cs="Times New Roman"/>
        </w:rPr>
        <w:t>4 </w:t>
      </w:r>
      <w:r w:rsidRPr="00592C19">
        <w:rPr>
          <w:rFonts w:ascii="Times New Roman" w:hAnsi="Times New Roman" w:cs="Times New Roman"/>
        </w:rPr>
        <w:t>hours. A</w:t>
      </w:r>
      <w:r>
        <w:rPr>
          <w:rFonts w:ascii="Times New Roman" w:hAnsi="Times New Roman" w:cs="Times New Roman"/>
        </w:rPr>
        <w:t>pproximately 1</w:t>
      </w:r>
      <w:r w:rsidRPr="00592C19">
        <w:rPr>
          <w:rFonts w:ascii="Times New Roman" w:hAnsi="Times New Roman" w:cs="Times New Roman"/>
        </w:rPr>
        <w:t xml:space="preserve"> </w:t>
      </w:r>
      <w:r>
        <w:rPr>
          <w:rFonts w:ascii="Times New Roman" w:hAnsi="Times New Roman" w:cs="Times New Roman"/>
        </w:rPr>
        <w:t>L</w:t>
      </w:r>
      <w:r w:rsidRPr="00592C19">
        <w:rPr>
          <w:rFonts w:ascii="Times New Roman" w:hAnsi="Times New Roman" w:cs="Times New Roman"/>
        </w:rPr>
        <w:t xml:space="preserve"> </w:t>
      </w:r>
      <w:r>
        <w:rPr>
          <w:rFonts w:ascii="Times New Roman" w:eastAsia="Aptos" w:hAnsi="Times New Roman" w:cs="Times New Roman"/>
        </w:rPr>
        <w:t xml:space="preserve">of crystalloids </w:t>
      </w:r>
      <w:r w:rsidRPr="00592C19">
        <w:rPr>
          <w:rFonts w:ascii="Times New Roman" w:hAnsi="Times New Roman" w:cs="Times New Roman"/>
        </w:rPr>
        <w:t>was administered prior to propofol</w:t>
      </w:r>
      <w:r>
        <w:rPr>
          <w:rFonts w:ascii="Times New Roman" w:hAnsi="Times New Roman" w:cs="Times New Roman"/>
        </w:rPr>
        <w:t>-</w:t>
      </w:r>
      <w:r w:rsidRPr="00592C19">
        <w:rPr>
          <w:rFonts w:ascii="Times New Roman" w:hAnsi="Times New Roman" w:cs="Times New Roman"/>
        </w:rPr>
        <w:t>induced general endotracheal anesthesia</w:t>
      </w:r>
      <w:r>
        <w:rPr>
          <w:rFonts w:ascii="Times New Roman" w:hAnsi="Times New Roman" w:cs="Times New Roman"/>
        </w:rPr>
        <w:t>,</w:t>
      </w:r>
      <w:r w:rsidRPr="00592C19">
        <w:rPr>
          <w:rFonts w:ascii="Times New Roman" w:hAnsi="Times New Roman" w:cs="Times New Roman"/>
        </w:rPr>
        <w:t xml:space="preserve"> which was continued at a rate of ~</w:t>
      </w:r>
      <w:r>
        <w:rPr>
          <w:rFonts w:ascii="Times New Roman" w:hAnsi="Times New Roman" w:cs="Times New Roman"/>
        </w:rPr>
        <w:t xml:space="preserve"> 1 L/h</w:t>
      </w:r>
      <w:r w:rsidRPr="00592C19">
        <w:rPr>
          <w:rFonts w:ascii="Times New Roman" w:hAnsi="Times New Roman" w:cs="Times New Roman"/>
        </w:rPr>
        <w:t xml:space="preserve"> or as dictated by patient needs and tissue perfusion assessment. Rocuronium was used for muscle relaxation and sugam</w:t>
      </w:r>
      <w:r w:rsidR="00017F8F">
        <w:rPr>
          <w:rFonts w:ascii="Times New Roman" w:hAnsi="Times New Roman" w:cs="Times New Roman"/>
        </w:rPr>
        <w:t>m</w:t>
      </w:r>
      <w:r w:rsidRPr="00592C19">
        <w:rPr>
          <w:rFonts w:ascii="Times New Roman" w:hAnsi="Times New Roman" w:cs="Times New Roman"/>
        </w:rPr>
        <w:t xml:space="preserve">adex </w:t>
      </w:r>
      <w:r>
        <w:rPr>
          <w:rFonts w:ascii="Times New Roman" w:hAnsi="Times New Roman" w:cs="Times New Roman"/>
        </w:rPr>
        <w:t xml:space="preserve">was used </w:t>
      </w:r>
      <w:r w:rsidRPr="00592C19">
        <w:rPr>
          <w:rFonts w:ascii="Times New Roman" w:hAnsi="Times New Roman" w:cs="Times New Roman"/>
        </w:rPr>
        <w:t>for reversal</w:t>
      </w:r>
      <w:r>
        <w:rPr>
          <w:rFonts w:ascii="Times New Roman" w:hAnsi="Times New Roman" w:cs="Times New Roman"/>
        </w:rPr>
        <w:t xml:space="preserve"> </w:t>
      </w:r>
      <w:r w:rsidRPr="00BB0516">
        <w:rPr>
          <w:rFonts w:ascii="Times New Roman" w:hAnsi="Times New Roman" w:cs="Times New Roman"/>
        </w:rPr>
        <w:t>(neostigmine</w:t>
      </w:r>
      <w:r w:rsidR="00590B4A" w:rsidRPr="00590B4A">
        <w:rPr>
          <w:rFonts w:ascii="Times New Roman" w:hAnsi="Times New Roman" w:cs="Times New Roman"/>
        </w:rPr>
        <w:t xml:space="preserve"> </w:t>
      </w:r>
      <w:r w:rsidR="00590B4A" w:rsidRPr="00BB0516">
        <w:rPr>
          <w:rFonts w:ascii="Times New Roman" w:hAnsi="Times New Roman" w:cs="Times New Roman"/>
        </w:rPr>
        <w:t>prior to Nov 2018</w:t>
      </w:r>
      <w:r w:rsidRPr="00BB0516">
        <w:rPr>
          <w:rFonts w:ascii="Times New Roman" w:hAnsi="Times New Roman" w:cs="Times New Roman"/>
        </w:rPr>
        <w:t>)</w:t>
      </w:r>
      <w:r>
        <w:rPr>
          <w:rFonts w:ascii="Times New Roman" w:hAnsi="Times New Roman" w:cs="Times New Roman"/>
        </w:rPr>
        <w:t>.</w:t>
      </w:r>
      <w:r w:rsidRPr="00BB0516">
        <w:rPr>
          <w:rFonts w:ascii="Times New Roman" w:hAnsi="Times New Roman" w:cs="Times New Roman"/>
        </w:rPr>
        <w:t xml:space="preserve"> </w:t>
      </w:r>
    </w:p>
    <w:p w14:paraId="3AAEE27C" w14:textId="1CD3FAFF" w:rsidR="00997DCB" w:rsidRPr="00BB46FD" w:rsidRDefault="009F2C2D" w:rsidP="006C4EC4">
      <w:pPr>
        <w:spacing w:before="120" w:after="120" w:line="240" w:lineRule="auto"/>
        <w:rPr>
          <w:rFonts w:ascii="Times New Roman" w:hAnsi="Times New Roman" w:cs="Times New Roman"/>
          <w:i/>
          <w:iCs/>
        </w:rPr>
      </w:pPr>
      <w:r w:rsidRPr="00BB46FD">
        <w:rPr>
          <w:rFonts w:ascii="Times New Roman" w:hAnsi="Times New Roman" w:cs="Times New Roman"/>
          <w:i/>
          <w:iCs/>
        </w:rPr>
        <w:t xml:space="preserve">Surgical </w:t>
      </w:r>
      <w:r w:rsidR="00BB46FD">
        <w:rPr>
          <w:rFonts w:ascii="Times New Roman" w:hAnsi="Times New Roman" w:cs="Times New Roman"/>
          <w:i/>
          <w:iCs/>
        </w:rPr>
        <w:t>t</w:t>
      </w:r>
      <w:r w:rsidRPr="00BB46FD">
        <w:rPr>
          <w:rFonts w:ascii="Times New Roman" w:hAnsi="Times New Roman" w:cs="Times New Roman"/>
          <w:i/>
          <w:iCs/>
        </w:rPr>
        <w:t>echnique</w:t>
      </w:r>
    </w:p>
    <w:p w14:paraId="7199E4D5" w14:textId="1C350275" w:rsidR="006C4EC4" w:rsidRPr="00592C19" w:rsidRDefault="009F2C2D" w:rsidP="006C4EC4">
      <w:pPr>
        <w:spacing w:before="120" w:after="120" w:line="240" w:lineRule="auto"/>
        <w:rPr>
          <w:rFonts w:ascii="Times New Roman" w:hAnsi="Times New Roman" w:cs="Times New Roman"/>
        </w:rPr>
      </w:pPr>
      <w:r>
        <w:rPr>
          <w:rFonts w:ascii="Times New Roman" w:eastAsia="Aptos" w:hAnsi="Times New Roman" w:cs="Times New Roman"/>
        </w:rPr>
        <w:t xml:space="preserve">Peritoneal access was obtained </w:t>
      </w:r>
      <w:r w:rsidRPr="00592C19">
        <w:rPr>
          <w:rFonts w:ascii="Times New Roman" w:hAnsi="Times New Roman" w:cs="Times New Roman"/>
        </w:rPr>
        <w:t xml:space="preserve">with the patient </w:t>
      </w:r>
      <w:r>
        <w:rPr>
          <w:rFonts w:ascii="Times New Roman" w:eastAsia="Aptos" w:hAnsi="Times New Roman" w:cs="Times New Roman"/>
        </w:rPr>
        <w:t>in the supine</w:t>
      </w:r>
      <w:r w:rsidRPr="00592C19">
        <w:rPr>
          <w:rFonts w:ascii="Times New Roman" w:hAnsi="Times New Roman" w:cs="Times New Roman"/>
        </w:rPr>
        <w:t xml:space="preserve"> position by using a long Veress needle in the left subcostal area. Peritoneum was entered under direct vision using </w:t>
      </w:r>
      <w:r>
        <w:rPr>
          <w:rFonts w:ascii="Times New Roman" w:eastAsia="Aptos" w:hAnsi="Times New Roman" w:cs="Times New Roman"/>
        </w:rPr>
        <w:t>a standard</w:t>
      </w:r>
      <w:r>
        <w:rPr>
          <w:rFonts w:ascii="Times New Roman" w:hAnsi="Times New Roman" w:cs="Times New Roman"/>
        </w:rPr>
        <w:t>-</w:t>
      </w:r>
      <w:r w:rsidRPr="00592C19">
        <w:rPr>
          <w:rFonts w:ascii="Times New Roman" w:hAnsi="Times New Roman" w:cs="Times New Roman"/>
        </w:rPr>
        <w:t>length 8</w:t>
      </w:r>
      <w:r>
        <w:rPr>
          <w:rFonts w:ascii="Times New Roman" w:hAnsi="Times New Roman" w:cs="Times New Roman"/>
        </w:rPr>
        <w:t xml:space="preserve"> </w:t>
      </w:r>
      <w:r w:rsidRPr="00592C19">
        <w:rPr>
          <w:rFonts w:ascii="Times New Roman" w:hAnsi="Times New Roman" w:cs="Times New Roman"/>
        </w:rPr>
        <w:t>mm robotic trocar in the left paramedian area</w:t>
      </w:r>
      <w:r>
        <w:rPr>
          <w:rFonts w:ascii="Times New Roman" w:eastAsia="Aptos" w:hAnsi="Times New Roman" w:cs="Times New Roman"/>
        </w:rPr>
        <w:t>, and additional standard robotic trocars were placed in the upper abdomen along with a 15</w:t>
      </w:r>
      <w:r>
        <w:rPr>
          <w:rFonts w:ascii="Times New Roman" w:hAnsi="Times New Roman" w:cs="Times New Roman"/>
        </w:rPr>
        <w:t xml:space="preserve"> </w:t>
      </w:r>
      <w:r w:rsidRPr="00592C19">
        <w:rPr>
          <w:rFonts w:ascii="Times New Roman" w:hAnsi="Times New Roman" w:cs="Times New Roman"/>
        </w:rPr>
        <w:t>cm 15</w:t>
      </w:r>
      <w:r>
        <w:rPr>
          <w:rFonts w:ascii="Times New Roman" w:hAnsi="Times New Roman" w:cs="Times New Roman"/>
        </w:rPr>
        <w:t xml:space="preserve"> </w:t>
      </w:r>
      <w:r w:rsidRPr="00592C19">
        <w:rPr>
          <w:rFonts w:ascii="Times New Roman" w:hAnsi="Times New Roman" w:cs="Times New Roman"/>
        </w:rPr>
        <w:t xml:space="preserve">mm </w:t>
      </w:r>
      <w:r>
        <w:rPr>
          <w:rFonts w:ascii="Times New Roman" w:hAnsi="Times New Roman" w:cs="Times New Roman"/>
        </w:rPr>
        <w:t>right</w:t>
      </w:r>
      <w:r w:rsidRPr="00592C19">
        <w:rPr>
          <w:rFonts w:ascii="Times New Roman" w:hAnsi="Times New Roman" w:cs="Times New Roman"/>
        </w:rPr>
        <w:t xml:space="preserve"> lower paramedian and a 15</w:t>
      </w:r>
      <w:r>
        <w:rPr>
          <w:rFonts w:ascii="Times New Roman" w:hAnsi="Times New Roman" w:cs="Times New Roman"/>
        </w:rPr>
        <w:t xml:space="preserve"> </w:t>
      </w:r>
      <w:r w:rsidRPr="00592C19">
        <w:rPr>
          <w:rFonts w:ascii="Times New Roman" w:hAnsi="Times New Roman" w:cs="Times New Roman"/>
        </w:rPr>
        <w:t>cm</w:t>
      </w:r>
      <w:r>
        <w:rPr>
          <w:rFonts w:ascii="Times New Roman" w:hAnsi="Times New Roman" w:cs="Times New Roman"/>
        </w:rPr>
        <w:t xml:space="preserve"> </w:t>
      </w:r>
      <w:r w:rsidRPr="00592C19">
        <w:rPr>
          <w:rFonts w:ascii="Times New Roman" w:hAnsi="Times New Roman" w:cs="Times New Roman"/>
        </w:rPr>
        <w:t>12</w:t>
      </w:r>
      <w:r>
        <w:rPr>
          <w:rFonts w:ascii="Times New Roman" w:hAnsi="Times New Roman" w:cs="Times New Roman"/>
        </w:rPr>
        <w:t xml:space="preserve"> </w:t>
      </w:r>
      <w:r w:rsidRPr="00592C19">
        <w:rPr>
          <w:rFonts w:ascii="Times New Roman" w:hAnsi="Times New Roman" w:cs="Times New Roman"/>
        </w:rPr>
        <w:t>mm trocar in the left lower abdomen as assist ports along with a 5</w:t>
      </w:r>
      <w:r>
        <w:rPr>
          <w:rFonts w:ascii="Times New Roman" w:hAnsi="Times New Roman" w:cs="Times New Roman"/>
        </w:rPr>
        <w:t xml:space="preserve"> </w:t>
      </w:r>
      <w:r w:rsidRPr="00592C19">
        <w:rPr>
          <w:rFonts w:ascii="Times New Roman" w:hAnsi="Times New Roman" w:cs="Times New Roman"/>
        </w:rPr>
        <w:t>mm right midaxillary trocar for the flexible liver retractor</w:t>
      </w:r>
      <w:r>
        <w:rPr>
          <w:rFonts w:ascii="Times New Roman" w:hAnsi="Times New Roman" w:cs="Times New Roman"/>
        </w:rPr>
        <w:t>,</w:t>
      </w:r>
      <w:r w:rsidRPr="00592C19">
        <w:rPr>
          <w:rFonts w:ascii="Times New Roman" w:hAnsi="Times New Roman" w:cs="Times New Roman"/>
        </w:rPr>
        <w:t xml:space="preserve"> which was secured using a Martin arm following which the </w:t>
      </w:r>
      <w:r>
        <w:rPr>
          <w:rFonts w:ascii="Times New Roman" w:hAnsi="Times New Roman" w:cs="Times New Roman"/>
        </w:rPr>
        <w:t>Xi</w:t>
      </w:r>
      <w:r w:rsidR="00326674">
        <w:rPr>
          <w:rFonts w:ascii="Times New Roman" w:hAnsi="Times New Roman" w:cs="Times New Roman"/>
        </w:rPr>
        <w:t xml:space="preserve"> robot </w:t>
      </w:r>
      <w:r w:rsidRPr="00592C19">
        <w:rPr>
          <w:rFonts w:ascii="Times New Roman" w:hAnsi="Times New Roman" w:cs="Times New Roman"/>
        </w:rPr>
        <w:t>(</w:t>
      </w:r>
      <w:r w:rsidR="00326674">
        <w:rPr>
          <w:rFonts w:ascii="Times New Roman" w:hAnsi="Times New Roman" w:cs="Times New Roman"/>
        </w:rPr>
        <w:t>Si robot prior to Nov 2017</w:t>
      </w:r>
      <w:r>
        <w:rPr>
          <w:rFonts w:ascii="Times New Roman" w:hAnsi="Times New Roman" w:cs="Times New Roman"/>
        </w:rPr>
        <w:t>)</w:t>
      </w:r>
      <w:r w:rsidRPr="00592C19">
        <w:rPr>
          <w:rFonts w:ascii="Times New Roman" w:hAnsi="Times New Roman" w:cs="Times New Roman"/>
        </w:rPr>
        <w:t xml:space="preserve"> was docked for upper abdominal surgery from the patient’s left side. </w:t>
      </w:r>
    </w:p>
    <w:p w14:paraId="37ECB9F6" w14:textId="32D16070" w:rsidR="006C4EC4" w:rsidRPr="00592C19" w:rsidRDefault="009F2C2D" w:rsidP="006C4EC4">
      <w:pPr>
        <w:spacing w:before="120" w:after="120" w:line="240" w:lineRule="auto"/>
        <w:rPr>
          <w:rFonts w:ascii="Times New Roman" w:hAnsi="Times New Roman" w:cs="Times New Roman"/>
        </w:rPr>
      </w:pPr>
      <w:bookmarkStart w:id="3" w:name="_Hlk210297611"/>
      <w:r w:rsidRPr="00592C19">
        <w:rPr>
          <w:rFonts w:ascii="Times New Roman" w:hAnsi="Times New Roman" w:cs="Times New Roman"/>
        </w:rPr>
        <w:t xml:space="preserve">EndoGIA staples using Tri-Staple technology (Covidien/Medtronic) and a powered handle (Signia) buttressed with Veritas absorbable staple-reinforcing material </w:t>
      </w:r>
      <w:bookmarkEnd w:id="3"/>
      <w:r w:rsidRPr="00592C19">
        <w:rPr>
          <w:rFonts w:ascii="Times New Roman" w:hAnsi="Times New Roman" w:cs="Times New Roman"/>
        </w:rPr>
        <w:t xml:space="preserve">was used with all black and purple loads. </w:t>
      </w:r>
      <w:r w:rsidR="007A73FB">
        <w:rPr>
          <w:rFonts w:ascii="Times New Roman" w:hAnsi="Times New Roman" w:cs="Times New Roman"/>
        </w:rPr>
        <w:t>Robotic staplers were not consistently available</w:t>
      </w:r>
      <w:r w:rsidR="00DF7021">
        <w:rPr>
          <w:rFonts w:ascii="Times New Roman" w:hAnsi="Times New Roman" w:cs="Times New Roman"/>
        </w:rPr>
        <w:t xml:space="preserve"> at our institution until ~2021</w:t>
      </w:r>
      <w:r w:rsidR="008F0ECF">
        <w:rPr>
          <w:rFonts w:ascii="Times New Roman" w:hAnsi="Times New Roman" w:cs="Times New Roman"/>
        </w:rPr>
        <w:t xml:space="preserve">, we therefore used the same </w:t>
      </w:r>
      <w:r w:rsidR="00FB080A">
        <w:rPr>
          <w:rFonts w:ascii="Times New Roman" w:hAnsi="Times New Roman" w:cs="Times New Roman"/>
        </w:rPr>
        <w:t xml:space="preserve">powered hand-held </w:t>
      </w:r>
      <w:r w:rsidR="004274BB">
        <w:rPr>
          <w:rFonts w:ascii="Times New Roman" w:hAnsi="Times New Roman" w:cs="Times New Roman"/>
        </w:rPr>
        <w:t xml:space="preserve">endomechanical </w:t>
      </w:r>
      <w:r w:rsidR="00FB080A">
        <w:rPr>
          <w:rFonts w:ascii="Times New Roman" w:hAnsi="Times New Roman" w:cs="Times New Roman"/>
        </w:rPr>
        <w:t>device</w:t>
      </w:r>
      <w:r w:rsidR="00C456D9">
        <w:rPr>
          <w:rFonts w:ascii="Times New Roman" w:hAnsi="Times New Roman" w:cs="Times New Roman"/>
        </w:rPr>
        <w:t xml:space="preserve"> to reduce potential outcome differences related to staplers.</w:t>
      </w:r>
      <w:r w:rsidR="00FB080A">
        <w:rPr>
          <w:rFonts w:ascii="Times New Roman" w:hAnsi="Times New Roman" w:cs="Times New Roman"/>
        </w:rPr>
        <w:t xml:space="preserve"> </w:t>
      </w:r>
      <w:r w:rsidRPr="00592C19">
        <w:rPr>
          <w:rFonts w:ascii="Times New Roman" w:hAnsi="Times New Roman" w:cs="Times New Roman"/>
        </w:rPr>
        <w:t>Gastro</w:t>
      </w:r>
      <w:r>
        <w:rPr>
          <w:rFonts w:ascii="Times New Roman" w:hAnsi="Times New Roman" w:cs="Times New Roman"/>
        </w:rPr>
        <w:t>-</w:t>
      </w:r>
      <w:r w:rsidRPr="00592C19">
        <w:rPr>
          <w:rFonts w:ascii="Times New Roman" w:hAnsi="Times New Roman" w:cs="Times New Roman"/>
        </w:rPr>
        <w:t xml:space="preserve"> and duodenoenterostomies</w:t>
      </w:r>
      <w:r>
        <w:rPr>
          <w:rFonts w:ascii="Times New Roman" w:eastAsia="Aptos" w:hAnsi="Times New Roman" w:cs="Times New Roman"/>
        </w:rPr>
        <w:t>,</w:t>
      </w:r>
      <w:r w:rsidRPr="00592C19">
        <w:rPr>
          <w:rFonts w:ascii="Times New Roman" w:hAnsi="Times New Roman" w:cs="Times New Roman"/>
        </w:rPr>
        <w:t xml:space="preserve"> as well as gastro-gastrostomies</w:t>
      </w:r>
      <w:r>
        <w:rPr>
          <w:rFonts w:ascii="Times New Roman" w:eastAsia="Aptos" w:hAnsi="Times New Roman" w:cs="Times New Roman"/>
        </w:rPr>
        <w:t xml:space="preserve">, were </w:t>
      </w:r>
      <w:r w:rsidRPr="00592C19">
        <w:rPr>
          <w:rFonts w:ascii="Times New Roman" w:hAnsi="Times New Roman" w:cs="Times New Roman"/>
        </w:rPr>
        <w:t>performed using 3/0 absorbable 15</w:t>
      </w:r>
      <w:r>
        <w:rPr>
          <w:rFonts w:ascii="Times New Roman" w:hAnsi="Times New Roman" w:cs="Times New Roman"/>
        </w:rPr>
        <w:t xml:space="preserve"> </w:t>
      </w:r>
      <w:r w:rsidRPr="00592C19">
        <w:rPr>
          <w:rFonts w:ascii="Times New Roman" w:hAnsi="Times New Roman" w:cs="Times New Roman"/>
        </w:rPr>
        <w:t xml:space="preserve">cm V-loc 90 sutures (Vicryl </w:t>
      </w:r>
      <w:r>
        <w:rPr>
          <w:rFonts w:ascii="Times New Roman" w:hAnsi="Times New Roman" w:cs="Times New Roman"/>
        </w:rPr>
        <w:t>sutures</w:t>
      </w:r>
      <w:r w:rsidR="00326674" w:rsidRPr="00326674">
        <w:rPr>
          <w:rFonts w:ascii="Times New Roman" w:hAnsi="Times New Roman" w:cs="Times New Roman"/>
        </w:rPr>
        <w:t xml:space="preserve"> </w:t>
      </w:r>
      <w:r w:rsidR="00326674">
        <w:rPr>
          <w:rFonts w:ascii="Times New Roman" w:hAnsi="Times New Roman" w:cs="Times New Roman"/>
        </w:rPr>
        <w:t>prior to</w:t>
      </w:r>
      <w:r w:rsidR="00326674" w:rsidRPr="00592C19">
        <w:rPr>
          <w:rFonts w:ascii="Times New Roman" w:hAnsi="Times New Roman" w:cs="Times New Roman"/>
        </w:rPr>
        <w:t xml:space="preserve"> Dec 2020</w:t>
      </w:r>
      <w:r w:rsidRPr="00592C19">
        <w:rPr>
          <w:rFonts w:ascii="Times New Roman" w:hAnsi="Times New Roman" w:cs="Times New Roman"/>
        </w:rPr>
        <w:t xml:space="preserve">) in </w:t>
      </w:r>
      <w:r>
        <w:rPr>
          <w:rFonts w:ascii="Times New Roman" w:hAnsi="Times New Roman" w:cs="Times New Roman"/>
        </w:rPr>
        <w:t>two</w:t>
      </w:r>
      <w:r w:rsidRPr="00592C19">
        <w:rPr>
          <w:rFonts w:ascii="Times New Roman" w:hAnsi="Times New Roman" w:cs="Times New Roman"/>
        </w:rPr>
        <w:t xml:space="preserve"> layers and pneumatically tested using a 36</w:t>
      </w:r>
      <w:r>
        <w:rPr>
          <w:rFonts w:ascii="Times New Roman" w:hAnsi="Times New Roman" w:cs="Times New Roman"/>
        </w:rPr>
        <w:t xml:space="preserve"> </w:t>
      </w:r>
      <w:r w:rsidRPr="00592C19">
        <w:rPr>
          <w:rFonts w:ascii="Times New Roman" w:hAnsi="Times New Roman" w:cs="Times New Roman"/>
        </w:rPr>
        <w:t>Fr</w:t>
      </w:r>
      <w:r>
        <w:rPr>
          <w:rFonts w:ascii="Times New Roman" w:hAnsi="Times New Roman" w:cs="Times New Roman"/>
        </w:rPr>
        <w:t>ench</w:t>
      </w:r>
      <w:r w:rsidRPr="00592C19">
        <w:rPr>
          <w:rFonts w:ascii="Times New Roman" w:hAnsi="Times New Roman" w:cs="Times New Roman"/>
        </w:rPr>
        <w:t xml:space="preserve"> orogastric tube </w:t>
      </w:r>
      <w:r>
        <w:rPr>
          <w:rFonts w:ascii="Times New Roman" w:hAnsi="Times New Roman" w:cs="Times New Roman"/>
        </w:rPr>
        <w:t>(</w:t>
      </w:r>
      <w:r w:rsidRPr="00592C19">
        <w:rPr>
          <w:rFonts w:ascii="Times New Roman" w:hAnsi="Times New Roman" w:cs="Times New Roman"/>
        </w:rPr>
        <w:t>intraop</w:t>
      </w:r>
      <w:r>
        <w:rPr>
          <w:rFonts w:ascii="Times New Roman" w:hAnsi="Times New Roman" w:cs="Times New Roman"/>
        </w:rPr>
        <w:t>erative</w:t>
      </w:r>
      <w:r w:rsidRPr="00592C19">
        <w:rPr>
          <w:rFonts w:ascii="Times New Roman" w:hAnsi="Times New Roman" w:cs="Times New Roman"/>
        </w:rPr>
        <w:t xml:space="preserve"> UGI endoscopy</w:t>
      </w:r>
      <w:r w:rsidR="00326674">
        <w:rPr>
          <w:rFonts w:ascii="Times New Roman" w:hAnsi="Times New Roman" w:cs="Times New Roman"/>
        </w:rPr>
        <w:t xml:space="preserve"> </w:t>
      </w:r>
      <w:r w:rsidRPr="00592C19">
        <w:rPr>
          <w:rFonts w:ascii="Times New Roman" w:hAnsi="Times New Roman" w:cs="Times New Roman"/>
        </w:rPr>
        <w:t>prior to</w:t>
      </w:r>
      <w:r>
        <w:rPr>
          <w:rFonts w:ascii="Times New Roman" w:hAnsi="Times New Roman" w:cs="Times New Roman"/>
        </w:rPr>
        <w:t xml:space="preserve"> </w:t>
      </w:r>
      <w:r w:rsidR="007F7F6F">
        <w:rPr>
          <w:rFonts w:ascii="Times New Roman" w:hAnsi="Times New Roman" w:cs="Times New Roman"/>
        </w:rPr>
        <w:t xml:space="preserve">November </w:t>
      </w:r>
      <w:r>
        <w:rPr>
          <w:rFonts w:ascii="Times New Roman" w:hAnsi="Times New Roman" w:cs="Times New Roman"/>
        </w:rPr>
        <w:t>2021</w:t>
      </w:r>
      <w:r w:rsidRPr="00592C19">
        <w:rPr>
          <w:rFonts w:ascii="Times New Roman" w:hAnsi="Times New Roman" w:cs="Times New Roman"/>
        </w:rPr>
        <w:t xml:space="preserve">). Enteroenterostomies were performed in </w:t>
      </w:r>
      <w:r>
        <w:rPr>
          <w:rFonts w:ascii="Times New Roman" w:eastAsia="Aptos" w:hAnsi="Times New Roman" w:cs="Times New Roman"/>
        </w:rPr>
        <w:t>a side-to-side, functional</w:t>
      </w:r>
      <w:r>
        <w:rPr>
          <w:rFonts w:ascii="Times New Roman" w:hAnsi="Times New Roman" w:cs="Times New Roman"/>
        </w:rPr>
        <w:t>-</w:t>
      </w:r>
      <w:r w:rsidRPr="00592C19">
        <w:rPr>
          <w:rFonts w:ascii="Times New Roman" w:hAnsi="Times New Roman" w:cs="Times New Roman"/>
        </w:rPr>
        <w:t>end</w:t>
      </w:r>
      <w:r>
        <w:rPr>
          <w:rFonts w:ascii="Times New Roman" w:hAnsi="Times New Roman" w:cs="Times New Roman"/>
        </w:rPr>
        <w:t>-</w:t>
      </w:r>
      <w:r w:rsidRPr="00592C19">
        <w:rPr>
          <w:rFonts w:ascii="Times New Roman" w:hAnsi="Times New Roman" w:cs="Times New Roman"/>
        </w:rPr>
        <w:t>to</w:t>
      </w:r>
      <w:r>
        <w:rPr>
          <w:rFonts w:ascii="Times New Roman" w:hAnsi="Times New Roman" w:cs="Times New Roman"/>
        </w:rPr>
        <w:t>-</w:t>
      </w:r>
      <w:r w:rsidRPr="00592C19">
        <w:rPr>
          <w:rFonts w:ascii="Times New Roman" w:hAnsi="Times New Roman" w:cs="Times New Roman"/>
        </w:rPr>
        <w:t>side fashion using a 60</w:t>
      </w:r>
      <w:r>
        <w:rPr>
          <w:rFonts w:ascii="Times New Roman" w:hAnsi="Times New Roman" w:cs="Times New Roman"/>
        </w:rPr>
        <w:t xml:space="preserve"> </w:t>
      </w:r>
      <w:r w:rsidRPr="00592C19">
        <w:rPr>
          <w:rFonts w:ascii="Times New Roman" w:hAnsi="Times New Roman" w:cs="Times New Roman"/>
        </w:rPr>
        <w:t>mm tan load to create them and a buttressed 60</w:t>
      </w:r>
      <w:r>
        <w:rPr>
          <w:rFonts w:ascii="Times New Roman" w:hAnsi="Times New Roman" w:cs="Times New Roman"/>
        </w:rPr>
        <w:t xml:space="preserve"> </w:t>
      </w:r>
      <w:r w:rsidRPr="00592C19">
        <w:rPr>
          <w:rFonts w:ascii="Times New Roman" w:hAnsi="Times New Roman" w:cs="Times New Roman"/>
        </w:rPr>
        <w:t xml:space="preserve">mm purple load to close them. Human fibrin sealant (Tissel, Baxter) was applied </w:t>
      </w:r>
      <w:r w:rsidR="006F67A4" w:rsidRPr="00592C19">
        <w:rPr>
          <w:rFonts w:ascii="Times New Roman" w:hAnsi="Times New Roman" w:cs="Times New Roman"/>
        </w:rPr>
        <w:t>intraluminal</w:t>
      </w:r>
      <w:r>
        <w:rPr>
          <w:rFonts w:ascii="Times New Roman" w:eastAsia="Aptos" w:hAnsi="Times New Roman" w:cs="Times New Roman"/>
        </w:rPr>
        <w:t>ly</w:t>
      </w:r>
      <w:r w:rsidRPr="00592C19">
        <w:rPr>
          <w:rFonts w:ascii="Times New Roman" w:hAnsi="Times New Roman" w:cs="Times New Roman"/>
        </w:rPr>
        <w:t xml:space="preserve"> to minimize the risk </w:t>
      </w:r>
      <w:r>
        <w:rPr>
          <w:rFonts w:ascii="Times New Roman" w:hAnsi="Times New Roman" w:cs="Times New Roman"/>
        </w:rPr>
        <w:t>of</w:t>
      </w:r>
      <w:r w:rsidRPr="00592C19">
        <w:rPr>
          <w:rFonts w:ascii="Times New Roman" w:hAnsi="Times New Roman" w:cs="Times New Roman"/>
        </w:rPr>
        <w:t xml:space="preserve"> bleeding (</w:t>
      </w:r>
      <w:r w:rsidR="00833955">
        <w:rPr>
          <w:rFonts w:ascii="Times New Roman" w:hAnsi="Times New Roman" w:cs="Times New Roman"/>
        </w:rPr>
        <w:t>after</w:t>
      </w:r>
      <w:r w:rsidR="00B05CBA">
        <w:rPr>
          <w:rFonts w:ascii="Times New Roman" w:hAnsi="Times New Roman" w:cs="Times New Roman"/>
        </w:rPr>
        <w:t xml:space="preserve"> </w:t>
      </w:r>
      <w:r w:rsidR="00CE09B7">
        <w:rPr>
          <w:rFonts w:ascii="Times New Roman" w:hAnsi="Times New Roman" w:cs="Times New Roman"/>
        </w:rPr>
        <w:t>July 2022</w:t>
      </w:r>
      <w:r w:rsidRPr="00592C19">
        <w:rPr>
          <w:rFonts w:ascii="Times New Roman" w:hAnsi="Times New Roman" w:cs="Times New Roman"/>
        </w:rPr>
        <w:t xml:space="preserve">). Mesenteric defects were closed using running </w:t>
      </w:r>
      <w:r>
        <w:rPr>
          <w:rFonts w:ascii="Times New Roman" w:hAnsi="Times New Roman" w:cs="Times New Roman"/>
        </w:rPr>
        <w:t xml:space="preserve">3/0 </w:t>
      </w:r>
      <w:r w:rsidRPr="00592C19">
        <w:rPr>
          <w:rFonts w:ascii="Times New Roman" w:hAnsi="Times New Roman" w:cs="Times New Roman"/>
        </w:rPr>
        <w:t>non-absorbable 15</w:t>
      </w:r>
      <w:r>
        <w:rPr>
          <w:rFonts w:ascii="Times New Roman" w:hAnsi="Times New Roman" w:cs="Times New Roman"/>
        </w:rPr>
        <w:t xml:space="preserve"> </w:t>
      </w:r>
      <w:r w:rsidRPr="00592C19">
        <w:rPr>
          <w:rFonts w:ascii="Times New Roman" w:hAnsi="Times New Roman" w:cs="Times New Roman"/>
        </w:rPr>
        <w:t>cm V-loc sutures (</w:t>
      </w:r>
      <w:r w:rsidR="00326674">
        <w:rPr>
          <w:rFonts w:ascii="Times New Roman" w:hAnsi="Times New Roman" w:cs="Times New Roman"/>
        </w:rPr>
        <w:t xml:space="preserve">Ethibond sutures </w:t>
      </w:r>
      <w:r>
        <w:rPr>
          <w:rFonts w:ascii="Times New Roman" w:hAnsi="Times New Roman" w:cs="Times New Roman"/>
        </w:rPr>
        <w:t>prior to</w:t>
      </w:r>
      <w:r w:rsidRPr="00592C19">
        <w:rPr>
          <w:rFonts w:ascii="Times New Roman" w:hAnsi="Times New Roman" w:cs="Times New Roman"/>
        </w:rPr>
        <w:t xml:space="preserve"> Dec 2020). The fascia was closed at the 15</w:t>
      </w:r>
      <w:r>
        <w:rPr>
          <w:rFonts w:ascii="Times New Roman" w:hAnsi="Times New Roman" w:cs="Times New Roman"/>
        </w:rPr>
        <w:t xml:space="preserve"> </w:t>
      </w:r>
      <w:r w:rsidRPr="00592C19">
        <w:rPr>
          <w:rFonts w:ascii="Times New Roman" w:hAnsi="Times New Roman" w:cs="Times New Roman"/>
        </w:rPr>
        <w:t>mm and 12</w:t>
      </w:r>
      <w:r>
        <w:rPr>
          <w:rFonts w:ascii="Times New Roman" w:hAnsi="Times New Roman" w:cs="Times New Roman"/>
        </w:rPr>
        <w:t xml:space="preserve"> </w:t>
      </w:r>
      <w:r w:rsidRPr="00592C19">
        <w:rPr>
          <w:rFonts w:ascii="Times New Roman" w:hAnsi="Times New Roman" w:cs="Times New Roman"/>
        </w:rPr>
        <w:t>mm trocar sites using 0 Vicryl sutures with a non-disposable fascial closure device (Carter Thomasson).</w:t>
      </w:r>
    </w:p>
    <w:p w14:paraId="0FA6F281" w14:textId="39472DB7" w:rsidR="006C4EC4" w:rsidRPr="00592C19" w:rsidRDefault="009F2C2D" w:rsidP="006C4EC4">
      <w:pPr>
        <w:spacing w:before="120" w:after="120" w:line="240" w:lineRule="auto"/>
        <w:rPr>
          <w:rFonts w:ascii="Times New Roman" w:hAnsi="Times New Roman" w:cs="Times New Roman"/>
        </w:rPr>
      </w:pPr>
      <w:r w:rsidRPr="00592C19">
        <w:rPr>
          <w:rFonts w:ascii="Times New Roman" w:hAnsi="Times New Roman" w:cs="Times New Roman"/>
        </w:rPr>
        <w:t>V</w:t>
      </w:r>
      <w:r w:rsidR="00454953">
        <w:rPr>
          <w:rFonts w:ascii="Times New Roman" w:hAnsi="Times New Roman" w:cs="Times New Roman"/>
        </w:rPr>
        <w:t>ertical sleeve gastrectomy</w:t>
      </w:r>
      <w:r w:rsidRPr="00592C19">
        <w:rPr>
          <w:rFonts w:ascii="Times New Roman" w:hAnsi="Times New Roman" w:cs="Times New Roman"/>
        </w:rPr>
        <w:t xml:space="preserve"> </w:t>
      </w:r>
      <w:r w:rsidR="00BC4545">
        <w:rPr>
          <w:rFonts w:ascii="Times New Roman" w:hAnsi="Times New Roman" w:cs="Times New Roman"/>
        </w:rPr>
        <w:t xml:space="preserve">(VSG) </w:t>
      </w:r>
      <w:r w:rsidRPr="00592C19">
        <w:rPr>
          <w:rFonts w:ascii="Times New Roman" w:hAnsi="Times New Roman" w:cs="Times New Roman"/>
        </w:rPr>
        <w:t xml:space="preserve">was performed using </w:t>
      </w:r>
      <w:r>
        <w:rPr>
          <w:rFonts w:ascii="Times New Roman" w:eastAsia="Aptos" w:hAnsi="Times New Roman" w:cs="Times New Roman"/>
        </w:rPr>
        <w:t>a non-disposable 34 French blunt</w:t>
      </w:r>
      <w:r>
        <w:rPr>
          <w:rFonts w:ascii="Times New Roman" w:hAnsi="Times New Roman" w:cs="Times New Roman"/>
        </w:rPr>
        <w:t>-</w:t>
      </w:r>
      <w:r w:rsidRPr="00592C19">
        <w:rPr>
          <w:rFonts w:ascii="Times New Roman" w:hAnsi="Times New Roman" w:cs="Times New Roman"/>
        </w:rPr>
        <w:t>tipped bougie (Pilling) with a 60</w:t>
      </w:r>
      <w:r>
        <w:rPr>
          <w:rFonts w:ascii="Times New Roman" w:hAnsi="Times New Roman" w:cs="Times New Roman"/>
        </w:rPr>
        <w:t xml:space="preserve"> </w:t>
      </w:r>
      <w:r w:rsidRPr="00592C19">
        <w:rPr>
          <w:rFonts w:ascii="Times New Roman" w:hAnsi="Times New Roman" w:cs="Times New Roman"/>
        </w:rPr>
        <w:t>mm black and purple load starting ~4</w:t>
      </w:r>
      <w:r>
        <w:rPr>
          <w:rFonts w:ascii="Times New Roman" w:hAnsi="Times New Roman" w:cs="Times New Roman"/>
        </w:rPr>
        <w:t xml:space="preserve"> </w:t>
      </w:r>
      <w:r w:rsidRPr="00592C19">
        <w:rPr>
          <w:rFonts w:ascii="Times New Roman" w:hAnsi="Times New Roman" w:cs="Times New Roman"/>
        </w:rPr>
        <w:t>cm from the pylorus</w:t>
      </w:r>
      <w:r>
        <w:rPr>
          <w:rFonts w:ascii="Times New Roman" w:hAnsi="Times New Roman" w:cs="Times New Roman"/>
        </w:rPr>
        <w:t>,</w:t>
      </w:r>
      <w:r w:rsidRPr="00592C19">
        <w:rPr>
          <w:rFonts w:ascii="Times New Roman" w:hAnsi="Times New Roman" w:cs="Times New Roman"/>
        </w:rPr>
        <w:t xml:space="preserve"> ~1.5 cm from the incisura</w:t>
      </w:r>
      <w:r>
        <w:rPr>
          <w:rFonts w:ascii="Times New Roman" w:hAnsi="Times New Roman" w:cs="Times New Roman"/>
        </w:rPr>
        <w:t>,</w:t>
      </w:r>
      <w:r w:rsidRPr="00592C19">
        <w:rPr>
          <w:rFonts w:ascii="Times New Roman" w:hAnsi="Times New Roman" w:cs="Times New Roman"/>
        </w:rPr>
        <w:t xml:space="preserve"> and 1</w:t>
      </w:r>
      <w:r>
        <w:rPr>
          <w:rFonts w:ascii="Times New Roman" w:hAnsi="Times New Roman" w:cs="Times New Roman"/>
        </w:rPr>
        <w:t xml:space="preserve"> </w:t>
      </w:r>
      <w:r w:rsidRPr="00592C19">
        <w:rPr>
          <w:rFonts w:ascii="Times New Roman" w:hAnsi="Times New Roman" w:cs="Times New Roman"/>
        </w:rPr>
        <w:t xml:space="preserve">cm from the gastroesophageal </w:t>
      </w:r>
      <w:r>
        <w:rPr>
          <w:rFonts w:ascii="Times New Roman" w:hAnsi="Times New Roman" w:cs="Times New Roman"/>
        </w:rPr>
        <w:t>(</w:t>
      </w:r>
      <w:r w:rsidRPr="00592C19">
        <w:rPr>
          <w:rFonts w:ascii="Times New Roman" w:hAnsi="Times New Roman" w:cs="Times New Roman"/>
        </w:rPr>
        <w:t>GE</w:t>
      </w:r>
      <w:r>
        <w:rPr>
          <w:rFonts w:ascii="Times New Roman" w:hAnsi="Times New Roman" w:cs="Times New Roman"/>
        </w:rPr>
        <w:t>)</w:t>
      </w:r>
      <w:r w:rsidRPr="00592C19">
        <w:rPr>
          <w:rFonts w:ascii="Times New Roman" w:hAnsi="Times New Roman" w:cs="Times New Roman"/>
        </w:rPr>
        <w:t xml:space="preserve"> junction. </w:t>
      </w:r>
      <w:r>
        <w:rPr>
          <w:rFonts w:ascii="Times New Roman" w:hAnsi="Times New Roman" w:cs="Times New Roman"/>
        </w:rPr>
        <w:t xml:space="preserve">Forty </w:t>
      </w:r>
      <w:r w:rsidRPr="00592C19">
        <w:rPr>
          <w:rFonts w:ascii="Times New Roman" w:hAnsi="Times New Roman" w:cs="Times New Roman"/>
        </w:rPr>
        <w:t>Fr</w:t>
      </w:r>
      <w:r>
        <w:rPr>
          <w:rFonts w:ascii="Times New Roman" w:hAnsi="Times New Roman" w:cs="Times New Roman"/>
        </w:rPr>
        <w:t>ench</w:t>
      </w:r>
      <w:r w:rsidRPr="00592C19">
        <w:rPr>
          <w:rFonts w:ascii="Times New Roman" w:hAnsi="Times New Roman" w:cs="Times New Roman"/>
        </w:rPr>
        <w:t xml:space="preserve"> were used in men undergoing </w:t>
      </w:r>
      <w:r w:rsidR="00454953">
        <w:rPr>
          <w:rFonts w:ascii="Times New Roman" w:hAnsi="Times New Roman" w:cs="Times New Roman"/>
        </w:rPr>
        <w:t>duodenal switch (</w:t>
      </w:r>
      <w:r w:rsidRPr="00592C19">
        <w:rPr>
          <w:rFonts w:ascii="Times New Roman" w:hAnsi="Times New Roman" w:cs="Times New Roman"/>
        </w:rPr>
        <w:t>DS</w:t>
      </w:r>
      <w:r w:rsidR="00454953">
        <w:rPr>
          <w:rFonts w:ascii="Times New Roman" w:hAnsi="Times New Roman" w:cs="Times New Roman"/>
        </w:rPr>
        <w:t>)</w:t>
      </w:r>
      <w:r w:rsidRPr="00592C19">
        <w:rPr>
          <w:rFonts w:ascii="Times New Roman" w:hAnsi="Times New Roman" w:cs="Times New Roman"/>
        </w:rPr>
        <w:t xml:space="preserve"> and single-anastomosis duodenal ileal (SADI) bypass. Revision vertical partial gastrectomy was fashioned to resemble this</w:t>
      </w:r>
      <w:r>
        <w:rPr>
          <w:rFonts w:ascii="Times New Roman" w:hAnsi="Times New Roman" w:cs="Times New Roman"/>
        </w:rPr>
        <w:t>,</w:t>
      </w:r>
      <w:r w:rsidRPr="00592C19">
        <w:rPr>
          <w:rFonts w:ascii="Times New Roman" w:hAnsi="Times New Roman" w:cs="Times New Roman"/>
        </w:rPr>
        <w:t xml:space="preserve"> as dictated by the orientation of the previous staple lines, sometimes necessitating removal of the dilated remnants in </w:t>
      </w:r>
      <w:r>
        <w:rPr>
          <w:rFonts w:ascii="Times New Roman" w:hAnsi="Times New Roman" w:cs="Times New Roman"/>
        </w:rPr>
        <w:t>two</w:t>
      </w:r>
      <w:r w:rsidRPr="00592C19">
        <w:rPr>
          <w:rFonts w:ascii="Times New Roman" w:hAnsi="Times New Roman" w:cs="Times New Roman"/>
        </w:rPr>
        <w:t xml:space="preserve"> different portions</w:t>
      </w:r>
      <w:r>
        <w:rPr>
          <w:rFonts w:ascii="Times New Roman" w:hAnsi="Times New Roman" w:cs="Times New Roman"/>
        </w:rPr>
        <w:t>,</w:t>
      </w:r>
      <w:r w:rsidRPr="00592C19">
        <w:rPr>
          <w:rFonts w:ascii="Times New Roman" w:hAnsi="Times New Roman" w:cs="Times New Roman"/>
        </w:rPr>
        <w:t xml:space="preserve"> sparing the incisura area</w:t>
      </w:r>
      <w:r>
        <w:rPr>
          <w:rFonts w:ascii="Times New Roman" w:eastAsia="Aptos" w:hAnsi="Times New Roman" w:cs="Times New Roman"/>
        </w:rPr>
        <w:t>, especially if the staple</w:t>
      </w:r>
      <w:r w:rsidRPr="00592C19">
        <w:rPr>
          <w:rFonts w:ascii="Times New Roman" w:hAnsi="Times New Roman" w:cs="Times New Roman"/>
        </w:rPr>
        <w:t xml:space="preserve"> line was not parallel to the lesser curvature or twisted</w:t>
      </w:r>
      <w:r>
        <w:rPr>
          <w:rFonts w:ascii="Times New Roman" w:hAnsi="Times New Roman" w:cs="Times New Roman"/>
        </w:rPr>
        <w:t>.</w:t>
      </w:r>
    </w:p>
    <w:p w14:paraId="12B1F411" w14:textId="5EE72F53" w:rsidR="006C4EC4" w:rsidRPr="00592C19" w:rsidRDefault="009F2C2D" w:rsidP="006C4EC4">
      <w:pPr>
        <w:spacing w:before="120" w:after="120" w:line="240" w:lineRule="auto"/>
        <w:rPr>
          <w:rFonts w:ascii="Times New Roman" w:hAnsi="Times New Roman" w:cs="Times New Roman"/>
        </w:rPr>
      </w:pPr>
      <w:r>
        <w:rPr>
          <w:rFonts w:ascii="Times New Roman" w:eastAsia="Aptos" w:hAnsi="Times New Roman" w:cs="Times New Roman"/>
        </w:rPr>
        <w:t xml:space="preserve">The </w:t>
      </w:r>
      <w:r w:rsidRPr="00592C19">
        <w:rPr>
          <w:rFonts w:ascii="Times New Roman" w:hAnsi="Times New Roman" w:cs="Times New Roman"/>
        </w:rPr>
        <w:t>alimentary limb lengths were 225</w:t>
      </w:r>
      <w:r>
        <w:rPr>
          <w:rFonts w:ascii="Times New Roman" w:hAnsi="Times New Roman" w:cs="Times New Roman"/>
        </w:rPr>
        <w:t>–</w:t>
      </w:r>
      <w:r w:rsidRPr="00592C19">
        <w:rPr>
          <w:rFonts w:ascii="Times New Roman" w:hAnsi="Times New Roman" w:cs="Times New Roman"/>
        </w:rPr>
        <w:t>400</w:t>
      </w:r>
      <w:r>
        <w:rPr>
          <w:rFonts w:ascii="Times New Roman" w:hAnsi="Times New Roman" w:cs="Times New Roman"/>
        </w:rPr>
        <w:t xml:space="preserve"> </w:t>
      </w:r>
      <w:r w:rsidRPr="00592C19">
        <w:rPr>
          <w:rFonts w:ascii="Times New Roman" w:hAnsi="Times New Roman" w:cs="Times New Roman"/>
        </w:rPr>
        <w:t>cm</w:t>
      </w:r>
      <w:r>
        <w:rPr>
          <w:rFonts w:ascii="Times New Roman" w:hAnsi="Times New Roman" w:cs="Times New Roman"/>
        </w:rPr>
        <w:t>,</w:t>
      </w:r>
      <w:r w:rsidRPr="00592C19">
        <w:rPr>
          <w:rFonts w:ascii="Times New Roman" w:hAnsi="Times New Roman" w:cs="Times New Roman"/>
        </w:rPr>
        <w:t xml:space="preserve"> with 100</w:t>
      </w:r>
      <w:r>
        <w:rPr>
          <w:rFonts w:ascii="Times New Roman" w:hAnsi="Times New Roman" w:cs="Times New Roman"/>
        </w:rPr>
        <w:t>–</w:t>
      </w:r>
      <w:r w:rsidRPr="00592C19">
        <w:rPr>
          <w:rFonts w:ascii="Times New Roman" w:hAnsi="Times New Roman" w:cs="Times New Roman"/>
        </w:rPr>
        <w:t>300</w:t>
      </w:r>
      <w:r>
        <w:rPr>
          <w:rFonts w:ascii="Times New Roman" w:hAnsi="Times New Roman" w:cs="Times New Roman"/>
        </w:rPr>
        <w:t xml:space="preserve"> </w:t>
      </w:r>
      <w:r w:rsidRPr="00592C19">
        <w:rPr>
          <w:rFonts w:ascii="Times New Roman" w:hAnsi="Times New Roman" w:cs="Times New Roman"/>
        </w:rPr>
        <w:t>cm common channel lengths and 100</w:t>
      </w:r>
      <w:r>
        <w:rPr>
          <w:rFonts w:ascii="Times New Roman" w:hAnsi="Times New Roman" w:cs="Times New Roman"/>
        </w:rPr>
        <w:t>–</w:t>
      </w:r>
      <w:r w:rsidRPr="00592C19">
        <w:rPr>
          <w:rFonts w:ascii="Times New Roman" w:hAnsi="Times New Roman" w:cs="Times New Roman"/>
        </w:rPr>
        <w:t>150</w:t>
      </w:r>
      <w:r>
        <w:rPr>
          <w:rFonts w:ascii="Times New Roman" w:hAnsi="Times New Roman" w:cs="Times New Roman"/>
        </w:rPr>
        <w:t xml:space="preserve"> </w:t>
      </w:r>
      <w:r w:rsidRPr="00592C19">
        <w:rPr>
          <w:rFonts w:ascii="Times New Roman" w:hAnsi="Times New Roman" w:cs="Times New Roman"/>
        </w:rPr>
        <w:t xml:space="preserve">cm Roux limb with an antecolic duodeno-enterostomy. </w:t>
      </w:r>
      <w:r w:rsidR="00454953" w:rsidRPr="00592C19">
        <w:rPr>
          <w:rFonts w:ascii="Times New Roman" w:hAnsi="Times New Roman" w:cs="Times New Roman"/>
        </w:rPr>
        <w:t>Proximal Roux-en-</w:t>
      </w:r>
      <w:r w:rsidR="00454953">
        <w:rPr>
          <w:rFonts w:ascii="Times New Roman" w:hAnsi="Times New Roman" w:cs="Times New Roman"/>
        </w:rPr>
        <w:t>Y</w:t>
      </w:r>
      <w:r w:rsidR="00454953" w:rsidRPr="00592C19">
        <w:rPr>
          <w:rFonts w:ascii="Times New Roman" w:hAnsi="Times New Roman" w:cs="Times New Roman"/>
        </w:rPr>
        <w:t xml:space="preserve"> </w:t>
      </w:r>
      <w:r w:rsidR="00454953">
        <w:rPr>
          <w:rFonts w:ascii="Times New Roman" w:hAnsi="Times New Roman" w:cs="Times New Roman"/>
        </w:rPr>
        <w:t>g</w:t>
      </w:r>
      <w:r w:rsidR="00454953" w:rsidRPr="00592C19">
        <w:rPr>
          <w:rFonts w:ascii="Times New Roman" w:hAnsi="Times New Roman" w:cs="Times New Roman"/>
        </w:rPr>
        <w:t xml:space="preserve">astric </w:t>
      </w:r>
      <w:r w:rsidR="00454953">
        <w:rPr>
          <w:rFonts w:ascii="Times New Roman" w:hAnsi="Times New Roman" w:cs="Times New Roman"/>
        </w:rPr>
        <w:t>b</w:t>
      </w:r>
      <w:r w:rsidR="00454953" w:rsidRPr="00592C19">
        <w:rPr>
          <w:rFonts w:ascii="Times New Roman" w:hAnsi="Times New Roman" w:cs="Times New Roman"/>
        </w:rPr>
        <w:t>ypass</w:t>
      </w:r>
      <w:r w:rsidRPr="00592C19">
        <w:rPr>
          <w:rFonts w:ascii="Times New Roman" w:hAnsi="Times New Roman" w:cs="Times New Roman"/>
        </w:rPr>
        <w:t xml:space="preserve"> was performed using </w:t>
      </w:r>
      <w:r>
        <w:rPr>
          <w:rFonts w:ascii="Times New Roman" w:eastAsia="Aptos" w:hAnsi="Times New Roman" w:cs="Times New Roman"/>
        </w:rPr>
        <w:t>a 45</w:t>
      </w:r>
      <w:r>
        <w:rPr>
          <w:rFonts w:ascii="Times New Roman" w:hAnsi="Times New Roman" w:cs="Times New Roman"/>
        </w:rPr>
        <w:t xml:space="preserve"> </w:t>
      </w:r>
      <w:r w:rsidRPr="00592C19">
        <w:rPr>
          <w:rFonts w:ascii="Times New Roman" w:hAnsi="Times New Roman" w:cs="Times New Roman"/>
        </w:rPr>
        <w:t xml:space="preserve">cm purple load at right angles to the lesser curve and at least </w:t>
      </w:r>
      <w:r>
        <w:rPr>
          <w:rFonts w:ascii="Times New Roman" w:hAnsi="Times New Roman" w:cs="Times New Roman"/>
        </w:rPr>
        <w:t>two</w:t>
      </w:r>
      <w:r w:rsidRPr="00592C19">
        <w:rPr>
          <w:rFonts w:ascii="Times New Roman" w:hAnsi="Times New Roman" w:cs="Times New Roman"/>
        </w:rPr>
        <w:t xml:space="preserve"> </w:t>
      </w:r>
      <w:r w:rsidRPr="00592C19">
        <w:rPr>
          <w:rFonts w:ascii="Times New Roman" w:hAnsi="Times New Roman" w:cs="Times New Roman"/>
        </w:rPr>
        <w:lastRenderedPageBreak/>
        <w:t>60</w:t>
      </w:r>
      <w:r>
        <w:rPr>
          <w:rFonts w:ascii="Times New Roman" w:hAnsi="Times New Roman" w:cs="Times New Roman"/>
        </w:rPr>
        <w:t xml:space="preserve"> </w:t>
      </w:r>
      <w:r w:rsidRPr="00592C19">
        <w:rPr>
          <w:rFonts w:ascii="Times New Roman" w:hAnsi="Times New Roman" w:cs="Times New Roman"/>
        </w:rPr>
        <w:t>mm purple loads to complete the gastric transection through the angle of His at least 1</w:t>
      </w:r>
      <w:r>
        <w:rPr>
          <w:rFonts w:ascii="Times New Roman" w:hAnsi="Times New Roman" w:cs="Times New Roman"/>
        </w:rPr>
        <w:t xml:space="preserve"> </w:t>
      </w:r>
      <w:r w:rsidRPr="00592C19">
        <w:rPr>
          <w:rFonts w:ascii="Times New Roman" w:hAnsi="Times New Roman" w:cs="Times New Roman"/>
        </w:rPr>
        <w:t xml:space="preserve">cm from the </w:t>
      </w:r>
      <w:r>
        <w:rPr>
          <w:rFonts w:ascii="Times New Roman" w:hAnsi="Times New Roman" w:cs="Times New Roman"/>
        </w:rPr>
        <w:t>GE</w:t>
      </w:r>
      <w:r w:rsidRPr="00592C19">
        <w:rPr>
          <w:rFonts w:ascii="Times New Roman" w:hAnsi="Times New Roman" w:cs="Times New Roman"/>
        </w:rPr>
        <w:t xml:space="preserve"> junction to create a vertically oriented 5</w:t>
      </w:r>
      <w:r>
        <w:rPr>
          <w:rFonts w:ascii="Times New Roman" w:hAnsi="Times New Roman" w:cs="Times New Roman"/>
        </w:rPr>
        <w:t xml:space="preserve"> </w:t>
      </w:r>
      <w:r w:rsidRPr="00592C19">
        <w:rPr>
          <w:rFonts w:ascii="Times New Roman" w:hAnsi="Times New Roman" w:cs="Times New Roman"/>
        </w:rPr>
        <w:t>cm lesser curvature pouch. A retrocolic antegastric gastroenterostomy was then performed</w:t>
      </w:r>
      <w:r>
        <w:rPr>
          <w:rFonts w:ascii="Times New Roman" w:hAnsi="Times New Roman" w:cs="Times New Roman"/>
        </w:rPr>
        <w:t>,</w:t>
      </w:r>
      <w:r w:rsidRPr="00592C19">
        <w:rPr>
          <w:rFonts w:ascii="Times New Roman" w:hAnsi="Times New Roman" w:cs="Times New Roman"/>
        </w:rPr>
        <w:t xml:space="preserve"> with a 100</w:t>
      </w:r>
      <w:r>
        <w:rPr>
          <w:rFonts w:ascii="Times New Roman" w:hAnsi="Times New Roman" w:cs="Times New Roman"/>
        </w:rPr>
        <w:t xml:space="preserve"> </w:t>
      </w:r>
      <w:r w:rsidRPr="00592C19">
        <w:rPr>
          <w:rFonts w:ascii="Times New Roman" w:hAnsi="Times New Roman" w:cs="Times New Roman"/>
        </w:rPr>
        <w:t xml:space="preserve">cm Roux limb using a supra-mesocolic approach to locate the </w:t>
      </w:r>
      <w:r w:rsidR="007C0942">
        <w:rPr>
          <w:rFonts w:ascii="Times New Roman" w:hAnsi="Times New Roman" w:cs="Times New Roman"/>
        </w:rPr>
        <w:t xml:space="preserve">suspensory muscle </w:t>
      </w:r>
      <w:r w:rsidRPr="00592C19">
        <w:rPr>
          <w:rFonts w:ascii="Times New Roman" w:hAnsi="Times New Roman" w:cs="Times New Roman"/>
        </w:rPr>
        <w:t xml:space="preserve"> of Trietz and measure a 150</w:t>
      </w:r>
      <w:r>
        <w:rPr>
          <w:rFonts w:ascii="Times New Roman" w:hAnsi="Times New Roman" w:cs="Times New Roman"/>
        </w:rPr>
        <w:t xml:space="preserve"> </w:t>
      </w:r>
      <w:r w:rsidRPr="00592C19">
        <w:rPr>
          <w:rFonts w:ascii="Times New Roman" w:hAnsi="Times New Roman" w:cs="Times New Roman"/>
        </w:rPr>
        <w:t xml:space="preserve">cm biliopancreatic limb. </w:t>
      </w:r>
    </w:p>
    <w:p w14:paraId="4FECE24D" w14:textId="49C4F8F9" w:rsidR="006C4EC4" w:rsidRDefault="009F2C2D" w:rsidP="006C4EC4">
      <w:pPr>
        <w:spacing w:before="120" w:after="120" w:line="240" w:lineRule="auto"/>
        <w:rPr>
          <w:rFonts w:ascii="Times New Roman" w:hAnsi="Times New Roman" w:cs="Times New Roman"/>
        </w:rPr>
      </w:pPr>
      <w:r w:rsidRPr="00592C19">
        <w:rPr>
          <w:rFonts w:ascii="Times New Roman" w:hAnsi="Times New Roman" w:cs="Times New Roman"/>
        </w:rPr>
        <w:t xml:space="preserve">Cholecystectomies were performed in all </w:t>
      </w:r>
      <w:r>
        <w:rPr>
          <w:rFonts w:ascii="Times New Roman" w:eastAsia="Aptos" w:hAnsi="Times New Roman" w:cs="Times New Roman"/>
        </w:rPr>
        <w:t xml:space="preserve">patients with DS and SADI </w:t>
      </w:r>
      <w:r w:rsidRPr="00592C19">
        <w:rPr>
          <w:rFonts w:ascii="Times New Roman" w:hAnsi="Times New Roman" w:cs="Times New Roman"/>
        </w:rPr>
        <w:t>and in all bariatric patients (</w:t>
      </w:r>
      <w:r>
        <w:rPr>
          <w:rFonts w:ascii="Times New Roman" w:hAnsi="Times New Roman" w:cs="Times New Roman"/>
        </w:rPr>
        <w:t>only in those with gallstones or other symptomatic gallbladder disease</w:t>
      </w:r>
      <w:r>
        <w:rPr>
          <w:rFonts w:ascii="Times New Roman" w:eastAsia="Aptos" w:hAnsi="Times New Roman" w:cs="Times New Roman"/>
        </w:rPr>
        <w:t>s prior to</w:t>
      </w:r>
      <w:r w:rsidRPr="00592C19">
        <w:rPr>
          <w:rFonts w:ascii="Times New Roman" w:hAnsi="Times New Roman" w:cs="Times New Roman"/>
        </w:rPr>
        <w:t xml:space="preserve"> August 2017</w:t>
      </w:r>
      <w:r>
        <w:rPr>
          <w:rFonts w:ascii="Times New Roman" w:hAnsi="Times New Roman" w:cs="Times New Roman"/>
        </w:rPr>
        <w:t>)</w:t>
      </w:r>
      <w:r w:rsidRPr="00592C19">
        <w:rPr>
          <w:rFonts w:ascii="Times New Roman" w:hAnsi="Times New Roman" w:cs="Times New Roman"/>
        </w:rPr>
        <w:t xml:space="preserve">. Hiatal herniorrhaphies were performed using circumferential hiatal and distal esophageal mobilization to ensure </w:t>
      </w:r>
      <w:r>
        <w:rPr>
          <w:rFonts w:ascii="Times New Roman" w:eastAsia="Aptos" w:hAnsi="Times New Roman" w:cs="Times New Roman"/>
        </w:rPr>
        <w:t>an adequate intra-abdominal esophageal length of 2</w:t>
      </w:r>
      <w:r>
        <w:rPr>
          <w:rFonts w:ascii="Times New Roman" w:hAnsi="Times New Roman" w:cs="Times New Roman"/>
        </w:rPr>
        <w:t>–</w:t>
      </w:r>
      <w:r w:rsidRPr="00592C19">
        <w:rPr>
          <w:rFonts w:ascii="Times New Roman" w:hAnsi="Times New Roman" w:cs="Times New Roman"/>
        </w:rPr>
        <w:t>3</w:t>
      </w:r>
      <w:r>
        <w:rPr>
          <w:rFonts w:ascii="Times New Roman" w:hAnsi="Times New Roman" w:cs="Times New Roman"/>
        </w:rPr>
        <w:t xml:space="preserve"> </w:t>
      </w:r>
      <w:r w:rsidRPr="00592C19">
        <w:rPr>
          <w:rFonts w:ascii="Times New Roman" w:hAnsi="Times New Roman" w:cs="Times New Roman"/>
        </w:rPr>
        <w:t>cm without any traction on the stomach remnant. Posterior crural approximation was completed using interrupted horizontal mattress 0 Ethibond sutures with at least 34</w:t>
      </w:r>
      <w:r>
        <w:rPr>
          <w:rFonts w:ascii="Times New Roman" w:hAnsi="Times New Roman" w:cs="Times New Roman"/>
        </w:rPr>
        <w:t xml:space="preserve"> </w:t>
      </w:r>
      <w:r w:rsidRPr="00592C19">
        <w:rPr>
          <w:rFonts w:ascii="Times New Roman" w:hAnsi="Times New Roman" w:cs="Times New Roman"/>
        </w:rPr>
        <w:t>Fr</w:t>
      </w:r>
      <w:r>
        <w:rPr>
          <w:rFonts w:ascii="Times New Roman" w:hAnsi="Times New Roman" w:cs="Times New Roman"/>
        </w:rPr>
        <w:t>ench</w:t>
      </w:r>
      <w:r w:rsidRPr="00592C19">
        <w:rPr>
          <w:rFonts w:ascii="Times New Roman" w:hAnsi="Times New Roman" w:cs="Times New Roman"/>
        </w:rPr>
        <w:t xml:space="preserve"> bougie to minimize the risk of postprandial dysphagia. Ligamentum teres cardiopexy was used to reinforce and secure the </w:t>
      </w:r>
      <w:r>
        <w:rPr>
          <w:rFonts w:ascii="Times New Roman" w:hAnsi="Times New Roman" w:cs="Times New Roman"/>
        </w:rPr>
        <w:t>GE</w:t>
      </w:r>
      <w:r w:rsidRPr="00592C19">
        <w:rPr>
          <w:rFonts w:ascii="Times New Roman" w:hAnsi="Times New Roman" w:cs="Times New Roman"/>
        </w:rPr>
        <w:t xml:space="preserve"> junction in an intra</w:t>
      </w:r>
      <w:r>
        <w:rPr>
          <w:rFonts w:ascii="Times New Roman" w:hAnsi="Times New Roman" w:cs="Times New Roman"/>
        </w:rPr>
        <w:t>-</w:t>
      </w:r>
      <w:r w:rsidRPr="00592C19">
        <w:rPr>
          <w:rFonts w:ascii="Times New Roman" w:hAnsi="Times New Roman" w:cs="Times New Roman"/>
        </w:rPr>
        <w:t>abdominal location (after</w:t>
      </w:r>
      <w:r w:rsidR="006767BF">
        <w:rPr>
          <w:rFonts w:ascii="Times New Roman" w:hAnsi="Times New Roman" w:cs="Times New Roman"/>
        </w:rPr>
        <w:t xml:space="preserve"> </w:t>
      </w:r>
      <w:r w:rsidR="00D74215">
        <w:rPr>
          <w:rFonts w:ascii="Times New Roman" w:hAnsi="Times New Roman" w:cs="Times New Roman"/>
        </w:rPr>
        <w:t xml:space="preserve">July </w:t>
      </w:r>
      <w:r w:rsidRPr="00592C19">
        <w:rPr>
          <w:rFonts w:ascii="Times New Roman" w:hAnsi="Times New Roman" w:cs="Times New Roman"/>
        </w:rPr>
        <w:t>201</w:t>
      </w:r>
      <w:r w:rsidR="00D74215">
        <w:rPr>
          <w:rFonts w:ascii="Times New Roman" w:hAnsi="Times New Roman" w:cs="Times New Roman"/>
        </w:rPr>
        <w:t>9</w:t>
      </w:r>
      <w:r w:rsidR="00454953">
        <w:rPr>
          <w:rFonts w:ascii="Times New Roman" w:hAnsi="Times New Roman" w:cs="Times New Roman"/>
        </w:rPr>
        <w:t>)</w:t>
      </w:r>
      <w:r w:rsidRPr="00592C19">
        <w:rPr>
          <w:rFonts w:ascii="Times New Roman" w:hAnsi="Times New Roman" w:cs="Times New Roman"/>
        </w:rPr>
        <w:t>. Extensive capsulectomy was necessary for revision and conversion of adjustable gastric bands.</w:t>
      </w:r>
    </w:p>
    <w:p w14:paraId="2EE3D1AF" w14:textId="0B50CD46" w:rsidR="00EF5AD6" w:rsidRPr="00BB46FD" w:rsidRDefault="009F2C2D" w:rsidP="006C4EC4">
      <w:pPr>
        <w:spacing w:before="120" w:after="120" w:line="240" w:lineRule="auto"/>
        <w:rPr>
          <w:rFonts w:ascii="Times New Roman" w:hAnsi="Times New Roman" w:cs="Times New Roman"/>
          <w:i/>
          <w:iCs/>
        </w:rPr>
      </w:pPr>
      <w:r>
        <w:rPr>
          <w:rFonts w:ascii="Times New Roman" w:hAnsi="Times New Roman" w:cs="Times New Roman"/>
          <w:i/>
          <w:iCs/>
        </w:rPr>
        <w:t>Postoperative process</w:t>
      </w:r>
    </w:p>
    <w:p w14:paraId="7976A4A1" w14:textId="4586159B" w:rsidR="00F462B6" w:rsidRDefault="009F2C2D" w:rsidP="004F278D">
      <w:pPr>
        <w:spacing w:line="240" w:lineRule="auto"/>
        <w:rPr>
          <w:rFonts w:ascii="Times New Roman" w:hAnsi="Times New Roman" w:cs="Times New Roman"/>
        </w:rPr>
      </w:pPr>
      <w:r w:rsidRPr="00592C19">
        <w:rPr>
          <w:rFonts w:ascii="Times New Roman" w:hAnsi="Times New Roman" w:cs="Times New Roman"/>
        </w:rPr>
        <w:t>Standard oral and IV narcotics were used in the immediate postop</w:t>
      </w:r>
      <w:r>
        <w:rPr>
          <w:rFonts w:ascii="Times New Roman" w:hAnsi="Times New Roman" w:cs="Times New Roman"/>
        </w:rPr>
        <w:t>erative</w:t>
      </w:r>
      <w:r w:rsidRPr="00592C19">
        <w:rPr>
          <w:rFonts w:ascii="Times New Roman" w:hAnsi="Times New Roman" w:cs="Times New Roman"/>
        </w:rPr>
        <w:t xml:space="preserve"> phase, complemented with ketorolac 60</w:t>
      </w:r>
      <w:r>
        <w:rPr>
          <w:rFonts w:ascii="Times New Roman" w:hAnsi="Times New Roman" w:cs="Times New Roman"/>
        </w:rPr>
        <w:t xml:space="preserve"> </w:t>
      </w:r>
      <w:r w:rsidRPr="00592C19">
        <w:rPr>
          <w:rFonts w:ascii="Times New Roman" w:hAnsi="Times New Roman" w:cs="Times New Roman"/>
        </w:rPr>
        <w:t>mg IM and modafinil 300</w:t>
      </w:r>
      <w:r>
        <w:rPr>
          <w:rFonts w:ascii="Times New Roman" w:hAnsi="Times New Roman" w:cs="Times New Roman"/>
        </w:rPr>
        <w:t xml:space="preserve"> </w:t>
      </w:r>
      <w:r w:rsidRPr="00592C19">
        <w:rPr>
          <w:rFonts w:ascii="Times New Roman" w:hAnsi="Times New Roman" w:cs="Times New Roman"/>
        </w:rPr>
        <w:t xml:space="preserve">mg. Nausea was managed with intravenous and sublingual ondansetron </w:t>
      </w:r>
      <w:r>
        <w:rPr>
          <w:rFonts w:ascii="Times New Roman" w:eastAsia="Aptos" w:hAnsi="Times New Roman" w:cs="Times New Roman"/>
        </w:rPr>
        <w:t>(8</w:t>
      </w:r>
      <w:r>
        <w:rPr>
          <w:rFonts w:ascii="Times New Roman" w:hAnsi="Times New Roman" w:cs="Times New Roman"/>
        </w:rPr>
        <w:t xml:space="preserve"> </w:t>
      </w:r>
      <w:r w:rsidRPr="00592C19">
        <w:rPr>
          <w:rFonts w:ascii="Times New Roman" w:hAnsi="Times New Roman" w:cs="Times New Roman"/>
        </w:rPr>
        <w:t>mg</w:t>
      </w:r>
      <w:r>
        <w:rPr>
          <w:rFonts w:ascii="Times New Roman" w:eastAsia="Aptos" w:hAnsi="Times New Roman" w:cs="Times New Roman"/>
        </w:rPr>
        <w:t>), metoclopramide (10</w:t>
      </w:r>
      <w:r>
        <w:rPr>
          <w:rFonts w:ascii="Times New Roman" w:hAnsi="Times New Roman" w:cs="Times New Roman"/>
        </w:rPr>
        <w:t xml:space="preserve"> </w:t>
      </w:r>
      <w:r w:rsidRPr="00592C19">
        <w:rPr>
          <w:rFonts w:ascii="Times New Roman" w:hAnsi="Times New Roman" w:cs="Times New Roman"/>
        </w:rPr>
        <w:t>mg</w:t>
      </w:r>
      <w:r>
        <w:rPr>
          <w:rFonts w:ascii="Times New Roman" w:eastAsia="Aptos" w:hAnsi="Times New Roman" w:cs="Times New Roman"/>
        </w:rPr>
        <w:t xml:space="preserve">), </w:t>
      </w:r>
      <w:r w:rsidRPr="00592C19">
        <w:rPr>
          <w:rFonts w:ascii="Times New Roman" w:hAnsi="Times New Roman" w:cs="Times New Roman"/>
        </w:rPr>
        <w:t xml:space="preserve">droperidol </w:t>
      </w:r>
      <w:r>
        <w:rPr>
          <w:rFonts w:ascii="Times New Roman" w:eastAsia="Aptos" w:hAnsi="Times New Roman" w:cs="Times New Roman"/>
        </w:rPr>
        <w:t>(0.625 mg)</w:t>
      </w:r>
      <w:r>
        <w:rPr>
          <w:rFonts w:ascii="Times New Roman" w:hAnsi="Times New Roman" w:cs="Times New Roman"/>
        </w:rPr>
        <w:t>,</w:t>
      </w:r>
      <w:r w:rsidRPr="00592C19">
        <w:rPr>
          <w:rFonts w:ascii="Times New Roman" w:hAnsi="Times New Roman" w:cs="Times New Roman"/>
        </w:rPr>
        <w:t xml:space="preserve"> </w:t>
      </w:r>
      <w:r w:rsidR="00454953">
        <w:rPr>
          <w:rFonts w:ascii="Times New Roman" w:hAnsi="Times New Roman" w:cs="Times New Roman"/>
        </w:rPr>
        <w:t xml:space="preserve">and </w:t>
      </w:r>
      <w:r w:rsidRPr="00592C19">
        <w:rPr>
          <w:rFonts w:ascii="Times New Roman" w:hAnsi="Times New Roman" w:cs="Times New Roman"/>
        </w:rPr>
        <w:t xml:space="preserve">promethazine </w:t>
      </w:r>
      <w:r>
        <w:rPr>
          <w:rFonts w:ascii="Times New Roman" w:eastAsia="Aptos" w:hAnsi="Times New Roman" w:cs="Times New Roman"/>
        </w:rPr>
        <w:t>(25</w:t>
      </w:r>
      <w:r>
        <w:rPr>
          <w:rFonts w:ascii="Times New Roman" w:hAnsi="Times New Roman" w:cs="Times New Roman"/>
        </w:rPr>
        <w:t xml:space="preserve"> </w:t>
      </w:r>
      <w:r w:rsidRPr="00592C19">
        <w:rPr>
          <w:rFonts w:ascii="Times New Roman" w:hAnsi="Times New Roman" w:cs="Times New Roman"/>
        </w:rPr>
        <w:t xml:space="preserve">mg). </w:t>
      </w:r>
      <w:r>
        <w:rPr>
          <w:rFonts w:ascii="Times New Roman" w:hAnsi="Times New Roman" w:cs="Times New Roman"/>
        </w:rPr>
        <w:t>A comprehensive metabolic panel, complete blood count</w:t>
      </w:r>
      <w:r w:rsidRPr="00592C19">
        <w:rPr>
          <w:rFonts w:ascii="Times New Roman" w:hAnsi="Times New Roman" w:cs="Times New Roman"/>
        </w:rPr>
        <w:t xml:space="preserve">, </w:t>
      </w:r>
      <w:r>
        <w:rPr>
          <w:rFonts w:ascii="Times New Roman" w:eastAsia="Aptos" w:hAnsi="Times New Roman" w:cs="Times New Roman"/>
        </w:rPr>
        <w:t xml:space="preserve">and </w:t>
      </w:r>
      <w:r>
        <w:rPr>
          <w:rFonts w:ascii="Times New Roman" w:hAnsi="Times New Roman" w:cs="Times New Roman"/>
        </w:rPr>
        <w:t>magnesium</w:t>
      </w:r>
      <w:r w:rsidRPr="00592C19">
        <w:rPr>
          <w:rFonts w:ascii="Times New Roman" w:hAnsi="Times New Roman" w:cs="Times New Roman"/>
        </w:rPr>
        <w:t xml:space="preserve"> </w:t>
      </w:r>
      <w:r>
        <w:rPr>
          <w:rFonts w:ascii="Times New Roman" w:hAnsi="Times New Roman" w:cs="Times New Roman"/>
        </w:rPr>
        <w:t>and p</w:t>
      </w:r>
      <w:r w:rsidRPr="00592C19">
        <w:rPr>
          <w:rFonts w:ascii="Times New Roman" w:hAnsi="Times New Roman" w:cs="Times New Roman"/>
        </w:rPr>
        <w:t>hos</w:t>
      </w:r>
      <w:r>
        <w:rPr>
          <w:rFonts w:ascii="Times New Roman" w:hAnsi="Times New Roman" w:cs="Times New Roman"/>
        </w:rPr>
        <w:t>phorus</w:t>
      </w:r>
      <w:r w:rsidRPr="00592C19">
        <w:rPr>
          <w:rFonts w:ascii="Times New Roman" w:hAnsi="Times New Roman" w:cs="Times New Roman"/>
        </w:rPr>
        <w:t xml:space="preserve"> </w:t>
      </w:r>
      <w:r>
        <w:rPr>
          <w:rFonts w:ascii="Times New Roman" w:hAnsi="Times New Roman" w:cs="Times New Roman"/>
        </w:rPr>
        <w:t xml:space="preserve">levels </w:t>
      </w:r>
      <w:r w:rsidRPr="00592C19">
        <w:rPr>
          <w:rFonts w:ascii="Times New Roman" w:hAnsi="Times New Roman" w:cs="Times New Roman"/>
        </w:rPr>
        <w:t>w</w:t>
      </w:r>
      <w:r>
        <w:rPr>
          <w:rFonts w:ascii="Times New Roman" w:hAnsi="Times New Roman" w:cs="Times New Roman"/>
        </w:rPr>
        <w:t>ere</w:t>
      </w:r>
      <w:r w:rsidRPr="00592C19">
        <w:rPr>
          <w:rFonts w:ascii="Times New Roman" w:hAnsi="Times New Roman" w:cs="Times New Roman"/>
        </w:rPr>
        <w:t xml:space="preserve"> obtained</w:t>
      </w:r>
      <w:r>
        <w:rPr>
          <w:rFonts w:ascii="Times New Roman" w:hAnsi="Times New Roman" w:cs="Times New Roman"/>
        </w:rPr>
        <w:t>,</w:t>
      </w:r>
      <w:r w:rsidRPr="00592C19">
        <w:rPr>
          <w:rFonts w:ascii="Times New Roman" w:hAnsi="Times New Roman" w:cs="Times New Roman"/>
        </w:rPr>
        <w:t xml:space="preserve"> and potassium, </w:t>
      </w:r>
      <w:r>
        <w:rPr>
          <w:rFonts w:ascii="Times New Roman" w:hAnsi="Times New Roman" w:cs="Times New Roman"/>
        </w:rPr>
        <w:t>ma</w:t>
      </w:r>
      <w:r w:rsidRPr="00592C19">
        <w:rPr>
          <w:rFonts w:ascii="Times New Roman" w:hAnsi="Times New Roman" w:cs="Times New Roman"/>
        </w:rPr>
        <w:t>g</w:t>
      </w:r>
      <w:r>
        <w:rPr>
          <w:rFonts w:ascii="Times New Roman" w:hAnsi="Times New Roman" w:cs="Times New Roman"/>
        </w:rPr>
        <w:t>nesium,</w:t>
      </w:r>
      <w:r w:rsidRPr="00592C19">
        <w:rPr>
          <w:rFonts w:ascii="Times New Roman" w:hAnsi="Times New Roman" w:cs="Times New Roman"/>
        </w:rPr>
        <w:t xml:space="preserve"> and </w:t>
      </w:r>
      <w:r>
        <w:rPr>
          <w:rFonts w:ascii="Times New Roman" w:hAnsi="Times New Roman" w:cs="Times New Roman"/>
        </w:rPr>
        <w:t>p</w:t>
      </w:r>
      <w:r w:rsidRPr="00592C19">
        <w:rPr>
          <w:rFonts w:ascii="Times New Roman" w:hAnsi="Times New Roman" w:cs="Times New Roman"/>
        </w:rPr>
        <w:t>hos</w:t>
      </w:r>
      <w:r>
        <w:rPr>
          <w:rFonts w:ascii="Times New Roman" w:hAnsi="Times New Roman" w:cs="Times New Roman"/>
        </w:rPr>
        <w:t>phorus</w:t>
      </w:r>
      <w:r w:rsidRPr="00592C19">
        <w:rPr>
          <w:rFonts w:ascii="Times New Roman" w:hAnsi="Times New Roman" w:cs="Times New Roman"/>
        </w:rPr>
        <w:t xml:space="preserve"> levels were replaced if below 4.0, 2.0</w:t>
      </w:r>
      <w:r>
        <w:rPr>
          <w:rFonts w:ascii="Times New Roman" w:hAnsi="Times New Roman" w:cs="Times New Roman"/>
        </w:rPr>
        <w:t>,</w:t>
      </w:r>
      <w:r w:rsidRPr="00592C19">
        <w:rPr>
          <w:rFonts w:ascii="Times New Roman" w:hAnsi="Times New Roman" w:cs="Times New Roman"/>
        </w:rPr>
        <w:t xml:space="preserve"> and 3.5</w:t>
      </w:r>
      <w:r>
        <w:rPr>
          <w:rFonts w:ascii="Times New Roman" w:hAnsi="Times New Roman" w:cs="Times New Roman"/>
        </w:rPr>
        <w:t xml:space="preserve"> mg/dL,</w:t>
      </w:r>
      <w:r w:rsidRPr="00592C19">
        <w:rPr>
          <w:rFonts w:ascii="Times New Roman" w:hAnsi="Times New Roman" w:cs="Times New Roman"/>
        </w:rPr>
        <w:t xml:space="preserve"> respectively. Bilateral lower-extremity venous duplex was performed after surgery for over </w:t>
      </w:r>
      <w:r>
        <w:rPr>
          <w:rFonts w:ascii="Times New Roman" w:hAnsi="Times New Roman" w:cs="Times New Roman"/>
        </w:rPr>
        <w:t>4</w:t>
      </w:r>
      <w:r w:rsidRPr="00592C19">
        <w:rPr>
          <w:rFonts w:ascii="Times New Roman" w:hAnsi="Times New Roman" w:cs="Times New Roman"/>
        </w:rPr>
        <w:t xml:space="preserve"> h. All patients underwent a CT </w:t>
      </w:r>
      <w:r>
        <w:rPr>
          <w:rFonts w:ascii="Times New Roman" w:hAnsi="Times New Roman" w:cs="Times New Roman"/>
        </w:rPr>
        <w:t>sca</w:t>
      </w:r>
      <w:r w:rsidR="00454953">
        <w:rPr>
          <w:rFonts w:ascii="Times New Roman" w:hAnsi="Times New Roman" w:cs="Times New Roman"/>
        </w:rPr>
        <w:t>n</w:t>
      </w:r>
      <w:r>
        <w:rPr>
          <w:rFonts w:ascii="Times New Roman" w:hAnsi="Times New Roman" w:cs="Times New Roman"/>
        </w:rPr>
        <w:t xml:space="preserve"> </w:t>
      </w:r>
      <w:r w:rsidRPr="00592C19">
        <w:rPr>
          <w:rFonts w:ascii="Times New Roman" w:hAnsi="Times New Roman" w:cs="Times New Roman"/>
        </w:rPr>
        <w:t>of the abdomen and pelvis with 360</w:t>
      </w:r>
      <w:r>
        <w:rPr>
          <w:rFonts w:ascii="Times New Roman" w:hAnsi="Times New Roman" w:cs="Times New Roman"/>
        </w:rPr>
        <w:t xml:space="preserve"> </w:t>
      </w:r>
      <w:r w:rsidRPr="00592C19">
        <w:rPr>
          <w:rFonts w:ascii="Times New Roman" w:hAnsi="Times New Roman" w:cs="Times New Roman"/>
        </w:rPr>
        <w:t>mL of oral and IV contrast</w:t>
      </w:r>
      <w:r>
        <w:rPr>
          <w:rFonts w:ascii="Times New Roman" w:hAnsi="Times New Roman" w:cs="Times New Roman"/>
        </w:rPr>
        <w:t>,</w:t>
      </w:r>
      <w:r w:rsidRPr="00592C19">
        <w:rPr>
          <w:rFonts w:ascii="Times New Roman" w:hAnsi="Times New Roman" w:cs="Times New Roman"/>
        </w:rPr>
        <w:t xml:space="preserve"> with the last 90</w:t>
      </w:r>
      <w:r>
        <w:rPr>
          <w:rFonts w:ascii="Times New Roman" w:hAnsi="Times New Roman" w:cs="Times New Roman"/>
        </w:rPr>
        <w:t xml:space="preserve"> </w:t>
      </w:r>
      <w:r w:rsidRPr="00592C19">
        <w:rPr>
          <w:rFonts w:ascii="Times New Roman" w:hAnsi="Times New Roman" w:cs="Times New Roman"/>
        </w:rPr>
        <w:t xml:space="preserve">mL administered immediately prior to the study. </w:t>
      </w:r>
      <w:r w:rsidR="00756DCB" w:rsidRPr="004F278D">
        <w:rPr>
          <w:rFonts w:ascii="Times New Roman" w:hAnsi="Times New Roman" w:cs="Times New Roman"/>
        </w:rPr>
        <w:t xml:space="preserve"> </w:t>
      </w:r>
    </w:p>
    <w:p w14:paraId="5996F539" w14:textId="71DE5250" w:rsidR="008A2CDF" w:rsidRDefault="001A5B13" w:rsidP="00C969B3">
      <w:pPr>
        <w:spacing w:after="0" w:line="240" w:lineRule="auto"/>
        <w:rPr>
          <w:rFonts w:ascii="Times New Roman" w:hAnsi="Times New Roman" w:cs="Times New Roman"/>
        </w:rPr>
      </w:pPr>
      <w:r w:rsidRPr="00236AEE">
        <w:rPr>
          <w:rFonts w:ascii="Times New Roman" w:hAnsi="Times New Roman" w:cs="Times New Roman"/>
        </w:rPr>
        <w:t>All patients were contacted by the office staff the morning after discharge and again 2–3 days</w:t>
      </w:r>
      <w:r>
        <w:rPr>
          <w:rFonts w:ascii="Times New Roman" w:hAnsi="Times New Roman" w:cs="Times New Roman"/>
        </w:rPr>
        <w:t xml:space="preserve"> </w:t>
      </w:r>
      <w:r w:rsidRPr="00236AEE">
        <w:rPr>
          <w:rFonts w:ascii="Times New Roman" w:hAnsi="Times New Roman" w:cs="Times New Roman"/>
        </w:rPr>
        <w:t xml:space="preserve">postoperatively.  </w:t>
      </w:r>
      <w:r w:rsidR="00C73512">
        <w:rPr>
          <w:rFonts w:ascii="Times New Roman" w:hAnsi="Times New Roman" w:cs="Times New Roman"/>
        </w:rPr>
        <w:t xml:space="preserve">Patients were routinely seen ~2wks post-operatively. </w:t>
      </w:r>
      <w:r w:rsidR="009F2C2D" w:rsidRPr="008A2CDF">
        <w:rPr>
          <w:rFonts w:ascii="Times New Roman" w:hAnsi="Times New Roman" w:cs="Times New Roman"/>
        </w:rPr>
        <w:t xml:space="preserve">Patients living &gt;3 hours away were requested to stay in the area for at least 2–5 days and </w:t>
      </w:r>
      <w:r w:rsidR="009F2C2D">
        <w:rPr>
          <w:rFonts w:ascii="Times New Roman" w:eastAsia="Aptos" w:hAnsi="Times New Roman" w:cs="Times New Roman"/>
        </w:rPr>
        <w:t>were typically</w:t>
      </w:r>
      <w:r w:rsidR="009F2C2D" w:rsidRPr="008A2CDF">
        <w:rPr>
          <w:rFonts w:ascii="Times New Roman" w:hAnsi="Times New Roman" w:cs="Times New Roman"/>
        </w:rPr>
        <w:t xml:space="preserve"> seen in the office prior to departure.</w:t>
      </w:r>
      <w:r w:rsidR="008A2347">
        <w:rPr>
          <w:rFonts w:ascii="Times New Roman" w:hAnsi="Times New Roman" w:cs="Times New Roman"/>
        </w:rPr>
        <w:t xml:space="preserve"> </w:t>
      </w:r>
    </w:p>
    <w:p w14:paraId="5BBC21E1" w14:textId="77777777" w:rsidR="003E74D4" w:rsidRDefault="003E74D4" w:rsidP="00C969B3">
      <w:pPr>
        <w:spacing w:after="0" w:line="240" w:lineRule="auto"/>
        <w:rPr>
          <w:rFonts w:ascii="Times New Roman" w:hAnsi="Times New Roman" w:cs="Times New Roman"/>
        </w:rPr>
      </w:pPr>
    </w:p>
    <w:p w14:paraId="710AF0E4" w14:textId="4BC85616" w:rsidR="003E74D4" w:rsidRPr="008A2CDF" w:rsidRDefault="003E74D4" w:rsidP="00C969B3">
      <w:pPr>
        <w:spacing w:after="0" w:line="240" w:lineRule="auto"/>
        <w:rPr>
          <w:rFonts w:ascii="Times New Roman" w:hAnsi="Times New Roman" w:cs="Times New Roman"/>
        </w:rPr>
      </w:pPr>
      <w:commentRangeStart w:id="4"/>
      <w:commentRangeStart w:id="5"/>
      <w:r w:rsidRPr="00236AEE">
        <w:rPr>
          <w:rFonts w:ascii="Times New Roman" w:hAnsi="Times New Roman" w:cs="Times New Roman"/>
        </w:rPr>
        <w:t>U</w:t>
      </w:r>
      <w:r>
        <w:rPr>
          <w:rFonts w:ascii="Times New Roman" w:hAnsi="Times New Roman" w:cs="Times New Roman"/>
        </w:rPr>
        <w:t xml:space="preserve">pper gastrointestinal </w:t>
      </w:r>
      <w:r w:rsidRPr="00236AEE">
        <w:rPr>
          <w:rFonts w:ascii="Times New Roman" w:hAnsi="Times New Roman" w:cs="Times New Roman"/>
        </w:rPr>
        <w:t>swallow</w:t>
      </w:r>
      <w:r>
        <w:rPr>
          <w:rFonts w:ascii="Times New Roman" w:eastAsia="Calibri" w:hAnsi="Times New Roman" w:cs="Times New Roman"/>
        </w:rPr>
        <w:t xml:space="preserve"> test was performed on the day of surgery, the </w:t>
      </w:r>
      <w:r w:rsidRPr="00236AEE">
        <w:rPr>
          <w:rFonts w:ascii="Times New Roman" w:hAnsi="Times New Roman" w:cs="Times New Roman"/>
        </w:rPr>
        <w:t xml:space="preserve">next day, or 1–3 days after discharge. </w:t>
      </w:r>
      <w:commentRangeEnd w:id="4"/>
      <w:r w:rsidRPr="008A2CDF">
        <w:rPr>
          <w:rStyle w:val="CommentReference"/>
          <w:rFonts w:ascii="Times New Roman" w:hAnsi="Times New Roman" w:cs="Times New Roman"/>
          <w:sz w:val="24"/>
          <w:szCs w:val="24"/>
        </w:rPr>
        <w:commentReference w:id="4"/>
      </w:r>
      <w:commentRangeEnd w:id="5"/>
      <w:r w:rsidRPr="008A2CDF">
        <w:rPr>
          <w:rStyle w:val="CommentReference"/>
          <w:rFonts w:ascii="Times New Roman" w:hAnsi="Times New Roman" w:cs="Times New Roman"/>
          <w:sz w:val="24"/>
          <w:szCs w:val="24"/>
        </w:rPr>
        <w:commentReference w:id="5"/>
      </w:r>
    </w:p>
    <w:p w14:paraId="46A917FC" w14:textId="77777777" w:rsidR="008A2CDF" w:rsidRPr="00AB48DD" w:rsidRDefault="008A2CDF" w:rsidP="004F278D">
      <w:pPr>
        <w:spacing w:line="240" w:lineRule="auto"/>
        <w:rPr>
          <w:rFonts w:ascii="Times New Roman" w:hAnsi="Times New Roman" w:cs="Times New Roman"/>
        </w:rPr>
      </w:pPr>
    </w:p>
    <w:sectPr w:rsidR="008A2CDF" w:rsidRPr="00AB48DD" w:rsidSect="004F278D">
      <w:footerReference w:type="default" r:id="rId15"/>
      <w:pgSz w:w="12240" w:h="15840"/>
      <w:pgMar w:top="1440" w:right="126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Jennifer Klem" w:date="2025-12-16T05:22:00Z" w:initials="JK">
    <w:p w14:paraId="5F9B5C30" w14:textId="77777777" w:rsidR="003E74D4" w:rsidRDefault="003E74D4" w:rsidP="00C27700">
      <w:pPr>
        <w:pStyle w:val="CommentText"/>
      </w:pPr>
      <w:r>
        <w:rPr>
          <w:rStyle w:val="CommentReference"/>
        </w:rPr>
        <w:annotationRef/>
      </w:r>
      <w:r>
        <w:t>Can we move this to Supplementary Materials?</w:t>
      </w:r>
    </w:p>
  </w:comment>
  <w:comment w:id="5" w:author="Doctor" w:date="2025-12-29T19:19:00Z" w:initials="D">
    <w:p w14:paraId="662C813D" w14:textId="77777777" w:rsidR="003E74D4" w:rsidRDefault="003E74D4" w:rsidP="00043C6D">
      <w:pPr>
        <w:pStyle w:val="CommentText"/>
      </w:pPr>
      <w:r>
        <w:rPr>
          <w:rStyle w:val="CommentReference"/>
        </w:rPr>
        <w:annotationRef/>
      </w: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9B5C30" w15:done="1"/>
  <w15:commentEx w15:paraId="662C813D" w15:paraIdParent="5F9B5C3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24C80B" w16cex:dateUtc="2025-12-16T11:22:00Z"/>
  <w16cex:commentExtensible w16cex:durableId="3C8FFE3A" w16cex:dateUtc="2025-12-30T0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9B5C30" w16cid:durableId="4324C80B"/>
  <w16cid:commentId w16cid:paraId="662C813D" w16cid:durableId="3C8FFE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77CFC" w14:textId="77777777" w:rsidR="00D00EAB" w:rsidRDefault="00D00EAB" w:rsidP="007151DE">
      <w:pPr>
        <w:spacing w:after="0" w:line="240" w:lineRule="auto"/>
      </w:pPr>
      <w:r>
        <w:separator/>
      </w:r>
    </w:p>
  </w:endnote>
  <w:endnote w:type="continuationSeparator" w:id="0">
    <w:p w14:paraId="3BF43B40" w14:textId="77777777" w:rsidR="00D00EAB" w:rsidRDefault="00D00EAB" w:rsidP="00715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864614"/>
      <w:docPartObj>
        <w:docPartGallery w:val="Page Numbers (Bottom of Page)"/>
        <w:docPartUnique/>
      </w:docPartObj>
    </w:sdtPr>
    <w:sdtContent>
      <w:sdt>
        <w:sdtPr>
          <w:id w:val="-1769616900"/>
          <w:docPartObj>
            <w:docPartGallery w:val="Page Numbers (Top of Page)"/>
            <w:docPartUnique/>
          </w:docPartObj>
        </w:sdtPr>
        <w:sdtContent>
          <w:p w14:paraId="30C2BD4C" w14:textId="13F58080" w:rsidR="007151DE" w:rsidRDefault="007151DE">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84A3DA4" w14:textId="77777777" w:rsidR="007151DE" w:rsidRDefault="00715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67B74" w14:textId="77777777" w:rsidR="00D00EAB" w:rsidRDefault="00D00EAB" w:rsidP="007151DE">
      <w:pPr>
        <w:spacing w:after="0" w:line="240" w:lineRule="auto"/>
      </w:pPr>
      <w:r>
        <w:separator/>
      </w:r>
    </w:p>
  </w:footnote>
  <w:footnote w:type="continuationSeparator" w:id="0">
    <w:p w14:paraId="2B9A82A2" w14:textId="77777777" w:rsidR="00D00EAB" w:rsidRDefault="00D00EAB" w:rsidP="007151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B4BA7"/>
    <w:multiLevelType w:val="hybridMultilevel"/>
    <w:tmpl w:val="24EE05FE"/>
    <w:lvl w:ilvl="0" w:tplc="236C3EB8">
      <w:start w:val="1"/>
      <w:numFmt w:val="bullet"/>
      <w:lvlText w:val=""/>
      <w:lvlJc w:val="left"/>
      <w:pPr>
        <w:ind w:left="720" w:hanging="360"/>
      </w:pPr>
      <w:rPr>
        <w:rFonts w:ascii="Symbol" w:hAnsi="Symbol" w:hint="default"/>
      </w:rPr>
    </w:lvl>
    <w:lvl w:ilvl="1" w:tplc="9E00D406" w:tentative="1">
      <w:start w:val="1"/>
      <w:numFmt w:val="bullet"/>
      <w:lvlText w:val="o"/>
      <w:lvlJc w:val="left"/>
      <w:pPr>
        <w:ind w:left="1440" w:hanging="360"/>
      </w:pPr>
      <w:rPr>
        <w:rFonts w:ascii="Courier New" w:hAnsi="Courier New" w:cs="Courier New" w:hint="default"/>
      </w:rPr>
    </w:lvl>
    <w:lvl w:ilvl="2" w:tplc="9D9262E0" w:tentative="1">
      <w:start w:val="1"/>
      <w:numFmt w:val="bullet"/>
      <w:lvlText w:val=""/>
      <w:lvlJc w:val="left"/>
      <w:pPr>
        <w:ind w:left="2160" w:hanging="360"/>
      </w:pPr>
      <w:rPr>
        <w:rFonts w:ascii="Wingdings" w:hAnsi="Wingdings" w:hint="default"/>
      </w:rPr>
    </w:lvl>
    <w:lvl w:ilvl="3" w:tplc="97263268" w:tentative="1">
      <w:start w:val="1"/>
      <w:numFmt w:val="bullet"/>
      <w:lvlText w:val=""/>
      <w:lvlJc w:val="left"/>
      <w:pPr>
        <w:ind w:left="2880" w:hanging="360"/>
      </w:pPr>
      <w:rPr>
        <w:rFonts w:ascii="Symbol" w:hAnsi="Symbol" w:hint="default"/>
      </w:rPr>
    </w:lvl>
    <w:lvl w:ilvl="4" w:tplc="271EFADA" w:tentative="1">
      <w:start w:val="1"/>
      <w:numFmt w:val="bullet"/>
      <w:lvlText w:val="o"/>
      <w:lvlJc w:val="left"/>
      <w:pPr>
        <w:ind w:left="3600" w:hanging="360"/>
      </w:pPr>
      <w:rPr>
        <w:rFonts w:ascii="Courier New" w:hAnsi="Courier New" w:cs="Courier New" w:hint="default"/>
      </w:rPr>
    </w:lvl>
    <w:lvl w:ilvl="5" w:tplc="32BEFF7A" w:tentative="1">
      <w:start w:val="1"/>
      <w:numFmt w:val="bullet"/>
      <w:lvlText w:val=""/>
      <w:lvlJc w:val="left"/>
      <w:pPr>
        <w:ind w:left="4320" w:hanging="360"/>
      </w:pPr>
      <w:rPr>
        <w:rFonts w:ascii="Wingdings" w:hAnsi="Wingdings" w:hint="default"/>
      </w:rPr>
    </w:lvl>
    <w:lvl w:ilvl="6" w:tplc="7E8E9896" w:tentative="1">
      <w:start w:val="1"/>
      <w:numFmt w:val="bullet"/>
      <w:lvlText w:val=""/>
      <w:lvlJc w:val="left"/>
      <w:pPr>
        <w:ind w:left="5040" w:hanging="360"/>
      </w:pPr>
      <w:rPr>
        <w:rFonts w:ascii="Symbol" w:hAnsi="Symbol" w:hint="default"/>
      </w:rPr>
    </w:lvl>
    <w:lvl w:ilvl="7" w:tplc="47981B88" w:tentative="1">
      <w:start w:val="1"/>
      <w:numFmt w:val="bullet"/>
      <w:lvlText w:val="o"/>
      <w:lvlJc w:val="left"/>
      <w:pPr>
        <w:ind w:left="5760" w:hanging="360"/>
      </w:pPr>
      <w:rPr>
        <w:rFonts w:ascii="Courier New" w:hAnsi="Courier New" w:cs="Courier New" w:hint="default"/>
      </w:rPr>
    </w:lvl>
    <w:lvl w:ilvl="8" w:tplc="7AACB4DA" w:tentative="1">
      <w:start w:val="1"/>
      <w:numFmt w:val="bullet"/>
      <w:lvlText w:val=""/>
      <w:lvlJc w:val="left"/>
      <w:pPr>
        <w:ind w:left="6480" w:hanging="360"/>
      </w:pPr>
      <w:rPr>
        <w:rFonts w:ascii="Wingdings" w:hAnsi="Wingdings" w:hint="default"/>
      </w:rPr>
    </w:lvl>
  </w:abstractNum>
  <w:abstractNum w:abstractNumId="1" w15:restartNumberingAfterBreak="0">
    <w:nsid w:val="218C23B4"/>
    <w:multiLevelType w:val="hybridMultilevel"/>
    <w:tmpl w:val="E904D17A"/>
    <w:lvl w:ilvl="0" w:tplc="AA6455CC">
      <w:start w:val="1"/>
      <w:numFmt w:val="decimal"/>
      <w:lvlText w:val="%1."/>
      <w:lvlJc w:val="left"/>
      <w:pPr>
        <w:ind w:left="1020" w:hanging="360"/>
      </w:pPr>
    </w:lvl>
    <w:lvl w:ilvl="1" w:tplc="EAD48B2E">
      <w:start w:val="1"/>
      <w:numFmt w:val="decimal"/>
      <w:lvlText w:val="%2."/>
      <w:lvlJc w:val="left"/>
      <w:pPr>
        <w:ind w:left="1020" w:hanging="360"/>
      </w:pPr>
    </w:lvl>
    <w:lvl w:ilvl="2" w:tplc="E9028474">
      <w:start w:val="1"/>
      <w:numFmt w:val="decimal"/>
      <w:lvlText w:val="%3."/>
      <w:lvlJc w:val="left"/>
      <w:pPr>
        <w:ind w:left="1020" w:hanging="360"/>
      </w:pPr>
    </w:lvl>
    <w:lvl w:ilvl="3" w:tplc="E1C0FEFE">
      <w:start w:val="1"/>
      <w:numFmt w:val="decimal"/>
      <w:lvlText w:val="%4."/>
      <w:lvlJc w:val="left"/>
      <w:pPr>
        <w:ind w:left="1020" w:hanging="360"/>
      </w:pPr>
    </w:lvl>
    <w:lvl w:ilvl="4" w:tplc="00B2ED2E">
      <w:start w:val="1"/>
      <w:numFmt w:val="decimal"/>
      <w:lvlText w:val="%5."/>
      <w:lvlJc w:val="left"/>
      <w:pPr>
        <w:ind w:left="1020" w:hanging="360"/>
      </w:pPr>
    </w:lvl>
    <w:lvl w:ilvl="5" w:tplc="832EDDF8">
      <w:start w:val="1"/>
      <w:numFmt w:val="decimal"/>
      <w:lvlText w:val="%6."/>
      <w:lvlJc w:val="left"/>
      <w:pPr>
        <w:ind w:left="1020" w:hanging="360"/>
      </w:pPr>
    </w:lvl>
    <w:lvl w:ilvl="6" w:tplc="15B28B2C">
      <w:start w:val="1"/>
      <w:numFmt w:val="decimal"/>
      <w:lvlText w:val="%7."/>
      <w:lvlJc w:val="left"/>
      <w:pPr>
        <w:ind w:left="1020" w:hanging="360"/>
      </w:pPr>
    </w:lvl>
    <w:lvl w:ilvl="7" w:tplc="82A6A9BA">
      <w:start w:val="1"/>
      <w:numFmt w:val="decimal"/>
      <w:lvlText w:val="%8."/>
      <w:lvlJc w:val="left"/>
      <w:pPr>
        <w:ind w:left="1020" w:hanging="360"/>
      </w:pPr>
    </w:lvl>
    <w:lvl w:ilvl="8" w:tplc="B8648A8A">
      <w:start w:val="1"/>
      <w:numFmt w:val="decimal"/>
      <w:lvlText w:val="%9."/>
      <w:lvlJc w:val="left"/>
      <w:pPr>
        <w:ind w:left="1020" w:hanging="360"/>
      </w:pPr>
    </w:lvl>
  </w:abstractNum>
  <w:abstractNum w:abstractNumId="2" w15:restartNumberingAfterBreak="0">
    <w:nsid w:val="256C4ACC"/>
    <w:multiLevelType w:val="hybridMultilevel"/>
    <w:tmpl w:val="90B8860A"/>
    <w:lvl w:ilvl="0" w:tplc="DFB8427A">
      <w:start w:val="100"/>
      <w:numFmt w:val="bullet"/>
      <w:lvlText w:val=""/>
      <w:lvlJc w:val="left"/>
      <w:pPr>
        <w:ind w:left="720" w:hanging="360"/>
      </w:pPr>
      <w:rPr>
        <w:rFonts w:ascii="Symbol" w:eastAsiaTheme="minorHAnsi" w:hAnsi="Symbol" w:cstheme="minorBidi" w:hint="default"/>
      </w:rPr>
    </w:lvl>
    <w:lvl w:ilvl="1" w:tplc="AA8A144E" w:tentative="1">
      <w:start w:val="1"/>
      <w:numFmt w:val="bullet"/>
      <w:lvlText w:val="o"/>
      <w:lvlJc w:val="left"/>
      <w:pPr>
        <w:ind w:left="1440" w:hanging="360"/>
      </w:pPr>
      <w:rPr>
        <w:rFonts w:ascii="Courier New" w:hAnsi="Courier New" w:cs="Courier New" w:hint="default"/>
      </w:rPr>
    </w:lvl>
    <w:lvl w:ilvl="2" w:tplc="342A9CAA" w:tentative="1">
      <w:start w:val="1"/>
      <w:numFmt w:val="bullet"/>
      <w:lvlText w:val=""/>
      <w:lvlJc w:val="left"/>
      <w:pPr>
        <w:ind w:left="2160" w:hanging="360"/>
      </w:pPr>
      <w:rPr>
        <w:rFonts w:ascii="Wingdings" w:hAnsi="Wingdings" w:hint="default"/>
      </w:rPr>
    </w:lvl>
    <w:lvl w:ilvl="3" w:tplc="CF464BD8" w:tentative="1">
      <w:start w:val="1"/>
      <w:numFmt w:val="bullet"/>
      <w:lvlText w:val=""/>
      <w:lvlJc w:val="left"/>
      <w:pPr>
        <w:ind w:left="2880" w:hanging="360"/>
      </w:pPr>
      <w:rPr>
        <w:rFonts w:ascii="Symbol" w:hAnsi="Symbol" w:hint="default"/>
      </w:rPr>
    </w:lvl>
    <w:lvl w:ilvl="4" w:tplc="1CD457A6" w:tentative="1">
      <w:start w:val="1"/>
      <w:numFmt w:val="bullet"/>
      <w:lvlText w:val="o"/>
      <w:lvlJc w:val="left"/>
      <w:pPr>
        <w:ind w:left="3600" w:hanging="360"/>
      </w:pPr>
      <w:rPr>
        <w:rFonts w:ascii="Courier New" w:hAnsi="Courier New" w:cs="Courier New" w:hint="default"/>
      </w:rPr>
    </w:lvl>
    <w:lvl w:ilvl="5" w:tplc="CD40A498" w:tentative="1">
      <w:start w:val="1"/>
      <w:numFmt w:val="bullet"/>
      <w:lvlText w:val=""/>
      <w:lvlJc w:val="left"/>
      <w:pPr>
        <w:ind w:left="4320" w:hanging="360"/>
      </w:pPr>
      <w:rPr>
        <w:rFonts w:ascii="Wingdings" w:hAnsi="Wingdings" w:hint="default"/>
      </w:rPr>
    </w:lvl>
    <w:lvl w:ilvl="6" w:tplc="F4B2FF44" w:tentative="1">
      <w:start w:val="1"/>
      <w:numFmt w:val="bullet"/>
      <w:lvlText w:val=""/>
      <w:lvlJc w:val="left"/>
      <w:pPr>
        <w:ind w:left="5040" w:hanging="360"/>
      </w:pPr>
      <w:rPr>
        <w:rFonts w:ascii="Symbol" w:hAnsi="Symbol" w:hint="default"/>
      </w:rPr>
    </w:lvl>
    <w:lvl w:ilvl="7" w:tplc="690EDB48" w:tentative="1">
      <w:start w:val="1"/>
      <w:numFmt w:val="bullet"/>
      <w:lvlText w:val="o"/>
      <w:lvlJc w:val="left"/>
      <w:pPr>
        <w:ind w:left="5760" w:hanging="360"/>
      </w:pPr>
      <w:rPr>
        <w:rFonts w:ascii="Courier New" w:hAnsi="Courier New" w:cs="Courier New" w:hint="default"/>
      </w:rPr>
    </w:lvl>
    <w:lvl w:ilvl="8" w:tplc="FF2E4C92" w:tentative="1">
      <w:start w:val="1"/>
      <w:numFmt w:val="bullet"/>
      <w:lvlText w:val=""/>
      <w:lvlJc w:val="left"/>
      <w:pPr>
        <w:ind w:left="6480" w:hanging="360"/>
      </w:pPr>
      <w:rPr>
        <w:rFonts w:ascii="Wingdings" w:hAnsi="Wingdings" w:hint="default"/>
      </w:rPr>
    </w:lvl>
  </w:abstractNum>
  <w:abstractNum w:abstractNumId="3" w15:restartNumberingAfterBreak="0">
    <w:nsid w:val="286B5644"/>
    <w:multiLevelType w:val="hybridMultilevel"/>
    <w:tmpl w:val="7B747FA6"/>
    <w:lvl w:ilvl="0" w:tplc="09BE0F2E">
      <w:start w:val="1"/>
      <w:numFmt w:val="decimal"/>
      <w:lvlText w:val="%1."/>
      <w:lvlJc w:val="left"/>
      <w:pPr>
        <w:ind w:left="1440" w:hanging="360"/>
      </w:pPr>
    </w:lvl>
    <w:lvl w:ilvl="1" w:tplc="AA12F5D8">
      <w:start w:val="1"/>
      <w:numFmt w:val="decimal"/>
      <w:lvlText w:val="%2."/>
      <w:lvlJc w:val="left"/>
      <w:pPr>
        <w:ind w:left="1440" w:hanging="360"/>
      </w:pPr>
    </w:lvl>
    <w:lvl w:ilvl="2" w:tplc="F5267B30">
      <w:start w:val="1"/>
      <w:numFmt w:val="decimal"/>
      <w:lvlText w:val="%3."/>
      <w:lvlJc w:val="left"/>
      <w:pPr>
        <w:ind w:left="1440" w:hanging="360"/>
      </w:pPr>
    </w:lvl>
    <w:lvl w:ilvl="3" w:tplc="3C921A7A">
      <w:start w:val="1"/>
      <w:numFmt w:val="decimal"/>
      <w:lvlText w:val="%4."/>
      <w:lvlJc w:val="left"/>
      <w:pPr>
        <w:ind w:left="1440" w:hanging="360"/>
      </w:pPr>
    </w:lvl>
    <w:lvl w:ilvl="4" w:tplc="01848B44">
      <w:start w:val="1"/>
      <w:numFmt w:val="decimal"/>
      <w:lvlText w:val="%5."/>
      <w:lvlJc w:val="left"/>
      <w:pPr>
        <w:ind w:left="1440" w:hanging="360"/>
      </w:pPr>
    </w:lvl>
    <w:lvl w:ilvl="5" w:tplc="233876F8">
      <w:start w:val="1"/>
      <w:numFmt w:val="decimal"/>
      <w:lvlText w:val="%6."/>
      <w:lvlJc w:val="left"/>
      <w:pPr>
        <w:ind w:left="1440" w:hanging="360"/>
      </w:pPr>
    </w:lvl>
    <w:lvl w:ilvl="6" w:tplc="9F2E4F02">
      <w:start w:val="1"/>
      <w:numFmt w:val="decimal"/>
      <w:lvlText w:val="%7."/>
      <w:lvlJc w:val="left"/>
      <w:pPr>
        <w:ind w:left="1440" w:hanging="360"/>
      </w:pPr>
    </w:lvl>
    <w:lvl w:ilvl="7" w:tplc="90C69B30">
      <w:start w:val="1"/>
      <w:numFmt w:val="decimal"/>
      <w:lvlText w:val="%8."/>
      <w:lvlJc w:val="left"/>
      <w:pPr>
        <w:ind w:left="1440" w:hanging="360"/>
      </w:pPr>
    </w:lvl>
    <w:lvl w:ilvl="8" w:tplc="1B18E6FC">
      <w:start w:val="1"/>
      <w:numFmt w:val="decimal"/>
      <w:lvlText w:val="%9."/>
      <w:lvlJc w:val="left"/>
      <w:pPr>
        <w:ind w:left="1440" w:hanging="360"/>
      </w:pPr>
    </w:lvl>
  </w:abstractNum>
  <w:abstractNum w:abstractNumId="4" w15:restartNumberingAfterBreak="0">
    <w:nsid w:val="327B49B0"/>
    <w:multiLevelType w:val="hybridMultilevel"/>
    <w:tmpl w:val="D80E50AC"/>
    <w:lvl w:ilvl="0" w:tplc="EC94A8B4">
      <w:start w:val="1"/>
      <w:numFmt w:val="upperLetter"/>
      <w:lvlText w:val="%1."/>
      <w:lvlJc w:val="left"/>
      <w:pPr>
        <w:ind w:left="1620" w:hanging="360"/>
      </w:pPr>
    </w:lvl>
    <w:lvl w:ilvl="1" w:tplc="AC84FA5E" w:tentative="1">
      <w:start w:val="1"/>
      <w:numFmt w:val="lowerLetter"/>
      <w:lvlText w:val="%2."/>
      <w:lvlJc w:val="left"/>
      <w:pPr>
        <w:ind w:left="2340" w:hanging="360"/>
      </w:pPr>
    </w:lvl>
    <w:lvl w:ilvl="2" w:tplc="6E3A123C" w:tentative="1">
      <w:start w:val="1"/>
      <w:numFmt w:val="lowerRoman"/>
      <w:lvlText w:val="%3."/>
      <w:lvlJc w:val="right"/>
      <w:pPr>
        <w:ind w:left="3060" w:hanging="180"/>
      </w:pPr>
    </w:lvl>
    <w:lvl w:ilvl="3" w:tplc="C9D0E40E" w:tentative="1">
      <w:start w:val="1"/>
      <w:numFmt w:val="decimal"/>
      <w:lvlText w:val="%4."/>
      <w:lvlJc w:val="left"/>
      <w:pPr>
        <w:ind w:left="3780" w:hanging="360"/>
      </w:pPr>
    </w:lvl>
    <w:lvl w:ilvl="4" w:tplc="981E271E" w:tentative="1">
      <w:start w:val="1"/>
      <w:numFmt w:val="lowerLetter"/>
      <w:lvlText w:val="%5."/>
      <w:lvlJc w:val="left"/>
      <w:pPr>
        <w:ind w:left="4500" w:hanging="360"/>
      </w:pPr>
    </w:lvl>
    <w:lvl w:ilvl="5" w:tplc="29948496" w:tentative="1">
      <w:start w:val="1"/>
      <w:numFmt w:val="lowerRoman"/>
      <w:lvlText w:val="%6."/>
      <w:lvlJc w:val="right"/>
      <w:pPr>
        <w:ind w:left="5220" w:hanging="180"/>
      </w:pPr>
    </w:lvl>
    <w:lvl w:ilvl="6" w:tplc="EF0A099C" w:tentative="1">
      <w:start w:val="1"/>
      <w:numFmt w:val="decimal"/>
      <w:lvlText w:val="%7."/>
      <w:lvlJc w:val="left"/>
      <w:pPr>
        <w:ind w:left="5940" w:hanging="360"/>
      </w:pPr>
    </w:lvl>
    <w:lvl w:ilvl="7" w:tplc="0838B00E" w:tentative="1">
      <w:start w:val="1"/>
      <w:numFmt w:val="lowerLetter"/>
      <w:lvlText w:val="%8."/>
      <w:lvlJc w:val="left"/>
      <w:pPr>
        <w:ind w:left="6660" w:hanging="360"/>
      </w:pPr>
    </w:lvl>
    <w:lvl w:ilvl="8" w:tplc="84309AD2" w:tentative="1">
      <w:start w:val="1"/>
      <w:numFmt w:val="lowerRoman"/>
      <w:lvlText w:val="%9."/>
      <w:lvlJc w:val="right"/>
      <w:pPr>
        <w:ind w:left="7380" w:hanging="180"/>
      </w:pPr>
    </w:lvl>
  </w:abstractNum>
  <w:abstractNum w:abstractNumId="5" w15:restartNumberingAfterBreak="0">
    <w:nsid w:val="35036846"/>
    <w:multiLevelType w:val="hybridMultilevel"/>
    <w:tmpl w:val="64E051CE"/>
    <w:lvl w:ilvl="0" w:tplc="19F8A732">
      <w:start w:val="1"/>
      <w:numFmt w:val="upperLetter"/>
      <w:lvlText w:val="%1."/>
      <w:lvlJc w:val="left"/>
      <w:pPr>
        <w:ind w:left="720" w:hanging="360"/>
      </w:pPr>
      <w:rPr>
        <w:rFonts w:hint="default"/>
      </w:rPr>
    </w:lvl>
    <w:lvl w:ilvl="1" w:tplc="9B464708" w:tentative="1">
      <w:start w:val="1"/>
      <w:numFmt w:val="lowerLetter"/>
      <w:lvlText w:val="%2."/>
      <w:lvlJc w:val="left"/>
      <w:pPr>
        <w:ind w:left="1440" w:hanging="360"/>
      </w:pPr>
    </w:lvl>
    <w:lvl w:ilvl="2" w:tplc="4D148FF0" w:tentative="1">
      <w:start w:val="1"/>
      <w:numFmt w:val="lowerRoman"/>
      <w:lvlText w:val="%3."/>
      <w:lvlJc w:val="right"/>
      <w:pPr>
        <w:ind w:left="2160" w:hanging="180"/>
      </w:pPr>
    </w:lvl>
    <w:lvl w:ilvl="3" w:tplc="72ACCAA0" w:tentative="1">
      <w:start w:val="1"/>
      <w:numFmt w:val="decimal"/>
      <w:lvlText w:val="%4."/>
      <w:lvlJc w:val="left"/>
      <w:pPr>
        <w:ind w:left="2880" w:hanging="360"/>
      </w:pPr>
    </w:lvl>
    <w:lvl w:ilvl="4" w:tplc="D4B8196E" w:tentative="1">
      <w:start w:val="1"/>
      <w:numFmt w:val="lowerLetter"/>
      <w:lvlText w:val="%5."/>
      <w:lvlJc w:val="left"/>
      <w:pPr>
        <w:ind w:left="3600" w:hanging="360"/>
      </w:pPr>
    </w:lvl>
    <w:lvl w:ilvl="5" w:tplc="060EB302" w:tentative="1">
      <w:start w:val="1"/>
      <w:numFmt w:val="lowerRoman"/>
      <w:lvlText w:val="%6."/>
      <w:lvlJc w:val="right"/>
      <w:pPr>
        <w:ind w:left="4320" w:hanging="180"/>
      </w:pPr>
    </w:lvl>
    <w:lvl w:ilvl="6" w:tplc="EF9CEB86" w:tentative="1">
      <w:start w:val="1"/>
      <w:numFmt w:val="decimal"/>
      <w:lvlText w:val="%7."/>
      <w:lvlJc w:val="left"/>
      <w:pPr>
        <w:ind w:left="5040" w:hanging="360"/>
      </w:pPr>
    </w:lvl>
    <w:lvl w:ilvl="7" w:tplc="3AEAB0D2" w:tentative="1">
      <w:start w:val="1"/>
      <w:numFmt w:val="lowerLetter"/>
      <w:lvlText w:val="%8."/>
      <w:lvlJc w:val="left"/>
      <w:pPr>
        <w:ind w:left="5760" w:hanging="360"/>
      </w:pPr>
    </w:lvl>
    <w:lvl w:ilvl="8" w:tplc="DDAEDA64" w:tentative="1">
      <w:start w:val="1"/>
      <w:numFmt w:val="lowerRoman"/>
      <w:lvlText w:val="%9."/>
      <w:lvlJc w:val="right"/>
      <w:pPr>
        <w:ind w:left="6480" w:hanging="180"/>
      </w:pPr>
    </w:lvl>
  </w:abstractNum>
  <w:abstractNum w:abstractNumId="6" w15:restartNumberingAfterBreak="0">
    <w:nsid w:val="3CBA68F9"/>
    <w:multiLevelType w:val="hybridMultilevel"/>
    <w:tmpl w:val="D80E50AC"/>
    <w:lvl w:ilvl="0" w:tplc="E662D946">
      <w:start w:val="1"/>
      <w:numFmt w:val="upperLetter"/>
      <w:lvlText w:val="%1."/>
      <w:lvlJc w:val="left"/>
      <w:pPr>
        <w:ind w:left="1620" w:hanging="360"/>
      </w:pPr>
    </w:lvl>
    <w:lvl w:ilvl="1" w:tplc="0E121718" w:tentative="1">
      <w:start w:val="1"/>
      <w:numFmt w:val="lowerLetter"/>
      <w:lvlText w:val="%2."/>
      <w:lvlJc w:val="left"/>
      <w:pPr>
        <w:ind w:left="2340" w:hanging="360"/>
      </w:pPr>
    </w:lvl>
    <w:lvl w:ilvl="2" w:tplc="336AEEC0" w:tentative="1">
      <w:start w:val="1"/>
      <w:numFmt w:val="lowerRoman"/>
      <w:lvlText w:val="%3."/>
      <w:lvlJc w:val="right"/>
      <w:pPr>
        <w:ind w:left="3060" w:hanging="180"/>
      </w:pPr>
    </w:lvl>
    <w:lvl w:ilvl="3" w:tplc="B9989EFA" w:tentative="1">
      <w:start w:val="1"/>
      <w:numFmt w:val="decimal"/>
      <w:lvlText w:val="%4."/>
      <w:lvlJc w:val="left"/>
      <w:pPr>
        <w:ind w:left="3780" w:hanging="360"/>
      </w:pPr>
    </w:lvl>
    <w:lvl w:ilvl="4" w:tplc="4AD07A56" w:tentative="1">
      <w:start w:val="1"/>
      <w:numFmt w:val="lowerLetter"/>
      <w:lvlText w:val="%5."/>
      <w:lvlJc w:val="left"/>
      <w:pPr>
        <w:ind w:left="4500" w:hanging="360"/>
      </w:pPr>
    </w:lvl>
    <w:lvl w:ilvl="5" w:tplc="A3EAD092" w:tentative="1">
      <w:start w:val="1"/>
      <w:numFmt w:val="lowerRoman"/>
      <w:lvlText w:val="%6."/>
      <w:lvlJc w:val="right"/>
      <w:pPr>
        <w:ind w:left="5220" w:hanging="180"/>
      </w:pPr>
    </w:lvl>
    <w:lvl w:ilvl="6" w:tplc="299CB8F0" w:tentative="1">
      <w:start w:val="1"/>
      <w:numFmt w:val="decimal"/>
      <w:lvlText w:val="%7."/>
      <w:lvlJc w:val="left"/>
      <w:pPr>
        <w:ind w:left="5940" w:hanging="360"/>
      </w:pPr>
    </w:lvl>
    <w:lvl w:ilvl="7" w:tplc="3E128336" w:tentative="1">
      <w:start w:val="1"/>
      <w:numFmt w:val="lowerLetter"/>
      <w:lvlText w:val="%8."/>
      <w:lvlJc w:val="left"/>
      <w:pPr>
        <w:ind w:left="6660" w:hanging="360"/>
      </w:pPr>
    </w:lvl>
    <w:lvl w:ilvl="8" w:tplc="30C0AD94" w:tentative="1">
      <w:start w:val="1"/>
      <w:numFmt w:val="lowerRoman"/>
      <w:lvlText w:val="%9."/>
      <w:lvlJc w:val="right"/>
      <w:pPr>
        <w:ind w:left="7380" w:hanging="180"/>
      </w:pPr>
    </w:lvl>
  </w:abstractNum>
  <w:abstractNum w:abstractNumId="7" w15:restartNumberingAfterBreak="0">
    <w:nsid w:val="3D3312BA"/>
    <w:multiLevelType w:val="hybridMultilevel"/>
    <w:tmpl w:val="D80E50AC"/>
    <w:lvl w:ilvl="0" w:tplc="F6FCE5BC">
      <w:start w:val="1"/>
      <w:numFmt w:val="upperLetter"/>
      <w:lvlText w:val="%1."/>
      <w:lvlJc w:val="left"/>
      <w:pPr>
        <w:ind w:left="1620" w:hanging="360"/>
      </w:pPr>
    </w:lvl>
    <w:lvl w:ilvl="1" w:tplc="EB9A1872">
      <w:start w:val="1"/>
      <w:numFmt w:val="lowerLetter"/>
      <w:lvlText w:val="%2."/>
      <w:lvlJc w:val="left"/>
      <w:pPr>
        <w:ind w:left="2340" w:hanging="360"/>
      </w:pPr>
    </w:lvl>
    <w:lvl w:ilvl="2" w:tplc="33140EE8" w:tentative="1">
      <w:start w:val="1"/>
      <w:numFmt w:val="lowerRoman"/>
      <w:lvlText w:val="%3."/>
      <w:lvlJc w:val="right"/>
      <w:pPr>
        <w:ind w:left="3060" w:hanging="180"/>
      </w:pPr>
    </w:lvl>
    <w:lvl w:ilvl="3" w:tplc="552A8C8E" w:tentative="1">
      <w:start w:val="1"/>
      <w:numFmt w:val="decimal"/>
      <w:lvlText w:val="%4."/>
      <w:lvlJc w:val="left"/>
      <w:pPr>
        <w:ind w:left="3780" w:hanging="360"/>
      </w:pPr>
    </w:lvl>
    <w:lvl w:ilvl="4" w:tplc="934AE158" w:tentative="1">
      <w:start w:val="1"/>
      <w:numFmt w:val="lowerLetter"/>
      <w:lvlText w:val="%5."/>
      <w:lvlJc w:val="left"/>
      <w:pPr>
        <w:ind w:left="4500" w:hanging="360"/>
      </w:pPr>
    </w:lvl>
    <w:lvl w:ilvl="5" w:tplc="8904F97C" w:tentative="1">
      <w:start w:val="1"/>
      <w:numFmt w:val="lowerRoman"/>
      <w:lvlText w:val="%6."/>
      <w:lvlJc w:val="right"/>
      <w:pPr>
        <w:ind w:left="5220" w:hanging="180"/>
      </w:pPr>
    </w:lvl>
    <w:lvl w:ilvl="6" w:tplc="92FA1FB8" w:tentative="1">
      <w:start w:val="1"/>
      <w:numFmt w:val="decimal"/>
      <w:lvlText w:val="%7."/>
      <w:lvlJc w:val="left"/>
      <w:pPr>
        <w:ind w:left="5940" w:hanging="360"/>
      </w:pPr>
    </w:lvl>
    <w:lvl w:ilvl="7" w:tplc="3C20F636" w:tentative="1">
      <w:start w:val="1"/>
      <w:numFmt w:val="lowerLetter"/>
      <w:lvlText w:val="%8."/>
      <w:lvlJc w:val="left"/>
      <w:pPr>
        <w:ind w:left="6660" w:hanging="360"/>
      </w:pPr>
    </w:lvl>
    <w:lvl w:ilvl="8" w:tplc="27880CEA" w:tentative="1">
      <w:start w:val="1"/>
      <w:numFmt w:val="lowerRoman"/>
      <w:lvlText w:val="%9."/>
      <w:lvlJc w:val="right"/>
      <w:pPr>
        <w:ind w:left="7380" w:hanging="180"/>
      </w:pPr>
    </w:lvl>
  </w:abstractNum>
  <w:abstractNum w:abstractNumId="8" w15:restartNumberingAfterBreak="0">
    <w:nsid w:val="472D5A37"/>
    <w:multiLevelType w:val="hybridMultilevel"/>
    <w:tmpl w:val="3CEEDD20"/>
    <w:lvl w:ilvl="0" w:tplc="E4E48972">
      <w:start w:val="1"/>
      <w:numFmt w:val="upperLetter"/>
      <w:lvlText w:val="%1."/>
      <w:lvlJc w:val="left"/>
      <w:pPr>
        <w:ind w:left="720" w:hanging="360"/>
      </w:pPr>
    </w:lvl>
    <w:lvl w:ilvl="1" w:tplc="3B8A92C0">
      <w:start w:val="1"/>
      <w:numFmt w:val="lowerLetter"/>
      <w:lvlText w:val="%2."/>
      <w:lvlJc w:val="left"/>
      <w:pPr>
        <w:ind w:left="1440" w:hanging="360"/>
      </w:pPr>
    </w:lvl>
    <w:lvl w:ilvl="2" w:tplc="36048586">
      <w:start w:val="1"/>
      <w:numFmt w:val="lowerRoman"/>
      <w:lvlText w:val="%3."/>
      <w:lvlJc w:val="right"/>
      <w:pPr>
        <w:ind w:left="2160" w:hanging="180"/>
      </w:pPr>
    </w:lvl>
    <w:lvl w:ilvl="3" w:tplc="C6EE27D2">
      <w:start w:val="1"/>
      <w:numFmt w:val="decimal"/>
      <w:lvlText w:val="%4."/>
      <w:lvlJc w:val="left"/>
      <w:pPr>
        <w:ind w:left="2880" w:hanging="360"/>
      </w:pPr>
    </w:lvl>
    <w:lvl w:ilvl="4" w:tplc="20F470D4">
      <w:start w:val="1"/>
      <w:numFmt w:val="lowerLetter"/>
      <w:lvlText w:val="%5."/>
      <w:lvlJc w:val="left"/>
      <w:pPr>
        <w:ind w:left="3600" w:hanging="360"/>
      </w:pPr>
    </w:lvl>
    <w:lvl w:ilvl="5" w:tplc="F94472EC">
      <w:start w:val="1"/>
      <w:numFmt w:val="lowerRoman"/>
      <w:lvlText w:val="%6."/>
      <w:lvlJc w:val="right"/>
      <w:pPr>
        <w:ind w:left="4320" w:hanging="180"/>
      </w:pPr>
    </w:lvl>
    <w:lvl w:ilvl="6" w:tplc="2A80E472">
      <w:start w:val="1"/>
      <w:numFmt w:val="decimal"/>
      <w:lvlText w:val="%7."/>
      <w:lvlJc w:val="left"/>
      <w:pPr>
        <w:ind w:left="5040" w:hanging="360"/>
      </w:pPr>
    </w:lvl>
    <w:lvl w:ilvl="7" w:tplc="A26A576E">
      <w:start w:val="1"/>
      <w:numFmt w:val="lowerLetter"/>
      <w:lvlText w:val="%8."/>
      <w:lvlJc w:val="left"/>
      <w:pPr>
        <w:ind w:left="5760" w:hanging="360"/>
      </w:pPr>
    </w:lvl>
    <w:lvl w:ilvl="8" w:tplc="9D1E11CE">
      <w:start w:val="1"/>
      <w:numFmt w:val="lowerRoman"/>
      <w:lvlText w:val="%9."/>
      <w:lvlJc w:val="right"/>
      <w:pPr>
        <w:ind w:left="6480" w:hanging="180"/>
      </w:pPr>
    </w:lvl>
  </w:abstractNum>
  <w:abstractNum w:abstractNumId="9" w15:restartNumberingAfterBreak="0">
    <w:nsid w:val="596D7710"/>
    <w:multiLevelType w:val="hybridMultilevel"/>
    <w:tmpl w:val="7C08D4B8"/>
    <w:lvl w:ilvl="0" w:tplc="95C4262C">
      <w:start w:val="1"/>
      <w:numFmt w:val="upperLetter"/>
      <w:lvlText w:val="%1."/>
      <w:lvlJc w:val="left"/>
      <w:pPr>
        <w:ind w:left="720" w:hanging="360"/>
      </w:pPr>
      <w:rPr>
        <w:rFonts w:hint="default"/>
      </w:rPr>
    </w:lvl>
    <w:lvl w:ilvl="1" w:tplc="CA860FD6" w:tentative="1">
      <w:start w:val="1"/>
      <w:numFmt w:val="lowerLetter"/>
      <w:lvlText w:val="%2."/>
      <w:lvlJc w:val="left"/>
      <w:pPr>
        <w:ind w:left="1440" w:hanging="360"/>
      </w:pPr>
    </w:lvl>
    <w:lvl w:ilvl="2" w:tplc="0338B85A" w:tentative="1">
      <w:start w:val="1"/>
      <w:numFmt w:val="lowerRoman"/>
      <w:lvlText w:val="%3."/>
      <w:lvlJc w:val="right"/>
      <w:pPr>
        <w:ind w:left="2160" w:hanging="180"/>
      </w:pPr>
    </w:lvl>
    <w:lvl w:ilvl="3" w:tplc="FAF050A0" w:tentative="1">
      <w:start w:val="1"/>
      <w:numFmt w:val="decimal"/>
      <w:lvlText w:val="%4."/>
      <w:lvlJc w:val="left"/>
      <w:pPr>
        <w:ind w:left="2880" w:hanging="360"/>
      </w:pPr>
    </w:lvl>
    <w:lvl w:ilvl="4" w:tplc="A15AA03C" w:tentative="1">
      <w:start w:val="1"/>
      <w:numFmt w:val="lowerLetter"/>
      <w:lvlText w:val="%5."/>
      <w:lvlJc w:val="left"/>
      <w:pPr>
        <w:ind w:left="3600" w:hanging="360"/>
      </w:pPr>
    </w:lvl>
    <w:lvl w:ilvl="5" w:tplc="A15AA0A2" w:tentative="1">
      <w:start w:val="1"/>
      <w:numFmt w:val="lowerRoman"/>
      <w:lvlText w:val="%6."/>
      <w:lvlJc w:val="right"/>
      <w:pPr>
        <w:ind w:left="4320" w:hanging="180"/>
      </w:pPr>
    </w:lvl>
    <w:lvl w:ilvl="6" w:tplc="DADA89D2" w:tentative="1">
      <w:start w:val="1"/>
      <w:numFmt w:val="decimal"/>
      <w:lvlText w:val="%7."/>
      <w:lvlJc w:val="left"/>
      <w:pPr>
        <w:ind w:left="5040" w:hanging="360"/>
      </w:pPr>
    </w:lvl>
    <w:lvl w:ilvl="7" w:tplc="B754C50E" w:tentative="1">
      <w:start w:val="1"/>
      <w:numFmt w:val="lowerLetter"/>
      <w:lvlText w:val="%8."/>
      <w:lvlJc w:val="left"/>
      <w:pPr>
        <w:ind w:left="5760" w:hanging="360"/>
      </w:pPr>
    </w:lvl>
    <w:lvl w:ilvl="8" w:tplc="2FA645C0" w:tentative="1">
      <w:start w:val="1"/>
      <w:numFmt w:val="lowerRoman"/>
      <w:lvlText w:val="%9."/>
      <w:lvlJc w:val="right"/>
      <w:pPr>
        <w:ind w:left="6480" w:hanging="180"/>
      </w:pPr>
    </w:lvl>
  </w:abstractNum>
  <w:abstractNum w:abstractNumId="10" w15:restartNumberingAfterBreak="0">
    <w:nsid w:val="70A0757E"/>
    <w:multiLevelType w:val="hybridMultilevel"/>
    <w:tmpl w:val="6C1019C0"/>
    <w:lvl w:ilvl="0" w:tplc="72C45000">
      <w:start w:val="1"/>
      <w:numFmt w:val="upperLetter"/>
      <w:lvlText w:val="%1."/>
      <w:lvlJc w:val="left"/>
      <w:pPr>
        <w:ind w:left="1260" w:hanging="360"/>
      </w:pPr>
      <w:rPr>
        <w:rFonts w:hint="default"/>
      </w:rPr>
    </w:lvl>
    <w:lvl w:ilvl="1" w:tplc="9CB426FC" w:tentative="1">
      <w:start w:val="1"/>
      <w:numFmt w:val="lowerLetter"/>
      <w:lvlText w:val="%2."/>
      <w:lvlJc w:val="left"/>
      <w:pPr>
        <w:ind w:left="1980" w:hanging="360"/>
      </w:pPr>
    </w:lvl>
    <w:lvl w:ilvl="2" w:tplc="EE803FF2" w:tentative="1">
      <w:start w:val="1"/>
      <w:numFmt w:val="lowerRoman"/>
      <w:lvlText w:val="%3."/>
      <w:lvlJc w:val="right"/>
      <w:pPr>
        <w:ind w:left="2700" w:hanging="180"/>
      </w:pPr>
    </w:lvl>
    <w:lvl w:ilvl="3" w:tplc="A688302E" w:tentative="1">
      <w:start w:val="1"/>
      <w:numFmt w:val="decimal"/>
      <w:lvlText w:val="%4."/>
      <w:lvlJc w:val="left"/>
      <w:pPr>
        <w:ind w:left="3420" w:hanging="360"/>
      </w:pPr>
    </w:lvl>
    <w:lvl w:ilvl="4" w:tplc="C97E7DE2" w:tentative="1">
      <w:start w:val="1"/>
      <w:numFmt w:val="lowerLetter"/>
      <w:lvlText w:val="%5."/>
      <w:lvlJc w:val="left"/>
      <w:pPr>
        <w:ind w:left="4140" w:hanging="360"/>
      </w:pPr>
    </w:lvl>
    <w:lvl w:ilvl="5" w:tplc="CB76F404" w:tentative="1">
      <w:start w:val="1"/>
      <w:numFmt w:val="lowerRoman"/>
      <w:lvlText w:val="%6."/>
      <w:lvlJc w:val="right"/>
      <w:pPr>
        <w:ind w:left="4860" w:hanging="180"/>
      </w:pPr>
    </w:lvl>
    <w:lvl w:ilvl="6" w:tplc="E7EE1DCA" w:tentative="1">
      <w:start w:val="1"/>
      <w:numFmt w:val="decimal"/>
      <w:lvlText w:val="%7."/>
      <w:lvlJc w:val="left"/>
      <w:pPr>
        <w:ind w:left="5580" w:hanging="360"/>
      </w:pPr>
    </w:lvl>
    <w:lvl w:ilvl="7" w:tplc="57E2F330" w:tentative="1">
      <w:start w:val="1"/>
      <w:numFmt w:val="lowerLetter"/>
      <w:lvlText w:val="%8."/>
      <w:lvlJc w:val="left"/>
      <w:pPr>
        <w:ind w:left="6300" w:hanging="360"/>
      </w:pPr>
    </w:lvl>
    <w:lvl w:ilvl="8" w:tplc="3B303390" w:tentative="1">
      <w:start w:val="1"/>
      <w:numFmt w:val="lowerRoman"/>
      <w:lvlText w:val="%9."/>
      <w:lvlJc w:val="right"/>
      <w:pPr>
        <w:ind w:left="7020" w:hanging="180"/>
      </w:pPr>
    </w:lvl>
  </w:abstractNum>
  <w:abstractNum w:abstractNumId="11" w15:restartNumberingAfterBreak="0">
    <w:nsid w:val="7E380040"/>
    <w:multiLevelType w:val="hybridMultilevel"/>
    <w:tmpl w:val="319EFF36"/>
    <w:lvl w:ilvl="0" w:tplc="ADFC403A">
      <w:start w:val="1"/>
      <w:numFmt w:val="upperLetter"/>
      <w:lvlText w:val="%1."/>
      <w:lvlJc w:val="left"/>
      <w:pPr>
        <w:ind w:left="720" w:hanging="360"/>
      </w:pPr>
      <w:rPr>
        <w:rFonts w:eastAsiaTheme="minorHAnsi" w:hint="default"/>
        <w:b/>
      </w:rPr>
    </w:lvl>
    <w:lvl w:ilvl="1" w:tplc="3D5C52FA" w:tentative="1">
      <w:start w:val="1"/>
      <w:numFmt w:val="lowerLetter"/>
      <w:lvlText w:val="%2."/>
      <w:lvlJc w:val="left"/>
      <w:pPr>
        <w:ind w:left="1440" w:hanging="360"/>
      </w:pPr>
    </w:lvl>
    <w:lvl w:ilvl="2" w:tplc="AD16C190" w:tentative="1">
      <w:start w:val="1"/>
      <w:numFmt w:val="lowerRoman"/>
      <w:lvlText w:val="%3."/>
      <w:lvlJc w:val="right"/>
      <w:pPr>
        <w:ind w:left="2160" w:hanging="180"/>
      </w:pPr>
    </w:lvl>
    <w:lvl w:ilvl="3" w:tplc="62B63790" w:tentative="1">
      <w:start w:val="1"/>
      <w:numFmt w:val="decimal"/>
      <w:lvlText w:val="%4."/>
      <w:lvlJc w:val="left"/>
      <w:pPr>
        <w:ind w:left="2880" w:hanging="360"/>
      </w:pPr>
    </w:lvl>
    <w:lvl w:ilvl="4" w:tplc="F1E0CC80" w:tentative="1">
      <w:start w:val="1"/>
      <w:numFmt w:val="lowerLetter"/>
      <w:lvlText w:val="%5."/>
      <w:lvlJc w:val="left"/>
      <w:pPr>
        <w:ind w:left="3600" w:hanging="360"/>
      </w:pPr>
    </w:lvl>
    <w:lvl w:ilvl="5" w:tplc="EBE2BEAA" w:tentative="1">
      <w:start w:val="1"/>
      <w:numFmt w:val="lowerRoman"/>
      <w:lvlText w:val="%6."/>
      <w:lvlJc w:val="right"/>
      <w:pPr>
        <w:ind w:left="4320" w:hanging="180"/>
      </w:pPr>
    </w:lvl>
    <w:lvl w:ilvl="6" w:tplc="1968FC78" w:tentative="1">
      <w:start w:val="1"/>
      <w:numFmt w:val="decimal"/>
      <w:lvlText w:val="%7."/>
      <w:lvlJc w:val="left"/>
      <w:pPr>
        <w:ind w:left="5040" w:hanging="360"/>
      </w:pPr>
    </w:lvl>
    <w:lvl w:ilvl="7" w:tplc="4C6084A8" w:tentative="1">
      <w:start w:val="1"/>
      <w:numFmt w:val="lowerLetter"/>
      <w:lvlText w:val="%8."/>
      <w:lvlJc w:val="left"/>
      <w:pPr>
        <w:ind w:left="5760" w:hanging="360"/>
      </w:pPr>
    </w:lvl>
    <w:lvl w:ilvl="8" w:tplc="B4965498" w:tentative="1">
      <w:start w:val="1"/>
      <w:numFmt w:val="lowerRoman"/>
      <w:lvlText w:val="%9."/>
      <w:lvlJc w:val="right"/>
      <w:pPr>
        <w:ind w:left="6480" w:hanging="180"/>
      </w:pPr>
    </w:lvl>
  </w:abstractNum>
  <w:num w:numId="1" w16cid:durableId="378670737">
    <w:abstractNumId w:val="6"/>
  </w:num>
  <w:num w:numId="2" w16cid:durableId="567495747">
    <w:abstractNumId w:val="10"/>
  </w:num>
  <w:num w:numId="3" w16cid:durableId="1259482691">
    <w:abstractNumId w:val="4"/>
  </w:num>
  <w:num w:numId="4" w16cid:durableId="16553342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2138020">
    <w:abstractNumId w:val="7"/>
  </w:num>
  <w:num w:numId="6" w16cid:durableId="1981880512">
    <w:abstractNumId w:val="0"/>
  </w:num>
  <w:num w:numId="7" w16cid:durableId="1689596789">
    <w:abstractNumId w:val="1"/>
  </w:num>
  <w:num w:numId="8" w16cid:durableId="2146269397">
    <w:abstractNumId w:val="9"/>
  </w:num>
  <w:num w:numId="9" w16cid:durableId="825246339">
    <w:abstractNumId w:val="5"/>
  </w:num>
  <w:num w:numId="10" w16cid:durableId="1303464118">
    <w:abstractNumId w:val="3"/>
  </w:num>
  <w:num w:numId="11" w16cid:durableId="1208909666">
    <w:abstractNumId w:val="11"/>
  </w:num>
  <w:num w:numId="12" w16cid:durableId="16006030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fer Klem">
    <w15:presenceInfo w15:providerId="AD" w15:userId="S::jennifer@klemmedical.com::c9e68081-f0a4-4c59-83e1-8c8f02ada220"/>
  </w15:person>
  <w15:person w15:author="Doctor">
    <w15:presenceInfo w15:providerId="AD" w15:userId="S::Doctor@c4wls.com::b915cedf-19b0-45df-ba32-573d5e59cf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C4"/>
    <w:rsid w:val="00000D1A"/>
    <w:rsid w:val="00007F32"/>
    <w:rsid w:val="00012D09"/>
    <w:rsid w:val="00014E7E"/>
    <w:rsid w:val="00017F8F"/>
    <w:rsid w:val="0002116D"/>
    <w:rsid w:val="00021265"/>
    <w:rsid w:val="00027620"/>
    <w:rsid w:val="00030073"/>
    <w:rsid w:val="000303C4"/>
    <w:rsid w:val="000328FE"/>
    <w:rsid w:val="00036F51"/>
    <w:rsid w:val="00037835"/>
    <w:rsid w:val="00045EA4"/>
    <w:rsid w:val="00047060"/>
    <w:rsid w:val="00057F30"/>
    <w:rsid w:val="0006176E"/>
    <w:rsid w:val="000716EA"/>
    <w:rsid w:val="0007409F"/>
    <w:rsid w:val="00091109"/>
    <w:rsid w:val="00091435"/>
    <w:rsid w:val="00091F06"/>
    <w:rsid w:val="000A1237"/>
    <w:rsid w:val="000A6468"/>
    <w:rsid w:val="000A7539"/>
    <w:rsid w:val="000C24D3"/>
    <w:rsid w:val="000C52BE"/>
    <w:rsid w:val="000E7531"/>
    <w:rsid w:val="000F5454"/>
    <w:rsid w:val="000F7550"/>
    <w:rsid w:val="00102A86"/>
    <w:rsid w:val="00113B1B"/>
    <w:rsid w:val="001166CE"/>
    <w:rsid w:val="001173B2"/>
    <w:rsid w:val="0012458D"/>
    <w:rsid w:val="001358E2"/>
    <w:rsid w:val="00136B8E"/>
    <w:rsid w:val="00151B19"/>
    <w:rsid w:val="00151D4D"/>
    <w:rsid w:val="001553E2"/>
    <w:rsid w:val="00156A7D"/>
    <w:rsid w:val="001579EC"/>
    <w:rsid w:val="00163170"/>
    <w:rsid w:val="00163BE3"/>
    <w:rsid w:val="001653A2"/>
    <w:rsid w:val="00165E40"/>
    <w:rsid w:val="001704D7"/>
    <w:rsid w:val="00176F20"/>
    <w:rsid w:val="0017703D"/>
    <w:rsid w:val="001812B6"/>
    <w:rsid w:val="001836DB"/>
    <w:rsid w:val="0018554E"/>
    <w:rsid w:val="0018739B"/>
    <w:rsid w:val="00190415"/>
    <w:rsid w:val="001A5B13"/>
    <w:rsid w:val="001A5B81"/>
    <w:rsid w:val="001B118E"/>
    <w:rsid w:val="001B241D"/>
    <w:rsid w:val="001B7AE1"/>
    <w:rsid w:val="001C03E9"/>
    <w:rsid w:val="001C2CB2"/>
    <w:rsid w:val="001D1583"/>
    <w:rsid w:val="001D1D57"/>
    <w:rsid w:val="001D4728"/>
    <w:rsid w:val="001E2138"/>
    <w:rsid w:val="001F3933"/>
    <w:rsid w:val="001F5BB7"/>
    <w:rsid w:val="0020137D"/>
    <w:rsid w:val="00206E36"/>
    <w:rsid w:val="002073D1"/>
    <w:rsid w:val="00220907"/>
    <w:rsid w:val="00230A81"/>
    <w:rsid w:val="0023147E"/>
    <w:rsid w:val="00233038"/>
    <w:rsid w:val="00240AC5"/>
    <w:rsid w:val="00242783"/>
    <w:rsid w:val="00244A8E"/>
    <w:rsid w:val="00246742"/>
    <w:rsid w:val="00260B94"/>
    <w:rsid w:val="00262B02"/>
    <w:rsid w:val="00270474"/>
    <w:rsid w:val="0028478B"/>
    <w:rsid w:val="00285388"/>
    <w:rsid w:val="00286D98"/>
    <w:rsid w:val="00294DEC"/>
    <w:rsid w:val="0029799F"/>
    <w:rsid w:val="002A0616"/>
    <w:rsid w:val="002A2E4F"/>
    <w:rsid w:val="002A305A"/>
    <w:rsid w:val="002A43AB"/>
    <w:rsid w:val="002B125E"/>
    <w:rsid w:val="002B2C82"/>
    <w:rsid w:val="002B4417"/>
    <w:rsid w:val="002D7C79"/>
    <w:rsid w:val="002E0145"/>
    <w:rsid w:val="002E0334"/>
    <w:rsid w:val="002E0B16"/>
    <w:rsid w:val="002E1825"/>
    <w:rsid w:val="002E4D90"/>
    <w:rsid w:val="002F0C47"/>
    <w:rsid w:val="002F2973"/>
    <w:rsid w:val="002F426F"/>
    <w:rsid w:val="00307562"/>
    <w:rsid w:val="00320BC4"/>
    <w:rsid w:val="00321394"/>
    <w:rsid w:val="003265A9"/>
    <w:rsid w:val="00326674"/>
    <w:rsid w:val="00341281"/>
    <w:rsid w:val="00342DAA"/>
    <w:rsid w:val="0035059C"/>
    <w:rsid w:val="00356071"/>
    <w:rsid w:val="00361A97"/>
    <w:rsid w:val="003656C5"/>
    <w:rsid w:val="003749F9"/>
    <w:rsid w:val="00384C2F"/>
    <w:rsid w:val="003854CC"/>
    <w:rsid w:val="00391555"/>
    <w:rsid w:val="0039749E"/>
    <w:rsid w:val="003A1507"/>
    <w:rsid w:val="003A24CB"/>
    <w:rsid w:val="003A4654"/>
    <w:rsid w:val="003A54C8"/>
    <w:rsid w:val="003A70A3"/>
    <w:rsid w:val="003B2BF0"/>
    <w:rsid w:val="003B42F7"/>
    <w:rsid w:val="003B4CF8"/>
    <w:rsid w:val="003C0A77"/>
    <w:rsid w:val="003C60A3"/>
    <w:rsid w:val="003D0197"/>
    <w:rsid w:val="003D2C0B"/>
    <w:rsid w:val="003D75BB"/>
    <w:rsid w:val="003D7A3B"/>
    <w:rsid w:val="003E37EF"/>
    <w:rsid w:val="003E4507"/>
    <w:rsid w:val="003E4F1D"/>
    <w:rsid w:val="003E6FE3"/>
    <w:rsid w:val="003E74D4"/>
    <w:rsid w:val="003F187F"/>
    <w:rsid w:val="004049A6"/>
    <w:rsid w:val="00413944"/>
    <w:rsid w:val="00413C65"/>
    <w:rsid w:val="00423A0D"/>
    <w:rsid w:val="00426A01"/>
    <w:rsid w:val="004274BB"/>
    <w:rsid w:val="00432107"/>
    <w:rsid w:val="00434B9A"/>
    <w:rsid w:val="00444D01"/>
    <w:rsid w:val="00452368"/>
    <w:rsid w:val="00454953"/>
    <w:rsid w:val="00455459"/>
    <w:rsid w:val="00462BC6"/>
    <w:rsid w:val="004660A9"/>
    <w:rsid w:val="0046640B"/>
    <w:rsid w:val="00472504"/>
    <w:rsid w:val="00474CD8"/>
    <w:rsid w:val="00481D74"/>
    <w:rsid w:val="004853A3"/>
    <w:rsid w:val="00492496"/>
    <w:rsid w:val="004A57A7"/>
    <w:rsid w:val="004A6A15"/>
    <w:rsid w:val="004B425C"/>
    <w:rsid w:val="004C3DB2"/>
    <w:rsid w:val="004C46F7"/>
    <w:rsid w:val="004D317F"/>
    <w:rsid w:val="004F273D"/>
    <w:rsid w:val="004F278D"/>
    <w:rsid w:val="004F5504"/>
    <w:rsid w:val="004F6039"/>
    <w:rsid w:val="004F734C"/>
    <w:rsid w:val="005036BB"/>
    <w:rsid w:val="00506C9A"/>
    <w:rsid w:val="00513126"/>
    <w:rsid w:val="005140B6"/>
    <w:rsid w:val="00517F97"/>
    <w:rsid w:val="005359B0"/>
    <w:rsid w:val="00537DEB"/>
    <w:rsid w:val="00537E00"/>
    <w:rsid w:val="0054006A"/>
    <w:rsid w:val="00543CFF"/>
    <w:rsid w:val="0054722C"/>
    <w:rsid w:val="005572DA"/>
    <w:rsid w:val="0056104C"/>
    <w:rsid w:val="00577183"/>
    <w:rsid w:val="00581793"/>
    <w:rsid w:val="00585C88"/>
    <w:rsid w:val="00590B4A"/>
    <w:rsid w:val="00592913"/>
    <w:rsid w:val="00592C19"/>
    <w:rsid w:val="00594504"/>
    <w:rsid w:val="005A2081"/>
    <w:rsid w:val="005A3D0C"/>
    <w:rsid w:val="005A6956"/>
    <w:rsid w:val="005B10AB"/>
    <w:rsid w:val="005B3810"/>
    <w:rsid w:val="005B3B46"/>
    <w:rsid w:val="005B4640"/>
    <w:rsid w:val="005B49EB"/>
    <w:rsid w:val="005B615C"/>
    <w:rsid w:val="005C2B4D"/>
    <w:rsid w:val="005C496C"/>
    <w:rsid w:val="005C60E2"/>
    <w:rsid w:val="005C6C53"/>
    <w:rsid w:val="005D10B5"/>
    <w:rsid w:val="005D11A6"/>
    <w:rsid w:val="005D3CC5"/>
    <w:rsid w:val="005E1AB1"/>
    <w:rsid w:val="005E1F49"/>
    <w:rsid w:val="005E5D30"/>
    <w:rsid w:val="005F1027"/>
    <w:rsid w:val="005F2919"/>
    <w:rsid w:val="005F35F3"/>
    <w:rsid w:val="005F5CBC"/>
    <w:rsid w:val="00600EBC"/>
    <w:rsid w:val="0060746D"/>
    <w:rsid w:val="00612F41"/>
    <w:rsid w:val="006233C6"/>
    <w:rsid w:val="006233C9"/>
    <w:rsid w:val="006233DF"/>
    <w:rsid w:val="00623B26"/>
    <w:rsid w:val="0062430B"/>
    <w:rsid w:val="00643B71"/>
    <w:rsid w:val="006453B2"/>
    <w:rsid w:val="00654FF1"/>
    <w:rsid w:val="00657239"/>
    <w:rsid w:val="006624CD"/>
    <w:rsid w:val="00664B29"/>
    <w:rsid w:val="0067403D"/>
    <w:rsid w:val="006747B4"/>
    <w:rsid w:val="00675625"/>
    <w:rsid w:val="006767BF"/>
    <w:rsid w:val="00680D20"/>
    <w:rsid w:val="00694EB0"/>
    <w:rsid w:val="006A5861"/>
    <w:rsid w:val="006A7BEC"/>
    <w:rsid w:val="006A7C21"/>
    <w:rsid w:val="006B06C3"/>
    <w:rsid w:val="006B6E9F"/>
    <w:rsid w:val="006C4EC4"/>
    <w:rsid w:val="006D24F7"/>
    <w:rsid w:val="006D7B38"/>
    <w:rsid w:val="006E7E77"/>
    <w:rsid w:val="006F09F8"/>
    <w:rsid w:val="006F1356"/>
    <w:rsid w:val="006F3742"/>
    <w:rsid w:val="006F67A4"/>
    <w:rsid w:val="00701B0D"/>
    <w:rsid w:val="00714344"/>
    <w:rsid w:val="007151DE"/>
    <w:rsid w:val="0072025F"/>
    <w:rsid w:val="007203B8"/>
    <w:rsid w:val="007224D6"/>
    <w:rsid w:val="00732D7A"/>
    <w:rsid w:val="00734751"/>
    <w:rsid w:val="00741BC9"/>
    <w:rsid w:val="00745868"/>
    <w:rsid w:val="007524D1"/>
    <w:rsid w:val="007538CC"/>
    <w:rsid w:val="00756DCB"/>
    <w:rsid w:val="00766B9F"/>
    <w:rsid w:val="00767B1C"/>
    <w:rsid w:val="00792BBE"/>
    <w:rsid w:val="00795EEE"/>
    <w:rsid w:val="007A15C2"/>
    <w:rsid w:val="007A73FB"/>
    <w:rsid w:val="007A783B"/>
    <w:rsid w:val="007A7F3D"/>
    <w:rsid w:val="007B09AB"/>
    <w:rsid w:val="007B0B6B"/>
    <w:rsid w:val="007B208A"/>
    <w:rsid w:val="007B326E"/>
    <w:rsid w:val="007B4D6D"/>
    <w:rsid w:val="007C0942"/>
    <w:rsid w:val="007C6F4C"/>
    <w:rsid w:val="007C734C"/>
    <w:rsid w:val="007E7E0A"/>
    <w:rsid w:val="007F1D99"/>
    <w:rsid w:val="007F4313"/>
    <w:rsid w:val="007F4652"/>
    <w:rsid w:val="007F7F6F"/>
    <w:rsid w:val="00802388"/>
    <w:rsid w:val="00817A62"/>
    <w:rsid w:val="00820F6C"/>
    <w:rsid w:val="0082700E"/>
    <w:rsid w:val="0083335B"/>
    <w:rsid w:val="00833955"/>
    <w:rsid w:val="008346B2"/>
    <w:rsid w:val="00836742"/>
    <w:rsid w:val="00836E8D"/>
    <w:rsid w:val="008404FA"/>
    <w:rsid w:val="00841BC5"/>
    <w:rsid w:val="0085795C"/>
    <w:rsid w:val="00867DA5"/>
    <w:rsid w:val="008739C9"/>
    <w:rsid w:val="00874003"/>
    <w:rsid w:val="008765FC"/>
    <w:rsid w:val="00887545"/>
    <w:rsid w:val="0089269C"/>
    <w:rsid w:val="00892C04"/>
    <w:rsid w:val="0089328F"/>
    <w:rsid w:val="008A1CD8"/>
    <w:rsid w:val="008A2347"/>
    <w:rsid w:val="008A2CDF"/>
    <w:rsid w:val="008A3C87"/>
    <w:rsid w:val="008A6092"/>
    <w:rsid w:val="008A7D3F"/>
    <w:rsid w:val="008B5E3C"/>
    <w:rsid w:val="008B71E2"/>
    <w:rsid w:val="008C1C16"/>
    <w:rsid w:val="008C5815"/>
    <w:rsid w:val="008D4632"/>
    <w:rsid w:val="008D6FC8"/>
    <w:rsid w:val="008E7BAF"/>
    <w:rsid w:val="008F0ECF"/>
    <w:rsid w:val="008F6AFC"/>
    <w:rsid w:val="00905600"/>
    <w:rsid w:val="009078F5"/>
    <w:rsid w:val="0091096B"/>
    <w:rsid w:val="00912660"/>
    <w:rsid w:val="00912A7A"/>
    <w:rsid w:val="009147FC"/>
    <w:rsid w:val="00915079"/>
    <w:rsid w:val="00930DE7"/>
    <w:rsid w:val="00931F98"/>
    <w:rsid w:val="00942B54"/>
    <w:rsid w:val="00952A2E"/>
    <w:rsid w:val="00957BBD"/>
    <w:rsid w:val="00960DDC"/>
    <w:rsid w:val="0097045A"/>
    <w:rsid w:val="00973330"/>
    <w:rsid w:val="00973512"/>
    <w:rsid w:val="009742B5"/>
    <w:rsid w:val="00977DDB"/>
    <w:rsid w:val="009905A8"/>
    <w:rsid w:val="00991321"/>
    <w:rsid w:val="00997DCB"/>
    <w:rsid w:val="009A5E60"/>
    <w:rsid w:val="009B468E"/>
    <w:rsid w:val="009C1875"/>
    <w:rsid w:val="009C2927"/>
    <w:rsid w:val="009C3519"/>
    <w:rsid w:val="009D1773"/>
    <w:rsid w:val="009E2813"/>
    <w:rsid w:val="009E6F23"/>
    <w:rsid w:val="009F1D2A"/>
    <w:rsid w:val="009F2C2D"/>
    <w:rsid w:val="009F64C8"/>
    <w:rsid w:val="00A0408C"/>
    <w:rsid w:val="00A105C7"/>
    <w:rsid w:val="00A158A0"/>
    <w:rsid w:val="00A21971"/>
    <w:rsid w:val="00A2341E"/>
    <w:rsid w:val="00A26513"/>
    <w:rsid w:val="00A269E3"/>
    <w:rsid w:val="00A42B20"/>
    <w:rsid w:val="00A46203"/>
    <w:rsid w:val="00A5055E"/>
    <w:rsid w:val="00A52F48"/>
    <w:rsid w:val="00A57696"/>
    <w:rsid w:val="00A6345A"/>
    <w:rsid w:val="00A70779"/>
    <w:rsid w:val="00A73AB8"/>
    <w:rsid w:val="00A74F2F"/>
    <w:rsid w:val="00A75ECC"/>
    <w:rsid w:val="00A7626C"/>
    <w:rsid w:val="00A8099A"/>
    <w:rsid w:val="00A84815"/>
    <w:rsid w:val="00A85791"/>
    <w:rsid w:val="00A92038"/>
    <w:rsid w:val="00AA2B8F"/>
    <w:rsid w:val="00AA7E74"/>
    <w:rsid w:val="00AB3EC0"/>
    <w:rsid w:val="00AB48DD"/>
    <w:rsid w:val="00AB551B"/>
    <w:rsid w:val="00AB730F"/>
    <w:rsid w:val="00AC72D9"/>
    <w:rsid w:val="00AD04D7"/>
    <w:rsid w:val="00AD06E5"/>
    <w:rsid w:val="00AD32F5"/>
    <w:rsid w:val="00AD39BA"/>
    <w:rsid w:val="00AD7B34"/>
    <w:rsid w:val="00AE5FC2"/>
    <w:rsid w:val="00B05CBA"/>
    <w:rsid w:val="00B11CC3"/>
    <w:rsid w:val="00B1236D"/>
    <w:rsid w:val="00B15CB0"/>
    <w:rsid w:val="00B16DF8"/>
    <w:rsid w:val="00B21113"/>
    <w:rsid w:val="00B25345"/>
    <w:rsid w:val="00B27F30"/>
    <w:rsid w:val="00B34A9D"/>
    <w:rsid w:val="00B374BD"/>
    <w:rsid w:val="00B37B44"/>
    <w:rsid w:val="00B4113E"/>
    <w:rsid w:val="00B4340F"/>
    <w:rsid w:val="00B46C2A"/>
    <w:rsid w:val="00B53D76"/>
    <w:rsid w:val="00B60C83"/>
    <w:rsid w:val="00B65B27"/>
    <w:rsid w:val="00B71342"/>
    <w:rsid w:val="00B7474B"/>
    <w:rsid w:val="00B75B0C"/>
    <w:rsid w:val="00B8145A"/>
    <w:rsid w:val="00B81B1F"/>
    <w:rsid w:val="00B86F94"/>
    <w:rsid w:val="00B87488"/>
    <w:rsid w:val="00BA0595"/>
    <w:rsid w:val="00BA326B"/>
    <w:rsid w:val="00BA472F"/>
    <w:rsid w:val="00BA7EFA"/>
    <w:rsid w:val="00BB0516"/>
    <w:rsid w:val="00BB3498"/>
    <w:rsid w:val="00BB46FD"/>
    <w:rsid w:val="00BC2C06"/>
    <w:rsid w:val="00BC4545"/>
    <w:rsid w:val="00C0313D"/>
    <w:rsid w:val="00C057B9"/>
    <w:rsid w:val="00C07CF0"/>
    <w:rsid w:val="00C11F49"/>
    <w:rsid w:val="00C144F3"/>
    <w:rsid w:val="00C21717"/>
    <w:rsid w:val="00C2279F"/>
    <w:rsid w:val="00C23389"/>
    <w:rsid w:val="00C246D4"/>
    <w:rsid w:val="00C31277"/>
    <w:rsid w:val="00C32BE3"/>
    <w:rsid w:val="00C35986"/>
    <w:rsid w:val="00C42305"/>
    <w:rsid w:val="00C456D9"/>
    <w:rsid w:val="00C542E0"/>
    <w:rsid w:val="00C54E35"/>
    <w:rsid w:val="00C6165A"/>
    <w:rsid w:val="00C6541C"/>
    <w:rsid w:val="00C701D7"/>
    <w:rsid w:val="00C71FE4"/>
    <w:rsid w:val="00C724D8"/>
    <w:rsid w:val="00C73512"/>
    <w:rsid w:val="00C76D8B"/>
    <w:rsid w:val="00C81E5E"/>
    <w:rsid w:val="00C865C3"/>
    <w:rsid w:val="00C9048C"/>
    <w:rsid w:val="00C93707"/>
    <w:rsid w:val="00C955AE"/>
    <w:rsid w:val="00C964BA"/>
    <w:rsid w:val="00C969B3"/>
    <w:rsid w:val="00C97580"/>
    <w:rsid w:val="00CA16F7"/>
    <w:rsid w:val="00CB56A9"/>
    <w:rsid w:val="00CB7F43"/>
    <w:rsid w:val="00CC4DFF"/>
    <w:rsid w:val="00CC619B"/>
    <w:rsid w:val="00CC6983"/>
    <w:rsid w:val="00CC6B1F"/>
    <w:rsid w:val="00CD2298"/>
    <w:rsid w:val="00CD2913"/>
    <w:rsid w:val="00CD4B44"/>
    <w:rsid w:val="00CD686A"/>
    <w:rsid w:val="00CE09B7"/>
    <w:rsid w:val="00CE5AB7"/>
    <w:rsid w:val="00CF16A1"/>
    <w:rsid w:val="00CF2849"/>
    <w:rsid w:val="00D00EAB"/>
    <w:rsid w:val="00D03A5A"/>
    <w:rsid w:val="00D06CB8"/>
    <w:rsid w:val="00D07282"/>
    <w:rsid w:val="00D10715"/>
    <w:rsid w:val="00D272FC"/>
    <w:rsid w:val="00D33C85"/>
    <w:rsid w:val="00D34A3C"/>
    <w:rsid w:val="00D365E7"/>
    <w:rsid w:val="00D422A9"/>
    <w:rsid w:val="00D43950"/>
    <w:rsid w:val="00D453EF"/>
    <w:rsid w:val="00D46008"/>
    <w:rsid w:val="00D47FC2"/>
    <w:rsid w:val="00D52831"/>
    <w:rsid w:val="00D5504E"/>
    <w:rsid w:val="00D65380"/>
    <w:rsid w:val="00D66974"/>
    <w:rsid w:val="00D74215"/>
    <w:rsid w:val="00D742E3"/>
    <w:rsid w:val="00D77327"/>
    <w:rsid w:val="00D82548"/>
    <w:rsid w:val="00D8337C"/>
    <w:rsid w:val="00D83ECD"/>
    <w:rsid w:val="00D83FAD"/>
    <w:rsid w:val="00D87C48"/>
    <w:rsid w:val="00D932DB"/>
    <w:rsid w:val="00DD3282"/>
    <w:rsid w:val="00DD49B6"/>
    <w:rsid w:val="00DD6275"/>
    <w:rsid w:val="00DD7F5C"/>
    <w:rsid w:val="00DE2A16"/>
    <w:rsid w:val="00DE4205"/>
    <w:rsid w:val="00DE52DC"/>
    <w:rsid w:val="00DF1F87"/>
    <w:rsid w:val="00DF25E4"/>
    <w:rsid w:val="00DF5A13"/>
    <w:rsid w:val="00DF69F2"/>
    <w:rsid w:val="00DF7021"/>
    <w:rsid w:val="00E06F02"/>
    <w:rsid w:val="00E122A1"/>
    <w:rsid w:val="00E129D3"/>
    <w:rsid w:val="00E13B43"/>
    <w:rsid w:val="00E160FB"/>
    <w:rsid w:val="00E17556"/>
    <w:rsid w:val="00E22843"/>
    <w:rsid w:val="00E305CD"/>
    <w:rsid w:val="00E31523"/>
    <w:rsid w:val="00E43492"/>
    <w:rsid w:val="00E43CCE"/>
    <w:rsid w:val="00E44F73"/>
    <w:rsid w:val="00E70472"/>
    <w:rsid w:val="00E73EB8"/>
    <w:rsid w:val="00E7503A"/>
    <w:rsid w:val="00E75EAB"/>
    <w:rsid w:val="00E82B2D"/>
    <w:rsid w:val="00E85CEC"/>
    <w:rsid w:val="00E914E9"/>
    <w:rsid w:val="00E92542"/>
    <w:rsid w:val="00E93C75"/>
    <w:rsid w:val="00E94E88"/>
    <w:rsid w:val="00E9787C"/>
    <w:rsid w:val="00EA181F"/>
    <w:rsid w:val="00EA5E82"/>
    <w:rsid w:val="00EA6B0C"/>
    <w:rsid w:val="00EB08DF"/>
    <w:rsid w:val="00EB1D8D"/>
    <w:rsid w:val="00EC5C48"/>
    <w:rsid w:val="00ED2428"/>
    <w:rsid w:val="00ED4670"/>
    <w:rsid w:val="00EE2293"/>
    <w:rsid w:val="00EF4E66"/>
    <w:rsid w:val="00EF5AD6"/>
    <w:rsid w:val="00F15497"/>
    <w:rsid w:val="00F16B97"/>
    <w:rsid w:val="00F23F34"/>
    <w:rsid w:val="00F317FF"/>
    <w:rsid w:val="00F462B6"/>
    <w:rsid w:val="00F463E3"/>
    <w:rsid w:val="00F50872"/>
    <w:rsid w:val="00F5255F"/>
    <w:rsid w:val="00F635EA"/>
    <w:rsid w:val="00F63D04"/>
    <w:rsid w:val="00F6493B"/>
    <w:rsid w:val="00F66148"/>
    <w:rsid w:val="00F66D0A"/>
    <w:rsid w:val="00F756E6"/>
    <w:rsid w:val="00F76EE5"/>
    <w:rsid w:val="00F80D03"/>
    <w:rsid w:val="00F839A5"/>
    <w:rsid w:val="00F87886"/>
    <w:rsid w:val="00FB080A"/>
    <w:rsid w:val="00FB2057"/>
    <w:rsid w:val="00FC0F6E"/>
    <w:rsid w:val="00FD6979"/>
    <w:rsid w:val="00FE04A9"/>
    <w:rsid w:val="00FF4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3D6D6"/>
  <w15:chartTrackingRefBased/>
  <w15:docId w15:val="{78FD793B-49D8-45A6-BF40-3C77E854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BE3"/>
  </w:style>
  <w:style w:type="paragraph" w:styleId="Heading1">
    <w:name w:val="heading 1"/>
    <w:basedOn w:val="Normal"/>
    <w:next w:val="Normal"/>
    <w:link w:val="Heading1Char"/>
    <w:uiPriority w:val="9"/>
    <w:qFormat/>
    <w:rsid w:val="006C4E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E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E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E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E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E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E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E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E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E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E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E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E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E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E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E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EC4"/>
    <w:rPr>
      <w:rFonts w:eastAsiaTheme="majorEastAsia" w:cstheme="majorBidi"/>
      <w:color w:val="272727" w:themeColor="text1" w:themeTint="D8"/>
    </w:rPr>
  </w:style>
  <w:style w:type="paragraph" w:styleId="Title">
    <w:name w:val="Title"/>
    <w:basedOn w:val="Normal"/>
    <w:next w:val="Normal"/>
    <w:link w:val="TitleChar"/>
    <w:uiPriority w:val="10"/>
    <w:qFormat/>
    <w:rsid w:val="006C4E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E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E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E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EC4"/>
    <w:pPr>
      <w:spacing w:before="160"/>
      <w:jc w:val="center"/>
    </w:pPr>
    <w:rPr>
      <w:i/>
      <w:iCs/>
      <w:color w:val="404040" w:themeColor="text1" w:themeTint="BF"/>
    </w:rPr>
  </w:style>
  <w:style w:type="character" w:customStyle="1" w:styleId="QuoteChar">
    <w:name w:val="Quote Char"/>
    <w:basedOn w:val="DefaultParagraphFont"/>
    <w:link w:val="Quote"/>
    <w:uiPriority w:val="29"/>
    <w:rsid w:val="006C4EC4"/>
    <w:rPr>
      <w:i/>
      <w:iCs/>
      <w:color w:val="404040" w:themeColor="text1" w:themeTint="BF"/>
    </w:rPr>
  </w:style>
  <w:style w:type="paragraph" w:styleId="ListParagraph">
    <w:name w:val="List Paragraph"/>
    <w:basedOn w:val="Normal"/>
    <w:uiPriority w:val="34"/>
    <w:qFormat/>
    <w:rsid w:val="006C4EC4"/>
    <w:pPr>
      <w:ind w:left="720"/>
      <w:contextualSpacing/>
    </w:pPr>
  </w:style>
  <w:style w:type="character" w:styleId="IntenseEmphasis">
    <w:name w:val="Intense Emphasis"/>
    <w:basedOn w:val="DefaultParagraphFont"/>
    <w:uiPriority w:val="21"/>
    <w:qFormat/>
    <w:rsid w:val="006C4EC4"/>
    <w:rPr>
      <w:i/>
      <w:iCs/>
      <w:color w:val="0F4761" w:themeColor="accent1" w:themeShade="BF"/>
    </w:rPr>
  </w:style>
  <w:style w:type="paragraph" w:styleId="IntenseQuote">
    <w:name w:val="Intense Quote"/>
    <w:basedOn w:val="Normal"/>
    <w:next w:val="Normal"/>
    <w:link w:val="IntenseQuoteChar"/>
    <w:uiPriority w:val="30"/>
    <w:qFormat/>
    <w:rsid w:val="006C4E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EC4"/>
    <w:rPr>
      <w:i/>
      <w:iCs/>
      <w:color w:val="0F4761" w:themeColor="accent1" w:themeShade="BF"/>
    </w:rPr>
  </w:style>
  <w:style w:type="character" w:styleId="IntenseReference">
    <w:name w:val="Intense Reference"/>
    <w:basedOn w:val="DefaultParagraphFont"/>
    <w:uiPriority w:val="32"/>
    <w:qFormat/>
    <w:rsid w:val="006C4EC4"/>
    <w:rPr>
      <w:b/>
      <w:bCs/>
      <w:smallCaps/>
      <w:color w:val="0F4761" w:themeColor="accent1" w:themeShade="BF"/>
      <w:spacing w:val="5"/>
    </w:rPr>
  </w:style>
  <w:style w:type="character" w:styleId="CommentReference">
    <w:name w:val="annotation reference"/>
    <w:basedOn w:val="DefaultParagraphFont"/>
    <w:uiPriority w:val="99"/>
    <w:semiHidden/>
    <w:unhideWhenUsed/>
    <w:rsid w:val="006C4EC4"/>
    <w:rPr>
      <w:sz w:val="16"/>
      <w:szCs w:val="16"/>
    </w:rPr>
  </w:style>
  <w:style w:type="paragraph" w:styleId="CommentText">
    <w:name w:val="annotation text"/>
    <w:basedOn w:val="Normal"/>
    <w:link w:val="CommentTextChar"/>
    <w:uiPriority w:val="99"/>
    <w:unhideWhenUsed/>
    <w:rsid w:val="006C4EC4"/>
    <w:pPr>
      <w:spacing w:line="240" w:lineRule="auto"/>
    </w:pPr>
    <w:rPr>
      <w:sz w:val="20"/>
      <w:szCs w:val="20"/>
    </w:rPr>
  </w:style>
  <w:style w:type="character" w:customStyle="1" w:styleId="CommentTextChar">
    <w:name w:val="Comment Text Char"/>
    <w:basedOn w:val="DefaultParagraphFont"/>
    <w:link w:val="CommentText"/>
    <w:uiPriority w:val="99"/>
    <w:rsid w:val="006C4EC4"/>
    <w:rPr>
      <w:sz w:val="20"/>
      <w:szCs w:val="20"/>
    </w:rPr>
  </w:style>
  <w:style w:type="table" w:styleId="TableGrid">
    <w:name w:val="Table Grid"/>
    <w:basedOn w:val="TableNormal"/>
    <w:uiPriority w:val="39"/>
    <w:rsid w:val="004F7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474B"/>
    <w:pPr>
      <w:spacing w:after="0" w:line="240" w:lineRule="auto"/>
    </w:pPr>
    <w:rPr>
      <w:sz w:val="22"/>
      <w:szCs w:val="22"/>
    </w:rPr>
  </w:style>
  <w:style w:type="paragraph" w:styleId="CommentSubject">
    <w:name w:val="annotation subject"/>
    <w:basedOn w:val="CommentText"/>
    <w:next w:val="CommentText"/>
    <w:link w:val="CommentSubjectChar"/>
    <w:uiPriority w:val="99"/>
    <w:semiHidden/>
    <w:unhideWhenUsed/>
    <w:rsid w:val="00B7474B"/>
    <w:rPr>
      <w:b/>
      <w:bCs/>
    </w:rPr>
  </w:style>
  <w:style w:type="character" w:customStyle="1" w:styleId="CommentSubjectChar">
    <w:name w:val="Comment Subject Char"/>
    <w:basedOn w:val="CommentTextChar"/>
    <w:link w:val="CommentSubject"/>
    <w:uiPriority w:val="99"/>
    <w:semiHidden/>
    <w:rsid w:val="00B7474B"/>
    <w:rPr>
      <w:b/>
      <w:bCs/>
      <w:sz w:val="20"/>
      <w:szCs w:val="20"/>
    </w:rPr>
  </w:style>
  <w:style w:type="paragraph" w:styleId="BalloonText">
    <w:name w:val="Balloon Text"/>
    <w:basedOn w:val="Normal"/>
    <w:link w:val="BalloonTextChar"/>
    <w:uiPriority w:val="99"/>
    <w:semiHidden/>
    <w:unhideWhenUsed/>
    <w:rsid w:val="00DD49B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D49B6"/>
    <w:rPr>
      <w:rFonts w:ascii="Times New Roman" w:hAnsi="Times New Roman" w:cs="Times New Roman"/>
      <w:sz w:val="18"/>
      <w:szCs w:val="18"/>
    </w:rPr>
  </w:style>
  <w:style w:type="character" w:styleId="Hyperlink">
    <w:name w:val="Hyperlink"/>
    <w:basedOn w:val="DefaultParagraphFont"/>
    <w:uiPriority w:val="99"/>
    <w:unhideWhenUsed/>
    <w:rsid w:val="00E122A1"/>
    <w:rPr>
      <w:color w:val="467886" w:themeColor="hyperlink"/>
      <w:u w:val="single"/>
    </w:rPr>
  </w:style>
  <w:style w:type="character" w:styleId="UnresolvedMention">
    <w:name w:val="Unresolved Mention"/>
    <w:basedOn w:val="DefaultParagraphFont"/>
    <w:uiPriority w:val="99"/>
    <w:semiHidden/>
    <w:unhideWhenUsed/>
    <w:rsid w:val="00E122A1"/>
    <w:rPr>
      <w:color w:val="605E5C"/>
      <w:shd w:val="clear" w:color="auto" w:fill="E1DFDD"/>
    </w:rPr>
  </w:style>
  <w:style w:type="paragraph" w:customStyle="1" w:styleId="preflight-heading">
    <w:name w:val="preflight-heading"/>
    <w:pPr>
      <w:spacing w:before="60" w:after="60"/>
    </w:pPr>
    <w:rPr>
      <w:b/>
      <w:color w:val="000000"/>
      <w:sz w:val="20"/>
    </w:rPr>
  </w:style>
  <w:style w:type="paragraph" w:customStyle="1" w:styleId="preflight-description">
    <w:name w:val="preflight-description"/>
    <w:pPr>
      <w:spacing w:before="60" w:after="60"/>
    </w:pPr>
    <w:rPr>
      <w:color w:val="000000"/>
      <w:sz w:val="20"/>
    </w:rPr>
  </w:style>
  <w:style w:type="paragraph" w:customStyle="1" w:styleId="preflight-link">
    <w:name w:val="preflight-link"/>
    <w:pPr>
      <w:spacing w:before="60" w:after="60"/>
    </w:pPr>
    <w:rPr>
      <w:color w:val="0000FF"/>
      <w:sz w:val="20"/>
      <w:u w:val="single"/>
    </w:rPr>
  </w:style>
  <w:style w:type="paragraph" w:customStyle="1" w:styleId="preflight-example">
    <w:name w:val="preflight-example"/>
    <w:pPr>
      <w:spacing w:before="180" w:after="60"/>
    </w:pPr>
    <w:rPr>
      <w:i/>
      <w:color w:val="000000"/>
      <w:sz w:val="20"/>
    </w:rPr>
  </w:style>
  <w:style w:type="paragraph" w:styleId="Header">
    <w:name w:val="header"/>
    <w:basedOn w:val="Normal"/>
    <w:link w:val="HeaderChar"/>
    <w:uiPriority w:val="99"/>
    <w:unhideWhenUsed/>
    <w:rsid w:val="007151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1DE"/>
  </w:style>
  <w:style w:type="paragraph" w:styleId="Footer">
    <w:name w:val="footer"/>
    <w:basedOn w:val="Normal"/>
    <w:link w:val="FooterChar"/>
    <w:uiPriority w:val="99"/>
    <w:unhideWhenUsed/>
    <w:rsid w:val="007151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e80bf9-6f84-4154-a91d-e80c8b2d8b51">
      <Terms xmlns="http://schemas.microsoft.com/office/infopath/2007/PartnerControls"/>
    </lcf76f155ced4ddcb4097134ff3c332f>
    <TaxCatchAll xmlns="90491dc5-9ef2-4bdf-902f-2f05237964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D3C33F57C4644590A51AF537BE0C4A" ma:contentTypeVersion="19" ma:contentTypeDescription="Create a new document." ma:contentTypeScope="" ma:versionID="491b8391b3bc73ae9d6abc51c79172d1">
  <xsd:schema xmlns:xsd="http://www.w3.org/2001/XMLSchema" xmlns:xs="http://www.w3.org/2001/XMLSchema" xmlns:p="http://schemas.microsoft.com/office/2006/metadata/properties" xmlns:ns2="90491dc5-9ef2-4bdf-902f-2f0523796485" xmlns:ns3="e4e80bf9-6f84-4154-a91d-e80c8b2d8b51" targetNamespace="http://schemas.microsoft.com/office/2006/metadata/properties" ma:root="true" ma:fieldsID="bac4aadeae8d6f0c8f1cf2e2e6f876d2" ns2:_="" ns3:_="">
    <xsd:import namespace="90491dc5-9ef2-4bdf-902f-2f0523796485"/>
    <xsd:import namespace="e4e80bf9-6f84-4154-a91d-e80c8b2d8b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91dc5-9ef2-4bdf-902f-2f05237964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5009fec-3f61-4962-b064-70a1204f84dd}" ma:internalName="TaxCatchAll" ma:showField="CatchAllData" ma:web="90491dc5-9ef2-4bdf-902f-2f05237964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e80bf9-6f84-4154-a91d-e80c8b2d8b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2ec559-f3e7-46ed-9e55-6a25dce995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A1342-15D5-42A3-9A77-F3CBAFC4A6B1}">
  <ds:schemaRefs>
    <ds:schemaRef ds:uri="http://schemas.microsoft.com/sharepoint/v3/contenttype/forms"/>
  </ds:schemaRefs>
</ds:datastoreItem>
</file>

<file path=customXml/itemProps2.xml><?xml version="1.0" encoding="utf-8"?>
<ds:datastoreItem xmlns:ds="http://schemas.openxmlformats.org/officeDocument/2006/customXml" ds:itemID="{43DE3729-2667-4A85-AAC3-03A20EA73AE2}">
  <ds:schemaRefs>
    <ds:schemaRef ds:uri="http://schemas.microsoft.com/office/2006/metadata/properties"/>
    <ds:schemaRef ds:uri="http://schemas.microsoft.com/office/infopath/2007/PartnerControls"/>
    <ds:schemaRef ds:uri="e4e80bf9-6f84-4154-a91d-e80c8b2d8b51"/>
    <ds:schemaRef ds:uri="90491dc5-9ef2-4bdf-902f-2f0523796485"/>
  </ds:schemaRefs>
</ds:datastoreItem>
</file>

<file path=customXml/itemProps3.xml><?xml version="1.0" encoding="utf-8"?>
<ds:datastoreItem xmlns:ds="http://schemas.openxmlformats.org/officeDocument/2006/customXml" ds:itemID="{67A5F2E6-C026-4160-B4BC-C21DA219A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91dc5-9ef2-4bdf-902f-2f0523796485"/>
    <ds:schemaRef ds:uri="e4e80bf9-6f84-4154-a91d-e80c8b2d8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F3540D-C373-4792-A20B-112EBFC9B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3362</Words>
  <Characters>19771</Characters>
  <Application>Microsoft Office Word</Application>
  <DocSecurity>0</DocSecurity>
  <Lines>286</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Klem</dc:creator>
  <cp:lastModifiedBy>Doctor</cp:lastModifiedBy>
  <cp:revision>5</cp:revision>
  <dcterms:created xsi:type="dcterms:W3CDTF">2025-12-30T12:30:00Z</dcterms:created>
  <dcterms:modified xsi:type="dcterms:W3CDTF">2026-01-06T03:31:00Z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0x01010052D3C33F57C4644590A51AF537BE0C4A</vt:lpwstr>
  </property>
  <property fmtid="{D5CDD505-2E9C-101B-9397-08002B2CF9AE}" pid="3" name="MediaServiceImageTags">
    <vt:lpwstr/>
  </property>
</Properties>
</file>