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D5B95" w14:textId="77777777" w:rsidR="00B60FBF" w:rsidRPr="0091043D" w:rsidRDefault="00B60FBF" w:rsidP="00B60FBF">
      <w:pPr>
        <w:jc w:val="center"/>
        <w:rPr>
          <w:rFonts w:asciiTheme="minorHAnsi" w:hAnsiTheme="minorHAnsi" w:cstheme="minorHAnsi"/>
          <w:b/>
          <w:sz w:val="28"/>
          <w:szCs w:val="28"/>
          <w:lang w:val="en-GB"/>
        </w:rPr>
      </w:pPr>
      <w:bookmarkStart w:id="0" w:name="_heading=h.yajez35kkabt" w:colFirst="0" w:colLast="0"/>
      <w:bookmarkEnd w:id="0"/>
      <w:r w:rsidRPr="0091043D">
        <w:rPr>
          <w:rFonts w:asciiTheme="minorHAnsi" w:hAnsiTheme="minorHAnsi" w:cstheme="minorHAnsi"/>
          <w:b/>
          <w:sz w:val="28"/>
          <w:szCs w:val="28"/>
          <w:lang w:val="en-GB"/>
        </w:rPr>
        <w:t xml:space="preserve">Land transformation driven by wind and solar development in Brazilian municipalities </w:t>
      </w:r>
    </w:p>
    <w:p w14:paraId="481F3D6B" w14:textId="77777777" w:rsidR="00B60FBF" w:rsidRPr="0091043D" w:rsidRDefault="00B60FBF" w:rsidP="00B60FBF">
      <w:pPr>
        <w:spacing w:before="120"/>
        <w:jc w:val="center"/>
        <w:rPr>
          <w:rFonts w:asciiTheme="minorHAnsi" w:hAnsiTheme="minorHAnsi" w:cstheme="minorHAnsi"/>
          <w:b/>
          <w:lang w:val="pt-BR"/>
        </w:rPr>
      </w:pPr>
      <w:r w:rsidRPr="0091043D">
        <w:rPr>
          <w:rFonts w:asciiTheme="minorHAnsi" w:hAnsiTheme="minorHAnsi" w:cstheme="minorHAnsi"/>
          <w:lang w:val="pt-BR"/>
        </w:rPr>
        <w:t xml:space="preserve">Felipe </w:t>
      </w:r>
      <w:proofErr w:type="spellStart"/>
      <w:r w:rsidRPr="0091043D">
        <w:rPr>
          <w:rFonts w:asciiTheme="minorHAnsi" w:hAnsiTheme="minorHAnsi" w:cstheme="minorHAnsi"/>
          <w:lang w:val="pt-BR"/>
        </w:rPr>
        <w:t>Husadel</w:t>
      </w:r>
      <w:proofErr w:type="spellEnd"/>
      <w:r w:rsidRPr="0091043D">
        <w:rPr>
          <w:rFonts w:asciiTheme="minorHAnsi" w:hAnsiTheme="minorHAnsi" w:cstheme="minorHAnsi"/>
          <w:lang w:val="pt-BR"/>
        </w:rPr>
        <w:t xml:space="preserve"> Poyer</w:t>
      </w:r>
      <w:r w:rsidRPr="0091043D">
        <w:rPr>
          <w:rFonts w:asciiTheme="minorHAnsi" w:hAnsiTheme="minorHAnsi" w:cstheme="minorHAnsi"/>
          <w:vertAlign w:val="superscript"/>
          <w:lang w:val="pt-BR"/>
        </w:rPr>
        <w:t>1*</w:t>
      </w:r>
      <w:r w:rsidRPr="0091043D">
        <w:rPr>
          <w:rFonts w:asciiTheme="minorHAnsi" w:hAnsiTheme="minorHAnsi" w:cstheme="minorHAnsi"/>
          <w:lang w:val="pt-BR"/>
        </w:rPr>
        <w:t xml:space="preserve">; </w:t>
      </w:r>
      <w:proofErr w:type="spellStart"/>
      <w:r w:rsidRPr="0091043D">
        <w:rPr>
          <w:rFonts w:asciiTheme="minorHAnsi" w:hAnsiTheme="minorHAnsi" w:cstheme="minorHAnsi"/>
          <w:lang w:val="pt-BR"/>
        </w:rPr>
        <w:t>Polyanna</w:t>
      </w:r>
      <w:proofErr w:type="spellEnd"/>
      <w:r w:rsidRPr="0091043D">
        <w:rPr>
          <w:rFonts w:asciiTheme="minorHAnsi" w:hAnsiTheme="minorHAnsi" w:cstheme="minorHAnsi"/>
          <w:lang w:val="pt-BR"/>
        </w:rPr>
        <w:t xml:space="preserve"> da Conceição Bispo</w:t>
      </w:r>
      <w:r w:rsidRPr="0091043D">
        <w:rPr>
          <w:rFonts w:asciiTheme="minorHAnsi" w:hAnsiTheme="minorHAnsi" w:cstheme="minorHAnsi"/>
          <w:vertAlign w:val="superscript"/>
          <w:lang w:val="pt-BR"/>
        </w:rPr>
        <w:t>2</w:t>
      </w:r>
      <w:r w:rsidRPr="0091043D">
        <w:rPr>
          <w:rFonts w:asciiTheme="minorHAnsi" w:hAnsiTheme="minorHAnsi" w:cstheme="minorHAnsi"/>
          <w:lang w:val="pt-BR"/>
        </w:rPr>
        <w:t>; Paula Conde Santos Borba</w:t>
      </w:r>
      <w:r w:rsidRPr="0091043D">
        <w:rPr>
          <w:rFonts w:asciiTheme="minorHAnsi" w:hAnsiTheme="minorHAnsi" w:cstheme="minorHAnsi"/>
          <w:vertAlign w:val="superscript"/>
          <w:lang w:val="pt-BR"/>
        </w:rPr>
        <w:t>1,3</w:t>
      </w:r>
      <w:r w:rsidRPr="0091043D">
        <w:rPr>
          <w:rFonts w:asciiTheme="minorHAnsi" w:hAnsiTheme="minorHAnsi" w:cstheme="minorHAnsi"/>
          <w:lang w:val="pt-BR"/>
        </w:rPr>
        <w:t xml:space="preserve">; </w:t>
      </w:r>
      <w:proofErr w:type="spellStart"/>
      <w:r w:rsidRPr="0091043D">
        <w:rPr>
          <w:rFonts w:asciiTheme="minorHAnsi" w:hAnsiTheme="minorHAnsi" w:cstheme="minorHAnsi"/>
          <w:lang w:val="pt-BR"/>
        </w:rPr>
        <w:t>Meiriele</w:t>
      </w:r>
      <w:proofErr w:type="spellEnd"/>
      <w:r w:rsidRPr="0091043D">
        <w:rPr>
          <w:rFonts w:asciiTheme="minorHAnsi" w:hAnsiTheme="minorHAnsi" w:cstheme="minorHAnsi"/>
          <w:lang w:val="pt-BR"/>
        </w:rPr>
        <w:t xml:space="preserve"> Alvarenga Cumplido</w:t>
      </w:r>
      <w:r w:rsidRPr="0091043D">
        <w:rPr>
          <w:rFonts w:asciiTheme="minorHAnsi" w:hAnsiTheme="minorHAnsi" w:cstheme="minorHAnsi"/>
          <w:vertAlign w:val="superscript"/>
          <w:lang w:val="pt-BR"/>
        </w:rPr>
        <w:t>1</w:t>
      </w:r>
      <w:r w:rsidRPr="0091043D">
        <w:rPr>
          <w:rFonts w:asciiTheme="minorHAnsi" w:hAnsiTheme="minorHAnsi" w:cstheme="minorHAnsi"/>
          <w:lang w:val="pt-BR"/>
        </w:rPr>
        <w:t xml:space="preserve">; </w:t>
      </w:r>
      <w:hyperlink r:id="rId8" w:history="1">
        <w:r w:rsidRPr="0091043D">
          <w:rPr>
            <w:rFonts w:asciiTheme="minorHAnsi" w:hAnsiTheme="minorHAnsi" w:cstheme="minorHAnsi"/>
            <w:lang w:val="pt-BR"/>
          </w:rPr>
          <w:t>Argemiro Teixeira Leite-Filho</w:t>
        </w:r>
      </w:hyperlink>
      <w:r w:rsidRPr="0091043D">
        <w:rPr>
          <w:rFonts w:asciiTheme="minorHAnsi" w:hAnsiTheme="minorHAnsi" w:cstheme="minorHAnsi"/>
          <w:vertAlign w:val="superscript"/>
          <w:lang w:val="pt-BR"/>
        </w:rPr>
        <w:t>1</w:t>
      </w:r>
      <w:r w:rsidRPr="0091043D">
        <w:rPr>
          <w:rFonts w:asciiTheme="minorHAnsi" w:hAnsiTheme="minorHAnsi" w:cstheme="minorHAnsi"/>
          <w:lang w:val="pt-BR"/>
        </w:rPr>
        <w:t xml:space="preserve">; Murilo da Costa </w:t>
      </w:r>
      <w:proofErr w:type="spellStart"/>
      <w:r w:rsidRPr="0091043D">
        <w:rPr>
          <w:rFonts w:asciiTheme="minorHAnsi" w:hAnsiTheme="minorHAnsi" w:cstheme="minorHAnsi"/>
          <w:lang w:val="pt-BR"/>
        </w:rPr>
        <w:t>Ruv</w:t>
      </w:r>
      <w:proofErr w:type="spellEnd"/>
      <w:r w:rsidRPr="0091043D">
        <w:rPr>
          <w:rFonts w:asciiTheme="minorHAnsi" w:hAnsiTheme="minorHAnsi" w:cstheme="minorHAnsi"/>
          <w:lang w:val="pt-BR"/>
        </w:rPr>
        <w:t xml:space="preserve"> Lemes</w:t>
      </w:r>
      <w:r w:rsidRPr="0091043D">
        <w:rPr>
          <w:rFonts w:asciiTheme="minorHAnsi" w:hAnsiTheme="minorHAnsi" w:cstheme="minorHAnsi"/>
          <w:vertAlign w:val="superscript"/>
          <w:lang w:val="pt-BR"/>
        </w:rPr>
        <w:t>1</w:t>
      </w:r>
      <w:r w:rsidRPr="0091043D">
        <w:rPr>
          <w:rFonts w:asciiTheme="minorHAnsi" w:hAnsiTheme="minorHAnsi" w:cstheme="minorHAnsi"/>
          <w:lang w:val="pt-BR"/>
        </w:rPr>
        <w:t xml:space="preserve">; </w:t>
      </w:r>
      <w:proofErr w:type="spellStart"/>
      <w:r w:rsidRPr="0091043D">
        <w:rPr>
          <w:rFonts w:asciiTheme="minorHAnsi" w:hAnsiTheme="minorHAnsi" w:cstheme="minorHAnsi"/>
          <w:lang w:val="pt-BR"/>
        </w:rPr>
        <w:t>Christhian</w:t>
      </w:r>
      <w:proofErr w:type="spellEnd"/>
      <w:r w:rsidRPr="0091043D">
        <w:rPr>
          <w:rFonts w:asciiTheme="minorHAnsi" w:hAnsiTheme="minorHAnsi" w:cstheme="minorHAnsi"/>
          <w:lang w:val="pt-BR"/>
        </w:rPr>
        <w:t xml:space="preserve"> Santana Cunha</w:t>
      </w:r>
      <w:r w:rsidRPr="0091043D">
        <w:rPr>
          <w:rFonts w:asciiTheme="minorHAnsi" w:hAnsiTheme="minorHAnsi" w:cstheme="minorHAnsi"/>
          <w:vertAlign w:val="superscript"/>
          <w:lang w:val="pt-BR"/>
        </w:rPr>
        <w:t>4</w:t>
      </w:r>
      <w:r w:rsidRPr="0091043D">
        <w:rPr>
          <w:rFonts w:asciiTheme="minorHAnsi" w:hAnsiTheme="minorHAnsi" w:cstheme="minorHAnsi"/>
          <w:lang w:val="pt-BR"/>
        </w:rPr>
        <w:t>; André F. P. Lucena</w:t>
      </w:r>
      <w:r w:rsidRPr="0091043D">
        <w:rPr>
          <w:rFonts w:asciiTheme="minorHAnsi" w:hAnsiTheme="minorHAnsi" w:cstheme="minorHAnsi"/>
          <w:vertAlign w:val="superscript"/>
          <w:lang w:val="pt-BR"/>
        </w:rPr>
        <w:t>5</w:t>
      </w:r>
      <w:r w:rsidRPr="0091043D">
        <w:rPr>
          <w:rFonts w:asciiTheme="minorHAnsi" w:hAnsiTheme="minorHAnsi" w:cstheme="minorHAnsi"/>
          <w:lang w:val="pt-BR"/>
        </w:rPr>
        <w:t xml:space="preserve">; </w:t>
      </w:r>
      <w:proofErr w:type="spellStart"/>
      <w:r w:rsidRPr="0091043D">
        <w:rPr>
          <w:rFonts w:asciiTheme="minorHAnsi" w:hAnsiTheme="minorHAnsi" w:cstheme="minorHAnsi"/>
          <w:lang w:val="pt-BR"/>
        </w:rPr>
        <w:t>Enio</w:t>
      </w:r>
      <w:proofErr w:type="spellEnd"/>
      <w:r w:rsidRPr="0091043D">
        <w:rPr>
          <w:rFonts w:asciiTheme="minorHAnsi" w:hAnsiTheme="minorHAnsi" w:cstheme="minorHAnsi"/>
          <w:lang w:val="pt-BR"/>
        </w:rPr>
        <w:t xml:space="preserve"> Bueno Pereira</w:t>
      </w:r>
      <w:r w:rsidRPr="0091043D">
        <w:rPr>
          <w:rFonts w:asciiTheme="minorHAnsi" w:hAnsiTheme="minorHAnsi" w:cstheme="minorHAnsi"/>
          <w:vertAlign w:val="superscript"/>
          <w:lang w:val="pt-BR"/>
        </w:rPr>
        <w:t>1</w:t>
      </w:r>
    </w:p>
    <w:p w14:paraId="718406FD" w14:textId="77777777" w:rsidR="00B60FBF" w:rsidRPr="0091043D" w:rsidRDefault="00B60FBF" w:rsidP="00B60FBF">
      <w:pPr>
        <w:spacing w:before="120"/>
        <w:jc w:val="center"/>
        <w:rPr>
          <w:rFonts w:asciiTheme="minorHAnsi" w:hAnsiTheme="minorHAnsi" w:cstheme="minorHAnsi"/>
          <w:b/>
          <w:sz w:val="24"/>
          <w:szCs w:val="24"/>
          <w:lang w:val="pt-BR"/>
        </w:rPr>
      </w:pPr>
    </w:p>
    <w:p w14:paraId="710CFEEF" w14:textId="77777777" w:rsidR="00B60FBF" w:rsidRPr="0091043D" w:rsidRDefault="00B60FBF" w:rsidP="00B60FBF">
      <w:pPr>
        <w:spacing w:before="120"/>
        <w:rPr>
          <w:rFonts w:asciiTheme="minorHAnsi" w:hAnsiTheme="minorHAnsi" w:cstheme="minorHAnsi"/>
          <w:i/>
          <w:color w:val="000000"/>
          <w:sz w:val="20"/>
          <w:szCs w:val="20"/>
          <w:lang w:val="pt-BR"/>
        </w:rPr>
      </w:pPr>
      <w:r w:rsidRPr="0091043D">
        <w:rPr>
          <w:rFonts w:asciiTheme="minorHAnsi" w:hAnsiTheme="minorHAnsi" w:cstheme="minorHAnsi"/>
          <w:sz w:val="20"/>
          <w:szCs w:val="20"/>
          <w:vertAlign w:val="superscript"/>
          <w:lang w:val="pt-BR"/>
        </w:rPr>
        <w:t xml:space="preserve">1 </w:t>
      </w:r>
      <w:proofErr w:type="spellStart"/>
      <w:r w:rsidRPr="0091043D">
        <w:rPr>
          <w:rFonts w:asciiTheme="minorHAnsi" w:hAnsiTheme="minorHAnsi" w:cstheme="minorHAnsi"/>
          <w:i/>
          <w:sz w:val="20"/>
          <w:szCs w:val="20"/>
          <w:lang w:val="pt-BR"/>
        </w:rPr>
        <w:t>Division</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of</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Impacts</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Adaptation</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and</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Vulnerabilities</w:t>
      </w:r>
      <w:proofErr w:type="spellEnd"/>
      <w:r w:rsidRPr="0091043D">
        <w:rPr>
          <w:rFonts w:asciiTheme="minorHAnsi" w:hAnsiTheme="minorHAnsi" w:cstheme="minorHAnsi"/>
          <w:i/>
          <w:sz w:val="20"/>
          <w:szCs w:val="20"/>
          <w:lang w:val="pt-BR"/>
        </w:rPr>
        <w:t xml:space="preserve"> (DIIAV), </w:t>
      </w:r>
      <w:proofErr w:type="spellStart"/>
      <w:r w:rsidRPr="0091043D">
        <w:rPr>
          <w:rFonts w:asciiTheme="minorHAnsi" w:hAnsiTheme="minorHAnsi" w:cstheme="minorHAnsi"/>
          <w:i/>
          <w:sz w:val="20"/>
          <w:szCs w:val="20"/>
          <w:lang w:val="pt-BR"/>
        </w:rPr>
        <w:t>National</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Institute</w:t>
      </w:r>
      <w:proofErr w:type="spellEnd"/>
      <w:r w:rsidRPr="0091043D">
        <w:rPr>
          <w:rFonts w:asciiTheme="minorHAnsi" w:hAnsiTheme="minorHAnsi" w:cstheme="minorHAnsi"/>
          <w:i/>
          <w:sz w:val="20"/>
          <w:szCs w:val="20"/>
          <w:lang w:val="pt-BR"/>
        </w:rPr>
        <w:t xml:space="preserve"> for Space </w:t>
      </w:r>
      <w:proofErr w:type="spellStart"/>
      <w:r w:rsidRPr="0091043D">
        <w:rPr>
          <w:rFonts w:asciiTheme="minorHAnsi" w:hAnsiTheme="minorHAnsi" w:cstheme="minorHAnsi"/>
          <w:i/>
          <w:sz w:val="20"/>
          <w:szCs w:val="20"/>
          <w:lang w:val="pt-BR"/>
        </w:rPr>
        <w:t>Research</w:t>
      </w:r>
      <w:proofErr w:type="spellEnd"/>
      <w:r w:rsidRPr="0091043D">
        <w:rPr>
          <w:rFonts w:asciiTheme="minorHAnsi" w:hAnsiTheme="minorHAnsi" w:cstheme="minorHAnsi"/>
          <w:i/>
          <w:sz w:val="20"/>
          <w:szCs w:val="20"/>
          <w:lang w:val="pt-BR"/>
        </w:rPr>
        <w:t xml:space="preserve"> (INPE)</w:t>
      </w:r>
      <w:r w:rsidRPr="0091043D">
        <w:rPr>
          <w:rFonts w:asciiTheme="minorHAnsi" w:hAnsiTheme="minorHAnsi" w:cstheme="minorHAnsi"/>
          <w:i/>
          <w:color w:val="000000"/>
          <w:sz w:val="20"/>
          <w:szCs w:val="20"/>
          <w:lang w:val="pt-BR"/>
        </w:rPr>
        <w:t>: Avenida dos Astronautas, 1758, CEP: 12227-010, São José dos Campos, São Paulo, Brasil</w:t>
      </w:r>
    </w:p>
    <w:p w14:paraId="1A9D0DBD" w14:textId="77777777" w:rsidR="00B60FBF" w:rsidRPr="0091043D" w:rsidRDefault="00B60FBF" w:rsidP="00B60FBF">
      <w:pPr>
        <w:spacing w:before="120"/>
        <w:rPr>
          <w:rFonts w:asciiTheme="minorHAnsi" w:hAnsiTheme="minorHAnsi" w:cstheme="minorHAnsi"/>
          <w:i/>
          <w:color w:val="000000"/>
          <w:sz w:val="20"/>
          <w:szCs w:val="20"/>
          <w:lang w:val="en-GB"/>
        </w:rPr>
      </w:pPr>
      <w:r w:rsidRPr="0091043D">
        <w:rPr>
          <w:rFonts w:asciiTheme="minorHAnsi" w:hAnsiTheme="minorHAnsi" w:cstheme="minorHAnsi"/>
          <w:sz w:val="20"/>
          <w:szCs w:val="20"/>
          <w:vertAlign w:val="superscript"/>
          <w:lang w:val="en-GB"/>
        </w:rPr>
        <w:t xml:space="preserve">2 </w:t>
      </w:r>
      <w:r w:rsidRPr="0091043D">
        <w:rPr>
          <w:rFonts w:asciiTheme="minorHAnsi" w:hAnsiTheme="minorHAnsi" w:cstheme="minorHAnsi"/>
          <w:i/>
          <w:color w:val="000000"/>
          <w:sz w:val="20"/>
          <w:szCs w:val="20"/>
          <w:lang w:val="en-GB"/>
        </w:rPr>
        <w:t>University of</w:t>
      </w:r>
      <w:r w:rsidRPr="0091043D">
        <w:rPr>
          <w:rFonts w:asciiTheme="minorHAnsi" w:hAnsiTheme="minorHAnsi" w:cstheme="minorHAnsi"/>
          <w:sz w:val="20"/>
          <w:szCs w:val="20"/>
          <w:lang w:val="en-GB"/>
        </w:rPr>
        <w:t xml:space="preserve"> </w:t>
      </w:r>
      <w:r w:rsidRPr="0091043D">
        <w:rPr>
          <w:rFonts w:asciiTheme="minorHAnsi" w:hAnsiTheme="minorHAnsi" w:cstheme="minorHAnsi"/>
          <w:i/>
          <w:color w:val="000000"/>
          <w:sz w:val="20"/>
          <w:szCs w:val="20"/>
          <w:lang w:val="en-GB"/>
        </w:rPr>
        <w:t>Manchester, Department of Geography, School of Environment, Education and Development: Oxford Road, M13 9PL, Manchester, United Kingdom.</w:t>
      </w:r>
    </w:p>
    <w:p w14:paraId="1624C954" w14:textId="77777777" w:rsidR="00B60FBF" w:rsidRPr="0091043D" w:rsidRDefault="00B60FBF" w:rsidP="00B60FBF">
      <w:pPr>
        <w:spacing w:before="120"/>
        <w:rPr>
          <w:rFonts w:asciiTheme="minorHAnsi" w:hAnsiTheme="minorHAnsi" w:cstheme="minorHAnsi"/>
          <w:i/>
          <w:color w:val="000000"/>
          <w:sz w:val="20"/>
          <w:szCs w:val="20"/>
          <w:lang w:val="pt-BR"/>
        </w:rPr>
      </w:pPr>
      <w:r w:rsidRPr="0091043D">
        <w:rPr>
          <w:rFonts w:asciiTheme="minorHAnsi" w:hAnsiTheme="minorHAnsi" w:cstheme="minorHAnsi"/>
          <w:i/>
          <w:sz w:val="20"/>
          <w:szCs w:val="20"/>
          <w:vertAlign w:val="superscript"/>
          <w:lang w:val="pt-BR"/>
        </w:rPr>
        <w:t xml:space="preserve">3 </w:t>
      </w:r>
      <w:proofErr w:type="spellStart"/>
      <w:r w:rsidRPr="0091043D">
        <w:rPr>
          <w:rFonts w:asciiTheme="minorHAnsi" w:hAnsiTheme="minorHAnsi" w:cstheme="minorHAnsi"/>
          <w:i/>
          <w:sz w:val="20"/>
          <w:szCs w:val="20"/>
          <w:lang w:val="pt-BR"/>
        </w:rPr>
        <w:t>Institute</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of</w:t>
      </w:r>
      <w:proofErr w:type="spellEnd"/>
      <w:r w:rsidRPr="0091043D">
        <w:rPr>
          <w:rFonts w:asciiTheme="minorHAnsi" w:hAnsiTheme="minorHAnsi" w:cstheme="minorHAnsi"/>
          <w:i/>
          <w:sz w:val="20"/>
          <w:szCs w:val="20"/>
          <w:lang w:val="pt-BR"/>
        </w:rPr>
        <w:t xml:space="preserve"> Marine Science (</w:t>
      </w:r>
      <w:proofErr w:type="spellStart"/>
      <w:r w:rsidRPr="0091043D">
        <w:rPr>
          <w:rFonts w:asciiTheme="minorHAnsi" w:hAnsiTheme="minorHAnsi" w:cstheme="minorHAnsi"/>
          <w:i/>
          <w:sz w:val="20"/>
          <w:szCs w:val="20"/>
          <w:lang w:val="pt-BR"/>
        </w:rPr>
        <w:t>IMar</w:t>
      </w:r>
      <w:proofErr w:type="spellEnd"/>
      <w:r w:rsidRPr="0091043D">
        <w:rPr>
          <w:rFonts w:asciiTheme="minorHAnsi" w:hAnsiTheme="minorHAnsi" w:cstheme="minorHAnsi"/>
          <w:i/>
          <w:sz w:val="20"/>
          <w:szCs w:val="20"/>
          <w:lang w:val="pt-BR"/>
        </w:rPr>
        <w:t xml:space="preserve">), Federal </w:t>
      </w:r>
      <w:proofErr w:type="spellStart"/>
      <w:r w:rsidRPr="0091043D">
        <w:rPr>
          <w:rFonts w:asciiTheme="minorHAnsi" w:hAnsiTheme="minorHAnsi" w:cstheme="minorHAnsi"/>
          <w:i/>
          <w:sz w:val="20"/>
          <w:szCs w:val="20"/>
          <w:lang w:val="pt-BR"/>
        </w:rPr>
        <w:t>University</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of</w:t>
      </w:r>
      <w:proofErr w:type="spellEnd"/>
      <w:r w:rsidRPr="0091043D">
        <w:rPr>
          <w:rFonts w:asciiTheme="minorHAnsi" w:hAnsiTheme="minorHAnsi" w:cstheme="minorHAnsi"/>
          <w:i/>
          <w:sz w:val="20"/>
          <w:szCs w:val="20"/>
          <w:lang w:val="pt-BR"/>
        </w:rPr>
        <w:t xml:space="preserve"> São Paulo (UNIFESP)</w:t>
      </w:r>
      <w:r w:rsidRPr="0091043D">
        <w:rPr>
          <w:rFonts w:asciiTheme="minorHAnsi" w:hAnsiTheme="minorHAnsi" w:cstheme="minorHAnsi"/>
          <w:i/>
          <w:color w:val="000000"/>
          <w:sz w:val="20"/>
          <w:szCs w:val="20"/>
          <w:lang w:val="pt-BR"/>
        </w:rPr>
        <w:t>: Rua Carvalho de Mendonça, 144, CEP: 11030-100, Santos, São Paulo, Brasil.</w:t>
      </w:r>
    </w:p>
    <w:p w14:paraId="1C4C61CD" w14:textId="77777777" w:rsidR="00B60FBF" w:rsidRPr="0091043D" w:rsidRDefault="00B60FBF" w:rsidP="00B60FBF">
      <w:pPr>
        <w:spacing w:before="120"/>
        <w:rPr>
          <w:rFonts w:asciiTheme="minorHAnsi" w:hAnsiTheme="minorHAnsi" w:cstheme="minorHAnsi"/>
          <w:i/>
          <w:color w:val="000000"/>
          <w:sz w:val="20"/>
          <w:szCs w:val="20"/>
          <w:lang w:val="pt-BR"/>
        </w:rPr>
      </w:pPr>
      <w:r w:rsidRPr="0091043D">
        <w:rPr>
          <w:rFonts w:asciiTheme="minorHAnsi" w:hAnsiTheme="minorHAnsi" w:cstheme="minorHAnsi"/>
          <w:i/>
          <w:sz w:val="20"/>
          <w:szCs w:val="20"/>
          <w:vertAlign w:val="superscript"/>
          <w:lang w:val="pt-BR"/>
        </w:rPr>
        <w:t xml:space="preserve">4 </w:t>
      </w:r>
      <w:r w:rsidRPr="0091043D">
        <w:rPr>
          <w:rFonts w:asciiTheme="minorHAnsi" w:hAnsiTheme="minorHAnsi" w:cstheme="minorHAnsi"/>
          <w:i/>
          <w:sz w:val="20"/>
          <w:szCs w:val="20"/>
          <w:lang w:val="pt-BR"/>
        </w:rPr>
        <w:t xml:space="preserve">Federal </w:t>
      </w:r>
      <w:proofErr w:type="spellStart"/>
      <w:r w:rsidRPr="0091043D">
        <w:rPr>
          <w:rFonts w:asciiTheme="minorHAnsi" w:hAnsiTheme="minorHAnsi" w:cstheme="minorHAnsi"/>
          <w:i/>
          <w:sz w:val="20"/>
          <w:szCs w:val="20"/>
          <w:lang w:val="pt-BR"/>
        </w:rPr>
        <w:t>University</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of</w:t>
      </w:r>
      <w:proofErr w:type="spellEnd"/>
      <w:r w:rsidRPr="0091043D">
        <w:rPr>
          <w:rFonts w:asciiTheme="minorHAnsi" w:hAnsiTheme="minorHAnsi" w:cstheme="minorHAnsi"/>
          <w:i/>
          <w:sz w:val="20"/>
          <w:szCs w:val="20"/>
          <w:lang w:val="pt-BR"/>
        </w:rPr>
        <w:t xml:space="preserve"> Rio Grande do Sul</w:t>
      </w:r>
      <w:r w:rsidRPr="0091043D">
        <w:rPr>
          <w:rFonts w:asciiTheme="minorHAnsi" w:hAnsiTheme="minorHAnsi" w:cstheme="minorHAnsi"/>
          <w:i/>
          <w:color w:val="000000"/>
          <w:sz w:val="20"/>
          <w:szCs w:val="20"/>
          <w:lang w:val="pt-BR"/>
        </w:rPr>
        <w:t xml:space="preserve"> (UFRGS): Avenida Paulo Gama, 110, CEP: 9004-060, Porto Alegre, Rio Grande do Sul, Brasil</w:t>
      </w:r>
    </w:p>
    <w:p w14:paraId="3950B77C" w14:textId="77777777" w:rsidR="00B60FBF" w:rsidRPr="0091043D" w:rsidRDefault="00B60FBF" w:rsidP="00B60FBF">
      <w:pPr>
        <w:spacing w:before="120"/>
        <w:rPr>
          <w:rFonts w:asciiTheme="minorHAnsi" w:hAnsiTheme="minorHAnsi" w:cstheme="minorHAnsi"/>
          <w:i/>
          <w:color w:val="000000"/>
          <w:sz w:val="20"/>
          <w:szCs w:val="20"/>
          <w:lang w:val="pt-BR"/>
        </w:rPr>
      </w:pPr>
      <w:r w:rsidRPr="0091043D">
        <w:rPr>
          <w:rFonts w:asciiTheme="minorHAnsi" w:hAnsiTheme="minorHAnsi" w:cstheme="minorHAnsi"/>
          <w:i/>
          <w:sz w:val="20"/>
          <w:szCs w:val="20"/>
          <w:vertAlign w:val="superscript"/>
          <w:lang w:val="pt-BR"/>
        </w:rPr>
        <w:t xml:space="preserve">5 </w:t>
      </w:r>
      <w:r w:rsidRPr="0091043D">
        <w:rPr>
          <w:rFonts w:asciiTheme="minorHAnsi" w:hAnsiTheme="minorHAnsi" w:cstheme="minorHAnsi"/>
          <w:i/>
          <w:sz w:val="20"/>
          <w:szCs w:val="20"/>
          <w:lang w:val="pt-BR"/>
        </w:rPr>
        <w:t xml:space="preserve">Center for Energy </w:t>
      </w:r>
      <w:proofErr w:type="spellStart"/>
      <w:r w:rsidRPr="0091043D">
        <w:rPr>
          <w:rFonts w:asciiTheme="minorHAnsi" w:hAnsiTheme="minorHAnsi" w:cstheme="minorHAnsi"/>
          <w:i/>
          <w:sz w:val="20"/>
          <w:szCs w:val="20"/>
          <w:lang w:val="pt-BR"/>
        </w:rPr>
        <w:t>and</w:t>
      </w:r>
      <w:proofErr w:type="spellEnd"/>
      <w:r w:rsidRPr="0091043D">
        <w:rPr>
          <w:rFonts w:asciiTheme="minorHAnsi" w:hAnsiTheme="minorHAnsi" w:cstheme="minorHAnsi"/>
          <w:i/>
          <w:sz w:val="20"/>
          <w:szCs w:val="20"/>
          <w:lang w:val="pt-BR"/>
        </w:rPr>
        <w:t xml:space="preserve"> Environmental </w:t>
      </w:r>
      <w:proofErr w:type="spellStart"/>
      <w:r w:rsidRPr="0091043D">
        <w:rPr>
          <w:rFonts w:asciiTheme="minorHAnsi" w:hAnsiTheme="minorHAnsi" w:cstheme="minorHAnsi"/>
          <w:i/>
          <w:sz w:val="20"/>
          <w:szCs w:val="20"/>
          <w:lang w:val="pt-BR"/>
        </w:rPr>
        <w:t>Economics</w:t>
      </w:r>
      <w:proofErr w:type="spellEnd"/>
      <w:r w:rsidRPr="0091043D">
        <w:rPr>
          <w:rFonts w:asciiTheme="minorHAnsi" w:hAnsiTheme="minorHAnsi" w:cstheme="minorHAnsi"/>
          <w:i/>
          <w:sz w:val="20"/>
          <w:szCs w:val="20"/>
          <w:lang w:val="pt-BR"/>
        </w:rPr>
        <w:t xml:space="preserve"> (CENERGIA), Energy Planning </w:t>
      </w:r>
      <w:proofErr w:type="spellStart"/>
      <w:r w:rsidRPr="0091043D">
        <w:rPr>
          <w:rFonts w:asciiTheme="minorHAnsi" w:hAnsiTheme="minorHAnsi" w:cstheme="minorHAnsi"/>
          <w:i/>
          <w:sz w:val="20"/>
          <w:szCs w:val="20"/>
          <w:lang w:val="pt-BR"/>
        </w:rPr>
        <w:t>Program</w:t>
      </w:r>
      <w:proofErr w:type="spellEnd"/>
      <w:r w:rsidRPr="0091043D">
        <w:rPr>
          <w:rFonts w:asciiTheme="minorHAnsi" w:hAnsiTheme="minorHAnsi" w:cstheme="minorHAnsi"/>
          <w:i/>
          <w:sz w:val="20"/>
          <w:szCs w:val="20"/>
          <w:lang w:val="pt-BR"/>
        </w:rPr>
        <w:t xml:space="preserve"> (PPE), COPPE, Federal </w:t>
      </w:r>
      <w:proofErr w:type="spellStart"/>
      <w:r w:rsidRPr="0091043D">
        <w:rPr>
          <w:rFonts w:asciiTheme="minorHAnsi" w:hAnsiTheme="minorHAnsi" w:cstheme="minorHAnsi"/>
          <w:i/>
          <w:sz w:val="20"/>
          <w:szCs w:val="20"/>
          <w:lang w:val="pt-BR"/>
        </w:rPr>
        <w:t>University</w:t>
      </w:r>
      <w:proofErr w:type="spellEnd"/>
      <w:r w:rsidRPr="0091043D">
        <w:rPr>
          <w:rFonts w:asciiTheme="minorHAnsi" w:hAnsiTheme="minorHAnsi" w:cstheme="minorHAnsi"/>
          <w:i/>
          <w:sz w:val="20"/>
          <w:szCs w:val="20"/>
          <w:lang w:val="pt-BR"/>
        </w:rPr>
        <w:t xml:space="preserve"> </w:t>
      </w:r>
      <w:proofErr w:type="spellStart"/>
      <w:r w:rsidRPr="0091043D">
        <w:rPr>
          <w:rFonts w:asciiTheme="minorHAnsi" w:hAnsiTheme="minorHAnsi" w:cstheme="minorHAnsi"/>
          <w:i/>
          <w:sz w:val="20"/>
          <w:szCs w:val="20"/>
          <w:lang w:val="pt-BR"/>
        </w:rPr>
        <w:t>of</w:t>
      </w:r>
      <w:proofErr w:type="spellEnd"/>
      <w:r w:rsidRPr="0091043D">
        <w:rPr>
          <w:rFonts w:asciiTheme="minorHAnsi" w:hAnsiTheme="minorHAnsi" w:cstheme="minorHAnsi"/>
          <w:i/>
          <w:sz w:val="20"/>
          <w:szCs w:val="20"/>
          <w:lang w:val="pt-BR"/>
        </w:rPr>
        <w:t xml:space="preserve"> Rio de Janeiro (UFRJ):</w:t>
      </w:r>
      <w:r w:rsidRPr="0091043D">
        <w:rPr>
          <w:rFonts w:asciiTheme="minorHAnsi" w:hAnsiTheme="minorHAnsi" w:cstheme="minorHAnsi"/>
          <w:i/>
          <w:color w:val="000000"/>
          <w:sz w:val="20"/>
          <w:szCs w:val="20"/>
          <w:lang w:val="pt-BR"/>
        </w:rPr>
        <w:t xml:space="preserve"> Cidade Universitária, Centro de Tecnologia, Ilha do Fundão, CEP: 21941-972, Rio de Janeiro, Brasil</w:t>
      </w:r>
    </w:p>
    <w:p w14:paraId="689BEADC" w14:textId="77777777" w:rsidR="00B60FBF" w:rsidRPr="0091043D" w:rsidRDefault="00B60FBF" w:rsidP="00B60FBF">
      <w:pPr>
        <w:spacing w:before="120"/>
        <w:rPr>
          <w:rFonts w:asciiTheme="minorHAnsi" w:hAnsiTheme="minorHAnsi" w:cstheme="minorHAnsi"/>
          <w:i/>
          <w:sz w:val="20"/>
          <w:szCs w:val="20"/>
          <w:lang w:val="en-GB"/>
        </w:rPr>
      </w:pPr>
      <w:r w:rsidRPr="0091043D">
        <w:rPr>
          <w:rFonts w:asciiTheme="minorHAnsi" w:hAnsiTheme="minorHAnsi" w:cstheme="minorHAnsi"/>
          <w:i/>
          <w:sz w:val="20"/>
          <w:szCs w:val="20"/>
          <w:lang w:val="en-GB"/>
        </w:rPr>
        <w:t xml:space="preserve">* Corresponding author: </w:t>
      </w:r>
      <w:hyperlink r:id="rId9">
        <w:r w:rsidRPr="0091043D">
          <w:rPr>
            <w:rFonts w:asciiTheme="minorHAnsi" w:hAnsiTheme="minorHAnsi" w:cstheme="minorHAnsi"/>
            <w:i/>
            <w:color w:val="0563C1"/>
            <w:sz w:val="20"/>
            <w:szCs w:val="20"/>
            <w:u w:val="single"/>
            <w:lang w:val="en-GB"/>
          </w:rPr>
          <w:t>felipe.poyer@inpe.br</w:t>
        </w:r>
      </w:hyperlink>
    </w:p>
    <w:p w14:paraId="410BAB9B" w14:textId="77777777" w:rsidR="00960F5C" w:rsidRPr="0091043D" w:rsidRDefault="00960F5C" w:rsidP="00DA43EA">
      <w:pPr>
        <w:pBdr>
          <w:top w:val="nil"/>
          <w:left w:val="nil"/>
          <w:bottom w:val="nil"/>
          <w:right w:val="nil"/>
          <w:between w:val="nil"/>
        </w:pBdr>
        <w:spacing w:line="360" w:lineRule="auto"/>
        <w:rPr>
          <w:rFonts w:asciiTheme="minorHAnsi" w:hAnsiTheme="minorHAnsi" w:cstheme="minorHAnsi"/>
          <w:i/>
          <w:color w:val="000000"/>
          <w:sz w:val="20"/>
          <w:szCs w:val="20"/>
          <w:lang w:val="en-GB"/>
        </w:rPr>
      </w:pPr>
    </w:p>
    <w:p w14:paraId="03CFD4B4" w14:textId="232C840A" w:rsidR="0030090B" w:rsidRPr="0091043D" w:rsidRDefault="00E36110" w:rsidP="00960F5C">
      <w:pPr>
        <w:pBdr>
          <w:top w:val="nil"/>
          <w:left w:val="nil"/>
          <w:bottom w:val="nil"/>
          <w:right w:val="nil"/>
          <w:between w:val="nil"/>
        </w:pBdr>
        <w:spacing w:line="360" w:lineRule="auto"/>
        <w:rPr>
          <w:rFonts w:asciiTheme="minorHAnsi" w:hAnsiTheme="minorHAnsi" w:cstheme="minorHAnsi"/>
          <w:w w:val="110"/>
        </w:rPr>
      </w:pPr>
      <w:r w:rsidRPr="0091043D">
        <w:rPr>
          <w:rFonts w:asciiTheme="minorHAnsi" w:hAnsiTheme="minorHAnsi" w:cstheme="minorHAnsi"/>
          <w:noProof/>
          <w:lang w:val="pt-BR" w:eastAsia="pt-BR"/>
        </w:rPr>
        <mc:AlternateContent>
          <mc:Choice Requires="wps">
            <w:drawing>
              <wp:anchor distT="0" distB="0" distL="0" distR="0" simplePos="0" relativeHeight="251657728" behindDoc="1" locked="0" layoutInCell="1" allowOverlap="1" wp14:anchorId="419E02BA" wp14:editId="56E9D238">
                <wp:simplePos x="0" y="0"/>
                <wp:positionH relativeFrom="page">
                  <wp:posOffset>1407795</wp:posOffset>
                </wp:positionH>
                <wp:positionV relativeFrom="paragraph">
                  <wp:posOffset>161290</wp:posOffset>
                </wp:positionV>
                <wp:extent cx="4934585" cy="1270"/>
                <wp:effectExtent l="0" t="0" r="0" b="0"/>
                <wp:wrapTopAndBottom/>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34585" cy="1270"/>
                        </a:xfrm>
                        <a:custGeom>
                          <a:avLst/>
                          <a:gdLst>
                            <a:gd name="T0" fmla="*/ 0 w 7771"/>
                            <a:gd name="T1" fmla="*/ 0 h 1270"/>
                            <a:gd name="T2" fmla="*/ 2147483646 w 7771"/>
                            <a:gd name="T3" fmla="*/ 0 h 1270"/>
                            <a:gd name="T4" fmla="*/ 0 60000 65536"/>
                            <a:gd name="T5" fmla="*/ 0 60000 65536"/>
                          </a:gdLst>
                          <a:ahLst/>
                          <a:cxnLst>
                            <a:cxn ang="T4">
                              <a:pos x="T0" y="T1"/>
                            </a:cxn>
                            <a:cxn ang="T5">
                              <a:pos x="T2" y="T3"/>
                            </a:cxn>
                          </a:cxnLst>
                          <a:rect l="0" t="0" r="r" b="b"/>
                          <a:pathLst>
                            <a:path w="7771" h="1270">
                              <a:moveTo>
                                <a:pt x="0" y="0"/>
                              </a:moveTo>
                              <a:lnTo>
                                <a:pt x="7771"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EC7FB" id="Freeform 10" o:spid="_x0000_s1026" style="position:absolute;margin-left:110.85pt;margin-top:12.7pt;width:388.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" path="m,l7771,e" filled="f" strokeweight=".14042mm">
                <v:path arrowok="t" o:connecttype="custom" o:connectlocs="0,0;2147483646,0" o:connectangles="0,0"/>
                <w10:wrap type="topAndBottom" anchorx="page"/>
              </v:shape>
            </w:pict>
          </mc:Fallback>
        </mc:AlternateContent>
      </w:r>
      <w:bookmarkStart w:id="1" w:name="Introduction"/>
      <w:bookmarkEnd w:id="1"/>
    </w:p>
    <w:p w14:paraId="54B125DB" w14:textId="01FDE1E6" w:rsidR="00EA1B7F" w:rsidRPr="0091043D" w:rsidRDefault="0030090B" w:rsidP="0030090B">
      <w:pPr>
        <w:pStyle w:val="Ttulo1"/>
        <w:spacing w:before="55"/>
        <w:ind w:left="0"/>
        <w:jc w:val="center"/>
        <w:rPr>
          <w:rFonts w:asciiTheme="minorHAnsi" w:hAnsiTheme="minorHAnsi" w:cstheme="minorHAnsi"/>
        </w:rPr>
      </w:pPr>
      <w:r w:rsidRPr="0091043D">
        <w:rPr>
          <w:rFonts w:asciiTheme="minorHAnsi" w:hAnsiTheme="minorHAnsi" w:cstheme="minorHAnsi"/>
          <w:w w:val="110"/>
        </w:rPr>
        <w:t>Supplementary Material</w:t>
      </w:r>
    </w:p>
    <w:p w14:paraId="6C1DA78D" w14:textId="172BEC17" w:rsidR="00EA1B7F" w:rsidRPr="0091043D" w:rsidRDefault="00EA1B7F" w:rsidP="006310BB">
      <w:pPr>
        <w:pStyle w:val="Corpodetexto"/>
        <w:tabs>
          <w:tab w:val="left" w:pos="848"/>
        </w:tabs>
        <w:spacing w:before="55"/>
        <w:rPr>
          <w:rFonts w:asciiTheme="minorHAnsi" w:hAnsiTheme="minorHAnsi" w:cstheme="minorHAnsi"/>
          <w:b/>
        </w:rPr>
      </w:pPr>
    </w:p>
    <w:p w14:paraId="42EEFF46" w14:textId="77777777" w:rsidR="0030090B" w:rsidRPr="0091043D" w:rsidRDefault="0030090B" w:rsidP="00727CD4">
      <w:pPr>
        <w:pStyle w:val="Corpodetexto"/>
        <w:tabs>
          <w:tab w:val="left" w:pos="848"/>
        </w:tabs>
        <w:spacing w:before="55"/>
        <w:ind w:firstLine="851"/>
        <w:jc w:val="both"/>
        <w:rPr>
          <w:rFonts w:asciiTheme="minorHAnsi" w:hAnsiTheme="minorHAnsi" w:cstheme="minorHAnsi"/>
          <w:lang w:val="en-GB"/>
        </w:rPr>
      </w:pPr>
    </w:p>
    <w:p w14:paraId="16B61DFC" w14:textId="77777777" w:rsidR="00A3527B" w:rsidRPr="0091043D" w:rsidRDefault="00A3527B" w:rsidP="00B11984">
      <w:pPr>
        <w:spacing w:line="360" w:lineRule="auto"/>
        <w:rPr>
          <w:rFonts w:asciiTheme="minorHAnsi" w:hAnsiTheme="minorHAnsi" w:cstheme="minorHAnsi"/>
          <w:i/>
          <w:sz w:val="24"/>
          <w:szCs w:val="24"/>
          <w:u w:val="single"/>
        </w:rPr>
        <w:sectPr w:rsidR="00A3527B" w:rsidRPr="0091043D" w:rsidSect="00842D40">
          <w:footerReference w:type="default" r:id="rId10"/>
          <w:pgSz w:w="12240" w:h="15840"/>
          <w:pgMar w:top="1500" w:right="1720" w:bottom="1960" w:left="1660" w:header="0" w:footer="1777" w:gutter="0"/>
          <w:cols w:space="720"/>
          <w:docGrid w:linePitch="299"/>
        </w:sectPr>
      </w:pPr>
      <w:bookmarkStart w:id="2" w:name="_GoBack"/>
      <w:bookmarkEnd w:id="2"/>
    </w:p>
    <w:p w14:paraId="448D3B11" w14:textId="55617443" w:rsidR="00B11984" w:rsidRPr="0091043D" w:rsidRDefault="00B11984" w:rsidP="00B11984">
      <w:pPr>
        <w:spacing w:line="360" w:lineRule="auto"/>
        <w:rPr>
          <w:rFonts w:asciiTheme="minorHAnsi" w:hAnsiTheme="minorHAnsi" w:cstheme="minorHAnsi"/>
          <w:i/>
          <w:sz w:val="24"/>
          <w:szCs w:val="24"/>
          <w:u w:val="single"/>
        </w:rPr>
      </w:pPr>
      <w:r w:rsidRPr="0091043D">
        <w:rPr>
          <w:rFonts w:asciiTheme="minorHAnsi" w:hAnsiTheme="minorHAnsi" w:cstheme="minorHAnsi"/>
          <w:i/>
          <w:sz w:val="24"/>
          <w:szCs w:val="24"/>
          <w:u w:val="single"/>
        </w:rPr>
        <w:lastRenderedPageBreak/>
        <w:t xml:space="preserve">1 </w:t>
      </w:r>
      <w:r w:rsidR="00F405AA" w:rsidRPr="0091043D">
        <w:rPr>
          <w:rFonts w:asciiTheme="minorHAnsi" w:hAnsiTheme="minorHAnsi" w:cstheme="minorHAnsi"/>
          <w:i/>
          <w:sz w:val="24"/>
          <w:szCs w:val="24"/>
          <w:u w:val="single"/>
        </w:rPr>
        <w:t>–</w:t>
      </w:r>
      <w:r w:rsidRPr="0091043D">
        <w:rPr>
          <w:rFonts w:asciiTheme="minorHAnsi" w:hAnsiTheme="minorHAnsi" w:cstheme="minorHAnsi"/>
          <w:i/>
          <w:sz w:val="24"/>
          <w:szCs w:val="24"/>
          <w:u w:val="single"/>
        </w:rPr>
        <w:t xml:space="preserve"> </w:t>
      </w:r>
      <w:r w:rsidR="00B60FBF" w:rsidRPr="0091043D">
        <w:rPr>
          <w:rFonts w:asciiTheme="minorHAnsi" w:hAnsiTheme="minorHAnsi" w:cstheme="minorHAnsi"/>
          <w:i/>
          <w:sz w:val="24"/>
          <w:szCs w:val="24"/>
          <w:u w:val="single"/>
        </w:rPr>
        <w:t xml:space="preserve">Statistical Analyses </w:t>
      </w:r>
    </w:p>
    <w:p w14:paraId="603F819C" w14:textId="62656A8A" w:rsidR="00C4353C" w:rsidRPr="0091043D" w:rsidRDefault="00C4353C"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 xml:space="preserve">As explained in </w:t>
      </w:r>
      <w:r w:rsidR="00752E9C" w:rsidRPr="0091043D">
        <w:rPr>
          <w:rFonts w:asciiTheme="minorHAnsi" w:eastAsia="Calibri" w:hAnsiTheme="minorHAnsi" w:cstheme="minorHAnsi"/>
          <w:color w:val="000000"/>
          <w:lang w:val="en-GB" w:eastAsia="pt-BR"/>
        </w:rPr>
        <w:t>Sections 2.4</w:t>
      </w:r>
      <w:r w:rsidRPr="0091043D">
        <w:rPr>
          <w:rFonts w:asciiTheme="minorHAnsi" w:eastAsia="Calibri" w:hAnsiTheme="minorHAnsi" w:cstheme="minorHAnsi"/>
          <w:color w:val="000000"/>
          <w:lang w:val="en-GB" w:eastAsia="pt-BR"/>
        </w:rPr>
        <w:t xml:space="preserve"> of the main article, </w:t>
      </w:r>
      <w:r w:rsidR="00752E9C" w:rsidRPr="0091043D">
        <w:rPr>
          <w:rFonts w:asciiTheme="minorHAnsi" w:eastAsia="Calibri" w:hAnsiTheme="minorHAnsi" w:cstheme="minorHAnsi"/>
          <w:color w:val="000000"/>
          <w:lang w:val="en-GB" w:eastAsia="pt-BR"/>
        </w:rPr>
        <w:t>to assess the relationship between Land Use and Cover Change (LUCC) and energy infrastructure development, the time series for each land use and land cover category in every municipality was statistically evaluated by different methodologies.</w:t>
      </w:r>
    </w:p>
    <w:p w14:paraId="1B83D2A5" w14:textId="289C19E1" w:rsidR="00B60FBF" w:rsidRPr="0091043D" w:rsidRDefault="00B60FBF"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Spearman Correlation Coefficient (SCC) is a statistical test used to quantify the degree correlation between two datasets, it can assess either linear or non-linear correlations. Its yields values ranging from −1 to 1, where -1 indicates a perfect negative correlation and +1 indicates a perfect positive correlation. A value of between -0.7 and +0.7 is generally considered too weak to be a significant result. Positive coefficients indicate a direct relationship between the two-time series, whereby increases in one variable correspond to increases in the other. Conversely, negative coefficients reflect an inverse relationship (Spearman 1904).</w:t>
      </w:r>
    </w:p>
    <w:p w14:paraId="2B34B2FF" w14:textId="6800BF82" w:rsidR="00B60FBF" w:rsidRPr="0091043D" w:rsidRDefault="00B60FBF"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lastRenderedPageBreak/>
        <w:t>T-Student test was used to assess whether the difference between the response of the two groups was </w:t>
      </w:r>
      <w:hyperlink r:id="rId11">
        <w:r w:rsidRPr="0091043D">
          <w:rPr>
            <w:rFonts w:asciiTheme="minorHAnsi" w:eastAsia="Calibri" w:hAnsiTheme="minorHAnsi" w:cstheme="minorHAnsi"/>
            <w:color w:val="000000"/>
            <w:lang w:val="en-GB" w:eastAsia="pt-BR"/>
          </w:rPr>
          <w:t>statistically significant</w:t>
        </w:r>
      </w:hyperlink>
      <w:r w:rsidRPr="0091043D">
        <w:rPr>
          <w:rFonts w:asciiTheme="minorHAnsi" w:eastAsia="Calibri" w:hAnsiTheme="minorHAnsi" w:cstheme="minorHAnsi"/>
          <w:color w:val="000000"/>
          <w:lang w:val="en-GB" w:eastAsia="pt-BR"/>
        </w:rPr>
        <w:t xml:space="preserve"> or not. The test is the ratio between the difference of the mean value of the two time-series and its standard deviation. After applying the T-test it was possible to identify the respective probability value (p-value), which is a key output of the test. It represents the probability of observing the data if the null hypothesis is true (Altman and </w:t>
      </w:r>
      <w:proofErr w:type="spellStart"/>
      <w:r w:rsidRPr="0091043D">
        <w:rPr>
          <w:rFonts w:asciiTheme="minorHAnsi" w:eastAsia="Calibri" w:hAnsiTheme="minorHAnsi" w:cstheme="minorHAnsi"/>
          <w:color w:val="000000"/>
          <w:lang w:val="en-GB" w:eastAsia="pt-BR"/>
        </w:rPr>
        <w:t>Krzywinsky</w:t>
      </w:r>
      <w:proofErr w:type="spellEnd"/>
      <w:r w:rsidRPr="0091043D">
        <w:rPr>
          <w:rFonts w:asciiTheme="minorHAnsi" w:eastAsia="Calibri" w:hAnsiTheme="minorHAnsi" w:cstheme="minorHAnsi"/>
          <w:color w:val="000000"/>
          <w:lang w:val="en-GB" w:eastAsia="pt-BR"/>
        </w:rPr>
        <w:t xml:space="preserve"> 2017, Student 1908).</w:t>
      </w:r>
    </w:p>
    <w:p w14:paraId="1FC3BD2D" w14:textId="77777777" w:rsidR="00B60FBF" w:rsidRPr="0091043D" w:rsidRDefault="00B60FBF"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The Mann-Kendal test is a non-parametric statistical method used to identify monotonic trends (either increasing or decreasing) in time series data. It works by comparing each data point with all subsequent observations and counting the number of times a later value is greater or less than an earlier one. This cumulative comparison provides the basis for determining whether the observed trend is statistically significant without making assumptions about the distribution of the data (Mann 1945, Kendall 1975).</w:t>
      </w:r>
    </w:p>
    <w:p w14:paraId="333D2756" w14:textId="423F7954" w:rsidR="00B60FBF" w:rsidRPr="0091043D" w:rsidRDefault="00B60FBF"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 xml:space="preserve">The Granger causality test is a statistical hypothesis test used to assess whether </w:t>
      </w:r>
      <w:r w:rsidR="003077B0" w:rsidRPr="0091043D">
        <w:rPr>
          <w:rFonts w:asciiTheme="minorHAnsi" w:eastAsia="Calibri" w:hAnsiTheme="minorHAnsi" w:cstheme="minorHAnsi"/>
          <w:color w:val="000000"/>
          <w:lang w:val="en-GB" w:eastAsia="pt-BR"/>
        </w:rPr>
        <w:t>one-time</w:t>
      </w:r>
      <w:r w:rsidRPr="0091043D">
        <w:rPr>
          <w:rFonts w:asciiTheme="minorHAnsi" w:eastAsia="Calibri" w:hAnsiTheme="minorHAnsi" w:cstheme="minorHAnsi"/>
          <w:color w:val="000000"/>
          <w:lang w:val="en-GB" w:eastAsia="pt-BR"/>
        </w:rPr>
        <w:t xml:space="preserve"> series can be used to predict another. Specifically, it evaluates whether past values of time series X provide statistically significant information that improves the prediction of time series Y beyond that achievable using only the past values of Y; if so, X is said to 'Granger-cause' Y (Granger 1969).</w:t>
      </w:r>
    </w:p>
    <w:p w14:paraId="4C1AECBA" w14:textId="770A4617" w:rsidR="00B60FBF" w:rsidRPr="0091043D" w:rsidRDefault="00B60FBF"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 xml:space="preserve">In the Granger causality approach, a 'lag' refers to the number of previous time steps of a variable that are included as explanatory terms in a predictive model. The test assesses whether incorporating the lagged values of </w:t>
      </w:r>
      <w:r w:rsidR="003077B0" w:rsidRPr="0091043D">
        <w:rPr>
          <w:rFonts w:asciiTheme="minorHAnsi" w:eastAsia="Calibri" w:hAnsiTheme="minorHAnsi" w:cstheme="minorHAnsi"/>
          <w:color w:val="000000"/>
          <w:lang w:val="en-GB" w:eastAsia="pt-BR"/>
        </w:rPr>
        <w:t>one-time</w:t>
      </w:r>
      <w:r w:rsidRPr="0091043D">
        <w:rPr>
          <w:rFonts w:asciiTheme="minorHAnsi" w:eastAsia="Calibri" w:hAnsiTheme="minorHAnsi" w:cstheme="minorHAnsi"/>
          <w:color w:val="000000"/>
          <w:lang w:val="en-GB" w:eastAsia="pt-BR"/>
        </w:rPr>
        <w:t xml:space="preserve"> series (e.g. X) into a model that relies solely on the lagged values of another time series (e.g. Y) significantly improves the forecast accuracy of the latter. The choice of lag length is critical, as it affects the sensitivity of the test and the validity of its conclusions regarding temporal precedence and predictive influence. Considering that in average a large-scale centralized wind or a solar PV power plant construction takes about 3 to 4 years long. In this study the Granger test was calculated with lag=3 and lag=4, which means that the causality between LULC transformation and renewable power plants implementation will be tested for a 3 or 4 years’ delay. The Granger test for each lag is independent, and the causality can be confirmed individually for any of the lags. </w:t>
      </w:r>
    </w:p>
    <w:p w14:paraId="47AC9E1A" w14:textId="77777777" w:rsidR="00F405AA" w:rsidRPr="0091043D" w:rsidRDefault="00F405AA"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sectPr w:rsidR="00F405AA" w:rsidRPr="0091043D" w:rsidSect="00A3527B">
          <w:type w:val="continuous"/>
          <w:pgSz w:w="12240" w:h="15840"/>
          <w:pgMar w:top="1500" w:right="1720" w:bottom="1960" w:left="1660" w:header="0" w:footer="1777" w:gutter="0"/>
          <w:lnNumType w:countBy="1" w:restart="continuous"/>
          <w:cols w:space="720"/>
          <w:docGrid w:linePitch="299"/>
        </w:sectPr>
      </w:pPr>
    </w:p>
    <w:p w14:paraId="6FEF011B" w14:textId="1299684C" w:rsidR="00F405AA" w:rsidRPr="0091043D" w:rsidRDefault="00F405AA" w:rsidP="00752E9C">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p>
    <w:p w14:paraId="2242D69F" w14:textId="77777777" w:rsidR="00F405AA" w:rsidRPr="0091043D" w:rsidRDefault="00F405AA">
      <w:pPr>
        <w:rPr>
          <w:rFonts w:asciiTheme="minorHAnsi" w:hAnsiTheme="minorHAnsi" w:cstheme="minorHAnsi"/>
          <w:i/>
          <w:w w:val="105"/>
          <w:sz w:val="24"/>
          <w:u w:val="single"/>
        </w:rPr>
      </w:pPr>
    </w:p>
    <w:p w14:paraId="6512811E" w14:textId="1E4F596B" w:rsidR="0030090B" w:rsidRPr="0091043D" w:rsidRDefault="00F405AA" w:rsidP="0088143B">
      <w:pPr>
        <w:spacing w:line="360" w:lineRule="auto"/>
        <w:rPr>
          <w:rFonts w:asciiTheme="minorHAnsi" w:hAnsiTheme="minorHAnsi" w:cstheme="minorHAnsi"/>
          <w:i/>
          <w:w w:val="105"/>
          <w:sz w:val="24"/>
          <w:u w:val="single"/>
        </w:rPr>
      </w:pPr>
      <w:r w:rsidRPr="0091043D">
        <w:rPr>
          <w:rFonts w:asciiTheme="minorHAnsi" w:hAnsiTheme="minorHAnsi" w:cstheme="minorHAnsi"/>
          <w:i/>
          <w:w w:val="105"/>
          <w:sz w:val="24"/>
          <w:u w:val="single"/>
        </w:rPr>
        <w:t>2</w:t>
      </w:r>
      <w:r w:rsidR="00BC47F8" w:rsidRPr="0091043D">
        <w:rPr>
          <w:rFonts w:asciiTheme="minorHAnsi" w:hAnsiTheme="minorHAnsi" w:cstheme="minorHAnsi"/>
          <w:i/>
          <w:w w:val="105"/>
          <w:sz w:val="24"/>
          <w:u w:val="single"/>
        </w:rPr>
        <w:t>-</w:t>
      </w:r>
      <w:r w:rsidR="00B60FBF" w:rsidRPr="0091043D">
        <w:rPr>
          <w:rFonts w:asciiTheme="minorHAnsi" w:hAnsiTheme="minorHAnsi" w:cstheme="minorHAnsi"/>
          <w:i/>
          <w:w w:val="105"/>
          <w:sz w:val="24"/>
          <w:u w:val="single"/>
        </w:rPr>
        <w:t xml:space="preserve"> Results</w:t>
      </w:r>
    </w:p>
    <w:p w14:paraId="7FC0927E" w14:textId="04F82A40" w:rsidR="007D66BB" w:rsidRPr="0091043D" w:rsidRDefault="00C4353C" w:rsidP="008F7E79">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 xml:space="preserve">As explained in </w:t>
      </w:r>
      <w:r w:rsidR="008F7E79" w:rsidRPr="0091043D">
        <w:rPr>
          <w:rFonts w:asciiTheme="minorHAnsi" w:eastAsia="Calibri" w:hAnsiTheme="minorHAnsi" w:cstheme="minorHAnsi"/>
          <w:color w:val="000000"/>
          <w:lang w:val="en-GB" w:eastAsia="pt-BR"/>
        </w:rPr>
        <w:t>Sections 3.4</w:t>
      </w:r>
      <w:r w:rsidRPr="0091043D">
        <w:rPr>
          <w:rFonts w:asciiTheme="minorHAnsi" w:eastAsia="Calibri" w:hAnsiTheme="minorHAnsi" w:cstheme="minorHAnsi"/>
          <w:color w:val="000000"/>
          <w:lang w:val="en-GB" w:eastAsia="pt-BR"/>
        </w:rPr>
        <w:t xml:space="preserve"> of the main article, </w:t>
      </w:r>
      <w:r w:rsidR="008F7E79" w:rsidRPr="0091043D">
        <w:rPr>
          <w:rFonts w:asciiTheme="minorHAnsi" w:eastAsia="Calibri" w:hAnsiTheme="minorHAnsi" w:cstheme="minorHAnsi"/>
          <w:color w:val="000000"/>
          <w:lang w:val="en-GB" w:eastAsia="pt-BR"/>
        </w:rPr>
        <w:t>Table 1 present the results for the statistical tests between municipal LUCC and the implementation of renewable energy power plants considering the municipal economic status measured by the gross domestic product per capita (GDP/capita).</w:t>
      </w:r>
    </w:p>
    <w:p w14:paraId="3226E8B2" w14:textId="203D8DAD" w:rsidR="00B60FBF" w:rsidRPr="0091043D" w:rsidRDefault="00B60FBF" w:rsidP="00B60FBF">
      <w:pPr>
        <w:spacing w:line="360" w:lineRule="auto"/>
        <w:rPr>
          <w:rFonts w:asciiTheme="minorHAnsi" w:hAnsiTheme="minorHAnsi" w:cstheme="minorHAnsi"/>
          <w:lang w:val="en-GB"/>
        </w:rPr>
      </w:pPr>
      <w:r w:rsidRPr="0091043D">
        <w:rPr>
          <w:rFonts w:asciiTheme="minorHAnsi" w:hAnsiTheme="minorHAnsi" w:cstheme="minorHAnsi"/>
          <w:lang w:val="en-GB"/>
        </w:rPr>
        <w:t xml:space="preserve">Table 1 – Statistical analysis between LUCC time-series and the renewable power plants implementation timeline considering municipalities income. </w:t>
      </w:r>
      <w:r w:rsidRPr="0091043D">
        <w:rPr>
          <w:rFonts w:asciiTheme="minorHAnsi" w:hAnsiTheme="minorHAnsi" w:cstheme="minorHAnsi"/>
          <w:noProof/>
          <w:lang w:val="pt-BR" w:eastAsia="pt-BR"/>
        </w:rPr>
        <w:drawing>
          <wp:inline distT="0" distB="0" distL="0" distR="0" wp14:anchorId="19B9BEEC" wp14:editId="05DE1770">
            <wp:extent cx="5400040" cy="2029057"/>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029057"/>
                    </a:xfrm>
                    <a:prstGeom prst="rect">
                      <a:avLst/>
                    </a:prstGeom>
                    <a:noFill/>
                    <a:ln>
                      <a:noFill/>
                    </a:ln>
                  </pic:spPr>
                </pic:pic>
              </a:graphicData>
            </a:graphic>
          </wp:inline>
        </w:drawing>
      </w:r>
    </w:p>
    <w:p w14:paraId="2221B12D" w14:textId="77777777" w:rsidR="0094346B" w:rsidRPr="0091043D" w:rsidRDefault="0094346B" w:rsidP="008F7E79">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p>
    <w:p w14:paraId="28BF9032" w14:textId="0C97443E" w:rsidR="008F7E79" w:rsidRPr="0091043D" w:rsidRDefault="008F7E79" w:rsidP="008F7E79">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t>As explained in Sections 3.5 of the main article, Table 2 present the results for the statistical tests between municipal LUCC and the implementation of renewable energy power plants considering the renewable energy source (wind vs. solar).</w:t>
      </w:r>
    </w:p>
    <w:p w14:paraId="78C6D6E7" w14:textId="604DDADE" w:rsidR="00B60FBF" w:rsidRPr="0091043D" w:rsidRDefault="00B60FBF" w:rsidP="00B60FBF">
      <w:pPr>
        <w:spacing w:line="360" w:lineRule="auto"/>
        <w:rPr>
          <w:rFonts w:asciiTheme="minorHAnsi" w:hAnsiTheme="minorHAnsi" w:cstheme="minorHAnsi"/>
          <w:lang w:val="en-GB"/>
        </w:rPr>
      </w:pPr>
      <w:r w:rsidRPr="0091043D">
        <w:rPr>
          <w:rFonts w:asciiTheme="minorHAnsi" w:hAnsiTheme="minorHAnsi" w:cstheme="minorHAnsi"/>
          <w:lang w:val="en-GB"/>
        </w:rPr>
        <w:t xml:space="preserve">Table 2 - Statistical analysis between LUCC time-series and the renewable power plants implementation timeline by energy source. </w:t>
      </w:r>
    </w:p>
    <w:p w14:paraId="7F2F4F87" w14:textId="77777777" w:rsidR="00B60FBF" w:rsidRPr="0091043D" w:rsidRDefault="00B60FBF" w:rsidP="00B60FBF">
      <w:pPr>
        <w:spacing w:line="360" w:lineRule="auto"/>
        <w:rPr>
          <w:rFonts w:asciiTheme="minorHAnsi" w:hAnsiTheme="minorHAnsi" w:cstheme="minorHAnsi"/>
          <w:b/>
          <w:i/>
          <w:lang w:val="en-GB"/>
        </w:rPr>
      </w:pPr>
      <w:r w:rsidRPr="0091043D">
        <w:rPr>
          <w:rFonts w:asciiTheme="minorHAnsi" w:hAnsiTheme="minorHAnsi" w:cstheme="minorHAnsi"/>
          <w:noProof/>
          <w:lang w:val="pt-BR" w:eastAsia="pt-BR"/>
        </w:rPr>
        <w:drawing>
          <wp:inline distT="0" distB="0" distL="0" distR="0" wp14:anchorId="550AF8BC" wp14:editId="20F52688">
            <wp:extent cx="5400040" cy="2029762"/>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029762"/>
                    </a:xfrm>
                    <a:prstGeom prst="rect">
                      <a:avLst/>
                    </a:prstGeom>
                    <a:noFill/>
                    <a:ln>
                      <a:noFill/>
                    </a:ln>
                  </pic:spPr>
                </pic:pic>
              </a:graphicData>
            </a:graphic>
          </wp:inline>
        </w:drawing>
      </w:r>
    </w:p>
    <w:p w14:paraId="56FC9985" w14:textId="1D4CFE24" w:rsidR="00B60FBF" w:rsidRPr="0091043D" w:rsidRDefault="008F7E79" w:rsidP="008F7E79">
      <w:pPr>
        <w:widowControl/>
        <w:pBdr>
          <w:top w:val="nil"/>
          <w:left w:val="nil"/>
          <w:bottom w:val="nil"/>
          <w:right w:val="nil"/>
          <w:between w:val="nil"/>
        </w:pBdr>
        <w:autoSpaceDE/>
        <w:autoSpaceDN/>
        <w:spacing w:after="160" w:line="360" w:lineRule="auto"/>
        <w:jc w:val="both"/>
        <w:rPr>
          <w:rFonts w:asciiTheme="minorHAnsi" w:eastAsia="Calibri" w:hAnsiTheme="minorHAnsi" w:cstheme="minorHAnsi"/>
          <w:color w:val="000000"/>
          <w:lang w:val="en-GB" w:eastAsia="pt-BR"/>
        </w:rPr>
      </w:pPr>
      <w:r w:rsidRPr="0091043D">
        <w:rPr>
          <w:rFonts w:asciiTheme="minorHAnsi" w:eastAsia="Calibri" w:hAnsiTheme="minorHAnsi" w:cstheme="minorHAnsi"/>
          <w:color w:val="000000"/>
          <w:lang w:val="en-GB" w:eastAsia="pt-BR"/>
        </w:rPr>
        <w:lastRenderedPageBreak/>
        <w:t>As explained in Sections 3.6 of the main article, Table 3 present the results for the statistical tests between municipal LUCC and the implementation of renewable energy power plants considering Brazil´s federative states.</w:t>
      </w:r>
    </w:p>
    <w:p w14:paraId="0E74D107" w14:textId="61625B8B" w:rsidR="00B60FBF" w:rsidRPr="0091043D" w:rsidRDefault="00B60FBF" w:rsidP="0088143B">
      <w:pPr>
        <w:spacing w:line="360" w:lineRule="auto"/>
        <w:rPr>
          <w:rFonts w:asciiTheme="minorHAnsi" w:hAnsiTheme="minorHAnsi" w:cstheme="minorHAnsi"/>
          <w:b/>
          <w:i/>
          <w:lang w:val="en-GB"/>
        </w:rPr>
      </w:pPr>
      <w:r w:rsidRPr="0091043D">
        <w:rPr>
          <w:rFonts w:asciiTheme="minorHAnsi" w:hAnsiTheme="minorHAnsi" w:cstheme="minorHAnsi"/>
          <w:lang w:val="en-GB"/>
        </w:rPr>
        <w:t xml:space="preserve">Table 3 – Statistical analysis between LUCC time-series and the renewable power plants implementation timeline by state. </w:t>
      </w:r>
      <w:r w:rsidRPr="0091043D">
        <w:rPr>
          <w:rFonts w:asciiTheme="minorHAnsi" w:hAnsiTheme="minorHAnsi" w:cstheme="minorHAnsi"/>
          <w:noProof/>
          <w:lang w:val="pt-BR" w:eastAsia="pt-BR"/>
        </w:rPr>
        <w:drawing>
          <wp:inline distT="0" distB="0" distL="0" distR="0" wp14:anchorId="7F949F96" wp14:editId="03BB38D4">
            <wp:extent cx="5400040" cy="628926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289268"/>
                    </a:xfrm>
                    <a:prstGeom prst="rect">
                      <a:avLst/>
                    </a:prstGeom>
                    <a:noFill/>
                    <a:ln>
                      <a:noFill/>
                    </a:ln>
                  </pic:spPr>
                </pic:pic>
              </a:graphicData>
            </a:graphic>
          </wp:inline>
        </w:drawing>
      </w:r>
    </w:p>
    <w:sectPr w:rsidR="00B60FBF" w:rsidRPr="0091043D" w:rsidSect="00A3527B">
      <w:type w:val="continuous"/>
      <w:pgSz w:w="12240" w:h="15840"/>
      <w:pgMar w:top="1503" w:right="1718" w:bottom="1962" w:left="1661" w:header="0" w:footer="177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4E9E2" w14:textId="77777777" w:rsidR="00845C33" w:rsidRDefault="00845C33">
      <w:r>
        <w:separator/>
      </w:r>
    </w:p>
  </w:endnote>
  <w:endnote w:type="continuationSeparator" w:id="0">
    <w:p w14:paraId="117019EF" w14:textId="77777777" w:rsidR="00845C33" w:rsidRDefault="0084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86117"/>
      <w:docPartObj>
        <w:docPartGallery w:val="Page Numbers (Bottom of Page)"/>
        <w:docPartUnique/>
      </w:docPartObj>
    </w:sdtPr>
    <w:sdtEndPr/>
    <w:sdtContent>
      <w:p w14:paraId="0ECBBB87" w14:textId="178BA211" w:rsidR="00F405AA" w:rsidRDefault="00F405AA">
        <w:pPr>
          <w:pStyle w:val="Rodap"/>
          <w:jc w:val="center"/>
        </w:pPr>
        <w:r>
          <w:fldChar w:fldCharType="begin"/>
        </w:r>
        <w:r>
          <w:instrText>PAGE   \* MERGEFORMAT</w:instrText>
        </w:r>
        <w:r>
          <w:fldChar w:fldCharType="separate"/>
        </w:r>
        <w:r w:rsidR="0091043D" w:rsidRPr="0091043D">
          <w:rPr>
            <w:noProof/>
            <w:lang w:val="pt-BR"/>
          </w:rPr>
          <w:t>3</w:t>
        </w:r>
        <w:r>
          <w:fldChar w:fldCharType="end"/>
        </w:r>
      </w:p>
    </w:sdtContent>
  </w:sdt>
  <w:p w14:paraId="754FF75D" w14:textId="574F0DA8" w:rsidR="00F405AA" w:rsidRDefault="00F405AA">
    <w:pPr>
      <w:pStyle w:val="Corpodetexto"/>
      <w:spacing w:before="0"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3C8F5" w14:textId="77777777" w:rsidR="00845C33" w:rsidRDefault="00845C33">
      <w:r>
        <w:separator/>
      </w:r>
    </w:p>
  </w:footnote>
  <w:footnote w:type="continuationSeparator" w:id="0">
    <w:p w14:paraId="5117FB27" w14:textId="77777777" w:rsidR="00845C33" w:rsidRDefault="00845C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030"/>
    <w:multiLevelType w:val="hybridMultilevel"/>
    <w:tmpl w:val="B9F0BE26"/>
    <w:lvl w:ilvl="0" w:tplc="3298490E">
      <w:numFmt w:val="bullet"/>
      <w:lvlText w:val="-"/>
      <w:lvlJc w:val="left"/>
      <w:pPr>
        <w:ind w:left="86" w:hanging="112"/>
      </w:pPr>
      <w:rPr>
        <w:rFonts w:ascii="Times New Roman" w:eastAsia="Times New Roman" w:hAnsi="Times New Roman" w:cs="Times New Roman" w:hint="default"/>
        <w:w w:val="98"/>
        <w:sz w:val="17"/>
        <w:szCs w:val="17"/>
      </w:rPr>
    </w:lvl>
    <w:lvl w:ilvl="1" w:tplc="064AC8B0">
      <w:numFmt w:val="bullet"/>
      <w:lvlText w:val="•"/>
      <w:lvlJc w:val="left"/>
      <w:pPr>
        <w:ind w:left="836" w:hanging="112"/>
      </w:pPr>
      <w:rPr>
        <w:rFonts w:hint="default"/>
      </w:rPr>
    </w:lvl>
    <w:lvl w:ilvl="2" w:tplc="B5785690">
      <w:numFmt w:val="bullet"/>
      <w:lvlText w:val="•"/>
      <w:lvlJc w:val="left"/>
      <w:pPr>
        <w:ind w:left="1592" w:hanging="112"/>
      </w:pPr>
      <w:rPr>
        <w:rFonts w:hint="default"/>
      </w:rPr>
    </w:lvl>
    <w:lvl w:ilvl="3" w:tplc="284EBAF0">
      <w:numFmt w:val="bullet"/>
      <w:lvlText w:val="•"/>
      <w:lvlJc w:val="left"/>
      <w:pPr>
        <w:ind w:left="2348" w:hanging="112"/>
      </w:pPr>
      <w:rPr>
        <w:rFonts w:hint="default"/>
      </w:rPr>
    </w:lvl>
    <w:lvl w:ilvl="4" w:tplc="32AC3F38">
      <w:numFmt w:val="bullet"/>
      <w:lvlText w:val="•"/>
      <w:lvlJc w:val="left"/>
      <w:pPr>
        <w:ind w:left="3105" w:hanging="112"/>
      </w:pPr>
      <w:rPr>
        <w:rFonts w:hint="default"/>
      </w:rPr>
    </w:lvl>
    <w:lvl w:ilvl="5" w:tplc="B3D21B24">
      <w:numFmt w:val="bullet"/>
      <w:lvlText w:val="•"/>
      <w:lvlJc w:val="left"/>
      <w:pPr>
        <w:ind w:left="3861" w:hanging="112"/>
      </w:pPr>
      <w:rPr>
        <w:rFonts w:hint="default"/>
      </w:rPr>
    </w:lvl>
    <w:lvl w:ilvl="6" w:tplc="B88A1B24">
      <w:numFmt w:val="bullet"/>
      <w:lvlText w:val="•"/>
      <w:lvlJc w:val="left"/>
      <w:pPr>
        <w:ind w:left="4617" w:hanging="112"/>
      </w:pPr>
      <w:rPr>
        <w:rFonts w:hint="default"/>
      </w:rPr>
    </w:lvl>
    <w:lvl w:ilvl="7" w:tplc="73608778">
      <w:numFmt w:val="bullet"/>
      <w:lvlText w:val="•"/>
      <w:lvlJc w:val="left"/>
      <w:pPr>
        <w:ind w:left="5374" w:hanging="112"/>
      </w:pPr>
      <w:rPr>
        <w:rFonts w:hint="default"/>
      </w:rPr>
    </w:lvl>
    <w:lvl w:ilvl="8" w:tplc="A47A8ED8">
      <w:numFmt w:val="bullet"/>
      <w:lvlText w:val="•"/>
      <w:lvlJc w:val="left"/>
      <w:pPr>
        <w:ind w:left="6130" w:hanging="112"/>
      </w:pPr>
      <w:rPr>
        <w:rFonts w:hint="default"/>
      </w:rPr>
    </w:lvl>
  </w:abstractNum>
  <w:abstractNum w:abstractNumId="1" w15:restartNumberingAfterBreak="0">
    <w:nsid w:val="1BB47181"/>
    <w:multiLevelType w:val="multilevel"/>
    <w:tmpl w:val="4DB0B6CA"/>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183231E"/>
    <w:multiLevelType w:val="hybridMultilevel"/>
    <w:tmpl w:val="E5DE29BE"/>
    <w:lvl w:ilvl="0" w:tplc="CD3882DA">
      <w:numFmt w:val="bullet"/>
      <w:lvlText w:val="-"/>
      <w:lvlJc w:val="left"/>
      <w:pPr>
        <w:ind w:left="198" w:hanging="112"/>
      </w:pPr>
      <w:rPr>
        <w:rFonts w:ascii="Times New Roman" w:eastAsia="Times New Roman" w:hAnsi="Times New Roman" w:cs="Times New Roman" w:hint="default"/>
        <w:w w:val="98"/>
        <w:sz w:val="17"/>
        <w:szCs w:val="17"/>
      </w:rPr>
    </w:lvl>
    <w:lvl w:ilvl="1" w:tplc="7DB63820">
      <w:numFmt w:val="bullet"/>
      <w:lvlText w:val="•"/>
      <w:lvlJc w:val="left"/>
      <w:pPr>
        <w:ind w:left="944" w:hanging="112"/>
      </w:pPr>
      <w:rPr>
        <w:rFonts w:hint="default"/>
      </w:rPr>
    </w:lvl>
    <w:lvl w:ilvl="2" w:tplc="9D9A9BD2">
      <w:numFmt w:val="bullet"/>
      <w:lvlText w:val="•"/>
      <w:lvlJc w:val="left"/>
      <w:pPr>
        <w:ind w:left="1688" w:hanging="112"/>
      </w:pPr>
      <w:rPr>
        <w:rFonts w:hint="default"/>
      </w:rPr>
    </w:lvl>
    <w:lvl w:ilvl="3" w:tplc="391C437A">
      <w:numFmt w:val="bullet"/>
      <w:lvlText w:val="•"/>
      <w:lvlJc w:val="left"/>
      <w:pPr>
        <w:ind w:left="2432" w:hanging="112"/>
      </w:pPr>
      <w:rPr>
        <w:rFonts w:hint="default"/>
      </w:rPr>
    </w:lvl>
    <w:lvl w:ilvl="4" w:tplc="34F2A892">
      <w:numFmt w:val="bullet"/>
      <w:lvlText w:val="•"/>
      <w:lvlJc w:val="left"/>
      <w:pPr>
        <w:ind w:left="3177" w:hanging="112"/>
      </w:pPr>
      <w:rPr>
        <w:rFonts w:hint="default"/>
      </w:rPr>
    </w:lvl>
    <w:lvl w:ilvl="5" w:tplc="6752463E">
      <w:numFmt w:val="bullet"/>
      <w:lvlText w:val="•"/>
      <w:lvlJc w:val="left"/>
      <w:pPr>
        <w:ind w:left="3921" w:hanging="112"/>
      </w:pPr>
      <w:rPr>
        <w:rFonts w:hint="default"/>
      </w:rPr>
    </w:lvl>
    <w:lvl w:ilvl="6" w:tplc="1BAAB198">
      <w:numFmt w:val="bullet"/>
      <w:lvlText w:val="•"/>
      <w:lvlJc w:val="left"/>
      <w:pPr>
        <w:ind w:left="4665" w:hanging="112"/>
      </w:pPr>
      <w:rPr>
        <w:rFonts w:hint="default"/>
      </w:rPr>
    </w:lvl>
    <w:lvl w:ilvl="7" w:tplc="B288B6E0">
      <w:numFmt w:val="bullet"/>
      <w:lvlText w:val="•"/>
      <w:lvlJc w:val="left"/>
      <w:pPr>
        <w:ind w:left="5410" w:hanging="112"/>
      </w:pPr>
      <w:rPr>
        <w:rFonts w:hint="default"/>
      </w:rPr>
    </w:lvl>
    <w:lvl w:ilvl="8" w:tplc="2C2298C2">
      <w:numFmt w:val="bullet"/>
      <w:lvlText w:val="•"/>
      <w:lvlJc w:val="left"/>
      <w:pPr>
        <w:ind w:left="6154" w:hanging="112"/>
      </w:pPr>
      <w:rPr>
        <w:rFonts w:hint="default"/>
      </w:rPr>
    </w:lvl>
  </w:abstractNum>
  <w:abstractNum w:abstractNumId="3" w15:restartNumberingAfterBreak="0">
    <w:nsid w:val="3B270DC0"/>
    <w:multiLevelType w:val="hybridMultilevel"/>
    <w:tmpl w:val="59CE9AC6"/>
    <w:lvl w:ilvl="0" w:tplc="18DAE576">
      <w:numFmt w:val="bullet"/>
      <w:lvlText w:val="-"/>
      <w:lvlJc w:val="left"/>
      <w:pPr>
        <w:ind w:left="86" w:hanging="112"/>
      </w:pPr>
      <w:rPr>
        <w:rFonts w:ascii="Times New Roman" w:eastAsia="Times New Roman" w:hAnsi="Times New Roman" w:cs="Times New Roman" w:hint="default"/>
        <w:w w:val="98"/>
        <w:sz w:val="17"/>
        <w:szCs w:val="17"/>
      </w:rPr>
    </w:lvl>
    <w:lvl w:ilvl="1" w:tplc="A4668A7A">
      <w:numFmt w:val="bullet"/>
      <w:lvlText w:val="•"/>
      <w:lvlJc w:val="left"/>
      <w:pPr>
        <w:ind w:left="836" w:hanging="112"/>
      </w:pPr>
      <w:rPr>
        <w:rFonts w:hint="default"/>
      </w:rPr>
    </w:lvl>
    <w:lvl w:ilvl="2" w:tplc="04CA2760">
      <w:numFmt w:val="bullet"/>
      <w:lvlText w:val="•"/>
      <w:lvlJc w:val="left"/>
      <w:pPr>
        <w:ind w:left="1592" w:hanging="112"/>
      </w:pPr>
      <w:rPr>
        <w:rFonts w:hint="default"/>
      </w:rPr>
    </w:lvl>
    <w:lvl w:ilvl="3" w:tplc="F3709464">
      <w:numFmt w:val="bullet"/>
      <w:lvlText w:val="•"/>
      <w:lvlJc w:val="left"/>
      <w:pPr>
        <w:ind w:left="2348" w:hanging="112"/>
      </w:pPr>
      <w:rPr>
        <w:rFonts w:hint="default"/>
      </w:rPr>
    </w:lvl>
    <w:lvl w:ilvl="4" w:tplc="60E808BE">
      <w:numFmt w:val="bullet"/>
      <w:lvlText w:val="•"/>
      <w:lvlJc w:val="left"/>
      <w:pPr>
        <w:ind w:left="3105" w:hanging="112"/>
      </w:pPr>
      <w:rPr>
        <w:rFonts w:hint="default"/>
      </w:rPr>
    </w:lvl>
    <w:lvl w:ilvl="5" w:tplc="BBEE110E">
      <w:numFmt w:val="bullet"/>
      <w:lvlText w:val="•"/>
      <w:lvlJc w:val="left"/>
      <w:pPr>
        <w:ind w:left="3861" w:hanging="112"/>
      </w:pPr>
      <w:rPr>
        <w:rFonts w:hint="default"/>
      </w:rPr>
    </w:lvl>
    <w:lvl w:ilvl="6" w:tplc="8D7EA3B6">
      <w:numFmt w:val="bullet"/>
      <w:lvlText w:val="•"/>
      <w:lvlJc w:val="left"/>
      <w:pPr>
        <w:ind w:left="4617" w:hanging="112"/>
      </w:pPr>
      <w:rPr>
        <w:rFonts w:hint="default"/>
      </w:rPr>
    </w:lvl>
    <w:lvl w:ilvl="7" w:tplc="E698F32A">
      <w:numFmt w:val="bullet"/>
      <w:lvlText w:val="•"/>
      <w:lvlJc w:val="left"/>
      <w:pPr>
        <w:ind w:left="5374" w:hanging="112"/>
      </w:pPr>
      <w:rPr>
        <w:rFonts w:hint="default"/>
      </w:rPr>
    </w:lvl>
    <w:lvl w:ilvl="8" w:tplc="58B465B4">
      <w:numFmt w:val="bullet"/>
      <w:lvlText w:val="•"/>
      <w:lvlJc w:val="left"/>
      <w:pPr>
        <w:ind w:left="6130" w:hanging="112"/>
      </w:pPr>
      <w:rPr>
        <w:rFonts w:hint="default"/>
      </w:rPr>
    </w:lvl>
  </w:abstractNum>
  <w:abstractNum w:abstractNumId="4" w15:restartNumberingAfterBreak="0">
    <w:nsid w:val="5770206F"/>
    <w:multiLevelType w:val="hybridMultilevel"/>
    <w:tmpl w:val="0480D9FE"/>
    <w:lvl w:ilvl="0" w:tplc="7FEC203A">
      <w:numFmt w:val="bullet"/>
      <w:lvlText w:val="•"/>
      <w:lvlJc w:val="left"/>
      <w:pPr>
        <w:ind w:left="1082" w:hanging="235"/>
      </w:pPr>
      <w:rPr>
        <w:rFonts w:ascii="Arial" w:eastAsia="Arial" w:hAnsi="Arial" w:cs="Arial" w:hint="default"/>
        <w:w w:val="139"/>
        <w:sz w:val="24"/>
        <w:szCs w:val="24"/>
      </w:rPr>
    </w:lvl>
    <w:lvl w:ilvl="1" w:tplc="B8D68502">
      <w:start w:val="1"/>
      <w:numFmt w:val="lowerLetter"/>
      <w:lvlText w:val="(%2)"/>
      <w:lvlJc w:val="left"/>
      <w:pPr>
        <w:ind w:left="6233" w:hanging="3919"/>
      </w:pPr>
      <w:rPr>
        <w:rFonts w:ascii="Times New Roman" w:eastAsia="Times New Roman" w:hAnsi="Times New Roman" w:cs="Times New Roman" w:hint="default"/>
        <w:w w:val="114"/>
        <w:sz w:val="20"/>
        <w:szCs w:val="20"/>
      </w:rPr>
    </w:lvl>
    <w:lvl w:ilvl="2" w:tplc="3850C004">
      <w:numFmt w:val="bullet"/>
      <w:lvlText w:val="•"/>
      <w:lvlJc w:val="left"/>
      <w:pPr>
        <w:ind w:left="6524" w:hanging="3919"/>
      </w:pPr>
      <w:rPr>
        <w:rFonts w:hint="default"/>
      </w:rPr>
    </w:lvl>
    <w:lvl w:ilvl="3" w:tplc="063EDB78">
      <w:numFmt w:val="bullet"/>
      <w:lvlText w:val="•"/>
      <w:lvlJc w:val="left"/>
      <w:pPr>
        <w:ind w:left="6808" w:hanging="3919"/>
      </w:pPr>
      <w:rPr>
        <w:rFonts w:hint="default"/>
      </w:rPr>
    </w:lvl>
    <w:lvl w:ilvl="4" w:tplc="065EA6EC">
      <w:numFmt w:val="bullet"/>
      <w:lvlText w:val="•"/>
      <w:lvlJc w:val="left"/>
      <w:pPr>
        <w:ind w:left="7093" w:hanging="3919"/>
      </w:pPr>
      <w:rPr>
        <w:rFonts w:hint="default"/>
      </w:rPr>
    </w:lvl>
    <w:lvl w:ilvl="5" w:tplc="602CD6B6">
      <w:numFmt w:val="bullet"/>
      <w:lvlText w:val="•"/>
      <w:lvlJc w:val="left"/>
      <w:pPr>
        <w:ind w:left="7377" w:hanging="3919"/>
      </w:pPr>
      <w:rPr>
        <w:rFonts w:hint="default"/>
      </w:rPr>
    </w:lvl>
    <w:lvl w:ilvl="6" w:tplc="A148EFD8">
      <w:numFmt w:val="bullet"/>
      <w:lvlText w:val="•"/>
      <w:lvlJc w:val="left"/>
      <w:pPr>
        <w:ind w:left="7662" w:hanging="3919"/>
      </w:pPr>
      <w:rPr>
        <w:rFonts w:hint="default"/>
      </w:rPr>
    </w:lvl>
    <w:lvl w:ilvl="7" w:tplc="C406B896">
      <w:numFmt w:val="bullet"/>
      <w:lvlText w:val="•"/>
      <w:lvlJc w:val="left"/>
      <w:pPr>
        <w:ind w:left="7946" w:hanging="3919"/>
      </w:pPr>
      <w:rPr>
        <w:rFonts w:hint="default"/>
      </w:rPr>
    </w:lvl>
    <w:lvl w:ilvl="8" w:tplc="F8DA853A">
      <w:numFmt w:val="bullet"/>
      <w:lvlText w:val="•"/>
      <w:lvlJc w:val="left"/>
      <w:pPr>
        <w:ind w:left="8231" w:hanging="3919"/>
      </w:pPr>
      <w:rPr>
        <w:rFonts w:hint="default"/>
      </w:rPr>
    </w:lvl>
  </w:abstractNum>
  <w:abstractNum w:abstractNumId="5" w15:restartNumberingAfterBreak="0">
    <w:nsid w:val="79B73721"/>
    <w:multiLevelType w:val="hybridMultilevel"/>
    <w:tmpl w:val="DF5A2B4C"/>
    <w:lvl w:ilvl="0" w:tplc="A5067848">
      <w:start w:val="1"/>
      <w:numFmt w:val="bullet"/>
      <w:lvlText w:val=""/>
      <w:lvlJc w:val="left"/>
      <w:pPr>
        <w:ind w:left="720" w:hanging="360"/>
      </w:pPr>
      <w:rPr>
        <w:rFonts w:ascii="Symbol" w:eastAsia="Times New Roman"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7F"/>
    <w:rsid w:val="00002DC6"/>
    <w:rsid w:val="00003054"/>
    <w:rsid w:val="00003659"/>
    <w:rsid w:val="00005D27"/>
    <w:rsid w:val="00015797"/>
    <w:rsid w:val="000254DE"/>
    <w:rsid w:val="000373B1"/>
    <w:rsid w:val="00040CC6"/>
    <w:rsid w:val="00056AE1"/>
    <w:rsid w:val="00063814"/>
    <w:rsid w:val="00066CBD"/>
    <w:rsid w:val="000B0E27"/>
    <w:rsid w:val="000C140B"/>
    <w:rsid w:val="000C4923"/>
    <w:rsid w:val="000D07CE"/>
    <w:rsid w:val="000D09A3"/>
    <w:rsid w:val="000D3309"/>
    <w:rsid w:val="000E79A0"/>
    <w:rsid w:val="000F5513"/>
    <w:rsid w:val="00102CBD"/>
    <w:rsid w:val="00104966"/>
    <w:rsid w:val="001161E6"/>
    <w:rsid w:val="001309BF"/>
    <w:rsid w:val="00131D94"/>
    <w:rsid w:val="0013493B"/>
    <w:rsid w:val="00140CD3"/>
    <w:rsid w:val="00146006"/>
    <w:rsid w:val="00150E79"/>
    <w:rsid w:val="00152F5B"/>
    <w:rsid w:val="00153710"/>
    <w:rsid w:val="0017130D"/>
    <w:rsid w:val="0017429A"/>
    <w:rsid w:val="00193788"/>
    <w:rsid w:val="001A07C0"/>
    <w:rsid w:val="001A2297"/>
    <w:rsid w:val="001A2CA5"/>
    <w:rsid w:val="001A5F34"/>
    <w:rsid w:val="001B073C"/>
    <w:rsid w:val="001B244C"/>
    <w:rsid w:val="001D6F9F"/>
    <w:rsid w:val="001E7482"/>
    <w:rsid w:val="001F73C1"/>
    <w:rsid w:val="00202CD8"/>
    <w:rsid w:val="00205C4C"/>
    <w:rsid w:val="002136C3"/>
    <w:rsid w:val="00216886"/>
    <w:rsid w:val="002213E4"/>
    <w:rsid w:val="00221D62"/>
    <w:rsid w:val="00223C18"/>
    <w:rsid w:val="00240241"/>
    <w:rsid w:val="002708D7"/>
    <w:rsid w:val="00271531"/>
    <w:rsid w:val="002774BB"/>
    <w:rsid w:val="002824A8"/>
    <w:rsid w:val="0028366E"/>
    <w:rsid w:val="00287D69"/>
    <w:rsid w:val="002952BA"/>
    <w:rsid w:val="002B6FE9"/>
    <w:rsid w:val="002C0D11"/>
    <w:rsid w:val="002D3A90"/>
    <w:rsid w:val="002E001F"/>
    <w:rsid w:val="002E14DB"/>
    <w:rsid w:val="002E4256"/>
    <w:rsid w:val="0030090B"/>
    <w:rsid w:val="00302444"/>
    <w:rsid w:val="003077B0"/>
    <w:rsid w:val="003107DA"/>
    <w:rsid w:val="00327608"/>
    <w:rsid w:val="00344DF8"/>
    <w:rsid w:val="00351EFE"/>
    <w:rsid w:val="003600A5"/>
    <w:rsid w:val="003605DC"/>
    <w:rsid w:val="003609BD"/>
    <w:rsid w:val="003648F4"/>
    <w:rsid w:val="00374FB9"/>
    <w:rsid w:val="00375695"/>
    <w:rsid w:val="00375BF2"/>
    <w:rsid w:val="0038434D"/>
    <w:rsid w:val="00387C85"/>
    <w:rsid w:val="003C7FD9"/>
    <w:rsid w:val="003D635F"/>
    <w:rsid w:val="003E5EEF"/>
    <w:rsid w:val="003E6B34"/>
    <w:rsid w:val="00404643"/>
    <w:rsid w:val="00417916"/>
    <w:rsid w:val="00427B3B"/>
    <w:rsid w:val="0043005C"/>
    <w:rsid w:val="00431B26"/>
    <w:rsid w:val="00431F11"/>
    <w:rsid w:val="00434CDB"/>
    <w:rsid w:val="00435F02"/>
    <w:rsid w:val="00437E0A"/>
    <w:rsid w:val="004413E9"/>
    <w:rsid w:val="00452148"/>
    <w:rsid w:val="00452812"/>
    <w:rsid w:val="00461E3B"/>
    <w:rsid w:val="0047202C"/>
    <w:rsid w:val="00477429"/>
    <w:rsid w:val="004802EA"/>
    <w:rsid w:val="00487CE7"/>
    <w:rsid w:val="004A23E8"/>
    <w:rsid w:val="004B6F02"/>
    <w:rsid w:val="004C6EDB"/>
    <w:rsid w:val="004F0BBF"/>
    <w:rsid w:val="005037BB"/>
    <w:rsid w:val="005229FC"/>
    <w:rsid w:val="005405E3"/>
    <w:rsid w:val="00541AA7"/>
    <w:rsid w:val="0054274C"/>
    <w:rsid w:val="00542964"/>
    <w:rsid w:val="005436A6"/>
    <w:rsid w:val="005573D0"/>
    <w:rsid w:val="00565C33"/>
    <w:rsid w:val="00583B56"/>
    <w:rsid w:val="00595523"/>
    <w:rsid w:val="005C2F01"/>
    <w:rsid w:val="005C2F08"/>
    <w:rsid w:val="005C34EF"/>
    <w:rsid w:val="005C67DE"/>
    <w:rsid w:val="005D01CC"/>
    <w:rsid w:val="005D2436"/>
    <w:rsid w:val="005D6E77"/>
    <w:rsid w:val="005E2AB8"/>
    <w:rsid w:val="005E47AD"/>
    <w:rsid w:val="006042D0"/>
    <w:rsid w:val="00604ADD"/>
    <w:rsid w:val="00604BC6"/>
    <w:rsid w:val="00610FEF"/>
    <w:rsid w:val="00630F2C"/>
    <w:rsid w:val="006310BB"/>
    <w:rsid w:val="00632706"/>
    <w:rsid w:val="0063390C"/>
    <w:rsid w:val="00640D05"/>
    <w:rsid w:val="00647139"/>
    <w:rsid w:val="00651055"/>
    <w:rsid w:val="00656C4A"/>
    <w:rsid w:val="0067059D"/>
    <w:rsid w:val="00673F55"/>
    <w:rsid w:val="00690FB5"/>
    <w:rsid w:val="00692A73"/>
    <w:rsid w:val="0069349F"/>
    <w:rsid w:val="006956CD"/>
    <w:rsid w:val="006D1FA7"/>
    <w:rsid w:val="006D2778"/>
    <w:rsid w:val="006E4603"/>
    <w:rsid w:val="006E7AD0"/>
    <w:rsid w:val="006F7ACA"/>
    <w:rsid w:val="00701485"/>
    <w:rsid w:val="0070697F"/>
    <w:rsid w:val="00714237"/>
    <w:rsid w:val="0071530D"/>
    <w:rsid w:val="007234B5"/>
    <w:rsid w:val="00727CD4"/>
    <w:rsid w:val="007306BA"/>
    <w:rsid w:val="00747D65"/>
    <w:rsid w:val="00752E9C"/>
    <w:rsid w:val="007617D3"/>
    <w:rsid w:val="00765EEA"/>
    <w:rsid w:val="007A706E"/>
    <w:rsid w:val="007B3F7A"/>
    <w:rsid w:val="007B71CA"/>
    <w:rsid w:val="007C4B55"/>
    <w:rsid w:val="007C5997"/>
    <w:rsid w:val="007C5AF7"/>
    <w:rsid w:val="007C70FC"/>
    <w:rsid w:val="007D66BB"/>
    <w:rsid w:val="007D78FB"/>
    <w:rsid w:val="007F16BF"/>
    <w:rsid w:val="007F38CB"/>
    <w:rsid w:val="00807817"/>
    <w:rsid w:val="008129B4"/>
    <w:rsid w:val="00813620"/>
    <w:rsid w:val="0081375B"/>
    <w:rsid w:val="00836367"/>
    <w:rsid w:val="00842D40"/>
    <w:rsid w:val="00843EBE"/>
    <w:rsid w:val="008448FD"/>
    <w:rsid w:val="00845C33"/>
    <w:rsid w:val="0085485A"/>
    <w:rsid w:val="00865246"/>
    <w:rsid w:val="00870655"/>
    <w:rsid w:val="0088143B"/>
    <w:rsid w:val="0088191C"/>
    <w:rsid w:val="00883A55"/>
    <w:rsid w:val="008B5657"/>
    <w:rsid w:val="008E4949"/>
    <w:rsid w:val="008F63F5"/>
    <w:rsid w:val="008F7E79"/>
    <w:rsid w:val="00904736"/>
    <w:rsid w:val="0091043D"/>
    <w:rsid w:val="009147EA"/>
    <w:rsid w:val="00916B33"/>
    <w:rsid w:val="009230E2"/>
    <w:rsid w:val="00927F5C"/>
    <w:rsid w:val="00933757"/>
    <w:rsid w:val="0094346B"/>
    <w:rsid w:val="00950857"/>
    <w:rsid w:val="009559B3"/>
    <w:rsid w:val="009605C9"/>
    <w:rsid w:val="00960F5C"/>
    <w:rsid w:val="00986A47"/>
    <w:rsid w:val="0099024F"/>
    <w:rsid w:val="00994073"/>
    <w:rsid w:val="009B3CB4"/>
    <w:rsid w:val="009B4937"/>
    <w:rsid w:val="009B6350"/>
    <w:rsid w:val="009C0A36"/>
    <w:rsid w:val="009D412D"/>
    <w:rsid w:val="009D587D"/>
    <w:rsid w:val="009E216E"/>
    <w:rsid w:val="009E4FEC"/>
    <w:rsid w:val="009E7D2F"/>
    <w:rsid w:val="00A04DB0"/>
    <w:rsid w:val="00A14557"/>
    <w:rsid w:val="00A31015"/>
    <w:rsid w:val="00A3527B"/>
    <w:rsid w:val="00A4610E"/>
    <w:rsid w:val="00A5213D"/>
    <w:rsid w:val="00A57385"/>
    <w:rsid w:val="00A62BE4"/>
    <w:rsid w:val="00A7448B"/>
    <w:rsid w:val="00A903B2"/>
    <w:rsid w:val="00A9099B"/>
    <w:rsid w:val="00A90BEE"/>
    <w:rsid w:val="00A9493D"/>
    <w:rsid w:val="00AA34A4"/>
    <w:rsid w:val="00AB3548"/>
    <w:rsid w:val="00AB4237"/>
    <w:rsid w:val="00AB762E"/>
    <w:rsid w:val="00AC3EBC"/>
    <w:rsid w:val="00AC5B3F"/>
    <w:rsid w:val="00B02FA1"/>
    <w:rsid w:val="00B11984"/>
    <w:rsid w:val="00B448D8"/>
    <w:rsid w:val="00B60FBF"/>
    <w:rsid w:val="00B67827"/>
    <w:rsid w:val="00B82374"/>
    <w:rsid w:val="00B87AB9"/>
    <w:rsid w:val="00B90E09"/>
    <w:rsid w:val="00B93C16"/>
    <w:rsid w:val="00B973A8"/>
    <w:rsid w:val="00BA03DB"/>
    <w:rsid w:val="00BB08E2"/>
    <w:rsid w:val="00BB7238"/>
    <w:rsid w:val="00BC348A"/>
    <w:rsid w:val="00BC47F8"/>
    <w:rsid w:val="00BD148C"/>
    <w:rsid w:val="00BD1DDA"/>
    <w:rsid w:val="00BD78B1"/>
    <w:rsid w:val="00BE6B54"/>
    <w:rsid w:val="00C10D9E"/>
    <w:rsid w:val="00C2578D"/>
    <w:rsid w:val="00C26B1D"/>
    <w:rsid w:val="00C374D6"/>
    <w:rsid w:val="00C4353C"/>
    <w:rsid w:val="00C4454F"/>
    <w:rsid w:val="00C450A5"/>
    <w:rsid w:val="00C462A3"/>
    <w:rsid w:val="00C51B06"/>
    <w:rsid w:val="00C61337"/>
    <w:rsid w:val="00C652C6"/>
    <w:rsid w:val="00C67381"/>
    <w:rsid w:val="00C855A6"/>
    <w:rsid w:val="00C87423"/>
    <w:rsid w:val="00C92A80"/>
    <w:rsid w:val="00C94390"/>
    <w:rsid w:val="00CA2253"/>
    <w:rsid w:val="00CA2376"/>
    <w:rsid w:val="00CA3DBA"/>
    <w:rsid w:val="00CB1667"/>
    <w:rsid w:val="00CB1744"/>
    <w:rsid w:val="00CB5CAC"/>
    <w:rsid w:val="00CB6F21"/>
    <w:rsid w:val="00CC0C92"/>
    <w:rsid w:val="00CC1117"/>
    <w:rsid w:val="00CE0BDA"/>
    <w:rsid w:val="00CE2986"/>
    <w:rsid w:val="00CF36CC"/>
    <w:rsid w:val="00CF4612"/>
    <w:rsid w:val="00D00785"/>
    <w:rsid w:val="00D04272"/>
    <w:rsid w:val="00D06C13"/>
    <w:rsid w:val="00D11829"/>
    <w:rsid w:val="00D1303D"/>
    <w:rsid w:val="00D15F81"/>
    <w:rsid w:val="00D42324"/>
    <w:rsid w:val="00D519C1"/>
    <w:rsid w:val="00D54FBA"/>
    <w:rsid w:val="00D55269"/>
    <w:rsid w:val="00D67520"/>
    <w:rsid w:val="00D67E3A"/>
    <w:rsid w:val="00D70B19"/>
    <w:rsid w:val="00D7426E"/>
    <w:rsid w:val="00D9280D"/>
    <w:rsid w:val="00DA43EA"/>
    <w:rsid w:val="00DA649F"/>
    <w:rsid w:val="00DB1736"/>
    <w:rsid w:val="00DB1E17"/>
    <w:rsid w:val="00DC073E"/>
    <w:rsid w:val="00DD14A9"/>
    <w:rsid w:val="00DD632B"/>
    <w:rsid w:val="00E02AAD"/>
    <w:rsid w:val="00E1506C"/>
    <w:rsid w:val="00E36110"/>
    <w:rsid w:val="00E40016"/>
    <w:rsid w:val="00E40020"/>
    <w:rsid w:val="00E466D6"/>
    <w:rsid w:val="00E47206"/>
    <w:rsid w:val="00E554D2"/>
    <w:rsid w:val="00E559D5"/>
    <w:rsid w:val="00E6266E"/>
    <w:rsid w:val="00E8494C"/>
    <w:rsid w:val="00E94DE3"/>
    <w:rsid w:val="00EA1B7F"/>
    <w:rsid w:val="00EB1C4B"/>
    <w:rsid w:val="00EC370C"/>
    <w:rsid w:val="00EC4408"/>
    <w:rsid w:val="00ED305C"/>
    <w:rsid w:val="00ED33DF"/>
    <w:rsid w:val="00ED3D47"/>
    <w:rsid w:val="00ED72DD"/>
    <w:rsid w:val="00EE4326"/>
    <w:rsid w:val="00EF779C"/>
    <w:rsid w:val="00F01D9B"/>
    <w:rsid w:val="00F079E3"/>
    <w:rsid w:val="00F309E7"/>
    <w:rsid w:val="00F3256B"/>
    <w:rsid w:val="00F405AA"/>
    <w:rsid w:val="00F44BA9"/>
    <w:rsid w:val="00F53EB9"/>
    <w:rsid w:val="00F60215"/>
    <w:rsid w:val="00F617DB"/>
    <w:rsid w:val="00F66070"/>
    <w:rsid w:val="00F67DBF"/>
    <w:rsid w:val="00F87465"/>
    <w:rsid w:val="00F94104"/>
    <w:rsid w:val="00F97739"/>
    <w:rsid w:val="00FA02CB"/>
    <w:rsid w:val="00FA1DA5"/>
    <w:rsid w:val="00FC70A7"/>
    <w:rsid w:val="00FE0151"/>
    <w:rsid w:val="00FF2529"/>
    <w:rsid w:val="00FF3AE7"/>
    <w:rsid w:val="00FF4A5F"/>
    <w:rsid w:val="00FF5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F2D8C"/>
  <w15:docId w15:val="{B312798A-FFCE-44A6-89B0-DD02C269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49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spacing w:before="157"/>
    </w:pPr>
    <w:rPr>
      <w:sz w:val="24"/>
      <w:szCs w:val="24"/>
    </w:rPr>
  </w:style>
  <w:style w:type="paragraph" w:styleId="PargrafodaLista">
    <w:name w:val="List Paragraph"/>
    <w:basedOn w:val="Normal"/>
    <w:uiPriority w:val="34"/>
    <w:qFormat/>
    <w:pPr>
      <w:ind w:left="1082" w:hanging="235"/>
    </w:pPr>
  </w:style>
  <w:style w:type="paragraph" w:customStyle="1" w:styleId="TableParagraph">
    <w:name w:val="Table Paragraph"/>
    <w:basedOn w:val="Normal"/>
    <w:uiPriority w:val="1"/>
    <w:qFormat/>
    <w:pPr>
      <w:jc w:val="center"/>
    </w:pPr>
  </w:style>
  <w:style w:type="character" w:styleId="Refdecomentrio">
    <w:name w:val="annotation reference"/>
    <w:basedOn w:val="Fontepargpadro"/>
    <w:uiPriority w:val="99"/>
    <w:semiHidden/>
    <w:unhideWhenUsed/>
    <w:rsid w:val="009E216E"/>
    <w:rPr>
      <w:sz w:val="16"/>
      <w:szCs w:val="16"/>
    </w:rPr>
  </w:style>
  <w:style w:type="paragraph" w:styleId="Textodecomentrio">
    <w:name w:val="annotation text"/>
    <w:basedOn w:val="Normal"/>
    <w:link w:val="TextodecomentrioChar"/>
    <w:uiPriority w:val="99"/>
    <w:unhideWhenUsed/>
    <w:rsid w:val="009E216E"/>
    <w:rPr>
      <w:sz w:val="20"/>
      <w:szCs w:val="20"/>
    </w:rPr>
  </w:style>
  <w:style w:type="character" w:customStyle="1" w:styleId="TextodecomentrioChar">
    <w:name w:val="Texto de comentário Char"/>
    <w:basedOn w:val="Fontepargpadro"/>
    <w:link w:val="Textodecomentrio"/>
    <w:uiPriority w:val="99"/>
    <w:rsid w:val="009E216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E216E"/>
    <w:rPr>
      <w:b/>
      <w:bCs/>
    </w:rPr>
  </w:style>
  <w:style w:type="character" w:customStyle="1" w:styleId="AssuntodocomentrioChar">
    <w:name w:val="Assunto do comentário Char"/>
    <w:basedOn w:val="TextodecomentrioChar"/>
    <w:link w:val="Assuntodocomentrio"/>
    <w:uiPriority w:val="99"/>
    <w:semiHidden/>
    <w:rsid w:val="009E216E"/>
    <w:rPr>
      <w:rFonts w:ascii="Times New Roman" w:eastAsia="Times New Roman" w:hAnsi="Times New Roman" w:cs="Times New Roman"/>
      <w:b/>
      <w:bCs/>
      <w:sz w:val="20"/>
      <w:szCs w:val="20"/>
    </w:rPr>
  </w:style>
  <w:style w:type="paragraph" w:styleId="Textodebalo">
    <w:name w:val="Balloon Text"/>
    <w:basedOn w:val="Normal"/>
    <w:link w:val="TextodebaloChar"/>
    <w:uiPriority w:val="99"/>
    <w:semiHidden/>
    <w:unhideWhenUsed/>
    <w:rsid w:val="002C0D11"/>
    <w:rPr>
      <w:rFonts w:ascii="Tahoma" w:hAnsi="Tahoma" w:cs="Tahoma"/>
      <w:sz w:val="16"/>
      <w:szCs w:val="16"/>
    </w:rPr>
  </w:style>
  <w:style w:type="character" w:customStyle="1" w:styleId="TextodebaloChar">
    <w:name w:val="Texto de balão Char"/>
    <w:basedOn w:val="Fontepargpadro"/>
    <w:link w:val="Textodebalo"/>
    <w:uiPriority w:val="99"/>
    <w:semiHidden/>
    <w:rsid w:val="002C0D11"/>
    <w:rPr>
      <w:rFonts w:ascii="Tahoma" w:eastAsia="Times New Roman" w:hAnsi="Tahoma" w:cs="Tahoma"/>
      <w:sz w:val="16"/>
      <w:szCs w:val="16"/>
    </w:rPr>
  </w:style>
  <w:style w:type="character" w:styleId="Hyperlink">
    <w:name w:val="Hyperlink"/>
    <w:basedOn w:val="Fontepargpadro"/>
    <w:uiPriority w:val="99"/>
    <w:unhideWhenUsed/>
    <w:rsid w:val="002C0D11"/>
    <w:rPr>
      <w:color w:val="0000FF"/>
      <w:u w:val="single"/>
    </w:rPr>
  </w:style>
  <w:style w:type="table" w:styleId="Tabelacomgrade">
    <w:name w:val="Table Grid"/>
    <w:basedOn w:val="Tabelanormal"/>
    <w:uiPriority w:val="39"/>
    <w:rsid w:val="00EC3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129B4"/>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8129B4"/>
    <w:rPr>
      <w:lang w:val="pt-BR"/>
    </w:rPr>
  </w:style>
  <w:style w:type="table" w:customStyle="1" w:styleId="TableNormal">
    <w:name w:val="Table Normal"/>
    <w:rsid w:val="00D15F81"/>
    <w:pPr>
      <w:autoSpaceDE/>
      <w:autoSpaceDN/>
    </w:pPr>
    <w:rPr>
      <w:rFonts w:ascii="Times New Roman" w:eastAsia="Times New Roman" w:hAnsi="Times New Roman" w:cs="Times New Roman"/>
      <w:lang w:eastAsia="pt-BR"/>
    </w:rPr>
    <w:tblPr>
      <w:tblCellMar>
        <w:top w:w="0" w:type="dxa"/>
        <w:left w:w="0" w:type="dxa"/>
        <w:bottom w:w="0" w:type="dxa"/>
        <w:right w:w="0" w:type="dxa"/>
      </w:tblCellMar>
    </w:tblPr>
  </w:style>
  <w:style w:type="character" w:styleId="Nmerodelinha">
    <w:name w:val="line number"/>
    <w:basedOn w:val="Fontepargpadro"/>
    <w:uiPriority w:val="99"/>
    <w:semiHidden/>
    <w:unhideWhenUsed/>
    <w:rsid w:val="00C61337"/>
  </w:style>
  <w:style w:type="paragraph" w:styleId="Rodap">
    <w:name w:val="footer"/>
    <w:basedOn w:val="Normal"/>
    <w:link w:val="RodapChar"/>
    <w:uiPriority w:val="99"/>
    <w:unhideWhenUsed/>
    <w:rsid w:val="002E14DB"/>
    <w:pPr>
      <w:tabs>
        <w:tab w:val="center" w:pos="4252"/>
        <w:tab w:val="right" w:pos="8504"/>
      </w:tabs>
    </w:pPr>
  </w:style>
  <w:style w:type="character" w:customStyle="1" w:styleId="RodapChar">
    <w:name w:val="Rodapé Char"/>
    <w:basedOn w:val="Fontepargpadro"/>
    <w:link w:val="Rodap"/>
    <w:uiPriority w:val="99"/>
    <w:rsid w:val="002E14DB"/>
    <w:rPr>
      <w:rFonts w:ascii="Times New Roman" w:eastAsia="Times New Roman" w:hAnsi="Times New Roman" w:cs="Times New Roman"/>
    </w:rPr>
  </w:style>
  <w:style w:type="table" w:customStyle="1" w:styleId="TableNormal0">
    <w:name w:val="TableNormal"/>
    <w:rsid w:val="008F7E79"/>
    <w:pPr>
      <w:widowControl/>
      <w:autoSpaceDE/>
      <w:autoSpaceDN/>
      <w:spacing w:after="160" w:line="256" w:lineRule="auto"/>
    </w:pPr>
    <w:rPr>
      <w:rFonts w:ascii="Calibri" w:eastAsia="Calibri" w:hAnsi="Calibri" w:cs="Calibri"/>
      <w:lang w:val="pt-BR" w:eastAsia="pt-BR"/>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3109">
      <w:bodyDiv w:val="1"/>
      <w:marLeft w:val="0"/>
      <w:marRight w:val="0"/>
      <w:marTop w:val="0"/>
      <w:marBottom w:val="0"/>
      <w:divBdr>
        <w:top w:val="none" w:sz="0" w:space="0" w:color="auto"/>
        <w:left w:val="none" w:sz="0" w:space="0" w:color="auto"/>
        <w:bottom w:val="none" w:sz="0" w:space="0" w:color="auto"/>
        <w:right w:val="none" w:sz="0" w:space="0" w:color="auto"/>
      </w:divBdr>
    </w:div>
    <w:div w:id="97139963">
      <w:bodyDiv w:val="1"/>
      <w:marLeft w:val="0"/>
      <w:marRight w:val="0"/>
      <w:marTop w:val="0"/>
      <w:marBottom w:val="0"/>
      <w:divBdr>
        <w:top w:val="none" w:sz="0" w:space="0" w:color="auto"/>
        <w:left w:val="none" w:sz="0" w:space="0" w:color="auto"/>
        <w:bottom w:val="none" w:sz="0" w:space="0" w:color="auto"/>
        <w:right w:val="none" w:sz="0" w:space="0" w:color="auto"/>
      </w:divBdr>
    </w:div>
    <w:div w:id="143012139">
      <w:bodyDiv w:val="1"/>
      <w:marLeft w:val="0"/>
      <w:marRight w:val="0"/>
      <w:marTop w:val="0"/>
      <w:marBottom w:val="0"/>
      <w:divBdr>
        <w:top w:val="none" w:sz="0" w:space="0" w:color="auto"/>
        <w:left w:val="none" w:sz="0" w:space="0" w:color="auto"/>
        <w:bottom w:val="none" w:sz="0" w:space="0" w:color="auto"/>
        <w:right w:val="none" w:sz="0" w:space="0" w:color="auto"/>
      </w:divBdr>
    </w:div>
    <w:div w:id="177626934">
      <w:bodyDiv w:val="1"/>
      <w:marLeft w:val="0"/>
      <w:marRight w:val="0"/>
      <w:marTop w:val="0"/>
      <w:marBottom w:val="0"/>
      <w:divBdr>
        <w:top w:val="none" w:sz="0" w:space="0" w:color="auto"/>
        <w:left w:val="none" w:sz="0" w:space="0" w:color="auto"/>
        <w:bottom w:val="none" w:sz="0" w:space="0" w:color="auto"/>
        <w:right w:val="none" w:sz="0" w:space="0" w:color="auto"/>
      </w:divBdr>
    </w:div>
    <w:div w:id="322393325">
      <w:bodyDiv w:val="1"/>
      <w:marLeft w:val="0"/>
      <w:marRight w:val="0"/>
      <w:marTop w:val="0"/>
      <w:marBottom w:val="0"/>
      <w:divBdr>
        <w:top w:val="none" w:sz="0" w:space="0" w:color="auto"/>
        <w:left w:val="none" w:sz="0" w:space="0" w:color="auto"/>
        <w:bottom w:val="none" w:sz="0" w:space="0" w:color="auto"/>
        <w:right w:val="none" w:sz="0" w:space="0" w:color="auto"/>
      </w:divBdr>
    </w:div>
    <w:div w:id="380252381">
      <w:bodyDiv w:val="1"/>
      <w:marLeft w:val="0"/>
      <w:marRight w:val="0"/>
      <w:marTop w:val="0"/>
      <w:marBottom w:val="0"/>
      <w:divBdr>
        <w:top w:val="none" w:sz="0" w:space="0" w:color="auto"/>
        <w:left w:val="none" w:sz="0" w:space="0" w:color="auto"/>
        <w:bottom w:val="none" w:sz="0" w:space="0" w:color="auto"/>
        <w:right w:val="none" w:sz="0" w:space="0" w:color="auto"/>
      </w:divBdr>
    </w:div>
    <w:div w:id="424545711">
      <w:bodyDiv w:val="1"/>
      <w:marLeft w:val="0"/>
      <w:marRight w:val="0"/>
      <w:marTop w:val="0"/>
      <w:marBottom w:val="0"/>
      <w:divBdr>
        <w:top w:val="none" w:sz="0" w:space="0" w:color="auto"/>
        <w:left w:val="none" w:sz="0" w:space="0" w:color="auto"/>
        <w:bottom w:val="none" w:sz="0" w:space="0" w:color="auto"/>
        <w:right w:val="none" w:sz="0" w:space="0" w:color="auto"/>
      </w:divBdr>
    </w:div>
    <w:div w:id="513542870">
      <w:bodyDiv w:val="1"/>
      <w:marLeft w:val="0"/>
      <w:marRight w:val="0"/>
      <w:marTop w:val="0"/>
      <w:marBottom w:val="0"/>
      <w:divBdr>
        <w:top w:val="none" w:sz="0" w:space="0" w:color="auto"/>
        <w:left w:val="none" w:sz="0" w:space="0" w:color="auto"/>
        <w:bottom w:val="none" w:sz="0" w:space="0" w:color="auto"/>
        <w:right w:val="none" w:sz="0" w:space="0" w:color="auto"/>
      </w:divBdr>
    </w:div>
    <w:div w:id="521676083">
      <w:bodyDiv w:val="1"/>
      <w:marLeft w:val="0"/>
      <w:marRight w:val="0"/>
      <w:marTop w:val="0"/>
      <w:marBottom w:val="0"/>
      <w:divBdr>
        <w:top w:val="none" w:sz="0" w:space="0" w:color="auto"/>
        <w:left w:val="none" w:sz="0" w:space="0" w:color="auto"/>
        <w:bottom w:val="none" w:sz="0" w:space="0" w:color="auto"/>
        <w:right w:val="none" w:sz="0" w:space="0" w:color="auto"/>
      </w:divBdr>
    </w:div>
    <w:div w:id="573585588">
      <w:bodyDiv w:val="1"/>
      <w:marLeft w:val="0"/>
      <w:marRight w:val="0"/>
      <w:marTop w:val="0"/>
      <w:marBottom w:val="0"/>
      <w:divBdr>
        <w:top w:val="none" w:sz="0" w:space="0" w:color="auto"/>
        <w:left w:val="none" w:sz="0" w:space="0" w:color="auto"/>
        <w:bottom w:val="none" w:sz="0" w:space="0" w:color="auto"/>
        <w:right w:val="none" w:sz="0" w:space="0" w:color="auto"/>
      </w:divBdr>
    </w:div>
    <w:div w:id="589044431">
      <w:bodyDiv w:val="1"/>
      <w:marLeft w:val="0"/>
      <w:marRight w:val="0"/>
      <w:marTop w:val="0"/>
      <w:marBottom w:val="0"/>
      <w:divBdr>
        <w:top w:val="none" w:sz="0" w:space="0" w:color="auto"/>
        <w:left w:val="none" w:sz="0" w:space="0" w:color="auto"/>
        <w:bottom w:val="none" w:sz="0" w:space="0" w:color="auto"/>
        <w:right w:val="none" w:sz="0" w:space="0" w:color="auto"/>
      </w:divBdr>
    </w:div>
    <w:div w:id="706682053">
      <w:bodyDiv w:val="1"/>
      <w:marLeft w:val="0"/>
      <w:marRight w:val="0"/>
      <w:marTop w:val="0"/>
      <w:marBottom w:val="0"/>
      <w:divBdr>
        <w:top w:val="none" w:sz="0" w:space="0" w:color="auto"/>
        <w:left w:val="none" w:sz="0" w:space="0" w:color="auto"/>
        <w:bottom w:val="none" w:sz="0" w:space="0" w:color="auto"/>
        <w:right w:val="none" w:sz="0" w:space="0" w:color="auto"/>
      </w:divBdr>
    </w:div>
    <w:div w:id="859856148">
      <w:bodyDiv w:val="1"/>
      <w:marLeft w:val="0"/>
      <w:marRight w:val="0"/>
      <w:marTop w:val="0"/>
      <w:marBottom w:val="0"/>
      <w:divBdr>
        <w:top w:val="none" w:sz="0" w:space="0" w:color="auto"/>
        <w:left w:val="none" w:sz="0" w:space="0" w:color="auto"/>
        <w:bottom w:val="none" w:sz="0" w:space="0" w:color="auto"/>
        <w:right w:val="none" w:sz="0" w:space="0" w:color="auto"/>
      </w:divBdr>
    </w:div>
    <w:div w:id="1016734603">
      <w:bodyDiv w:val="1"/>
      <w:marLeft w:val="0"/>
      <w:marRight w:val="0"/>
      <w:marTop w:val="0"/>
      <w:marBottom w:val="0"/>
      <w:divBdr>
        <w:top w:val="none" w:sz="0" w:space="0" w:color="auto"/>
        <w:left w:val="none" w:sz="0" w:space="0" w:color="auto"/>
        <w:bottom w:val="none" w:sz="0" w:space="0" w:color="auto"/>
        <w:right w:val="none" w:sz="0" w:space="0" w:color="auto"/>
      </w:divBdr>
    </w:div>
    <w:div w:id="1053042659">
      <w:bodyDiv w:val="1"/>
      <w:marLeft w:val="0"/>
      <w:marRight w:val="0"/>
      <w:marTop w:val="0"/>
      <w:marBottom w:val="0"/>
      <w:divBdr>
        <w:top w:val="none" w:sz="0" w:space="0" w:color="auto"/>
        <w:left w:val="none" w:sz="0" w:space="0" w:color="auto"/>
        <w:bottom w:val="none" w:sz="0" w:space="0" w:color="auto"/>
        <w:right w:val="none" w:sz="0" w:space="0" w:color="auto"/>
      </w:divBdr>
    </w:div>
    <w:div w:id="1092823287">
      <w:bodyDiv w:val="1"/>
      <w:marLeft w:val="0"/>
      <w:marRight w:val="0"/>
      <w:marTop w:val="0"/>
      <w:marBottom w:val="0"/>
      <w:divBdr>
        <w:top w:val="none" w:sz="0" w:space="0" w:color="auto"/>
        <w:left w:val="none" w:sz="0" w:space="0" w:color="auto"/>
        <w:bottom w:val="none" w:sz="0" w:space="0" w:color="auto"/>
        <w:right w:val="none" w:sz="0" w:space="0" w:color="auto"/>
      </w:divBdr>
    </w:div>
    <w:div w:id="1301495346">
      <w:bodyDiv w:val="1"/>
      <w:marLeft w:val="0"/>
      <w:marRight w:val="0"/>
      <w:marTop w:val="0"/>
      <w:marBottom w:val="0"/>
      <w:divBdr>
        <w:top w:val="none" w:sz="0" w:space="0" w:color="auto"/>
        <w:left w:val="none" w:sz="0" w:space="0" w:color="auto"/>
        <w:bottom w:val="none" w:sz="0" w:space="0" w:color="auto"/>
        <w:right w:val="none" w:sz="0" w:space="0" w:color="auto"/>
      </w:divBdr>
    </w:div>
    <w:div w:id="1341852676">
      <w:bodyDiv w:val="1"/>
      <w:marLeft w:val="0"/>
      <w:marRight w:val="0"/>
      <w:marTop w:val="0"/>
      <w:marBottom w:val="0"/>
      <w:divBdr>
        <w:top w:val="none" w:sz="0" w:space="0" w:color="auto"/>
        <w:left w:val="none" w:sz="0" w:space="0" w:color="auto"/>
        <w:bottom w:val="none" w:sz="0" w:space="0" w:color="auto"/>
        <w:right w:val="none" w:sz="0" w:space="0" w:color="auto"/>
      </w:divBdr>
    </w:div>
    <w:div w:id="1437091697">
      <w:bodyDiv w:val="1"/>
      <w:marLeft w:val="0"/>
      <w:marRight w:val="0"/>
      <w:marTop w:val="0"/>
      <w:marBottom w:val="0"/>
      <w:divBdr>
        <w:top w:val="none" w:sz="0" w:space="0" w:color="auto"/>
        <w:left w:val="none" w:sz="0" w:space="0" w:color="auto"/>
        <w:bottom w:val="none" w:sz="0" w:space="0" w:color="auto"/>
        <w:right w:val="none" w:sz="0" w:space="0" w:color="auto"/>
      </w:divBdr>
    </w:div>
    <w:div w:id="1588421535">
      <w:bodyDiv w:val="1"/>
      <w:marLeft w:val="0"/>
      <w:marRight w:val="0"/>
      <w:marTop w:val="0"/>
      <w:marBottom w:val="0"/>
      <w:divBdr>
        <w:top w:val="none" w:sz="0" w:space="0" w:color="auto"/>
        <w:left w:val="none" w:sz="0" w:space="0" w:color="auto"/>
        <w:bottom w:val="none" w:sz="0" w:space="0" w:color="auto"/>
        <w:right w:val="none" w:sz="0" w:space="0" w:color="auto"/>
      </w:divBdr>
    </w:div>
    <w:div w:id="1774127151">
      <w:bodyDiv w:val="1"/>
      <w:marLeft w:val="0"/>
      <w:marRight w:val="0"/>
      <w:marTop w:val="0"/>
      <w:marBottom w:val="0"/>
      <w:divBdr>
        <w:top w:val="none" w:sz="0" w:space="0" w:color="auto"/>
        <w:left w:val="none" w:sz="0" w:space="0" w:color="auto"/>
        <w:bottom w:val="none" w:sz="0" w:space="0" w:color="auto"/>
        <w:right w:val="none" w:sz="0" w:space="0" w:color="auto"/>
      </w:divBdr>
    </w:div>
    <w:div w:id="1774476208">
      <w:bodyDiv w:val="1"/>
      <w:marLeft w:val="0"/>
      <w:marRight w:val="0"/>
      <w:marTop w:val="0"/>
      <w:marBottom w:val="0"/>
      <w:divBdr>
        <w:top w:val="none" w:sz="0" w:space="0" w:color="auto"/>
        <w:left w:val="none" w:sz="0" w:space="0" w:color="auto"/>
        <w:bottom w:val="none" w:sz="0" w:space="0" w:color="auto"/>
        <w:right w:val="none" w:sz="0" w:space="0" w:color="auto"/>
      </w:divBdr>
    </w:div>
    <w:div w:id="1804274844">
      <w:bodyDiv w:val="1"/>
      <w:marLeft w:val="0"/>
      <w:marRight w:val="0"/>
      <w:marTop w:val="0"/>
      <w:marBottom w:val="0"/>
      <w:divBdr>
        <w:top w:val="none" w:sz="0" w:space="0" w:color="auto"/>
        <w:left w:val="none" w:sz="0" w:space="0" w:color="auto"/>
        <w:bottom w:val="none" w:sz="0" w:space="0" w:color="auto"/>
        <w:right w:val="none" w:sz="0" w:space="0" w:color="auto"/>
      </w:divBdr>
    </w:div>
    <w:div w:id="1831168704">
      <w:bodyDiv w:val="1"/>
      <w:marLeft w:val="0"/>
      <w:marRight w:val="0"/>
      <w:marTop w:val="0"/>
      <w:marBottom w:val="0"/>
      <w:divBdr>
        <w:top w:val="none" w:sz="0" w:space="0" w:color="auto"/>
        <w:left w:val="none" w:sz="0" w:space="0" w:color="auto"/>
        <w:bottom w:val="none" w:sz="0" w:space="0" w:color="auto"/>
        <w:right w:val="none" w:sz="0" w:space="0" w:color="auto"/>
      </w:divBdr>
    </w:div>
    <w:div w:id="1868374611">
      <w:bodyDiv w:val="1"/>
      <w:marLeft w:val="0"/>
      <w:marRight w:val="0"/>
      <w:marTop w:val="0"/>
      <w:marBottom w:val="0"/>
      <w:divBdr>
        <w:top w:val="none" w:sz="0" w:space="0" w:color="auto"/>
        <w:left w:val="none" w:sz="0" w:space="0" w:color="auto"/>
        <w:bottom w:val="none" w:sz="0" w:space="0" w:color="auto"/>
        <w:right w:val="none" w:sz="0" w:space="0" w:color="auto"/>
      </w:divBdr>
    </w:div>
    <w:div w:id="1956017592">
      <w:bodyDiv w:val="1"/>
      <w:marLeft w:val="0"/>
      <w:marRight w:val="0"/>
      <w:marTop w:val="0"/>
      <w:marBottom w:val="0"/>
      <w:divBdr>
        <w:top w:val="none" w:sz="0" w:space="0" w:color="auto"/>
        <w:left w:val="none" w:sz="0" w:space="0" w:color="auto"/>
        <w:bottom w:val="none" w:sz="0" w:space="0" w:color="auto"/>
        <w:right w:val="none" w:sz="0" w:space="0" w:color="auto"/>
      </w:divBdr>
    </w:div>
    <w:div w:id="2061048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ets.onlinelibrary.wiley.com/authored-by/Leite%E2%80%90Filho/Argemiro+Teixeira"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tatistical_signific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elipe.poyer@inpe.br"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DC2B-6888-4F45-90AF-D81A2BC9B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950</Words>
  <Characters>5133</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SURVEY OF ISOLATED SYSTEMS IN THE BRAZILIAN AMAZON: FROM THEORY TO FIELDWORK</vt:lpstr>
      <vt:lpstr>SURVEY OF ISOLATED SYSTEMS IN THE BRAZILIAN AMAZON: FROM THEORY TO FIELDWORK</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ISOLATED SYSTEMS IN THE BRAZILIAN AMAZON: FROM THEORY TO FIELDWORK</dc:title>
  <dc:subject/>
  <dc:creator>Adm</dc:creator>
  <cp:keywords/>
  <dc:description/>
  <cp:lastModifiedBy>Felipe</cp:lastModifiedBy>
  <cp:revision>28</cp:revision>
  <dcterms:created xsi:type="dcterms:W3CDTF">2025-07-01T20:03:00Z</dcterms:created>
  <dcterms:modified xsi:type="dcterms:W3CDTF">2026-01-06T00:24:00Z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LaTeX with hyperref</vt:lpwstr>
  </property>
  <property fmtid="{D5CDD505-2E9C-101B-9397-08002B2CF9AE}" pid="4" name="LastSaved">
    <vt:filetime>2025-01-28T00:00:00Z</vt:filetime>
  </property>
</Properties>
</file>