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C04DD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>Additional Figures</w:t>
      </w:r>
    </w:p>
    <w:p w14:paraId="3AB37412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64B8AD3" wp14:editId="6B1970D4">
            <wp:extent cx="6176819" cy="3723249"/>
            <wp:effectExtent l="0" t="0" r="0" b="0"/>
            <wp:docPr id="7759703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970358" name="Picture 77597035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0634" cy="3731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8970E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>Figure S1. Western Blots of SNCA protein expression across brain regions in WT and BAC-h</w:t>
      </w:r>
      <w:r w:rsidRPr="000752A2">
        <w:rPr>
          <w:rFonts w:ascii="Times New Roman" w:hAnsi="Times New Roman"/>
          <w:b/>
          <w:bCs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b/>
          <w:bCs/>
          <w:sz w:val="24"/>
          <w:szCs w:val="24"/>
        </w:rPr>
        <w:t xml:space="preserve"> rats. </w:t>
      </w:r>
      <w:r w:rsidRPr="000752A2">
        <w:rPr>
          <w:rFonts w:ascii="Times New Roman" w:hAnsi="Times New Roman"/>
          <w:sz w:val="24"/>
          <w:szCs w:val="24"/>
        </w:rPr>
        <w:t>Monomeric and higher molecular-weight SNCA species in the soluble fraction were assessed using the 4B12 (GTX21904, 1:1000, GeneTex) (</w:t>
      </w:r>
      <w:r w:rsidRPr="000752A2">
        <w:rPr>
          <w:rFonts w:ascii="Times New Roman" w:hAnsi="Times New Roman"/>
          <w:b/>
          <w:bCs/>
          <w:sz w:val="24"/>
          <w:szCs w:val="24"/>
        </w:rPr>
        <w:t>a</w:t>
      </w:r>
      <w:r w:rsidRPr="000752A2">
        <w:rPr>
          <w:rFonts w:ascii="Times New Roman" w:hAnsi="Times New Roman"/>
          <w:sz w:val="24"/>
          <w:szCs w:val="24"/>
        </w:rPr>
        <w:t>) and Syn1 (#610787, 1:1000, BD) (</w:t>
      </w:r>
      <w:r w:rsidRPr="000752A2">
        <w:rPr>
          <w:rFonts w:ascii="Times New Roman" w:hAnsi="Times New Roman"/>
          <w:b/>
          <w:bCs/>
          <w:sz w:val="24"/>
          <w:szCs w:val="24"/>
        </w:rPr>
        <w:t>b</w:t>
      </w:r>
      <w:r w:rsidRPr="000752A2">
        <w:rPr>
          <w:rFonts w:ascii="Times New Roman" w:hAnsi="Times New Roman"/>
          <w:sz w:val="24"/>
          <w:szCs w:val="24"/>
        </w:rPr>
        <w:t>) antibodies. 4B12 is human-reactive and yields a low band in wild-type rat tissue, consistent with partial cross-reactivity, with a markedly higher signal in BAC-h</w:t>
      </w:r>
      <w:r w:rsidRPr="000752A2">
        <w:rPr>
          <w:rFonts w:ascii="Times New Roman" w:hAnsi="Times New Roman"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sz w:val="24"/>
          <w:szCs w:val="24"/>
        </w:rPr>
        <w:t xml:space="preserve"> samples. Parallel Syn1 blots confirm endogenous rat SNCA (panel b).</w:t>
      </w:r>
    </w:p>
    <w:p w14:paraId="5A47B69F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C35D6FE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4A0A6D5A" wp14:editId="0D11E4C0">
            <wp:extent cx="6026263" cy="2250831"/>
            <wp:effectExtent l="0" t="0" r="0" b="0"/>
            <wp:docPr id="13229941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994158" name="Picture 132299415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192" cy="225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90F7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ure</w:t>
      </w:r>
      <w:r w:rsidRPr="000752A2">
        <w:rPr>
          <w:rFonts w:ascii="Times New Roman" w:hAnsi="Times New Roman"/>
          <w:b/>
          <w:bCs/>
          <w:sz w:val="24"/>
          <w:szCs w:val="24"/>
        </w:rPr>
        <w:t xml:space="preserve"> S2. Transcript-level comparison of PBS and scrambled ASO1.</w:t>
      </w:r>
      <w:r w:rsidRPr="000752A2">
        <w:rPr>
          <w:rFonts w:ascii="Times New Roman" w:hAnsi="Times New Roman"/>
          <w:sz w:val="24"/>
          <w:szCs w:val="24"/>
        </w:rPr>
        <w:t xml:space="preserve"> (</w:t>
      </w:r>
      <w:r w:rsidRPr="000752A2">
        <w:rPr>
          <w:rFonts w:ascii="Times New Roman" w:hAnsi="Times New Roman"/>
          <w:b/>
          <w:bCs/>
          <w:sz w:val="24"/>
          <w:szCs w:val="24"/>
        </w:rPr>
        <w:t>a</w:t>
      </w:r>
      <w:r w:rsidRPr="000752A2">
        <w:rPr>
          <w:rFonts w:ascii="Times New Roman" w:hAnsi="Times New Roman"/>
          <w:sz w:val="24"/>
          <w:szCs w:val="24"/>
        </w:rPr>
        <w:t xml:space="preserve">) Human </w:t>
      </w:r>
      <w:r w:rsidRPr="000752A2">
        <w:rPr>
          <w:rFonts w:ascii="Times New Roman" w:hAnsi="Times New Roman"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sz w:val="24"/>
          <w:szCs w:val="24"/>
        </w:rPr>
        <w:t xml:space="preserve"> mRNA levels across selected brain regions in PBS- and scrambled ASO1-treated animals. (</w:t>
      </w:r>
      <w:r w:rsidRPr="000752A2">
        <w:rPr>
          <w:rFonts w:ascii="Times New Roman" w:hAnsi="Times New Roman"/>
          <w:b/>
          <w:bCs/>
          <w:sz w:val="24"/>
          <w:szCs w:val="24"/>
        </w:rPr>
        <w:t>b</w:t>
      </w:r>
      <w:r w:rsidRPr="000752A2">
        <w:rPr>
          <w:rFonts w:ascii="Times New Roman" w:hAnsi="Times New Roman"/>
          <w:sz w:val="24"/>
          <w:szCs w:val="24"/>
        </w:rPr>
        <w:t xml:space="preserve">) Long-to-total </w:t>
      </w:r>
      <w:r w:rsidRPr="000752A2">
        <w:rPr>
          <w:rFonts w:ascii="Times New Roman" w:hAnsi="Times New Roman"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sz w:val="24"/>
          <w:szCs w:val="24"/>
        </w:rPr>
        <w:t xml:space="preserve"> 3′UTR transcript ratios in the same regions.  Data represent individual animals with mean ± SD. FDR-adjusted *q &lt; 0.05, **q&lt; 0.01, ***q&lt; 0.001, ****q&lt; 0.0001. Statistical analysis: Two-way ANOVA (study group × brain region) followed by Benjamini–Hochberg FDR-adjusted post hoc comparisons between scrambled ASO1 and SNCA ASO3.0 within each region. PBS samples (n = 2) were included only for this transcript-level comparison. Scrambled ASO1 serves as the reference condition for all primary analyses in the main figures.</w:t>
      </w:r>
    </w:p>
    <w:p w14:paraId="0716FA2C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1788246E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2813F12" wp14:editId="335D3430">
            <wp:extent cx="5943600" cy="7131050"/>
            <wp:effectExtent l="0" t="0" r="0" b="0"/>
            <wp:docPr id="5396582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658290" name="Picture 5396582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594" cy="7144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A5D83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bookmarkStart w:id="0" w:name="_Hlk210398491"/>
      <w:r w:rsidRPr="000752A2">
        <w:rPr>
          <w:rFonts w:ascii="Times New Roman" w:hAnsi="Times New Roman"/>
          <w:b/>
          <w:bCs/>
          <w:sz w:val="24"/>
          <w:szCs w:val="24"/>
        </w:rPr>
        <w:t>Figure S3. Western blots of SNCA protein expression in BAC-h</w:t>
      </w:r>
      <w:r w:rsidRPr="000752A2">
        <w:rPr>
          <w:rFonts w:ascii="Times New Roman" w:hAnsi="Times New Roman"/>
          <w:b/>
          <w:bCs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b/>
          <w:bCs/>
          <w:sz w:val="24"/>
          <w:szCs w:val="24"/>
        </w:rPr>
        <w:t xml:space="preserve"> rats following ASO3.0 treatment. </w:t>
      </w:r>
      <w:r w:rsidRPr="000752A2">
        <w:rPr>
          <w:rFonts w:ascii="Times New Roman" w:hAnsi="Times New Roman"/>
          <w:sz w:val="24"/>
          <w:szCs w:val="24"/>
        </w:rPr>
        <w:t>Monomeric, serine-129-phosphorylated, and higher molecular-weight SNCA species in Triton X-100-soluble fractions, and monomeric and detergent-insoluble SNCA in SDS-</w:t>
      </w:r>
      <w:r w:rsidRPr="000752A2">
        <w:rPr>
          <w:rFonts w:ascii="Times New Roman" w:hAnsi="Times New Roman"/>
          <w:sz w:val="24"/>
          <w:szCs w:val="24"/>
        </w:rPr>
        <w:lastRenderedPageBreak/>
        <w:t>solubilized fractions across brain regions. SNCA immunoblots used the human-reactive 4B12 antibody.</w:t>
      </w:r>
    </w:p>
    <w:bookmarkEnd w:id="0"/>
    <w:p w14:paraId="2612445B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5D521C4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9A7D415" wp14:editId="567FEE69">
            <wp:extent cx="5964702" cy="3644458"/>
            <wp:effectExtent l="0" t="0" r="0" b="0"/>
            <wp:docPr id="15931898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89857" name="Picture 159318985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5018" cy="364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D1359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bookmarkStart w:id="1" w:name="_Hlk210398510"/>
      <w:r w:rsidRPr="000752A2">
        <w:rPr>
          <w:rFonts w:ascii="Times New Roman" w:hAnsi="Times New Roman"/>
          <w:b/>
          <w:bCs/>
          <w:sz w:val="24"/>
          <w:szCs w:val="24"/>
        </w:rPr>
        <w:t>Figure S4. SNCA ASO3.0 treatment does not alter GFAP or IBA1 levels in BAC-h</w:t>
      </w:r>
      <w:r w:rsidRPr="000752A2">
        <w:rPr>
          <w:rFonts w:ascii="Times New Roman" w:hAnsi="Times New Roman"/>
          <w:b/>
          <w:bCs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b/>
          <w:bCs/>
          <w:sz w:val="24"/>
          <w:szCs w:val="24"/>
        </w:rPr>
        <w:t xml:space="preserve"> rats. </w:t>
      </w:r>
      <w:r w:rsidRPr="000752A2">
        <w:rPr>
          <w:rFonts w:ascii="Times New Roman" w:hAnsi="Times New Roman"/>
          <w:sz w:val="24"/>
          <w:szCs w:val="24"/>
        </w:rPr>
        <w:t>IBA1 protein levels in the striatum and ventral midbrain assessed by immunoblotting (</w:t>
      </w:r>
      <w:r w:rsidRPr="000752A2">
        <w:rPr>
          <w:rFonts w:ascii="Times New Roman" w:hAnsi="Times New Roman"/>
          <w:b/>
          <w:bCs/>
          <w:sz w:val="24"/>
          <w:szCs w:val="24"/>
        </w:rPr>
        <w:t>a</w:t>
      </w:r>
      <w:r w:rsidRPr="000752A2">
        <w:rPr>
          <w:rFonts w:ascii="Times New Roman" w:hAnsi="Times New Roman"/>
          <w:sz w:val="24"/>
          <w:szCs w:val="24"/>
        </w:rPr>
        <w:t>) and immunohistochemistry (</w:t>
      </w:r>
      <w:r w:rsidRPr="000752A2">
        <w:rPr>
          <w:rFonts w:ascii="Times New Roman" w:hAnsi="Times New Roman"/>
          <w:b/>
          <w:bCs/>
          <w:sz w:val="24"/>
          <w:szCs w:val="24"/>
        </w:rPr>
        <w:t>b</w:t>
      </w:r>
      <w:r w:rsidRPr="000752A2">
        <w:rPr>
          <w:rFonts w:ascii="Times New Roman" w:hAnsi="Times New Roman"/>
          <w:sz w:val="24"/>
          <w:szCs w:val="24"/>
        </w:rPr>
        <w:t>). GFAP protein levels in the same regions assessed by immunoblotting (</w:t>
      </w:r>
      <w:r w:rsidRPr="000752A2">
        <w:rPr>
          <w:rFonts w:ascii="Times New Roman" w:hAnsi="Times New Roman"/>
          <w:b/>
          <w:bCs/>
          <w:sz w:val="24"/>
          <w:szCs w:val="24"/>
        </w:rPr>
        <w:t>c</w:t>
      </w:r>
      <w:r w:rsidRPr="000752A2">
        <w:rPr>
          <w:rFonts w:ascii="Times New Roman" w:hAnsi="Times New Roman"/>
          <w:sz w:val="24"/>
          <w:szCs w:val="24"/>
        </w:rPr>
        <w:t>) and immunohistochemistry (</w:t>
      </w:r>
      <w:r w:rsidRPr="000752A2">
        <w:rPr>
          <w:rFonts w:ascii="Times New Roman" w:hAnsi="Times New Roman"/>
          <w:b/>
          <w:bCs/>
          <w:sz w:val="24"/>
          <w:szCs w:val="24"/>
        </w:rPr>
        <w:t>d</w:t>
      </w:r>
      <w:r w:rsidRPr="000752A2">
        <w:rPr>
          <w:rFonts w:ascii="Times New Roman" w:hAnsi="Times New Roman"/>
          <w:sz w:val="24"/>
          <w:szCs w:val="24"/>
        </w:rPr>
        <w:t>). Data represent mean ± SD (n = 3 per group). Statistical analysis: Two-way ANOVA (study group × brain region) followed by Benjamini–Hochberg FDR-adjusted post hoc comparisons between scrambled ASO1 and SNCA ASO3.0 within each region.</w:t>
      </w:r>
    </w:p>
    <w:p w14:paraId="655C318B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1CE59736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4EA289C" wp14:editId="2624A2D1">
            <wp:extent cx="6193490" cy="5627077"/>
            <wp:effectExtent l="0" t="0" r="0" b="0"/>
            <wp:docPr id="26752165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21650" name="Picture 26752165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2364" cy="5635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6B3CE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bookmarkStart w:id="2" w:name="_Hlk210398529"/>
      <w:bookmarkEnd w:id="1"/>
      <w:r w:rsidRPr="000752A2">
        <w:rPr>
          <w:rFonts w:ascii="Times New Roman" w:hAnsi="Times New Roman"/>
          <w:b/>
          <w:bCs/>
          <w:sz w:val="24"/>
          <w:szCs w:val="24"/>
        </w:rPr>
        <w:t>Figure S5. Cytokines unaffected by SNCA ASO3.0 treatment in homozygous BAC-h</w:t>
      </w:r>
      <w:r w:rsidRPr="000752A2">
        <w:rPr>
          <w:rFonts w:ascii="Times New Roman" w:hAnsi="Times New Roman"/>
          <w:b/>
          <w:bCs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b/>
          <w:bCs/>
          <w:sz w:val="24"/>
          <w:szCs w:val="24"/>
        </w:rPr>
        <w:t xml:space="preserve"> rats. </w:t>
      </w:r>
      <w:r w:rsidRPr="000752A2">
        <w:rPr>
          <w:rFonts w:ascii="Times New Roman" w:hAnsi="Times New Roman"/>
          <w:sz w:val="24"/>
          <w:szCs w:val="24"/>
        </w:rPr>
        <w:t>Data represent mean ± SD from five biological replicates.</w:t>
      </w:r>
      <w:r w:rsidRPr="000752A2">
        <w:t xml:space="preserve"> </w:t>
      </w:r>
      <w:r w:rsidRPr="000752A2">
        <w:rPr>
          <w:rFonts w:ascii="Times New Roman" w:hAnsi="Times New Roman"/>
          <w:sz w:val="24"/>
          <w:szCs w:val="24"/>
        </w:rPr>
        <w:t>Statistical analysis: Two-way ANOVA (study group × brain region) followed by Benjamini–Hochberg FDR-adjusted post hoc comparisons between scrambled ASO1 and SNCA ASO3.0 within each region.</w:t>
      </w:r>
    </w:p>
    <w:p w14:paraId="638CC0B9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3" w:name="_Hlk210398550"/>
      <w:bookmarkEnd w:id="2"/>
    </w:p>
    <w:p w14:paraId="29CA5FB6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68703F7" wp14:editId="64B004FA">
            <wp:extent cx="6038408" cy="5148775"/>
            <wp:effectExtent l="0" t="0" r="635" b="0"/>
            <wp:docPr id="20214863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486343" name="Picture 20214863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2115" cy="5151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68F2D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 xml:space="preserve">Figure S6. Kinases and kinase targets with no phosphorylation changes after ASO3.0 treatment. </w:t>
      </w:r>
      <w:r w:rsidRPr="000752A2">
        <w:rPr>
          <w:rFonts w:ascii="Times New Roman" w:hAnsi="Times New Roman"/>
          <w:sz w:val="24"/>
          <w:szCs w:val="24"/>
        </w:rPr>
        <w:t>Data represent mean ± SD from five biological replicates (FDR-adjusted *q &lt; 0.05, **q &lt; 0.01, ***q&lt; 0.001, ****q&lt; 0.0001). Statistical analysis: Two-way ANOVA (study group × brain region) followed by Benjamini–Hochberg FDR-adjusted post hoc comparisons between scrambled ASO1 and SNCA ASO3.0 within each region.</w:t>
      </w:r>
    </w:p>
    <w:bookmarkEnd w:id="3"/>
    <w:p w14:paraId="036F84D2" w14:textId="77777777" w:rsidR="000334CF" w:rsidRPr="000752A2" w:rsidRDefault="000334CF" w:rsidP="000334CF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</w:p>
    <w:p w14:paraId="68472D1A" w14:textId="77777777" w:rsidR="000334CF" w:rsidRDefault="000334CF" w:rsidP="000334CF">
      <w:pPr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D9A1CDC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lastRenderedPageBreak/>
        <w:t>Additional Tables and Data</w:t>
      </w:r>
    </w:p>
    <w:p w14:paraId="6C51D24D" w14:textId="77777777" w:rsidR="000334CF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0752A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Table S1. Primer sequences used for cloning and RT-qPCR.</w:t>
      </w:r>
    </w:p>
    <w:p w14:paraId="19FDBE86" w14:textId="77777777" w:rsidR="000334CF" w:rsidRPr="000752A2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tbl>
      <w:tblPr>
        <w:tblStyle w:val="GridTable1Light"/>
        <w:tblW w:w="9708" w:type="dxa"/>
        <w:tblLayout w:type="fixed"/>
        <w:tblLook w:val="04A0" w:firstRow="1" w:lastRow="0" w:firstColumn="1" w:lastColumn="0" w:noHBand="0" w:noVBand="1"/>
      </w:tblPr>
      <w:tblGrid>
        <w:gridCol w:w="2283"/>
        <w:gridCol w:w="3650"/>
        <w:gridCol w:w="3775"/>
      </w:tblGrid>
      <w:tr w:rsidR="000334CF" w:rsidRPr="00551E77" w14:paraId="58122133" w14:textId="77777777" w:rsidTr="004E14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82D98C" w14:textId="77777777" w:rsidR="000334CF" w:rsidRPr="00551E77" w:rsidRDefault="000334CF" w:rsidP="004E1403">
            <w:pPr>
              <w:spacing w:after="0" w:line="360" w:lineRule="auto"/>
              <w:jc w:val="center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Name</w:t>
            </w:r>
          </w:p>
        </w:tc>
        <w:tc>
          <w:tcPr>
            <w:tcW w:w="36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E0928B" w14:textId="77777777" w:rsidR="000334CF" w:rsidRPr="00551E77" w:rsidRDefault="000334CF" w:rsidP="004E1403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Forward primer (5’→ 3’)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62D1A9" w14:textId="77777777" w:rsidR="000334CF" w:rsidRPr="00551E77" w:rsidRDefault="000334CF" w:rsidP="004E1403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Reverse primer (5’→ 3’)</w:t>
            </w:r>
          </w:p>
        </w:tc>
      </w:tr>
      <w:tr w:rsidR="000334CF" w:rsidRPr="00551E77" w14:paraId="3D981B00" w14:textId="77777777" w:rsidTr="004E1403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noWrap/>
          </w:tcPr>
          <w:p w14:paraId="4A909571" w14:textId="77777777" w:rsidR="000334CF" w:rsidRPr="00551E77" w:rsidRDefault="000334CF" w:rsidP="004E1403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18"/>
                <w:lang w:eastAsia="el-GR"/>
              </w:rPr>
            </w:pPr>
            <w:r w:rsidRPr="00551E77">
              <w:rPr>
                <w:rFonts w:ascii="Times New Roman" w:eastAsia="Times New Roman" w:hAnsi="Times New Roman"/>
                <w:sz w:val="18"/>
                <w:szCs w:val="18"/>
                <w:lang w:eastAsia="el-GR"/>
              </w:rPr>
              <w:t>SNCA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el-GR"/>
              </w:rPr>
              <w:t>_all isoforms assay</w:t>
            </w:r>
          </w:p>
        </w:tc>
        <w:tc>
          <w:tcPr>
            <w:tcW w:w="3650" w:type="dxa"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</w:tcPr>
          <w:p w14:paraId="27C1E9D1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/>
                <w:sz w:val="18"/>
                <w:szCs w:val="18"/>
              </w:rPr>
              <w:t>GAAATATCTTTGCTCCCAGT</w:t>
            </w: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noWrap/>
          </w:tcPr>
          <w:p w14:paraId="5533C1A1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/>
                <w:sz w:val="18"/>
                <w:szCs w:val="18"/>
              </w:rPr>
              <w:t>ACATTGGAACTGAGCACTTG</w:t>
            </w:r>
          </w:p>
        </w:tc>
      </w:tr>
      <w:tr w:rsidR="000334CF" w:rsidRPr="00551E77" w14:paraId="542B5F5B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0F509CDB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 w:themeColor="text1"/>
                <w:sz w:val="18"/>
                <w:szCs w:val="18"/>
                <w:lang w:eastAsia="el-GR"/>
              </w:rPr>
              <w:t>SNCA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eastAsia="el-GR"/>
              </w:rPr>
              <w:t>_</w:t>
            </w:r>
            <w:r w:rsidRPr="00551E77">
              <w:rPr>
                <w:rFonts w:ascii="Times New Roman" w:hAnsi="Times New Roman"/>
                <w:color w:val="000000" w:themeColor="text1"/>
                <w:sz w:val="18"/>
                <w:szCs w:val="18"/>
                <w:lang w:eastAsia="el-GR"/>
              </w:rPr>
              <w:t>long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eastAsia="el-GR"/>
              </w:rPr>
              <w:t xml:space="preserve"> isoform assay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9E2679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lang w:eastAsia="el-GR"/>
              </w:rPr>
            </w:pPr>
            <w:r w:rsidRPr="00551E77">
              <w:rPr>
                <w:rFonts w:ascii="Times New Roman" w:hAnsi="Times New Roman"/>
                <w:color w:val="000000"/>
                <w:sz w:val="18"/>
                <w:szCs w:val="18"/>
              </w:rPr>
              <w:t>TGACGGTAATTTTTGAGCAGTGAA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836AA2E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/>
                <w:sz w:val="18"/>
                <w:szCs w:val="18"/>
              </w:rPr>
              <w:t>GCTTCCTGAAAAGGCTTATATGACTTAA</w:t>
            </w:r>
          </w:p>
        </w:tc>
      </w:tr>
      <w:tr w:rsidR="000334CF" w:rsidRPr="00551E77" w14:paraId="705C4C58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EF60C30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 w:themeColor="text1"/>
                <w:sz w:val="18"/>
                <w:szCs w:val="18"/>
                <w:lang w:eastAsia="el-GR"/>
              </w:rPr>
              <w:t>GAPDH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lang w:eastAsia="el-GR"/>
              </w:rPr>
              <w:t xml:space="preserve"> assay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3E5704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/>
                <w:sz w:val="18"/>
                <w:szCs w:val="18"/>
              </w:rPr>
              <w:t>GCACCACCAACTGCTTAG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29D1C87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color w:val="000000"/>
                <w:sz w:val="18"/>
                <w:szCs w:val="18"/>
              </w:rPr>
              <w:t>GCCATCCACAGTCTTCTG</w:t>
            </w:r>
          </w:p>
        </w:tc>
      </w:tr>
      <w:tr w:rsidR="000334CF" w:rsidRPr="00551E77" w14:paraId="66704B1E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FE9BBFD" w14:textId="77777777" w:rsidR="000334CF" w:rsidRDefault="000334CF" w:rsidP="004E1403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SNCA_CDS</w:t>
            </w:r>
          </w:p>
          <w:p w14:paraId="64DDA1AA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bCs w:val="0"/>
                <w:color w:val="000000" w:themeColor="text1"/>
                <w:sz w:val="18"/>
                <w:szCs w:val="18"/>
                <w:lang w:eastAsia="el-G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plasmid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8FDEE9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GAATTGCGGCCCAACGGTACCACCGCCACCATGGATGTATTCATGAAAGGAC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B67568E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TATCGATAAGCTTGATATCGAATTCTTAGGCTTCAGGTTCGTAGTC</w:t>
            </w:r>
          </w:p>
        </w:tc>
      </w:tr>
      <w:tr w:rsidR="000334CF" w:rsidRPr="00551E77" w14:paraId="7ADA590C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CFEAD50" w14:textId="77777777" w:rsidR="000334CF" w:rsidRDefault="000334CF" w:rsidP="004E1403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SNCA_CDS+3UTR</w:t>
            </w:r>
            <w:r w:rsidRPr="006B2F70">
              <w:rPr>
                <w:rFonts w:ascii="Times New Roman" w:hAnsi="Times New Roman"/>
                <w:sz w:val="18"/>
                <w:szCs w:val="18"/>
                <w:vertAlign w:val="subscript"/>
              </w:rPr>
              <w:t>1-371</w:t>
            </w:r>
          </w:p>
          <w:p w14:paraId="514BDA16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plasmid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FA59ED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ATCATTTTGGCAAAGAATTGGATCCACCGCCACCATGGATGTATTCATGAAAGG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058D46E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CCAGAGGTTGATTATCGATAAGCTTCTAAAAATCTTATAATATATGATAGCAAATC</w:t>
            </w:r>
          </w:p>
        </w:tc>
      </w:tr>
      <w:tr w:rsidR="000334CF" w:rsidRPr="00551E77" w14:paraId="35CB06BA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5972071" w14:textId="77777777" w:rsidR="000334CF" w:rsidRDefault="000334CF" w:rsidP="004E1403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SNCA_CDS+3UTR</w:t>
            </w:r>
            <w:r w:rsidRPr="006B2F70">
              <w:rPr>
                <w:rFonts w:ascii="Times New Roman" w:hAnsi="Times New Roman"/>
                <w:sz w:val="18"/>
                <w:szCs w:val="18"/>
                <w:vertAlign w:val="subscript"/>
              </w:rPr>
              <w:t>1-576</w:t>
            </w:r>
          </w:p>
          <w:p w14:paraId="31C444ED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plasmid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950293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ATCATTTTGGCAAAGAATTGGATCCACCGCCACCATGGATGTATTCATGAAAGG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C90B05F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CCAGAGGTTGATTATCGATAAGCTTATATTTTTGCAATGAGATAACG</w:t>
            </w:r>
          </w:p>
        </w:tc>
      </w:tr>
      <w:tr w:rsidR="000334CF" w:rsidRPr="00551E77" w14:paraId="58263CDB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8CDDBB8" w14:textId="77777777" w:rsidR="000334CF" w:rsidRDefault="000334CF" w:rsidP="004E1403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SNCA_CDS+3UTR</w:t>
            </w:r>
            <w:r w:rsidRPr="006B2F70">
              <w:rPr>
                <w:rFonts w:ascii="Times New Roman" w:hAnsi="Times New Roman"/>
                <w:sz w:val="18"/>
                <w:szCs w:val="18"/>
                <w:vertAlign w:val="subscript"/>
              </w:rPr>
              <w:t>1-1083</w:t>
            </w:r>
          </w:p>
          <w:p w14:paraId="1C730CFE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plasmid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C63C60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ATCATTTTGGCAAAGAATTGGATCCACCGCCACCATGGATGTATTCATGAAAGG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406E905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CCAGAGGTTGATTATCGATAAGCTTTTTATTCATGGTCGAATATTATTTATTG</w:t>
            </w:r>
          </w:p>
        </w:tc>
      </w:tr>
      <w:tr w:rsidR="000334CF" w:rsidRPr="00551E77" w14:paraId="036110C9" w14:textId="77777777" w:rsidTr="004E14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3" w:type="dxa"/>
            <w:tcBorders>
              <w:top w:val="single" w:sz="4" w:space="0" w:color="7F7F7F" w:themeColor="text1" w:themeTint="80"/>
            </w:tcBorders>
            <w:noWrap/>
          </w:tcPr>
          <w:p w14:paraId="4DF987CE" w14:textId="77777777" w:rsidR="000334CF" w:rsidRDefault="000334CF" w:rsidP="004E1403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SNCA_CDS+3UTR</w:t>
            </w:r>
            <w:r w:rsidRPr="006B2F70">
              <w:rPr>
                <w:rFonts w:ascii="Times New Roman" w:hAnsi="Times New Roman"/>
                <w:sz w:val="18"/>
                <w:szCs w:val="18"/>
                <w:vertAlign w:val="subscript"/>
              </w:rPr>
              <w:t>1-2529</w:t>
            </w:r>
          </w:p>
          <w:p w14:paraId="78DBD967" w14:textId="77777777" w:rsidR="000334CF" w:rsidRPr="00551E77" w:rsidRDefault="000334CF" w:rsidP="004E1403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plasmid</w:t>
            </w:r>
          </w:p>
        </w:tc>
        <w:tc>
          <w:tcPr>
            <w:tcW w:w="3650" w:type="dxa"/>
            <w:tcBorders>
              <w:top w:val="single" w:sz="4" w:space="0" w:color="7F7F7F" w:themeColor="text1" w:themeTint="80"/>
            </w:tcBorders>
          </w:tcPr>
          <w:p w14:paraId="25303004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51E77">
              <w:rPr>
                <w:rFonts w:ascii="Times New Roman" w:hAnsi="Times New Roman"/>
                <w:sz w:val="18"/>
                <w:szCs w:val="18"/>
              </w:rPr>
              <w:t>ATCATTTTGGCAAAGAATTGGATCCACCGCCACCATGGATGTATTCATGAAAGG</w:t>
            </w:r>
          </w:p>
        </w:tc>
        <w:tc>
          <w:tcPr>
            <w:tcW w:w="3775" w:type="dxa"/>
            <w:tcBorders>
              <w:top w:val="single" w:sz="4" w:space="0" w:color="7F7F7F" w:themeColor="text1" w:themeTint="80"/>
            </w:tcBorders>
            <w:noWrap/>
          </w:tcPr>
          <w:p w14:paraId="44AEDD00" w14:textId="77777777" w:rsidR="000334CF" w:rsidRPr="00551E77" w:rsidRDefault="000334CF" w:rsidP="004E1403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E35101">
              <w:rPr>
                <w:rFonts w:ascii="Times New Roman" w:hAnsi="Times New Roman"/>
                <w:sz w:val="18"/>
                <w:szCs w:val="18"/>
              </w:rPr>
              <w:t>CCAGAGGTTGATTATCGATAAGCTTTATTTTCATATATGTATATATTTATTATGTCAC</w:t>
            </w:r>
          </w:p>
        </w:tc>
      </w:tr>
    </w:tbl>
    <w:p w14:paraId="3DCDA2F2" w14:textId="77777777" w:rsidR="000334CF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0752A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Table S2. Target proteins and phosphorylation sites included in the custom-developed 20-plex phosphoprotein assay panel.</w:t>
      </w:r>
    </w:p>
    <w:p w14:paraId="14F0F309" w14:textId="77777777" w:rsidR="000334CF" w:rsidRPr="000752A2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tbl>
      <w:tblPr>
        <w:tblW w:w="9629" w:type="dxa"/>
        <w:tblInd w:w="-5" w:type="dxa"/>
        <w:tblLook w:val="04A0" w:firstRow="1" w:lastRow="0" w:firstColumn="1" w:lastColumn="0" w:noHBand="0" w:noVBand="1"/>
      </w:tblPr>
      <w:tblGrid>
        <w:gridCol w:w="469"/>
        <w:gridCol w:w="1725"/>
        <w:gridCol w:w="6073"/>
        <w:gridCol w:w="1362"/>
      </w:tblGrid>
      <w:tr w:rsidR="000334CF" w:rsidRPr="00667969" w14:paraId="27F36B82" w14:textId="77777777" w:rsidTr="004E1403">
        <w:trPr>
          <w:trHeight w:val="309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14:paraId="7AA860EE" w14:textId="77777777" w:rsidR="000334CF" w:rsidRPr="008B1B40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l-GR"/>
              </w:rPr>
            </w:pPr>
            <w:r w:rsidRPr="008B1B40">
              <w:rPr>
                <w:rFonts w:ascii="Times New Roman" w:hAnsi="Times New Roman"/>
                <w:b/>
                <w:bCs/>
                <w:sz w:val="24"/>
                <w:szCs w:val="24"/>
                <w:lang w:val="el-GR"/>
              </w:rPr>
              <w:t>#</w:t>
            </w:r>
          </w:p>
        </w:tc>
        <w:tc>
          <w:tcPr>
            <w:tcW w:w="172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89B814D" w14:textId="77777777" w:rsidR="000334CF" w:rsidRPr="008B1B40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B1B40">
              <w:rPr>
                <w:rFonts w:ascii="Times New Roman" w:hAnsi="Times New Roman"/>
                <w:b/>
                <w:bCs/>
                <w:sz w:val="24"/>
                <w:szCs w:val="24"/>
              </w:rPr>
              <w:t>Protein-assay abbreviation</w:t>
            </w:r>
          </w:p>
        </w:tc>
        <w:tc>
          <w:tcPr>
            <w:tcW w:w="6073" w:type="dxa"/>
            <w:tcBorders>
              <w:bottom w:val="single" w:sz="4" w:space="0" w:color="auto"/>
            </w:tcBorders>
            <w:vAlign w:val="center"/>
          </w:tcPr>
          <w:p w14:paraId="70BC1DBE" w14:textId="77777777" w:rsidR="000334CF" w:rsidRPr="008B1B40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B1B40">
              <w:rPr>
                <w:rFonts w:ascii="Times New Roman" w:hAnsi="Times New Roman"/>
                <w:b/>
                <w:bCs/>
                <w:sz w:val="24"/>
                <w:szCs w:val="24"/>
              </w:rPr>
              <w:t>Protein Name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CDF9C1" w14:textId="77777777" w:rsidR="000334CF" w:rsidRPr="008B1B40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B1B40">
              <w:rPr>
                <w:rFonts w:ascii="Times New Roman" w:hAnsi="Times New Roman"/>
                <w:b/>
                <w:bCs/>
                <w:sz w:val="24"/>
                <w:szCs w:val="24"/>
              </w:rPr>
              <w:t>pResidue</w:t>
            </w:r>
          </w:p>
        </w:tc>
      </w:tr>
      <w:tr w:rsidR="000334CF" w:rsidRPr="00667969" w14:paraId="4826EBA3" w14:textId="77777777" w:rsidTr="004E1403">
        <w:trPr>
          <w:trHeight w:val="309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40702096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</w:tcBorders>
            <w:noWrap/>
            <w:vAlign w:val="center"/>
          </w:tcPr>
          <w:p w14:paraId="289EE379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MAD</w:t>
            </w:r>
            <w:r w:rsidRPr="006679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73" w:type="dxa"/>
            <w:tcBorders>
              <w:top w:val="single" w:sz="4" w:space="0" w:color="auto"/>
            </w:tcBorders>
            <w:vAlign w:val="center"/>
          </w:tcPr>
          <w:p w14:paraId="72896FA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Mothers against decapentaplegic homolog 3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noWrap/>
            <w:vAlign w:val="center"/>
          </w:tcPr>
          <w:p w14:paraId="1D8D1337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S423/S425</w:t>
            </w:r>
          </w:p>
        </w:tc>
      </w:tr>
      <w:tr w:rsidR="000334CF" w:rsidRPr="00667969" w14:paraId="6B112D5E" w14:textId="77777777" w:rsidTr="004E1403">
        <w:trPr>
          <w:trHeight w:val="309"/>
        </w:trPr>
        <w:tc>
          <w:tcPr>
            <w:tcW w:w="0" w:type="auto"/>
            <w:noWrap/>
            <w:vAlign w:val="center"/>
            <w:hideMark/>
          </w:tcPr>
          <w:p w14:paraId="182AB112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25" w:type="dxa"/>
            <w:noWrap/>
            <w:vAlign w:val="center"/>
          </w:tcPr>
          <w:p w14:paraId="38D7C5B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p53</w:t>
            </w:r>
          </w:p>
        </w:tc>
        <w:tc>
          <w:tcPr>
            <w:tcW w:w="6073" w:type="dxa"/>
            <w:vAlign w:val="center"/>
          </w:tcPr>
          <w:p w14:paraId="48CA11CB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Cellular tumour antigen p53</w:t>
            </w:r>
          </w:p>
        </w:tc>
        <w:tc>
          <w:tcPr>
            <w:tcW w:w="1362" w:type="dxa"/>
            <w:noWrap/>
            <w:vAlign w:val="center"/>
          </w:tcPr>
          <w:p w14:paraId="0B1977A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S15</w:t>
            </w:r>
          </w:p>
        </w:tc>
      </w:tr>
      <w:tr w:rsidR="000334CF" w:rsidRPr="00667969" w14:paraId="3326739A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0D066337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25" w:type="dxa"/>
            <w:noWrap/>
            <w:vAlign w:val="center"/>
          </w:tcPr>
          <w:p w14:paraId="4918F66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AKT1S1</w:t>
            </w:r>
          </w:p>
        </w:tc>
        <w:tc>
          <w:tcPr>
            <w:tcW w:w="6073" w:type="dxa"/>
            <w:vAlign w:val="center"/>
          </w:tcPr>
          <w:p w14:paraId="5DB14A1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Proline-rich AKT1 substrate 1</w:t>
            </w:r>
          </w:p>
        </w:tc>
        <w:tc>
          <w:tcPr>
            <w:tcW w:w="1362" w:type="dxa"/>
            <w:noWrap/>
            <w:vAlign w:val="center"/>
          </w:tcPr>
          <w:p w14:paraId="75756166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T246</w:t>
            </w:r>
          </w:p>
        </w:tc>
      </w:tr>
      <w:tr w:rsidR="000334CF" w:rsidRPr="00667969" w14:paraId="27455324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652DA400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25" w:type="dxa"/>
            <w:noWrap/>
            <w:vAlign w:val="center"/>
          </w:tcPr>
          <w:p w14:paraId="22F971AA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GSK3</w:t>
            </w:r>
          </w:p>
        </w:tc>
        <w:tc>
          <w:tcPr>
            <w:tcW w:w="6073" w:type="dxa"/>
            <w:vAlign w:val="center"/>
          </w:tcPr>
          <w:p w14:paraId="568A3C2E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Glycogen synthase kinase-3 alpha/beta</w:t>
            </w:r>
          </w:p>
        </w:tc>
        <w:tc>
          <w:tcPr>
            <w:tcW w:w="1362" w:type="dxa"/>
            <w:noWrap/>
            <w:vAlign w:val="center"/>
          </w:tcPr>
          <w:p w14:paraId="10339E1C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S21/9</w:t>
            </w:r>
          </w:p>
        </w:tc>
      </w:tr>
      <w:tr w:rsidR="000334CF" w:rsidRPr="00667969" w14:paraId="74D70853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2993640C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25" w:type="dxa"/>
            <w:noWrap/>
            <w:vAlign w:val="center"/>
          </w:tcPr>
          <w:p w14:paraId="1671DD47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AKT1</w:t>
            </w:r>
          </w:p>
        </w:tc>
        <w:tc>
          <w:tcPr>
            <w:tcW w:w="6073" w:type="dxa"/>
            <w:vAlign w:val="center"/>
          </w:tcPr>
          <w:p w14:paraId="2942BA1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RAC-alpha serine/threonine-protein kinase</w:t>
            </w:r>
          </w:p>
        </w:tc>
        <w:tc>
          <w:tcPr>
            <w:tcW w:w="1362" w:type="dxa"/>
            <w:noWrap/>
            <w:vAlign w:val="center"/>
          </w:tcPr>
          <w:p w14:paraId="7FEAFC1E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S473</w:t>
            </w:r>
          </w:p>
        </w:tc>
      </w:tr>
      <w:tr w:rsidR="000334CF" w:rsidRPr="00667969" w14:paraId="2251115F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78675B0D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25" w:type="dxa"/>
            <w:noWrap/>
            <w:vAlign w:val="center"/>
          </w:tcPr>
          <w:p w14:paraId="301CE827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HSPB1</w:t>
            </w:r>
          </w:p>
        </w:tc>
        <w:tc>
          <w:tcPr>
            <w:tcW w:w="6073" w:type="dxa"/>
            <w:vAlign w:val="center"/>
          </w:tcPr>
          <w:p w14:paraId="6002DF5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Heat shock protein beta-1</w:t>
            </w:r>
          </w:p>
        </w:tc>
        <w:tc>
          <w:tcPr>
            <w:tcW w:w="1362" w:type="dxa"/>
            <w:noWrap/>
            <w:vAlign w:val="center"/>
          </w:tcPr>
          <w:p w14:paraId="693E9E70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S78/S82</w:t>
            </w:r>
          </w:p>
        </w:tc>
      </w:tr>
      <w:tr w:rsidR="000334CF" w:rsidRPr="00667969" w14:paraId="168E94B0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1B142575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5" w:type="dxa"/>
            <w:noWrap/>
            <w:vAlign w:val="center"/>
          </w:tcPr>
          <w:p w14:paraId="6EEDB8F7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p38</w:t>
            </w:r>
          </w:p>
        </w:tc>
        <w:tc>
          <w:tcPr>
            <w:tcW w:w="6073" w:type="dxa"/>
            <w:vAlign w:val="center"/>
          </w:tcPr>
          <w:p w14:paraId="30DDD62A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Mitogen-activated protein kinase 14/11</w:t>
            </w:r>
          </w:p>
        </w:tc>
        <w:tc>
          <w:tcPr>
            <w:tcW w:w="1362" w:type="dxa"/>
            <w:noWrap/>
            <w:vAlign w:val="center"/>
          </w:tcPr>
          <w:p w14:paraId="496DDB9B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T180/Y182</w:t>
            </w:r>
          </w:p>
        </w:tc>
      </w:tr>
      <w:tr w:rsidR="000334CF" w:rsidRPr="00667969" w14:paraId="73F47663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76EAF36F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25" w:type="dxa"/>
            <w:noWrap/>
            <w:vAlign w:val="center"/>
          </w:tcPr>
          <w:p w14:paraId="2E89DED0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MEK1</w:t>
            </w:r>
          </w:p>
        </w:tc>
        <w:tc>
          <w:tcPr>
            <w:tcW w:w="6073" w:type="dxa"/>
            <w:vAlign w:val="center"/>
          </w:tcPr>
          <w:p w14:paraId="7A35A43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Dual specificity mitogen-activated protein kinase kinase 1</w:t>
            </w:r>
          </w:p>
        </w:tc>
        <w:tc>
          <w:tcPr>
            <w:tcW w:w="1362" w:type="dxa"/>
            <w:noWrap/>
            <w:vAlign w:val="center"/>
          </w:tcPr>
          <w:p w14:paraId="76E96C81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S217/S221</w:t>
            </w:r>
          </w:p>
        </w:tc>
      </w:tr>
      <w:tr w:rsidR="000334CF" w:rsidRPr="00667969" w14:paraId="1794DAA0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046EB8F7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25" w:type="dxa"/>
            <w:noWrap/>
            <w:vAlign w:val="center"/>
          </w:tcPr>
          <w:p w14:paraId="26BA9F18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RSK1</w:t>
            </w:r>
          </w:p>
        </w:tc>
        <w:tc>
          <w:tcPr>
            <w:tcW w:w="6073" w:type="dxa"/>
            <w:vAlign w:val="center"/>
          </w:tcPr>
          <w:p w14:paraId="60761A82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Ribosomal protein S6 kinase alpha-1</w:t>
            </w:r>
          </w:p>
        </w:tc>
        <w:tc>
          <w:tcPr>
            <w:tcW w:w="1362" w:type="dxa"/>
            <w:noWrap/>
            <w:vAlign w:val="center"/>
          </w:tcPr>
          <w:p w14:paraId="2DE3CF4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S380</w:t>
            </w:r>
          </w:p>
        </w:tc>
      </w:tr>
      <w:tr w:rsidR="000334CF" w:rsidRPr="00667969" w14:paraId="1391B9C5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4493E632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25" w:type="dxa"/>
            <w:noWrap/>
            <w:vAlign w:val="center"/>
          </w:tcPr>
          <w:p w14:paraId="78F2DD3C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CREB1</w:t>
            </w:r>
          </w:p>
        </w:tc>
        <w:tc>
          <w:tcPr>
            <w:tcW w:w="6073" w:type="dxa"/>
            <w:shd w:val="clear" w:color="auto" w:fill="FFFFFF"/>
            <w:vAlign w:val="center"/>
          </w:tcPr>
          <w:p w14:paraId="181E352B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Cyclic AMP-responsive element-binding protein 1</w:t>
            </w:r>
          </w:p>
        </w:tc>
        <w:tc>
          <w:tcPr>
            <w:tcW w:w="1362" w:type="dxa"/>
            <w:shd w:val="clear" w:color="auto" w:fill="FFFFFF"/>
            <w:noWrap/>
            <w:vAlign w:val="center"/>
          </w:tcPr>
          <w:p w14:paraId="59EA7B86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S133</w:t>
            </w:r>
          </w:p>
        </w:tc>
      </w:tr>
      <w:tr w:rsidR="000334CF" w:rsidRPr="00667969" w14:paraId="5ED6FCDC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5890783B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25" w:type="dxa"/>
            <w:noWrap/>
            <w:vAlign w:val="center"/>
          </w:tcPr>
          <w:p w14:paraId="39615C1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IKBA</w:t>
            </w:r>
          </w:p>
        </w:tc>
        <w:tc>
          <w:tcPr>
            <w:tcW w:w="6073" w:type="dxa"/>
            <w:vAlign w:val="center"/>
          </w:tcPr>
          <w:p w14:paraId="671653A4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667969">
              <w:rPr>
                <w:rFonts w:ascii="Times New Roman" w:hAnsi="Times New Roman"/>
                <w:sz w:val="24"/>
                <w:szCs w:val="24"/>
                <w:lang w:val="sv-SE"/>
              </w:rPr>
              <w:t>NF-kappa-B inhibitor alpha</w:t>
            </w:r>
          </w:p>
        </w:tc>
        <w:tc>
          <w:tcPr>
            <w:tcW w:w="1362" w:type="dxa"/>
            <w:noWrap/>
            <w:vAlign w:val="center"/>
          </w:tcPr>
          <w:p w14:paraId="5E939564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S32/S36</w:t>
            </w:r>
          </w:p>
        </w:tc>
      </w:tr>
      <w:tr w:rsidR="000334CF" w:rsidRPr="00667969" w14:paraId="5EC18276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78AF7476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l-GR"/>
              </w:rPr>
            </w:pPr>
            <w:r w:rsidRPr="00667969">
              <w:rPr>
                <w:rFonts w:ascii="Times New Roman" w:hAnsi="Times New Roman"/>
                <w:sz w:val="24"/>
                <w:szCs w:val="24"/>
                <w:lang w:val="el-GR"/>
              </w:rPr>
              <w:t>12</w:t>
            </w:r>
          </w:p>
        </w:tc>
        <w:tc>
          <w:tcPr>
            <w:tcW w:w="1725" w:type="dxa"/>
            <w:noWrap/>
            <w:vAlign w:val="center"/>
          </w:tcPr>
          <w:p w14:paraId="7E13CC53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mTOR</w:t>
            </w:r>
          </w:p>
        </w:tc>
        <w:tc>
          <w:tcPr>
            <w:tcW w:w="6073" w:type="dxa"/>
            <w:vAlign w:val="center"/>
          </w:tcPr>
          <w:p w14:paraId="589276ED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mammalian target of rapamycin</w:t>
            </w:r>
          </w:p>
        </w:tc>
        <w:tc>
          <w:tcPr>
            <w:tcW w:w="1362" w:type="dxa"/>
            <w:noWrap/>
            <w:vAlign w:val="center"/>
          </w:tcPr>
          <w:p w14:paraId="05E935CC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S2448</w:t>
            </w:r>
          </w:p>
        </w:tc>
      </w:tr>
      <w:tr w:rsidR="000334CF" w:rsidRPr="00667969" w14:paraId="37575605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40B6E147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25" w:type="dxa"/>
            <w:noWrap/>
            <w:vAlign w:val="center"/>
          </w:tcPr>
          <w:p w14:paraId="42ED36A9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c-</w:t>
            </w:r>
            <w:r w:rsidRPr="00667969">
              <w:rPr>
                <w:rFonts w:ascii="Times New Roman" w:hAnsi="Times New Roman"/>
                <w:sz w:val="24"/>
                <w:szCs w:val="24"/>
              </w:rPr>
              <w:t>JUN</w:t>
            </w:r>
          </w:p>
        </w:tc>
        <w:tc>
          <w:tcPr>
            <w:tcW w:w="6073" w:type="dxa"/>
            <w:vAlign w:val="center"/>
          </w:tcPr>
          <w:p w14:paraId="2156D161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Transcription factor Jun</w:t>
            </w:r>
          </w:p>
        </w:tc>
        <w:tc>
          <w:tcPr>
            <w:tcW w:w="1362" w:type="dxa"/>
            <w:noWrap/>
            <w:vAlign w:val="center"/>
          </w:tcPr>
          <w:p w14:paraId="1AAB43DE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S63</w:t>
            </w:r>
          </w:p>
        </w:tc>
      </w:tr>
      <w:tr w:rsidR="000334CF" w:rsidRPr="00667969" w14:paraId="23CBC106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2C8BC466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25" w:type="dxa"/>
            <w:noWrap/>
            <w:vAlign w:val="center"/>
          </w:tcPr>
          <w:p w14:paraId="08FA5AF2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EGFR</w:t>
            </w:r>
          </w:p>
        </w:tc>
        <w:tc>
          <w:tcPr>
            <w:tcW w:w="6073" w:type="dxa"/>
            <w:vAlign w:val="center"/>
          </w:tcPr>
          <w:p w14:paraId="077F99E2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Epidermal growth factor receptor</w:t>
            </w:r>
          </w:p>
        </w:tc>
        <w:tc>
          <w:tcPr>
            <w:tcW w:w="1362" w:type="dxa"/>
            <w:noWrap/>
            <w:vAlign w:val="center"/>
          </w:tcPr>
          <w:p w14:paraId="453F2DC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Y1068</w:t>
            </w:r>
          </w:p>
        </w:tc>
      </w:tr>
      <w:tr w:rsidR="000334CF" w:rsidRPr="00667969" w14:paraId="6104FB65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5AB8D094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25" w:type="dxa"/>
            <w:noWrap/>
            <w:vAlign w:val="center"/>
          </w:tcPr>
          <w:p w14:paraId="7F26AFF4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ERK1</w:t>
            </w:r>
          </w:p>
        </w:tc>
        <w:tc>
          <w:tcPr>
            <w:tcW w:w="6073" w:type="dxa"/>
            <w:vAlign w:val="center"/>
          </w:tcPr>
          <w:p w14:paraId="0A391CF4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Mitogen-activated protein kinase 3</w:t>
            </w:r>
          </w:p>
        </w:tc>
        <w:tc>
          <w:tcPr>
            <w:tcW w:w="1362" w:type="dxa"/>
            <w:noWrap/>
            <w:vAlign w:val="center"/>
          </w:tcPr>
          <w:p w14:paraId="4C18731D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T202/Y204</w:t>
            </w:r>
          </w:p>
        </w:tc>
      </w:tr>
      <w:tr w:rsidR="000334CF" w:rsidRPr="00667969" w14:paraId="5822615B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172D460F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725" w:type="dxa"/>
            <w:noWrap/>
            <w:vAlign w:val="center"/>
          </w:tcPr>
          <w:p w14:paraId="3EE5644C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PTN11</w:t>
            </w:r>
          </w:p>
        </w:tc>
        <w:tc>
          <w:tcPr>
            <w:tcW w:w="6073" w:type="dxa"/>
            <w:vAlign w:val="center"/>
          </w:tcPr>
          <w:p w14:paraId="01458FF4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Tyrosine-protein phosphatase non-receptor type 11</w:t>
            </w:r>
          </w:p>
        </w:tc>
        <w:tc>
          <w:tcPr>
            <w:tcW w:w="1362" w:type="dxa"/>
            <w:noWrap/>
            <w:vAlign w:val="center"/>
          </w:tcPr>
          <w:p w14:paraId="64B03D09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Y542</w:t>
            </w:r>
          </w:p>
        </w:tc>
      </w:tr>
      <w:tr w:rsidR="000334CF" w:rsidRPr="00667969" w14:paraId="29EECDFC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39FDB241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25" w:type="dxa"/>
            <w:noWrap/>
            <w:vAlign w:val="center"/>
          </w:tcPr>
          <w:p w14:paraId="54AC4B6B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STAT3</w:t>
            </w:r>
          </w:p>
        </w:tc>
        <w:tc>
          <w:tcPr>
            <w:tcW w:w="6073" w:type="dxa"/>
            <w:vAlign w:val="center"/>
          </w:tcPr>
          <w:p w14:paraId="70D61F9C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Signal transducer and activator of transcription 3</w:t>
            </w:r>
          </w:p>
        </w:tc>
        <w:tc>
          <w:tcPr>
            <w:tcW w:w="1362" w:type="dxa"/>
            <w:noWrap/>
            <w:vAlign w:val="center"/>
          </w:tcPr>
          <w:p w14:paraId="61879869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Y705</w:t>
            </w:r>
          </w:p>
        </w:tc>
      </w:tr>
      <w:tr w:rsidR="000334CF" w:rsidRPr="00667969" w14:paraId="0BFDB74E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49610E38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25" w:type="dxa"/>
            <w:noWrap/>
            <w:vAlign w:val="center"/>
          </w:tcPr>
          <w:p w14:paraId="2B6B53BC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CHK2</w:t>
            </w:r>
          </w:p>
        </w:tc>
        <w:tc>
          <w:tcPr>
            <w:tcW w:w="6073" w:type="dxa"/>
            <w:vAlign w:val="center"/>
          </w:tcPr>
          <w:p w14:paraId="4F782185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Checkpoint kinase 2</w:t>
            </w:r>
          </w:p>
        </w:tc>
        <w:tc>
          <w:tcPr>
            <w:tcW w:w="1362" w:type="dxa"/>
            <w:noWrap/>
            <w:vAlign w:val="center"/>
          </w:tcPr>
          <w:p w14:paraId="4EAADD6E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T68</w:t>
            </w:r>
          </w:p>
        </w:tc>
      </w:tr>
      <w:tr w:rsidR="000334CF" w:rsidRPr="00667969" w14:paraId="2EBBFB59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1F6DE5DB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725" w:type="dxa"/>
            <w:noWrap/>
            <w:vAlign w:val="center"/>
          </w:tcPr>
          <w:p w14:paraId="5617D714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NFKB</w:t>
            </w:r>
          </w:p>
        </w:tc>
        <w:tc>
          <w:tcPr>
            <w:tcW w:w="6073" w:type="dxa"/>
            <w:vAlign w:val="center"/>
          </w:tcPr>
          <w:p w14:paraId="6BA2EFE8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color w:val="000000"/>
                <w:sz w:val="24"/>
                <w:szCs w:val="24"/>
              </w:rPr>
              <w:t>Nuclear factor kappa-light-chain-enhancer of activated B cells</w:t>
            </w:r>
          </w:p>
        </w:tc>
        <w:tc>
          <w:tcPr>
            <w:tcW w:w="1362" w:type="dxa"/>
            <w:noWrap/>
            <w:vAlign w:val="center"/>
          </w:tcPr>
          <w:p w14:paraId="64DA88B9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S536</w:t>
            </w:r>
          </w:p>
        </w:tc>
      </w:tr>
      <w:tr w:rsidR="000334CF" w:rsidRPr="00667969" w14:paraId="6BC7A4A1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7CA64C83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25" w:type="dxa"/>
            <w:noWrap/>
            <w:vAlign w:val="center"/>
          </w:tcPr>
          <w:p w14:paraId="12D22CDD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MARCKS</w:t>
            </w:r>
          </w:p>
        </w:tc>
        <w:tc>
          <w:tcPr>
            <w:tcW w:w="6073" w:type="dxa"/>
            <w:vAlign w:val="center"/>
          </w:tcPr>
          <w:p w14:paraId="240FC3B9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Myristoylated alanine-rich C-kinase substrate</w:t>
            </w:r>
          </w:p>
        </w:tc>
        <w:tc>
          <w:tcPr>
            <w:tcW w:w="1362" w:type="dxa"/>
            <w:noWrap/>
            <w:vAlign w:val="center"/>
          </w:tcPr>
          <w:p w14:paraId="0BD454D8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67969">
              <w:rPr>
                <w:rFonts w:ascii="Times New Roman" w:hAnsi="Times New Roman"/>
                <w:sz w:val="24"/>
                <w:szCs w:val="24"/>
              </w:rPr>
              <w:t>S170</w:t>
            </w:r>
          </w:p>
        </w:tc>
      </w:tr>
      <w:tr w:rsidR="000334CF" w:rsidRPr="00667969" w14:paraId="089F581E" w14:textId="77777777" w:rsidTr="004E1403">
        <w:trPr>
          <w:trHeight w:val="309"/>
        </w:trPr>
        <w:tc>
          <w:tcPr>
            <w:tcW w:w="0" w:type="auto"/>
            <w:noWrap/>
            <w:vAlign w:val="center"/>
          </w:tcPr>
          <w:p w14:paraId="65039D3C" w14:textId="77777777" w:rsidR="000334CF" w:rsidRPr="00667969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25" w:type="dxa"/>
            <w:noWrap/>
            <w:vAlign w:val="center"/>
          </w:tcPr>
          <w:p w14:paraId="56B4049A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FAK</w:t>
            </w:r>
          </w:p>
        </w:tc>
        <w:tc>
          <w:tcPr>
            <w:tcW w:w="6073" w:type="dxa"/>
            <w:vAlign w:val="center"/>
          </w:tcPr>
          <w:p w14:paraId="532160C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EF0">
              <w:rPr>
                <w:rFonts w:ascii="Times New Roman" w:hAnsi="Times New Roman"/>
                <w:sz w:val="24"/>
                <w:szCs w:val="24"/>
              </w:rPr>
              <w:t xml:space="preserve">Focal adhesion kinase </w:t>
            </w:r>
          </w:p>
        </w:tc>
        <w:tc>
          <w:tcPr>
            <w:tcW w:w="1362" w:type="dxa"/>
            <w:noWrap/>
            <w:vAlign w:val="center"/>
          </w:tcPr>
          <w:p w14:paraId="428BCF5F" w14:textId="77777777" w:rsidR="000334CF" w:rsidRPr="00667969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70EF0">
              <w:rPr>
                <w:rFonts w:ascii="Times New Roman" w:hAnsi="Times New Roman"/>
                <w:sz w:val="24"/>
                <w:szCs w:val="24"/>
              </w:rPr>
              <w:t>Y397</w:t>
            </w:r>
          </w:p>
        </w:tc>
      </w:tr>
    </w:tbl>
    <w:p w14:paraId="640419E3" w14:textId="77777777" w:rsidR="000334CF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14:paraId="0C621301" w14:textId="77777777" w:rsidR="000334CF" w:rsidRPr="000752A2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14:paraId="297FB24E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4" w:name="_Hlk218760391"/>
      <w:r w:rsidRPr="000752A2">
        <w:rPr>
          <w:rFonts w:ascii="Times New Roman" w:hAnsi="Times New Roman"/>
          <w:b/>
          <w:bCs/>
          <w:sz w:val="24"/>
          <w:szCs w:val="24"/>
        </w:rPr>
        <w:t>Table S3. Target proteins included in the custom-developed 13-plex extracellular protein assay panel.</w:t>
      </w:r>
    </w:p>
    <w:tbl>
      <w:tblPr>
        <w:tblW w:w="7519" w:type="dxa"/>
        <w:jc w:val="center"/>
        <w:tblLook w:val="04A0" w:firstRow="1" w:lastRow="0" w:firstColumn="1" w:lastColumn="0" w:noHBand="0" w:noVBand="1"/>
      </w:tblPr>
      <w:tblGrid>
        <w:gridCol w:w="892"/>
        <w:gridCol w:w="1609"/>
        <w:gridCol w:w="5018"/>
      </w:tblGrid>
      <w:tr w:rsidR="000334CF" w:rsidRPr="00600094" w14:paraId="10B409A5" w14:textId="77777777" w:rsidTr="004E1403">
        <w:trPr>
          <w:jc w:val="center"/>
        </w:trPr>
        <w:tc>
          <w:tcPr>
            <w:tcW w:w="892" w:type="dxa"/>
            <w:tcBorders>
              <w:bottom w:val="single" w:sz="4" w:space="0" w:color="auto"/>
            </w:tcBorders>
            <w:noWrap/>
            <w:vAlign w:val="center"/>
            <w:hideMark/>
          </w:tcPr>
          <w:bookmarkEnd w:id="4"/>
          <w:p w14:paraId="22E822DE" w14:textId="77777777" w:rsidR="000334CF" w:rsidRPr="00C52896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l-GR"/>
              </w:rPr>
            </w:pPr>
            <w:r w:rsidRPr="00C52896">
              <w:rPr>
                <w:rFonts w:ascii="Times New Roman" w:hAnsi="Times New Roman"/>
                <w:b/>
                <w:bCs/>
                <w:sz w:val="24"/>
                <w:szCs w:val="24"/>
                <w:lang w:val="el-GR"/>
              </w:rPr>
              <w:t>#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8E71E5" w14:textId="77777777" w:rsidR="000334CF" w:rsidRPr="00C52896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52896">
              <w:rPr>
                <w:rFonts w:ascii="Times New Roman" w:hAnsi="Times New Roman"/>
                <w:b/>
                <w:bCs/>
                <w:sz w:val="24"/>
                <w:szCs w:val="24"/>
              </w:rPr>
              <w:t>Protein-assay abbreviation</w:t>
            </w:r>
          </w:p>
        </w:tc>
        <w:tc>
          <w:tcPr>
            <w:tcW w:w="5018" w:type="dxa"/>
            <w:tcBorders>
              <w:bottom w:val="single" w:sz="4" w:space="0" w:color="auto"/>
            </w:tcBorders>
            <w:vAlign w:val="center"/>
          </w:tcPr>
          <w:p w14:paraId="79B43076" w14:textId="77777777" w:rsidR="000334CF" w:rsidRPr="00C52896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52896">
              <w:rPr>
                <w:rFonts w:ascii="Times New Roman" w:hAnsi="Times New Roman"/>
                <w:b/>
                <w:bCs/>
                <w:sz w:val="24"/>
                <w:szCs w:val="24"/>
              </w:rPr>
              <w:t>Protein Name</w:t>
            </w:r>
          </w:p>
        </w:tc>
      </w:tr>
      <w:tr w:rsidR="000334CF" w:rsidRPr="00600094" w14:paraId="72BD9F0F" w14:textId="77777777" w:rsidTr="004E1403">
        <w:trPr>
          <w:jc w:val="center"/>
        </w:trPr>
        <w:tc>
          <w:tcPr>
            <w:tcW w:w="8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E2AC45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noWrap/>
            <w:vAlign w:val="center"/>
          </w:tcPr>
          <w:p w14:paraId="43F7CF26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MB</w:t>
            </w:r>
          </w:p>
        </w:tc>
        <w:tc>
          <w:tcPr>
            <w:tcW w:w="5018" w:type="dxa"/>
            <w:tcBorders>
              <w:top w:val="single" w:sz="4" w:space="0" w:color="auto"/>
            </w:tcBorders>
            <w:vAlign w:val="center"/>
          </w:tcPr>
          <w:p w14:paraId="14D2B6DB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Myoglobin</w:t>
            </w:r>
          </w:p>
        </w:tc>
      </w:tr>
      <w:tr w:rsidR="000334CF" w:rsidRPr="00600094" w14:paraId="665BBB3F" w14:textId="77777777" w:rsidTr="004E1403">
        <w:trPr>
          <w:jc w:val="center"/>
        </w:trPr>
        <w:tc>
          <w:tcPr>
            <w:tcW w:w="892" w:type="dxa"/>
            <w:noWrap/>
            <w:vAlign w:val="center"/>
            <w:hideMark/>
          </w:tcPr>
          <w:p w14:paraId="6F8C08CB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09" w:type="dxa"/>
            <w:noWrap/>
            <w:vAlign w:val="center"/>
          </w:tcPr>
          <w:p w14:paraId="6A3A47CF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CNTF</w:t>
            </w:r>
          </w:p>
        </w:tc>
        <w:tc>
          <w:tcPr>
            <w:tcW w:w="5018" w:type="dxa"/>
            <w:vAlign w:val="center"/>
          </w:tcPr>
          <w:p w14:paraId="58E1B7F9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Ciliary neurotrophic factor</w:t>
            </w:r>
          </w:p>
        </w:tc>
      </w:tr>
      <w:tr w:rsidR="000334CF" w:rsidRPr="00600094" w14:paraId="163E54DD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682B6063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09" w:type="dxa"/>
            <w:noWrap/>
            <w:vAlign w:val="center"/>
          </w:tcPr>
          <w:p w14:paraId="631DA382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MCP3</w:t>
            </w:r>
          </w:p>
        </w:tc>
        <w:tc>
          <w:tcPr>
            <w:tcW w:w="5018" w:type="dxa"/>
            <w:vAlign w:val="center"/>
          </w:tcPr>
          <w:p w14:paraId="0316A180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Monocyte chemotactic protein-3</w:t>
            </w:r>
          </w:p>
        </w:tc>
      </w:tr>
      <w:tr w:rsidR="000334CF" w:rsidRPr="00600094" w14:paraId="6D58B85D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704A5FF3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09" w:type="dxa"/>
            <w:noWrap/>
            <w:vAlign w:val="center"/>
          </w:tcPr>
          <w:p w14:paraId="704FF0EC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RETN</w:t>
            </w:r>
          </w:p>
        </w:tc>
        <w:tc>
          <w:tcPr>
            <w:tcW w:w="5018" w:type="dxa"/>
            <w:vAlign w:val="center"/>
          </w:tcPr>
          <w:p w14:paraId="45DA937B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Resistin</w:t>
            </w:r>
          </w:p>
        </w:tc>
      </w:tr>
      <w:tr w:rsidR="000334CF" w:rsidRPr="00600094" w14:paraId="6640AA82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7FA5AA16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09" w:type="dxa"/>
            <w:noWrap/>
            <w:vAlign w:val="center"/>
          </w:tcPr>
          <w:p w14:paraId="117B1A30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 xml:space="preserve">MIP-3a </w:t>
            </w:r>
          </w:p>
        </w:tc>
        <w:tc>
          <w:tcPr>
            <w:tcW w:w="5018" w:type="dxa"/>
            <w:vAlign w:val="center"/>
          </w:tcPr>
          <w:p w14:paraId="3AA85138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Macrophage Inflammatory Protein-3 alpha</w:t>
            </w:r>
          </w:p>
        </w:tc>
      </w:tr>
      <w:tr w:rsidR="000334CF" w:rsidRPr="00600094" w14:paraId="49B866BF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59DA1CE9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09" w:type="dxa"/>
            <w:noWrap/>
            <w:vAlign w:val="center"/>
          </w:tcPr>
          <w:p w14:paraId="1F93EEC3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MIP1b</w:t>
            </w:r>
          </w:p>
        </w:tc>
        <w:tc>
          <w:tcPr>
            <w:tcW w:w="5018" w:type="dxa"/>
            <w:vAlign w:val="center"/>
          </w:tcPr>
          <w:p w14:paraId="093B79B2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Macrophage Inflammatory protein-1 beta</w:t>
            </w:r>
          </w:p>
        </w:tc>
      </w:tr>
      <w:tr w:rsidR="000334CF" w:rsidRPr="00600094" w14:paraId="263900CE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424A995C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09" w:type="dxa"/>
            <w:noWrap/>
            <w:vAlign w:val="center"/>
          </w:tcPr>
          <w:p w14:paraId="42EA2E72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RAGE</w:t>
            </w:r>
          </w:p>
        </w:tc>
        <w:tc>
          <w:tcPr>
            <w:tcW w:w="5018" w:type="dxa"/>
            <w:vAlign w:val="center"/>
          </w:tcPr>
          <w:p w14:paraId="2D04A4F4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Receptor for Advanced Glycation</w:t>
            </w:r>
          </w:p>
        </w:tc>
      </w:tr>
      <w:tr w:rsidR="000334CF" w:rsidRPr="00600094" w14:paraId="2599A28E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73E0A258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09" w:type="dxa"/>
            <w:noWrap/>
            <w:vAlign w:val="center"/>
          </w:tcPr>
          <w:p w14:paraId="0BC0FD10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b-NGF</w:t>
            </w:r>
          </w:p>
        </w:tc>
        <w:tc>
          <w:tcPr>
            <w:tcW w:w="5018" w:type="dxa"/>
            <w:vAlign w:val="center"/>
          </w:tcPr>
          <w:p w14:paraId="05B9024B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Beta-nerve growth factor</w:t>
            </w:r>
          </w:p>
        </w:tc>
      </w:tr>
      <w:tr w:rsidR="000334CF" w:rsidRPr="00600094" w14:paraId="5F9D6B83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11FDFAFB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609" w:type="dxa"/>
            <w:noWrap/>
            <w:vAlign w:val="center"/>
          </w:tcPr>
          <w:p w14:paraId="5792170B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MMP9</w:t>
            </w:r>
          </w:p>
        </w:tc>
        <w:tc>
          <w:tcPr>
            <w:tcW w:w="5018" w:type="dxa"/>
            <w:vAlign w:val="center"/>
          </w:tcPr>
          <w:p w14:paraId="1A8AF31D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Matrix metalloproteinase 9</w:t>
            </w:r>
          </w:p>
        </w:tc>
      </w:tr>
      <w:tr w:rsidR="000334CF" w:rsidRPr="00600094" w14:paraId="1D7E62D0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35326179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09" w:type="dxa"/>
            <w:noWrap/>
            <w:vAlign w:val="center"/>
          </w:tcPr>
          <w:p w14:paraId="68D23379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L-Selectin</w:t>
            </w:r>
          </w:p>
        </w:tc>
        <w:tc>
          <w:tcPr>
            <w:tcW w:w="5018" w:type="dxa"/>
            <w:shd w:val="clear" w:color="auto" w:fill="FFFFFF"/>
            <w:vAlign w:val="center"/>
          </w:tcPr>
          <w:p w14:paraId="630DA4F6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L-Selectin</w:t>
            </w:r>
          </w:p>
        </w:tc>
      </w:tr>
      <w:tr w:rsidR="000334CF" w:rsidRPr="00600094" w14:paraId="25BB0934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14A17931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09" w:type="dxa"/>
            <w:noWrap/>
            <w:vAlign w:val="center"/>
          </w:tcPr>
          <w:p w14:paraId="11B3060D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PAI-1</w:t>
            </w:r>
          </w:p>
        </w:tc>
        <w:tc>
          <w:tcPr>
            <w:tcW w:w="5018" w:type="dxa"/>
            <w:vAlign w:val="center"/>
          </w:tcPr>
          <w:p w14:paraId="1BFBCB82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Plasminogen activator inhibitor 1</w:t>
            </w:r>
          </w:p>
        </w:tc>
      </w:tr>
      <w:tr w:rsidR="000334CF" w:rsidRPr="00600094" w14:paraId="14A88B26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135CD49A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09" w:type="dxa"/>
            <w:noWrap/>
            <w:vAlign w:val="center"/>
          </w:tcPr>
          <w:p w14:paraId="6B54E113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MDC</w:t>
            </w:r>
          </w:p>
        </w:tc>
        <w:tc>
          <w:tcPr>
            <w:tcW w:w="5018" w:type="dxa"/>
            <w:vAlign w:val="center"/>
          </w:tcPr>
          <w:p w14:paraId="324B7A88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Macrophage-Derived Chemokine</w:t>
            </w:r>
          </w:p>
        </w:tc>
      </w:tr>
      <w:tr w:rsidR="000334CF" w:rsidRPr="00600094" w14:paraId="448C69CD" w14:textId="77777777" w:rsidTr="004E1403">
        <w:trPr>
          <w:jc w:val="center"/>
        </w:trPr>
        <w:tc>
          <w:tcPr>
            <w:tcW w:w="892" w:type="dxa"/>
            <w:noWrap/>
            <w:vAlign w:val="center"/>
          </w:tcPr>
          <w:p w14:paraId="20EEFF2F" w14:textId="77777777" w:rsidR="000334CF" w:rsidRPr="00600094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609" w:type="dxa"/>
            <w:noWrap/>
            <w:vAlign w:val="center"/>
          </w:tcPr>
          <w:p w14:paraId="0BC06167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bCs/>
                <w:sz w:val="24"/>
                <w:szCs w:val="24"/>
              </w:rPr>
              <w:t>SCF</w:t>
            </w:r>
          </w:p>
        </w:tc>
        <w:tc>
          <w:tcPr>
            <w:tcW w:w="5018" w:type="dxa"/>
            <w:vAlign w:val="center"/>
          </w:tcPr>
          <w:p w14:paraId="6E657027" w14:textId="77777777" w:rsidR="000334CF" w:rsidRPr="00600094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0094">
              <w:rPr>
                <w:rFonts w:ascii="Times New Roman" w:hAnsi="Times New Roman"/>
                <w:sz w:val="24"/>
                <w:szCs w:val="24"/>
              </w:rPr>
              <w:t>Stem cell factor</w:t>
            </w:r>
          </w:p>
        </w:tc>
      </w:tr>
    </w:tbl>
    <w:p w14:paraId="59C3AB06" w14:textId="77777777" w:rsidR="000334CF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14:paraId="4284DEF2" w14:textId="77777777" w:rsidR="000334CF" w:rsidRPr="000752A2" w:rsidRDefault="000334CF" w:rsidP="000334CF">
      <w:pPr>
        <w:spacing w:after="0" w:line="48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14:paraId="7E69B49D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5" w:name="_Hlk218760403"/>
      <w:r w:rsidRPr="000752A2">
        <w:rPr>
          <w:rFonts w:ascii="Times New Roman" w:hAnsi="Times New Roman"/>
          <w:b/>
          <w:bCs/>
          <w:sz w:val="24"/>
          <w:szCs w:val="24"/>
        </w:rPr>
        <w:t>Table S4. Target proteins included in the Bio-Plex Pro™ Rat Cytokine 23-Plex assay panel.</w:t>
      </w:r>
    </w:p>
    <w:p w14:paraId="3842EEE9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8958" w:type="dxa"/>
        <w:jc w:val="center"/>
        <w:tblLook w:val="04A0" w:firstRow="1" w:lastRow="0" w:firstColumn="1" w:lastColumn="0" w:noHBand="0" w:noVBand="1"/>
      </w:tblPr>
      <w:tblGrid>
        <w:gridCol w:w="527"/>
        <w:gridCol w:w="2734"/>
        <w:gridCol w:w="5697"/>
      </w:tblGrid>
      <w:tr w:rsidR="000334CF" w:rsidRPr="00B63E67" w14:paraId="7E8ADF51" w14:textId="77777777" w:rsidTr="004E1403">
        <w:trPr>
          <w:trHeight w:val="560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bookmarkEnd w:id="5"/>
          <w:p w14:paraId="7AD42E7E" w14:textId="77777777" w:rsidR="000334CF" w:rsidRPr="004060C3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l-GR"/>
              </w:rPr>
            </w:pPr>
            <w:r w:rsidRPr="004060C3">
              <w:rPr>
                <w:rFonts w:ascii="Times New Roman" w:hAnsi="Times New Roman"/>
                <w:b/>
                <w:bCs/>
                <w:sz w:val="24"/>
                <w:szCs w:val="24"/>
                <w:lang w:val="el-GR"/>
              </w:rPr>
              <w:t>#</w:t>
            </w:r>
          </w:p>
        </w:tc>
        <w:tc>
          <w:tcPr>
            <w:tcW w:w="27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088D69" w14:textId="77777777" w:rsidR="000334CF" w:rsidRPr="004060C3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060C3">
              <w:rPr>
                <w:rFonts w:ascii="Times New Roman" w:hAnsi="Times New Roman"/>
                <w:b/>
                <w:bCs/>
                <w:sz w:val="24"/>
                <w:szCs w:val="24"/>
              </w:rPr>
              <w:t>Protein-assay abbreviation</w:t>
            </w:r>
          </w:p>
        </w:tc>
        <w:tc>
          <w:tcPr>
            <w:tcW w:w="5697" w:type="dxa"/>
            <w:tcBorders>
              <w:bottom w:val="single" w:sz="4" w:space="0" w:color="auto"/>
            </w:tcBorders>
            <w:vAlign w:val="center"/>
          </w:tcPr>
          <w:p w14:paraId="1825D5E1" w14:textId="77777777" w:rsidR="000334CF" w:rsidRPr="004060C3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060C3">
              <w:rPr>
                <w:rFonts w:ascii="Times New Roman" w:hAnsi="Times New Roman"/>
                <w:b/>
                <w:bCs/>
                <w:sz w:val="24"/>
                <w:szCs w:val="24"/>
              </w:rPr>
              <w:t>Protein Name</w:t>
            </w:r>
          </w:p>
        </w:tc>
      </w:tr>
      <w:tr w:rsidR="000334CF" w:rsidRPr="00B63E67" w14:paraId="1AAC1996" w14:textId="77777777" w:rsidTr="004E1403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0A62AAD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34" w:type="dxa"/>
            <w:tcBorders>
              <w:top w:val="single" w:sz="4" w:space="0" w:color="auto"/>
            </w:tcBorders>
            <w:noWrap/>
            <w:vAlign w:val="center"/>
          </w:tcPr>
          <w:p w14:paraId="71BFF940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IL-13</w:t>
            </w:r>
          </w:p>
        </w:tc>
        <w:tc>
          <w:tcPr>
            <w:tcW w:w="5697" w:type="dxa"/>
            <w:tcBorders>
              <w:top w:val="single" w:sz="4" w:space="0" w:color="auto"/>
            </w:tcBorders>
            <w:vAlign w:val="center"/>
          </w:tcPr>
          <w:p w14:paraId="6CC9F440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Interleukin-13</w:t>
            </w:r>
          </w:p>
        </w:tc>
      </w:tr>
      <w:tr w:rsidR="000334CF" w:rsidRPr="00B63E67" w14:paraId="0AAC91D2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  <w:hideMark/>
          </w:tcPr>
          <w:p w14:paraId="575E5D57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34" w:type="dxa"/>
            <w:noWrap/>
            <w:vAlign w:val="center"/>
          </w:tcPr>
          <w:p w14:paraId="5A2FC83E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IL-10</w:t>
            </w:r>
          </w:p>
        </w:tc>
        <w:tc>
          <w:tcPr>
            <w:tcW w:w="5697" w:type="dxa"/>
            <w:vAlign w:val="center"/>
          </w:tcPr>
          <w:p w14:paraId="7621D31A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Interleukin-10</w:t>
            </w:r>
          </w:p>
        </w:tc>
      </w:tr>
      <w:tr w:rsidR="000334CF" w:rsidRPr="00B63E67" w14:paraId="04E3F8B0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1962E50E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34" w:type="dxa"/>
            <w:noWrap/>
            <w:vAlign w:val="center"/>
          </w:tcPr>
          <w:p w14:paraId="01FA13AB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IL-18</w:t>
            </w:r>
          </w:p>
        </w:tc>
        <w:tc>
          <w:tcPr>
            <w:tcW w:w="5697" w:type="dxa"/>
            <w:vAlign w:val="center"/>
          </w:tcPr>
          <w:p w14:paraId="71D148D5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Interleukin-18</w:t>
            </w:r>
          </w:p>
        </w:tc>
      </w:tr>
      <w:tr w:rsidR="000334CF" w:rsidRPr="00B63E67" w14:paraId="43CBB766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38C8324F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34" w:type="dxa"/>
            <w:noWrap/>
            <w:vAlign w:val="center"/>
          </w:tcPr>
          <w:p w14:paraId="733EC747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IL-1a</w:t>
            </w:r>
          </w:p>
        </w:tc>
        <w:tc>
          <w:tcPr>
            <w:tcW w:w="5697" w:type="dxa"/>
            <w:vAlign w:val="center"/>
          </w:tcPr>
          <w:p w14:paraId="4A6FF30B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sv-SE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 alpha</w:t>
            </w:r>
          </w:p>
        </w:tc>
      </w:tr>
      <w:tr w:rsidR="000334CF" w:rsidRPr="00B63E67" w14:paraId="77074F43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7947AC0D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34" w:type="dxa"/>
            <w:noWrap/>
            <w:vAlign w:val="center"/>
          </w:tcPr>
          <w:p w14:paraId="4DA0736C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IL-2</w:t>
            </w:r>
          </w:p>
        </w:tc>
        <w:tc>
          <w:tcPr>
            <w:tcW w:w="5697" w:type="dxa"/>
            <w:vAlign w:val="center"/>
          </w:tcPr>
          <w:p w14:paraId="1F78C41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Interleukin-2</w:t>
            </w:r>
          </w:p>
        </w:tc>
      </w:tr>
      <w:tr w:rsidR="000334CF" w:rsidRPr="00B63E67" w14:paraId="274C0354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6E78C448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34" w:type="dxa"/>
            <w:noWrap/>
            <w:vAlign w:val="center"/>
          </w:tcPr>
          <w:p w14:paraId="2A0F039B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M-CSF</w:t>
            </w:r>
          </w:p>
        </w:tc>
        <w:tc>
          <w:tcPr>
            <w:tcW w:w="5697" w:type="dxa"/>
            <w:vAlign w:val="center"/>
          </w:tcPr>
          <w:p w14:paraId="1D0A181E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Macrophage colony-stimulating factor</w:t>
            </w:r>
          </w:p>
        </w:tc>
      </w:tr>
      <w:tr w:rsidR="000334CF" w:rsidRPr="00B63E67" w14:paraId="5BD36D06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2A286B7C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34" w:type="dxa"/>
            <w:noWrap/>
            <w:vAlign w:val="center"/>
          </w:tcPr>
          <w:p w14:paraId="6BB02FD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IL-1b</w:t>
            </w:r>
          </w:p>
        </w:tc>
        <w:tc>
          <w:tcPr>
            <w:tcW w:w="5697" w:type="dxa"/>
            <w:vAlign w:val="center"/>
          </w:tcPr>
          <w:p w14:paraId="612822FF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 beta</w:t>
            </w:r>
          </w:p>
        </w:tc>
      </w:tr>
      <w:tr w:rsidR="000334CF" w:rsidRPr="00B63E67" w14:paraId="0561ED00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590A5798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34" w:type="dxa"/>
            <w:noWrap/>
            <w:vAlign w:val="center"/>
          </w:tcPr>
          <w:p w14:paraId="7CCF48F1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IL-4</w:t>
            </w:r>
          </w:p>
        </w:tc>
        <w:tc>
          <w:tcPr>
            <w:tcW w:w="5697" w:type="dxa"/>
            <w:vAlign w:val="center"/>
          </w:tcPr>
          <w:p w14:paraId="372E46E1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Interleukin-4</w:t>
            </w:r>
          </w:p>
        </w:tc>
      </w:tr>
      <w:tr w:rsidR="000334CF" w:rsidRPr="00B63E67" w14:paraId="23D9DF04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18CDC283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34" w:type="dxa"/>
            <w:noWrap/>
            <w:vAlign w:val="center"/>
          </w:tcPr>
          <w:p w14:paraId="28ABE732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IFN-g</w:t>
            </w:r>
          </w:p>
        </w:tc>
        <w:tc>
          <w:tcPr>
            <w:tcW w:w="5697" w:type="dxa"/>
            <w:vAlign w:val="center"/>
          </w:tcPr>
          <w:p w14:paraId="65D12734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Interferon gamma</w:t>
            </w:r>
          </w:p>
        </w:tc>
      </w:tr>
      <w:tr w:rsidR="000334CF" w:rsidRPr="00B63E67" w14:paraId="2CC9A283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784D7038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34" w:type="dxa"/>
            <w:noWrap/>
            <w:vAlign w:val="center"/>
          </w:tcPr>
          <w:p w14:paraId="4DD71765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MIP-3a</w:t>
            </w:r>
          </w:p>
        </w:tc>
        <w:tc>
          <w:tcPr>
            <w:tcW w:w="5697" w:type="dxa"/>
            <w:shd w:val="clear" w:color="auto" w:fill="FFFFFF"/>
            <w:vAlign w:val="center"/>
          </w:tcPr>
          <w:p w14:paraId="4FA94BB1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Macrophage Inflammatory Protein-3 alpha</w:t>
            </w:r>
          </w:p>
        </w:tc>
      </w:tr>
      <w:tr w:rsidR="000334CF" w:rsidRPr="00B63E67" w14:paraId="50BC92B1" w14:textId="77777777" w:rsidTr="004E1403">
        <w:trPr>
          <w:trHeight w:val="380"/>
          <w:jc w:val="center"/>
        </w:trPr>
        <w:tc>
          <w:tcPr>
            <w:tcW w:w="0" w:type="auto"/>
            <w:noWrap/>
            <w:vAlign w:val="center"/>
          </w:tcPr>
          <w:p w14:paraId="4E6C53EE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34" w:type="dxa"/>
            <w:noWrap/>
            <w:vAlign w:val="center"/>
          </w:tcPr>
          <w:p w14:paraId="2CDCB139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GM-CSF</w:t>
            </w:r>
          </w:p>
        </w:tc>
        <w:tc>
          <w:tcPr>
            <w:tcW w:w="5697" w:type="dxa"/>
            <w:vAlign w:val="center"/>
          </w:tcPr>
          <w:p w14:paraId="2987906E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Granulocyte-macrophage colony-stimulating factor</w:t>
            </w:r>
          </w:p>
        </w:tc>
      </w:tr>
      <w:tr w:rsidR="000334CF" w:rsidRPr="00B63E67" w14:paraId="2EFC5EB6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6D547C1F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34" w:type="dxa"/>
            <w:noWrap/>
            <w:vAlign w:val="center"/>
          </w:tcPr>
          <w:p w14:paraId="5D2A99B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IL-7</w:t>
            </w:r>
          </w:p>
        </w:tc>
        <w:tc>
          <w:tcPr>
            <w:tcW w:w="5697" w:type="dxa"/>
            <w:vAlign w:val="center"/>
          </w:tcPr>
          <w:p w14:paraId="4657BD0C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Interleukin-7</w:t>
            </w:r>
          </w:p>
        </w:tc>
      </w:tr>
      <w:tr w:rsidR="000334CF" w:rsidRPr="00B63E67" w14:paraId="241CA1B8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22CA2E6E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34" w:type="dxa"/>
            <w:noWrap/>
            <w:vAlign w:val="center"/>
          </w:tcPr>
          <w:p w14:paraId="41640249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TNF-a</w:t>
            </w:r>
          </w:p>
        </w:tc>
        <w:tc>
          <w:tcPr>
            <w:tcW w:w="5697" w:type="dxa"/>
            <w:vAlign w:val="center"/>
          </w:tcPr>
          <w:p w14:paraId="34B87992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Tumor necrosis factor alpha</w:t>
            </w:r>
          </w:p>
        </w:tc>
      </w:tr>
      <w:tr w:rsidR="000334CF" w:rsidRPr="00B63E67" w14:paraId="46646BA6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7974D4D9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734" w:type="dxa"/>
            <w:noWrap/>
            <w:vAlign w:val="center"/>
          </w:tcPr>
          <w:p w14:paraId="12169434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VEGF</w:t>
            </w:r>
          </w:p>
        </w:tc>
        <w:tc>
          <w:tcPr>
            <w:tcW w:w="5697" w:type="dxa"/>
            <w:vAlign w:val="center"/>
          </w:tcPr>
          <w:p w14:paraId="07403CAD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Vascular Endothelial Growth Factor</w:t>
            </w:r>
          </w:p>
        </w:tc>
      </w:tr>
      <w:tr w:rsidR="000334CF" w:rsidRPr="00B63E67" w14:paraId="401E9124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15829EFE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34" w:type="dxa"/>
            <w:noWrap/>
            <w:vAlign w:val="center"/>
          </w:tcPr>
          <w:p w14:paraId="4F1A280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MCP-1</w:t>
            </w:r>
          </w:p>
        </w:tc>
        <w:tc>
          <w:tcPr>
            <w:tcW w:w="5697" w:type="dxa"/>
            <w:vAlign w:val="center"/>
          </w:tcPr>
          <w:p w14:paraId="397E5F6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Monocyte Chemoattractant Protein-1</w:t>
            </w:r>
          </w:p>
        </w:tc>
      </w:tr>
      <w:tr w:rsidR="000334CF" w:rsidRPr="00B63E67" w14:paraId="492FD871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6FB2D7AF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734" w:type="dxa"/>
            <w:noWrap/>
            <w:vAlign w:val="center"/>
          </w:tcPr>
          <w:p w14:paraId="3B094AF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IL-5</w:t>
            </w:r>
          </w:p>
        </w:tc>
        <w:tc>
          <w:tcPr>
            <w:tcW w:w="5697" w:type="dxa"/>
            <w:vAlign w:val="center"/>
          </w:tcPr>
          <w:p w14:paraId="6E8D98E7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Interleukin-5</w:t>
            </w:r>
          </w:p>
        </w:tc>
      </w:tr>
      <w:tr w:rsidR="000334CF" w:rsidRPr="00B63E67" w14:paraId="2EFB4BDA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4B8F5113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734" w:type="dxa"/>
            <w:noWrap/>
            <w:vAlign w:val="center"/>
          </w:tcPr>
          <w:p w14:paraId="54262091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G-CSF</w:t>
            </w:r>
          </w:p>
        </w:tc>
        <w:tc>
          <w:tcPr>
            <w:tcW w:w="5697" w:type="dxa"/>
            <w:vAlign w:val="center"/>
          </w:tcPr>
          <w:p w14:paraId="55BC2C4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Granulocyte colony stimulating factor</w:t>
            </w:r>
          </w:p>
        </w:tc>
      </w:tr>
      <w:tr w:rsidR="000334CF" w:rsidRPr="00B63E67" w14:paraId="0CF6833E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7999BC8A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734" w:type="dxa"/>
            <w:noWrap/>
            <w:vAlign w:val="center"/>
          </w:tcPr>
          <w:p w14:paraId="19E2EBE0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RANTES (CCL5)</w:t>
            </w:r>
          </w:p>
        </w:tc>
        <w:tc>
          <w:tcPr>
            <w:tcW w:w="5697" w:type="dxa"/>
            <w:vAlign w:val="center"/>
          </w:tcPr>
          <w:p w14:paraId="317FC00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C-C motif chemokine 5</w:t>
            </w:r>
          </w:p>
        </w:tc>
      </w:tr>
      <w:tr w:rsidR="000334CF" w:rsidRPr="00B63E67" w14:paraId="7B3902A5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6815ABED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734" w:type="dxa"/>
            <w:noWrap/>
            <w:vAlign w:val="center"/>
          </w:tcPr>
          <w:p w14:paraId="22718B1A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IL-6</w:t>
            </w:r>
          </w:p>
        </w:tc>
        <w:tc>
          <w:tcPr>
            <w:tcW w:w="5697" w:type="dxa"/>
            <w:vAlign w:val="center"/>
          </w:tcPr>
          <w:p w14:paraId="78F21C6A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Interleukin-6</w:t>
            </w:r>
          </w:p>
        </w:tc>
      </w:tr>
      <w:tr w:rsidR="000334CF" w:rsidRPr="00B63E67" w14:paraId="3A4C232C" w14:textId="77777777" w:rsidTr="004E1403">
        <w:trPr>
          <w:trHeight w:val="279"/>
          <w:jc w:val="center"/>
        </w:trPr>
        <w:tc>
          <w:tcPr>
            <w:tcW w:w="0" w:type="auto"/>
            <w:noWrap/>
            <w:vAlign w:val="center"/>
          </w:tcPr>
          <w:p w14:paraId="552762C2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734" w:type="dxa"/>
            <w:noWrap/>
            <w:vAlign w:val="center"/>
          </w:tcPr>
          <w:p w14:paraId="63049F31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GRO/KC (CXCL1)</w:t>
            </w:r>
          </w:p>
        </w:tc>
        <w:tc>
          <w:tcPr>
            <w:tcW w:w="5697" w:type="dxa"/>
            <w:vAlign w:val="center"/>
          </w:tcPr>
          <w:p w14:paraId="435BF829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Growth-regulated alpha protein</w:t>
            </w:r>
          </w:p>
        </w:tc>
      </w:tr>
      <w:tr w:rsidR="000334CF" w:rsidRPr="00B63E67" w14:paraId="77642995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15EE2681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34" w:type="dxa"/>
            <w:noWrap/>
            <w:vAlign w:val="center"/>
          </w:tcPr>
          <w:p w14:paraId="6C47DC55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IL-17A</w:t>
            </w:r>
          </w:p>
        </w:tc>
        <w:tc>
          <w:tcPr>
            <w:tcW w:w="5697" w:type="dxa"/>
            <w:vAlign w:val="center"/>
          </w:tcPr>
          <w:p w14:paraId="1BDC8EEF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Interleukin-17A</w:t>
            </w:r>
          </w:p>
        </w:tc>
      </w:tr>
      <w:tr w:rsidR="000334CF" w:rsidRPr="00B63E67" w14:paraId="2C7B35C5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589C3343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734" w:type="dxa"/>
            <w:noWrap/>
            <w:vAlign w:val="center"/>
          </w:tcPr>
          <w:p w14:paraId="7B676E2C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MIP-1a</w:t>
            </w:r>
          </w:p>
        </w:tc>
        <w:tc>
          <w:tcPr>
            <w:tcW w:w="5697" w:type="dxa"/>
            <w:vAlign w:val="center"/>
          </w:tcPr>
          <w:p w14:paraId="49FA9036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Macrophage Inflammatory protein-1 alpha</w:t>
            </w:r>
          </w:p>
        </w:tc>
      </w:tr>
      <w:tr w:rsidR="000334CF" w:rsidRPr="00B63E67" w14:paraId="5F6794A7" w14:textId="77777777" w:rsidTr="004E1403">
        <w:trPr>
          <w:trHeight w:val="272"/>
          <w:jc w:val="center"/>
        </w:trPr>
        <w:tc>
          <w:tcPr>
            <w:tcW w:w="0" w:type="auto"/>
            <w:noWrap/>
            <w:vAlign w:val="center"/>
          </w:tcPr>
          <w:p w14:paraId="0DCA8B5B" w14:textId="77777777" w:rsidR="000334CF" w:rsidRPr="00B63E67" w:rsidRDefault="000334CF" w:rsidP="004E1403">
            <w:pPr>
              <w:spacing w:after="0"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734" w:type="dxa"/>
            <w:noWrap/>
            <w:vAlign w:val="center"/>
          </w:tcPr>
          <w:p w14:paraId="2E50CBCC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B63E67">
              <w:rPr>
                <w:rFonts w:ascii="Times New Roman" w:hAnsi="Times New Roman"/>
                <w:bCs/>
                <w:sz w:val="24"/>
                <w:szCs w:val="24"/>
              </w:rPr>
              <w:t>IL-12p70</w:t>
            </w:r>
          </w:p>
        </w:tc>
        <w:tc>
          <w:tcPr>
            <w:tcW w:w="5697" w:type="dxa"/>
            <w:vAlign w:val="center"/>
          </w:tcPr>
          <w:p w14:paraId="6CA70B40" w14:textId="77777777" w:rsidR="000334CF" w:rsidRPr="00B63E67" w:rsidRDefault="000334CF" w:rsidP="004E140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63E67">
              <w:rPr>
                <w:rFonts w:ascii="Times New Roman" w:hAnsi="Times New Roman"/>
                <w:sz w:val="24"/>
                <w:szCs w:val="24"/>
              </w:rPr>
              <w:t>Interleukin-12 p70</w:t>
            </w:r>
          </w:p>
        </w:tc>
      </w:tr>
    </w:tbl>
    <w:p w14:paraId="23BEB4FE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6324472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6" w:name="_Hlk210398831"/>
    </w:p>
    <w:p w14:paraId="3178B0E4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>Data S1.</w:t>
      </w:r>
      <w:r w:rsidRPr="000752A2">
        <w:rPr>
          <w:rFonts w:ascii="Times New Roman" w:hAnsi="Times New Roman"/>
          <w:sz w:val="24"/>
          <w:szCs w:val="24"/>
        </w:rPr>
        <w:t xml:space="preserve"> </w:t>
      </w:r>
      <w:r w:rsidRPr="000752A2">
        <w:rPr>
          <w:rFonts w:ascii="Times New Roman" w:hAnsi="Times New Roman"/>
          <w:b/>
          <w:bCs/>
          <w:sz w:val="24"/>
          <w:szCs w:val="24"/>
        </w:rPr>
        <w:t>Differentially expressed transcripts following SNCA ASO3.0 delivery in homozygous BAC-h</w:t>
      </w:r>
      <w:r w:rsidRPr="000752A2">
        <w:rPr>
          <w:rFonts w:ascii="Times New Roman" w:hAnsi="Times New Roman"/>
          <w:b/>
          <w:bCs/>
          <w:i/>
          <w:iCs/>
          <w:sz w:val="24"/>
          <w:szCs w:val="24"/>
        </w:rPr>
        <w:t>SNCA</w:t>
      </w:r>
      <w:r w:rsidRPr="000752A2">
        <w:rPr>
          <w:rFonts w:ascii="Times New Roman" w:hAnsi="Times New Roman"/>
          <w:b/>
          <w:bCs/>
          <w:sz w:val="24"/>
          <w:szCs w:val="24"/>
        </w:rPr>
        <w:t xml:space="preserve"> rats.</w:t>
      </w:r>
    </w:p>
    <w:p w14:paraId="7E26EEBF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F544E3">
        <w:rPr>
          <w:rFonts w:ascii="Times New Roman" w:hAnsi="Times New Roman"/>
          <w:sz w:val="24"/>
          <w:szCs w:val="24"/>
        </w:rPr>
        <w:t>xlsx</w:t>
      </w:r>
    </w:p>
    <w:p w14:paraId="36A20003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7FE738D8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>Data S2.</w:t>
      </w:r>
      <w:r w:rsidRPr="000752A2">
        <w:rPr>
          <w:rFonts w:ascii="Times New Roman" w:hAnsi="Times New Roman"/>
          <w:sz w:val="24"/>
          <w:szCs w:val="24"/>
        </w:rPr>
        <w:t xml:space="preserve"> </w:t>
      </w:r>
      <w:r w:rsidRPr="000752A2">
        <w:rPr>
          <w:rFonts w:ascii="Times New Roman" w:hAnsi="Times New Roman"/>
          <w:b/>
          <w:bCs/>
          <w:sz w:val="24"/>
          <w:szCs w:val="24"/>
        </w:rPr>
        <w:t>Overrepresented Gene Ontology biological processes and corresponding differentially expressed genes identified by ClueGO analysis.</w:t>
      </w:r>
    </w:p>
    <w:p w14:paraId="647CBACA" w14:textId="77777777" w:rsidR="000334CF" w:rsidRPr="00F544E3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F544E3">
        <w:rPr>
          <w:rFonts w:ascii="Times New Roman" w:hAnsi="Times New Roman"/>
          <w:sz w:val="24"/>
          <w:szCs w:val="24"/>
        </w:rPr>
        <w:t>xlsx</w:t>
      </w:r>
    </w:p>
    <w:p w14:paraId="2016CF32" w14:textId="77777777" w:rsidR="000334CF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61775A7" w14:textId="77777777" w:rsidR="000334CF" w:rsidRPr="000752A2" w:rsidRDefault="000334CF" w:rsidP="000334CF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0752A2">
        <w:rPr>
          <w:rFonts w:ascii="Times New Roman" w:hAnsi="Times New Roman"/>
          <w:b/>
          <w:bCs/>
          <w:sz w:val="24"/>
          <w:szCs w:val="24"/>
        </w:rPr>
        <w:t>Data S3. Results of Gene Set Enrichment Analysis (GSEA) on the mouse Gene Ontology - Biological Process gene set collection.</w:t>
      </w:r>
    </w:p>
    <w:bookmarkEnd w:id="6"/>
    <w:p w14:paraId="6D093BE4" w14:textId="77777777" w:rsidR="000334CF" w:rsidRPr="002B56D7" w:rsidRDefault="000334CF" w:rsidP="000334CF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F544E3">
        <w:rPr>
          <w:rFonts w:ascii="Times New Roman" w:hAnsi="Times New Roman"/>
          <w:sz w:val="24"/>
          <w:szCs w:val="24"/>
        </w:rPr>
        <w:t>xlsx</w:t>
      </w:r>
    </w:p>
    <w:p w14:paraId="19C096C7" w14:textId="77777777" w:rsidR="00E023F9" w:rsidRDefault="00E023F9"/>
    <w:sectPr w:rsidR="00E023F9" w:rsidSect="000334CF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BDA63" w14:textId="77777777" w:rsidR="000334CF" w:rsidRPr="000752A2" w:rsidRDefault="000334CF">
    <w:pPr>
      <w:pStyle w:val="Footer"/>
      <w:tabs>
        <w:tab w:val="clear" w:pos="4680"/>
        <w:tab w:val="clear" w:pos="9360"/>
      </w:tabs>
      <w:jc w:val="center"/>
      <w:rPr>
        <w:caps/>
        <w:color w:val="156082" w:themeColor="accent1"/>
      </w:rPr>
    </w:pPr>
    <w:r w:rsidRPr="000752A2">
      <w:rPr>
        <w:caps/>
        <w:color w:val="156082" w:themeColor="accent1"/>
      </w:rPr>
      <w:fldChar w:fldCharType="begin"/>
    </w:r>
    <w:r w:rsidRPr="000752A2">
      <w:rPr>
        <w:caps/>
        <w:color w:val="156082" w:themeColor="accent1"/>
      </w:rPr>
      <w:instrText xml:space="preserve"> PAGE   \* MERGEFORMAT </w:instrText>
    </w:r>
    <w:r w:rsidRPr="000752A2">
      <w:rPr>
        <w:caps/>
        <w:color w:val="156082" w:themeColor="accent1"/>
      </w:rPr>
      <w:fldChar w:fldCharType="separate"/>
    </w:r>
    <w:r w:rsidRPr="000752A2">
      <w:rPr>
        <w:caps/>
        <w:color w:val="156082" w:themeColor="accent1"/>
      </w:rPr>
      <w:t>2</w:t>
    </w:r>
    <w:r w:rsidRPr="000752A2">
      <w:rPr>
        <w:caps/>
        <w:color w:val="156082" w:themeColor="accent1"/>
      </w:rPr>
      <w:fldChar w:fldCharType="end"/>
    </w:r>
  </w:p>
  <w:p w14:paraId="74B5F38F" w14:textId="77777777" w:rsidR="000334CF" w:rsidRPr="000752A2" w:rsidRDefault="000334C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4CF"/>
    <w:rsid w:val="000334CF"/>
    <w:rsid w:val="00074CDA"/>
    <w:rsid w:val="000C4033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A97B3"/>
  <w15:chartTrackingRefBased/>
  <w15:docId w15:val="{0CB84FFB-8F11-4C43-A808-0FC61804A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4CF"/>
    <w:pPr>
      <w:spacing w:after="120" w:line="240" w:lineRule="auto"/>
      <w:jc w:val="both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4C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4C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4C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4C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4C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4CF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4CF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4CF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4CF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4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4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4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4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4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4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4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4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4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4C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34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4CF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34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4C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34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4CF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34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4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4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4C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334C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334CF"/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table" w:styleId="GridTable1Light">
    <w:name w:val="Grid Table 1 Light"/>
    <w:basedOn w:val="TableNormal"/>
    <w:uiPriority w:val="46"/>
    <w:rsid w:val="000334CF"/>
    <w:pPr>
      <w:spacing w:after="0" w:line="240" w:lineRule="auto"/>
    </w:pPr>
    <w:rPr>
      <w:kern w:val="0"/>
      <w:sz w:val="22"/>
      <w:szCs w:val="22"/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footer" Target="footer1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973</Words>
  <Characters>6134</Characters>
  <Application>Microsoft Office Word</Application>
  <DocSecurity>0</DocSecurity>
  <Lines>107</Lines>
  <Paragraphs>40</Paragraphs>
  <ScaleCrop>false</ScaleCrop>
  <Company/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2026-01-21T23:52:00Z</dcterms:created>
  <dcterms:modified xsi:type="dcterms:W3CDTF">2026-01-21T23:52:00Z</dcterms:modified>
</cp:coreProperties>
</file>