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00E3F4" w14:textId="77777777" w:rsidR="003559B4" w:rsidRDefault="003559B4" w:rsidP="003559B4">
      <w:pPr>
        <w:jc w:val="center"/>
        <w:rPr>
          <w:rFonts w:ascii="Cambria" w:hAnsi="Cambria"/>
          <w:i/>
          <w:iCs/>
          <w:sz w:val="32"/>
          <w:szCs w:val="32"/>
        </w:rPr>
      </w:pPr>
      <w:r w:rsidRPr="003559B4">
        <w:rPr>
          <w:rFonts w:ascii="Cambria" w:hAnsi="Cambria"/>
          <w:i/>
          <w:iCs/>
          <w:sz w:val="32"/>
          <w:szCs w:val="32"/>
        </w:rPr>
        <w:t>Supporting Information</w:t>
      </w:r>
    </w:p>
    <w:p w14:paraId="341E91E9" w14:textId="77777777" w:rsidR="00FC0E18" w:rsidRPr="003559B4" w:rsidRDefault="00FC0E18" w:rsidP="003559B4">
      <w:pPr>
        <w:jc w:val="center"/>
        <w:rPr>
          <w:rFonts w:ascii="Cambria" w:hAnsi="Cambria"/>
          <w:i/>
          <w:iCs/>
          <w:sz w:val="32"/>
          <w:szCs w:val="32"/>
        </w:rPr>
      </w:pPr>
    </w:p>
    <w:p w14:paraId="242FABC9" w14:textId="53DE0E31" w:rsidR="009E21EF" w:rsidRDefault="009E21EF" w:rsidP="00193C5C">
      <w:pPr>
        <w:tabs>
          <w:tab w:val="left" w:pos="567"/>
          <w:tab w:val="center" w:pos="4536"/>
          <w:tab w:val="right" w:pos="9072"/>
        </w:tabs>
        <w:jc w:val="both"/>
        <w:rPr>
          <w:rFonts w:ascii="Cambria" w:hAnsi="Cambria" w:cs="Cambria"/>
          <w:b/>
          <w:bCs/>
          <w:kern w:val="44"/>
          <w:sz w:val="36"/>
          <w:szCs w:val="36"/>
        </w:rPr>
      </w:pPr>
      <w:r w:rsidRPr="00BA60BF">
        <w:rPr>
          <w:rFonts w:ascii="Cambria" w:hAnsi="Cambria" w:cs="Cambria"/>
          <w:b/>
          <w:bCs/>
          <w:sz w:val="36"/>
          <w:szCs w:val="36"/>
        </w:rPr>
        <w:t>Constructing a Biomimetic ECM Protective Barrier: A Strategic Interface Design for Urethral Repair to Mitigate Foreign Body Reaction</w:t>
      </w:r>
    </w:p>
    <w:p w14:paraId="0708352A" w14:textId="77777777" w:rsidR="005D0F79" w:rsidRDefault="005D0F79" w:rsidP="003559B4">
      <w:pPr>
        <w:tabs>
          <w:tab w:val="left" w:pos="567"/>
          <w:tab w:val="center" w:pos="4536"/>
          <w:tab w:val="right" w:pos="9072"/>
        </w:tabs>
        <w:rPr>
          <w:rFonts w:ascii="Cambria" w:hAnsi="Cambria" w:cs="Times New Roman"/>
        </w:rPr>
      </w:pPr>
    </w:p>
    <w:p w14:paraId="79B0BC33" w14:textId="77777777" w:rsidR="005D0F79" w:rsidRDefault="005D0F79" w:rsidP="005D0F79">
      <w:pPr>
        <w:tabs>
          <w:tab w:val="left" w:pos="567"/>
          <w:tab w:val="center" w:pos="4536"/>
          <w:tab w:val="right" w:pos="9072"/>
        </w:tabs>
        <w:spacing w:after="80" w:line="480" w:lineRule="auto"/>
        <w:rPr>
          <w:rFonts w:ascii="Cambria" w:eastAsia="等线" w:hAnsi="Cambria" w:cs="Times New Roman"/>
          <w:iCs/>
          <w:sz w:val="24"/>
          <w:vertAlign w:val="superscript"/>
          <w:lang w:bidi="ar"/>
        </w:rPr>
      </w:pPr>
      <w:r>
        <w:rPr>
          <w:rFonts w:ascii="Cambria" w:eastAsia="等线" w:hAnsi="Cambria" w:cs="Times New Roman"/>
          <w:iCs/>
          <w:sz w:val="24"/>
          <w:vertAlign w:val="superscript"/>
          <w:lang w:bidi="ar"/>
        </w:rPr>
        <w:t xml:space="preserve">1  </w:t>
      </w:r>
      <w:r>
        <w:rPr>
          <w:rFonts w:ascii="Cambria" w:eastAsia="等线" w:hAnsi="Cambria" w:cs="Times New Roman"/>
          <w:iCs/>
          <w:sz w:val="24"/>
          <w:lang w:bidi="ar"/>
        </w:rPr>
        <w:t>School of Life and Health Technology, Dongguan University of Technology, Dongguan, 523808, China</w:t>
      </w:r>
    </w:p>
    <w:p w14:paraId="0C30E917" w14:textId="77777777" w:rsidR="005D0F79" w:rsidRDefault="005D0F79" w:rsidP="005D0F79">
      <w:pPr>
        <w:tabs>
          <w:tab w:val="left" w:pos="567"/>
          <w:tab w:val="center" w:pos="4536"/>
          <w:tab w:val="right" w:pos="9072"/>
        </w:tabs>
        <w:spacing w:after="80" w:line="480" w:lineRule="auto"/>
        <w:rPr>
          <w:rFonts w:ascii="Cambria" w:eastAsia="等线" w:hAnsi="Cambria" w:cs="Times New Roman"/>
          <w:iCs/>
          <w:sz w:val="24"/>
          <w:lang w:bidi="ar"/>
        </w:rPr>
      </w:pPr>
      <w:r>
        <w:rPr>
          <w:rFonts w:ascii="Cambria" w:eastAsia="等线" w:hAnsi="Cambria" w:cs="Times New Roman"/>
          <w:iCs/>
          <w:sz w:val="24"/>
          <w:vertAlign w:val="superscript"/>
          <w:lang w:bidi="ar"/>
        </w:rPr>
        <w:t>2</w:t>
      </w:r>
      <w:r>
        <w:rPr>
          <w:rFonts w:ascii="Cambria" w:eastAsia="等线" w:hAnsi="Cambria" w:cs="Times New Roman"/>
          <w:iCs/>
          <w:sz w:val="24"/>
          <w:lang w:bidi="ar"/>
        </w:rPr>
        <w:t xml:space="preserve"> </w:t>
      </w:r>
      <w:r>
        <w:rPr>
          <w:rFonts w:ascii="Cambria" w:eastAsia="等线" w:hAnsi="Cambria" w:cs="Times New Roman"/>
          <w:sz w:val="24"/>
          <w:lang w:bidi="ar"/>
        </w:rPr>
        <w:t xml:space="preserve">Department of Pediatric Surgery, Guangdong Provincial Key Laboratory of Research in Structural Birth Defect Disease, Guangzhou Women and Children's Medical Center, Guangzhou Medical University, Guangzhou 510623, Guangdong, </w:t>
      </w:r>
      <w:r>
        <w:rPr>
          <w:rFonts w:ascii="Cambria" w:eastAsia="等线" w:hAnsi="Cambria" w:cs="Times New Roman"/>
          <w:iCs/>
          <w:sz w:val="24"/>
          <w:lang w:bidi="ar"/>
        </w:rPr>
        <w:t>PR China</w:t>
      </w:r>
    </w:p>
    <w:p w14:paraId="4B6AD4DF" w14:textId="77777777" w:rsidR="005D0F79" w:rsidRDefault="005D0F79" w:rsidP="005D0F79">
      <w:pPr>
        <w:tabs>
          <w:tab w:val="left" w:pos="567"/>
          <w:tab w:val="center" w:pos="4536"/>
          <w:tab w:val="right" w:pos="9072"/>
        </w:tabs>
        <w:spacing w:after="80" w:line="480" w:lineRule="auto"/>
        <w:rPr>
          <w:rFonts w:ascii="Cambria" w:eastAsia="等线" w:hAnsi="Cambria" w:cs="Times New Roman"/>
          <w:iCs/>
          <w:sz w:val="24"/>
          <w:lang w:bidi="ar"/>
        </w:rPr>
      </w:pPr>
    </w:p>
    <w:p w14:paraId="173A08B2" w14:textId="77777777" w:rsidR="003559B4" w:rsidRDefault="003559B4">
      <w:pPr>
        <w:rPr>
          <w:rFonts w:hint="eastAsia"/>
        </w:rPr>
      </w:pPr>
    </w:p>
    <w:p w14:paraId="0A2E822B" w14:textId="4A3C63F6" w:rsidR="00F77E1E" w:rsidRDefault="00FC6A3F">
      <w:pPr>
        <w:rPr>
          <w:rFonts w:hint="eastAsia"/>
        </w:rPr>
      </w:pPr>
      <w:r>
        <w:rPr>
          <w:noProof/>
        </w:rPr>
        <w:drawing>
          <wp:inline distT="0" distB="0" distL="0" distR="0" wp14:anchorId="36A93B33" wp14:editId="2756F74C">
            <wp:extent cx="5274310" cy="2254885"/>
            <wp:effectExtent l="0" t="0" r="2540" b="0"/>
            <wp:docPr id="6163857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5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3AAB9" w14:textId="47164D15" w:rsidR="00FC6A3F" w:rsidRDefault="00FC6A3F" w:rsidP="004118CC">
      <w:pPr>
        <w:spacing w:line="360" w:lineRule="auto"/>
        <w:jc w:val="both"/>
        <w:rPr>
          <w:rFonts w:ascii="Cambria" w:hAnsi="Cambria"/>
          <w:sz w:val="24"/>
        </w:rPr>
      </w:pPr>
      <w:r w:rsidRPr="00FC6A3F">
        <w:rPr>
          <w:rFonts w:ascii="Cambria" w:hAnsi="Cambria"/>
          <w:sz w:val="24"/>
        </w:rPr>
        <w:t xml:space="preserve">Figure S1. Representative images of the incision site before (left panel) and 14 days </w:t>
      </w:r>
      <w:r w:rsidRPr="00FC6A3F">
        <w:rPr>
          <w:rFonts w:ascii="Cambria" w:hAnsi="Cambria"/>
          <w:sz w:val="24"/>
        </w:rPr>
        <w:lastRenderedPageBreak/>
        <w:t>after (right panel) subcutaneous implantation of the PLA scaffold.</w:t>
      </w:r>
    </w:p>
    <w:p w14:paraId="507D0EA9" w14:textId="77777777" w:rsidR="004118CC" w:rsidRDefault="004118CC" w:rsidP="004118CC">
      <w:pPr>
        <w:jc w:val="both"/>
        <w:rPr>
          <w:rFonts w:ascii="Cambria" w:hAnsi="Cambria"/>
          <w:sz w:val="24"/>
        </w:rPr>
      </w:pPr>
    </w:p>
    <w:p w14:paraId="0C06F05F" w14:textId="70DF2894" w:rsidR="00FC6A3F" w:rsidRDefault="004118CC" w:rsidP="00FC6A3F">
      <w:pPr>
        <w:jc w:val="center"/>
        <w:rPr>
          <w:rFonts w:ascii="Cambria" w:hAnsi="Cambria"/>
          <w:sz w:val="24"/>
        </w:rPr>
      </w:pPr>
      <w:r w:rsidRPr="004118CC">
        <w:rPr>
          <w:rFonts w:ascii="Cambria" w:hAnsi="Cambria"/>
          <w:noProof/>
          <w:sz w:val="24"/>
        </w:rPr>
        <w:drawing>
          <wp:inline distT="0" distB="0" distL="0" distR="0" wp14:anchorId="6A9F4614" wp14:editId="4E59F527">
            <wp:extent cx="3977005" cy="2798445"/>
            <wp:effectExtent l="0" t="0" r="4445" b="1905"/>
            <wp:docPr id="2370042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005" cy="279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23DB6" w14:textId="015DCE57" w:rsidR="00FC6A3F" w:rsidRDefault="004118CC" w:rsidP="004118CC">
      <w:pPr>
        <w:spacing w:line="240" w:lineRule="auto"/>
        <w:jc w:val="both"/>
        <w:rPr>
          <w:rFonts w:ascii="Cambria" w:hAnsi="Cambria"/>
          <w:sz w:val="24"/>
        </w:rPr>
      </w:pPr>
      <w:r w:rsidRPr="004118CC">
        <w:rPr>
          <w:rFonts w:ascii="Cambria" w:hAnsi="Cambria" w:hint="eastAsia"/>
          <w:sz w:val="24"/>
        </w:rPr>
        <w:t>Figure S2. Body weight and body temperature in animals before and after PLA scaffold implantation (violin plot; n = 10). Data were analyzed by Student</w:t>
      </w:r>
      <w:r w:rsidRPr="004118CC">
        <w:rPr>
          <w:rFonts w:ascii="Cambria" w:hAnsi="Cambria" w:hint="eastAsia"/>
          <w:sz w:val="24"/>
        </w:rPr>
        <w:t>’</w:t>
      </w:r>
      <w:r w:rsidRPr="004118CC">
        <w:rPr>
          <w:rFonts w:ascii="Cambria" w:hAnsi="Cambria" w:hint="eastAsia"/>
          <w:sz w:val="24"/>
        </w:rPr>
        <w:t>s t-test. ns, not significant.</w:t>
      </w:r>
    </w:p>
    <w:p w14:paraId="3E8CE853" w14:textId="6A70FA4A" w:rsidR="004118CC" w:rsidRDefault="003C1F42" w:rsidP="004118CC">
      <w:pPr>
        <w:spacing w:line="240" w:lineRule="auto"/>
        <w:jc w:val="both"/>
        <w:rPr>
          <w:rFonts w:ascii="Cambria" w:hAnsi="Cambria"/>
          <w:sz w:val="24"/>
        </w:rPr>
      </w:pPr>
      <w:r>
        <w:rPr>
          <w:noProof/>
        </w:rPr>
        <w:lastRenderedPageBreak/>
        <w:drawing>
          <wp:inline distT="0" distB="0" distL="0" distR="0" wp14:anchorId="39E59C8A" wp14:editId="5A8FB963">
            <wp:extent cx="5274310" cy="5701665"/>
            <wp:effectExtent l="0" t="0" r="2540" b="0"/>
            <wp:docPr id="157079276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0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855DE" w14:textId="39A7055D" w:rsidR="003C1F42" w:rsidRDefault="009D2EF2" w:rsidP="009D2EF2">
      <w:pPr>
        <w:spacing w:line="360" w:lineRule="auto"/>
        <w:jc w:val="both"/>
        <w:rPr>
          <w:rFonts w:ascii="Cambria" w:hAnsi="Cambria"/>
          <w:sz w:val="24"/>
        </w:rPr>
      </w:pPr>
      <w:r w:rsidRPr="009D2EF2">
        <w:rPr>
          <w:rFonts w:ascii="Cambria" w:hAnsi="Cambria" w:hint="eastAsia"/>
          <w:sz w:val="24"/>
        </w:rPr>
        <w:t>Figure S3. Immunofluorescence staining of UECs cultured on the TEUG for 168 hours. Images show merged channels and individual signals for FAK (red), actin (green), and DAPI-stained nuclei (blue), displayed from top to bottom.</w:t>
      </w:r>
    </w:p>
    <w:p w14:paraId="348F186A" w14:textId="114473CF" w:rsidR="009D2EF2" w:rsidRDefault="009D2EF2" w:rsidP="009D2EF2">
      <w:pPr>
        <w:spacing w:line="360" w:lineRule="auto"/>
        <w:jc w:val="both"/>
        <w:rPr>
          <w:rFonts w:ascii="Cambria" w:hAnsi="Cambria"/>
          <w:sz w:val="24"/>
        </w:rPr>
      </w:pPr>
      <w:r>
        <w:rPr>
          <w:noProof/>
        </w:rPr>
        <w:lastRenderedPageBreak/>
        <w:drawing>
          <wp:inline distT="0" distB="0" distL="0" distR="0" wp14:anchorId="57564325" wp14:editId="68F6AE75">
            <wp:extent cx="5274310" cy="5704840"/>
            <wp:effectExtent l="0" t="0" r="2540" b="0"/>
            <wp:docPr id="163712091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0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63B7D" w14:textId="7B1022AC" w:rsidR="009D2EF2" w:rsidRDefault="009D2EF2" w:rsidP="009D2EF2">
      <w:pPr>
        <w:spacing w:line="360" w:lineRule="auto"/>
        <w:jc w:val="both"/>
        <w:rPr>
          <w:rFonts w:ascii="Cambria" w:hAnsi="Cambria"/>
          <w:sz w:val="24"/>
        </w:rPr>
      </w:pPr>
      <w:r w:rsidRPr="009D2EF2">
        <w:rPr>
          <w:rFonts w:ascii="Cambria" w:hAnsi="Cambria" w:hint="eastAsia"/>
          <w:sz w:val="24"/>
        </w:rPr>
        <w:t>Figure S</w:t>
      </w:r>
      <w:r>
        <w:rPr>
          <w:rFonts w:ascii="Cambria" w:hAnsi="Cambria" w:hint="eastAsia"/>
          <w:sz w:val="24"/>
        </w:rPr>
        <w:t>4</w:t>
      </w:r>
      <w:r w:rsidRPr="009D2EF2">
        <w:rPr>
          <w:rFonts w:ascii="Cambria" w:hAnsi="Cambria" w:hint="eastAsia"/>
          <w:sz w:val="24"/>
        </w:rPr>
        <w:t xml:space="preserve">. Immunofluorescence staining of UECs cultured on the </w:t>
      </w:r>
      <w:r>
        <w:rPr>
          <w:rFonts w:ascii="Cambria" w:hAnsi="Cambria" w:hint="eastAsia"/>
          <w:sz w:val="24"/>
        </w:rPr>
        <w:t xml:space="preserve">SIS </w:t>
      </w:r>
      <w:r w:rsidRPr="009D2EF2">
        <w:rPr>
          <w:rFonts w:ascii="Cambria" w:hAnsi="Cambria" w:hint="eastAsia"/>
          <w:sz w:val="24"/>
        </w:rPr>
        <w:t>for 168 hours. Images show merged channels and individual signals for FAK (red), actin (green), and DAPI-stained nuclei (blue), displayed from top to bottom.</w:t>
      </w:r>
    </w:p>
    <w:p w14:paraId="46FB105B" w14:textId="77777777" w:rsidR="009D2EF2" w:rsidRDefault="009D2EF2" w:rsidP="009D2EF2">
      <w:pPr>
        <w:spacing w:line="360" w:lineRule="auto"/>
        <w:jc w:val="both"/>
        <w:rPr>
          <w:rFonts w:ascii="Cambria" w:hAnsi="Cambria"/>
          <w:sz w:val="24"/>
        </w:rPr>
      </w:pPr>
    </w:p>
    <w:p w14:paraId="120C00D8" w14:textId="22136924" w:rsidR="00686595" w:rsidRDefault="00C010D4" w:rsidP="009D2EF2">
      <w:pPr>
        <w:spacing w:line="360" w:lineRule="auto"/>
        <w:jc w:val="both"/>
        <w:rPr>
          <w:rFonts w:ascii="Cambria" w:hAnsi="Cambria"/>
          <w:sz w:val="24"/>
        </w:rPr>
      </w:pPr>
      <w:r>
        <w:rPr>
          <w:noProof/>
        </w:rPr>
        <w:lastRenderedPageBreak/>
        <w:drawing>
          <wp:inline distT="0" distB="0" distL="0" distR="0" wp14:anchorId="67F3B9CC" wp14:editId="4919784B">
            <wp:extent cx="5274310" cy="3843655"/>
            <wp:effectExtent l="0" t="0" r="2540" b="4445"/>
            <wp:docPr id="17895423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4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25AD3" w14:textId="1C2BE522" w:rsidR="0088395C" w:rsidRPr="009D2EF2" w:rsidRDefault="0088395C" w:rsidP="0088395C">
      <w:pPr>
        <w:spacing w:line="360" w:lineRule="auto"/>
        <w:jc w:val="both"/>
        <w:rPr>
          <w:rFonts w:ascii="Cambria" w:hAnsi="Cambria"/>
          <w:sz w:val="24"/>
        </w:rPr>
      </w:pPr>
      <w:r w:rsidRPr="00FD1381">
        <w:rPr>
          <w:rFonts w:ascii="Cambria" w:hAnsi="Cambria" w:hint="eastAsia"/>
          <w:sz w:val="24"/>
        </w:rPr>
        <w:t>Figure S</w:t>
      </w:r>
      <w:r w:rsidR="007D2357">
        <w:rPr>
          <w:rFonts w:ascii="Cambria" w:hAnsi="Cambria" w:hint="eastAsia"/>
          <w:sz w:val="24"/>
        </w:rPr>
        <w:t>5</w:t>
      </w:r>
      <w:r w:rsidRPr="00FD1381">
        <w:rPr>
          <w:rFonts w:ascii="Cambria" w:hAnsi="Cambria" w:hint="eastAsia"/>
          <w:sz w:val="24"/>
        </w:rPr>
        <w:t xml:space="preserve">. Immunofluorescence staining for CK20 (epithelium, red), </w:t>
      </w:r>
      <w:r w:rsidRPr="00FD1381">
        <w:rPr>
          <w:rFonts w:ascii="Cambria" w:hAnsi="Cambria" w:hint="eastAsia"/>
          <w:sz w:val="24"/>
        </w:rPr>
        <w:t>α</w:t>
      </w:r>
      <w:r w:rsidRPr="00FD1381">
        <w:rPr>
          <w:rFonts w:ascii="Cambria" w:hAnsi="Cambria" w:hint="eastAsia"/>
          <w:sz w:val="24"/>
        </w:rPr>
        <w:t xml:space="preserve">-SMA (smooth muscle, green), and DAPI (nuclei, blue) on </w:t>
      </w:r>
      <w:r>
        <w:rPr>
          <w:rFonts w:ascii="Cambria" w:hAnsi="Cambria" w:hint="eastAsia"/>
          <w:sz w:val="24"/>
        </w:rPr>
        <w:t>TEUG</w:t>
      </w:r>
      <w:r w:rsidRPr="00FD1381">
        <w:rPr>
          <w:rFonts w:ascii="Cambria" w:hAnsi="Cambria" w:hint="eastAsia"/>
          <w:sz w:val="24"/>
        </w:rPr>
        <w:t xml:space="preserve"> sections over time. Images are shown from top to bottom: merged channels, and individual signals for CK20 (red), </w:t>
      </w:r>
      <w:r w:rsidRPr="00FD1381">
        <w:rPr>
          <w:rFonts w:ascii="Cambria" w:hAnsi="Cambria" w:hint="eastAsia"/>
          <w:sz w:val="24"/>
        </w:rPr>
        <w:t>α</w:t>
      </w:r>
      <w:r w:rsidRPr="00FD1381">
        <w:rPr>
          <w:rFonts w:ascii="Cambria" w:hAnsi="Cambria" w:hint="eastAsia"/>
          <w:sz w:val="24"/>
        </w:rPr>
        <w:t>-SMA (green), and DAPI-stained nuclei (blue).</w:t>
      </w:r>
    </w:p>
    <w:p w14:paraId="5AA47302" w14:textId="77777777" w:rsidR="0088395C" w:rsidRPr="0088395C" w:rsidRDefault="0088395C" w:rsidP="009D2EF2">
      <w:pPr>
        <w:spacing w:line="360" w:lineRule="auto"/>
        <w:jc w:val="both"/>
        <w:rPr>
          <w:rFonts w:ascii="Cambria" w:hAnsi="Cambria"/>
          <w:sz w:val="24"/>
        </w:rPr>
      </w:pPr>
    </w:p>
    <w:p w14:paraId="34037142" w14:textId="770E9AF1" w:rsidR="00686595" w:rsidRDefault="00686595" w:rsidP="009D2EF2">
      <w:pPr>
        <w:spacing w:line="360" w:lineRule="auto"/>
        <w:jc w:val="both"/>
        <w:rPr>
          <w:rFonts w:ascii="Cambria" w:hAnsi="Cambria"/>
          <w:sz w:val="24"/>
        </w:rPr>
      </w:pPr>
      <w:r>
        <w:rPr>
          <w:noProof/>
        </w:rPr>
        <w:lastRenderedPageBreak/>
        <w:drawing>
          <wp:inline distT="0" distB="0" distL="0" distR="0" wp14:anchorId="56E50EB7" wp14:editId="41B42500">
            <wp:extent cx="5274310" cy="3773170"/>
            <wp:effectExtent l="0" t="0" r="2540" b="0"/>
            <wp:docPr id="101445149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7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2CEB9" w14:textId="6496480C" w:rsidR="00686595" w:rsidRPr="009D2EF2" w:rsidRDefault="00FD1381" w:rsidP="009D2EF2">
      <w:pPr>
        <w:spacing w:line="360" w:lineRule="auto"/>
        <w:jc w:val="both"/>
        <w:rPr>
          <w:rFonts w:ascii="Cambria" w:hAnsi="Cambria"/>
          <w:sz w:val="24"/>
        </w:rPr>
      </w:pPr>
      <w:r w:rsidRPr="00FD1381">
        <w:rPr>
          <w:rFonts w:ascii="Cambria" w:hAnsi="Cambria" w:hint="eastAsia"/>
          <w:sz w:val="24"/>
        </w:rPr>
        <w:t>Figure S</w:t>
      </w:r>
      <w:r>
        <w:rPr>
          <w:rFonts w:ascii="Cambria" w:hAnsi="Cambria" w:hint="eastAsia"/>
          <w:sz w:val="24"/>
        </w:rPr>
        <w:t>6</w:t>
      </w:r>
      <w:r w:rsidRPr="00FD1381">
        <w:rPr>
          <w:rFonts w:ascii="Cambria" w:hAnsi="Cambria" w:hint="eastAsia"/>
          <w:sz w:val="24"/>
        </w:rPr>
        <w:t xml:space="preserve">. Immunofluorescence staining for CK20 (epithelium, red), </w:t>
      </w:r>
      <w:r w:rsidRPr="00FD1381">
        <w:rPr>
          <w:rFonts w:ascii="Cambria" w:hAnsi="Cambria" w:hint="eastAsia"/>
          <w:sz w:val="24"/>
        </w:rPr>
        <w:t>α</w:t>
      </w:r>
      <w:r w:rsidRPr="00FD1381">
        <w:rPr>
          <w:rFonts w:ascii="Cambria" w:hAnsi="Cambria" w:hint="eastAsia"/>
          <w:sz w:val="24"/>
        </w:rPr>
        <w:t xml:space="preserve">-SMA (smooth muscle, green), and DAPI (nuclei, blue) on SIS sections over time. Images are shown from top to bottom: merged channels, and individual signals for CK20 (red), </w:t>
      </w:r>
      <w:r w:rsidRPr="00FD1381">
        <w:rPr>
          <w:rFonts w:ascii="Cambria" w:hAnsi="Cambria" w:hint="eastAsia"/>
          <w:sz w:val="24"/>
        </w:rPr>
        <w:t>α</w:t>
      </w:r>
      <w:r w:rsidRPr="00FD1381">
        <w:rPr>
          <w:rFonts w:ascii="Cambria" w:hAnsi="Cambria" w:hint="eastAsia"/>
          <w:sz w:val="24"/>
        </w:rPr>
        <w:t>-SMA (green), and DAPI-stained nuclei (blue).</w:t>
      </w:r>
    </w:p>
    <w:sectPr w:rsidR="00686595" w:rsidRPr="009D2EF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5C20B1" w14:textId="77777777" w:rsidR="00BB2183" w:rsidRDefault="00BB2183" w:rsidP="00193C5C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75CF6233" w14:textId="77777777" w:rsidR="00BB2183" w:rsidRDefault="00BB2183" w:rsidP="00193C5C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1E152C" w14:textId="77777777" w:rsidR="00BB2183" w:rsidRDefault="00BB2183" w:rsidP="00193C5C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3F308530" w14:textId="77777777" w:rsidR="00BB2183" w:rsidRDefault="00BB2183" w:rsidP="00193C5C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9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59B4"/>
    <w:rsid w:val="00082240"/>
    <w:rsid w:val="000A7F30"/>
    <w:rsid w:val="000E7FDC"/>
    <w:rsid w:val="00117041"/>
    <w:rsid w:val="00193C5C"/>
    <w:rsid w:val="003559B4"/>
    <w:rsid w:val="003836E1"/>
    <w:rsid w:val="003C1F42"/>
    <w:rsid w:val="004118CC"/>
    <w:rsid w:val="004F384C"/>
    <w:rsid w:val="005D0F79"/>
    <w:rsid w:val="00686595"/>
    <w:rsid w:val="006A11D2"/>
    <w:rsid w:val="006A1E16"/>
    <w:rsid w:val="007206E9"/>
    <w:rsid w:val="007D2357"/>
    <w:rsid w:val="0088395C"/>
    <w:rsid w:val="009D2EF2"/>
    <w:rsid w:val="009E21EF"/>
    <w:rsid w:val="00BB2183"/>
    <w:rsid w:val="00C010D4"/>
    <w:rsid w:val="00E27ED6"/>
    <w:rsid w:val="00F772C2"/>
    <w:rsid w:val="00F77E1E"/>
    <w:rsid w:val="00FC0E18"/>
    <w:rsid w:val="00FC6A3F"/>
    <w:rsid w:val="00FD13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8719041"/>
  <w14:defaultImageDpi w14:val="32767"/>
  <w15:chartTrackingRefBased/>
  <w15:docId w15:val="{D0B639CC-4E60-4105-A147-476B4D1D91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395C"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3559B4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559B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559B4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559B4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559B4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559B4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559B4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559B4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559B4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3559B4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3559B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3559B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3559B4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3559B4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3559B4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3559B4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3559B4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3559B4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3559B4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3559B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3559B4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3559B4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3559B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3559B4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3559B4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3559B4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3559B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3559B4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3559B4"/>
    <w:rPr>
      <w:b/>
      <w:bCs/>
      <w:smallCaps/>
      <w:color w:val="2F5496" w:themeColor="accent1" w:themeShade="BF"/>
      <w:spacing w:val="5"/>
    </w:rPr>
  </w:style>
  <w:style w:type="character" w:styleId="ae">
    <w:name w:val="Hyperlink"/>
    <w:basedOn w:val="a0"/>
    <w:uiPriority w:val="99"/>
    <w:unhideWhenUsed/>
    <w:qFormat/>
    <w:rsid w:val="005D0F79"/>
    <w:rPr>
      <w:color w:val="0563C1" w:themeColor="hyperlink"/>
      <w:u w:val="single"/>
    </w:rPr>
  </w:style>
  <w:style w:type="paragraph" w:styleId="af">
    <w:name w:val="header"/>
    <w:basedOn w:val="a"/>
    <w:link w:val="af0"/>
    <w:uiPriority w:val="99"/>
    <w:unhideWhenUsed/>
    <w:rsid w:val="00193C5C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0">
    <w:name w:val="页眉 字符"/>
    <w:basedOn w:val="a0"/>
    <w:link w:val="af"/>
    <w:uiPriority w:val="99"/>
    <w:rsid w:val="00193C5C"/>
    <w:rPr>
      <w:sz w:val="18"/>
      <w:szCs w:val="18"/>
    </w:rPr>
  </w:style>
  <w:style w:type="paragraph" w:styleId="af1">
    <w:name w:val="footer"/>
    <w:basedOn w:val="a"/>
    <w:link w:val="af2"/>
    <w:uiPriority w:val="99"/>
    <w:unhideWhenUsed/>
    <w:rsid w:val="00193C5C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2">
    <w:name w:val="页脚 字符"/>
    <w:basedOn w:val="a0"/>
    <w:link w:val="af1"/>
    <w:uiPriority w:val="99"/>
    <w:rsid w:val="00193C5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4.wdp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5" Type="http://schemas.openxmlformats.org/officeDocument/2006/relationships/endnotes" Target="endnotes.xml"/><Relationship Id="rId15" Type="http://schemas.microsoft.com/office/2007/relationships/hdphoto" Target="media/hdphoto5.wdp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6</Pages>
  <Words>271</Words>
  <Characters>1601</Characters>
  <Application>Microsoft Office Word</Application>
  <DocSecurity>0</DocSecurity>
  <Lines>41</Lines>
  <Paragraphs>12</Paragraphs>
  <ScaleCrop>false</ScaleCrop>
  <Company/>
  <LinksUpToDate>false</LinksUpToDate>
  <CharactersWithSpaces>1860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Yuqing Niu</dc:creator>
  <cp:keywords/>
  <dc:description/>
  <cp:lastModifiedBy>Yuqing Niu</cp:lastModifiedBy>
  <cp:revision>18</cp:revision>
  <dcterms:created xsi:type="dcterms:W3CDTF">2025-10-16T01:25:00Z</dcterms:created>
  <dcterms:modified xsi:type="dcterms:W3CDTF">2025-11-06T08:25:00Z</dcterms:modified>
</cp:coreProperties>
</file>