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C265" w14:textId="77777777" w:rsidR="009E458E" w:rsidRDefault="005B26BB">
      <w:pPr>
        <w:pStyle w:val="1"/>
      </w:pPr>
      <w:r>
        <w:t>Appendix</w:t>
      </w:r>
    </w:p>
    <w:p w14:paraId="2EC46A0B" w14:textId="307D443B" w:rsidR="00E31E06" w:rsidRDefault="00E31E06" w:rsidP="00E31E06">
      <w:pPr>
        <w:pStyle w:val="afd"/>
        <w:numPr>
          <w:ilvl w:val="0"/>
          <w:numId w:val="1"/>
        </w:numPr>
        <w:ind w:firstLineChars="0"/>
        <w:rPr>
          <w:rFonts w:hint="default"/>
          <w:b/>
          <w:sz w:val="24"/>
        </w:rPr>
      </w:pPr>
      <w:r>
        <w:rPr>
          <w:rFonts w:hint="default"/>
          <w:b/>
          <w:sz w:val="24"/>
        </w:rPr>
        <w:t>The detailed CT protocol parameters at two centers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1"/>
        <w:gridCol w:w="5901"/>
      </w:tblGrid>
      <w:tr w:rsidR="00E31E06" w14:paraId="6A68CD56" w14:textId="77777777" w:rsidTr="0056682C">
        <w:trPr>
          <w:trHeight w:val="270"/>
        </w:trPr>
        <w:tc>
          <w:tcPr>
            <w:tcW w:w="153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250655" w14:textId="77777777" w:rsidR="00E31E06" w:rsidRDefault="00E31E06" w:rsidP="0056682C">
            <w:pPr>
              <w:pStyle w:val="afc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Item</w:t>
            </w:r>
          </w:p>
        </w:tc>
        <w:tc>
          <w:tcPr>
            <w:tcW w:w="346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770B8A7" w14:textId="77777777" w:rsidR="00E31E06" w:rsidRDefault="00E31E06" w:rsidP="0056682C">
            <w:pPr>
              <w:pStyle w:val="afc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Distribution</w:t>
            </w:r>
          </w:p>
        </w:tc>
      </w:tr>
      <w:tr w:rsidR="00E31E06" w14:paraId="7A637E81" w14:textId="77777777" w:rsidTr="0056682C">
        <w:trPr>
          <w:trHeight w:val="270"/>
        </w:trPr>
        <w:tc>
          <w:tcPr>
            <w:tcW w:w="1538" w:type="pct"/>
            <w:tcBorders>
              <w:top w:val="single" w:sz="12" w:space="0" w:color="auto"/>
            </w:tcBorders>
            <w:noWrap/>
            <w:vAlign w:val="center"/>
          </w:tcPr>
          <w:p w14:paraId="519A40F2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Tube Voltage (kVp)</w:t>
            </w:r>
          </w:p>
        </w:tc>
        <w:tc>
          <w:tcPr>
            <w:tcW w:w="3461" w:type="pct"/>
            <w:tcBorders>
              <w:top w:val="single" w:sz="12" w:space="0" w:color="auto"/>
            </w:tcBorders>
            <w:noWrap/>
            <w:vAlign w:val="center"/>
          </w:tcPr>
          <w:p w14:paraId="25BA628D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120-140</w:t>
            </w:r>
          </w:p>
        </w:tc>
      </w:tr>
      <w:tr w:rsidR="00E31E06" w14:paraId="420C37C0" w14:textId="77777777" w:rsidTr="0056682C">
        <w:trPr>
          <w:trHeight w:val="270"/>
        </w:trPr>
        <w:tc>
          <w:tcPr>
            <w:tcW w:w="1538" w:type="pct"/>
            <w:noWrap/>
            <w:vAlign w:val="center"/>
          </w:tcPr>
          <w:p w14:paraId="55F91F69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Tube Current (mA)</w:t>
            </w:r>
          </w:p>
        </w:tc>
        <w:tc>
          <w:tcPr>
            <w:tcW w:w="3461" w:type="pct"/>
            <w:noWrap/>
            <w:vAlign w:val="center"/>
          </w:tcPr>
          <w:p w14:paraId="5136E56C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203 (51.8%); 154 (35.0%); 225 (5.1%); 220 (1.5%); 108-458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Other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; 459 (0.7%); 244 (0.7%);Unknown (5.1%);</w:t>
            </w:r>
          </w:p>
        </w:tc>
      </w:tr>
      <w:tr w:rsidR="00E31E06" w14:paraId="09347FB0" w14:textId="77777777" w:rsidTr="0056682C">
        <w:trPr>
          <w:trHeight w:val="270"/>
        </w:trPr>
        <w:tc>
          <w:tcPr>
            <w:tcW w:w="1538" w:type="pct"/>
            <w:noWrap/>
            <w:vAlign w:val="center"/>
          </w:tcPr>
          <w:p w14:paraId="69C3A095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Slice Thickness (mm)</w:t>
            </w:r>
          </w:p>
        </w:tc>
        <w:tc>
          <w:tcPr>
            <w:tcW w:w="3461" w:type="pct"/>
            <w:noWrap/>
            <w:vAlign w:val="center"/>
          </w:tcPr>
          <w:p w14:paraId="10F45A2F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3-3.64</w:t>
            </w:r>
          </w:p>
        </w:tc>
      </w:tr>
      <w:tr w:rsidR="00E31E06" w14:paraId="768FDF4F" w14:textId="77777777" w:rsidTr="0056682C">
        <w:trPr>
          <w:trHeight w:val="270"/>
        </w:trPr>
        <w:tc>
          <w:tcPr>
            <w:tcW w:w="1538" w:type="pct"/>
            <w:noWrap/>
            <w:vAlign w:val="center"/>
          </w:tcPr>
          <w:p w14:paraId="3E1348C5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CT Manufacturer</w:t>
            </w:r>
          </w:p>
        </w:tc>
        <w:tc>
          <w:tcPr>
            <w:tcW w:w="3461" w:type="pct"/>
            <w:noWrap/>
            <w:vAlign w:val="center"/>
          </w:tcPr>
          <w:p w14:paraId="04DB9280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Philips (57.7%); SIEMENS (37.2%); NOMOS (3.6%); Accuray Inc. (0.7%); TomoTherapy Incorporated (0.7%)</w:t>
            </w:r>
          </w:p>
        </w:tc>
      </w:tr>
      <w:tr w:rsidR="00E31E06" w14:paraId="21081517" w14:textId="77777777" w:rsidTr="0056682C">
        <w:trPr>
          <w:trHeight w:val="270"/>
        </w:trPr>
        <w:tc>
          <w:tcPr>
            <w:tcW w:w="1538" w:type="pct"/>
            <w:noWrap/>
            <w:vAlign w:val="center"/>
          </w:tcPr>
          <w:p w14:paraId="0876DD5A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Model Name</w:t>
            </w:r>
          </w:p>
        </w:tc>
        <w:tc>
          <w:tcPr>
            <w:tcW w:w="3461" w:type="pct"/>
            <w:noWrap/>
            <w:vAlign w:val="center"/>
          </w:tcPr>
          <w:p w14:paraId="53167EB7" w14:textId="77777777" w:rsidR="00E31E06" w:rsidRDefault="00E31E06" w:rsidP="0056682C">
            <w:pPr>
              <w:pStyle w:val="afc"/>
            </w:pPr>
            <w:r>
              <w:rPr>
                <w:rFonts w:hint="eastAsia"/>
              </w:rPr>
              <w:t>Brilliance Big Bore; SOMATOM Definition AS ; CORVUS 6.2 ; Ring Gantry ; Hi-Art</w:t>
            </w:r>
          </w:p>
        </w:tc>
      </w:tr>
    </w:tbl>
    <w:p w14:paraId="268DF388" w14:textId="23D23B06" w:rsidR="00E31E06" w:rsidRDefault="00E31E06">
      <w:pPr>
        <w:pStyle w:val="af5"/>
      </w:pPr>
    </w:p>
    <w:p w14:paraId="532F2CB2" w14:textId="77777777" w:rsidR="00E31E06" w:rsidRDefault="00E31E06">
      <w:pPr>
        <w:widowControl/>
        <w:jc w:val="left"/>
        <w:rPr>
          <w:rFonts w:eastAsia="楷体"/>
          <w:b/>
          <w:sz w:val="24"/>
        </w:rPr>
      </w:pPr>
      <w:r>
        <w:br w:type="page"/>
      </w:r>
    </w:p>
    <w:p w14:paraId="2C15C266" w14:textId="083CFBA1" w:rsidR="009E458E" w:rsidRPr="00E31E06" w:rsidRDefault="005B26BB" w:rsidP="00E31E06">
      <w:pPr>
        <w:pStyle w:val="afd"/>
        <w:numPr>
          <w:ilvl w:val="0"/>
          <w:numId w:val="1"/>
        </w:numPr>
        <w:ind w:firstLineChars="0"/>
        <w:rPr>
          <w:rFonts w:hint="default"/>
          <w:b/>
          <w:sz w:val="24"/>
        </w:rPr>
      </w:pPr>
      <w:r w:rsidRPr="00E31E06">
        <w:rPr>
          <w:b/>
          <w:sz w:val="24"/>
        </w:rPr>
        <w:lastRenderedPageBreak/>
        <w:t>Dose Feature Extractor</w:t>
      </w:r>
    </w:p>
    <w:p w14:paraId="2C15C267" w14:textId="77777777" w:rsidR="009E458E" w:rsidRDefault="005B26BB">
      <w:pPr>
        <w:rPr>
          <w:rFonts w:eastAsia="楷体"/>
        </w:rPr>
      </w:pPr>
      <w:r>
        <w:rPr>
          <w:rFonts w:eastAsia="楷体"/>
        </w:rPr>
        <w:t>Let</w:t>
      </w:r>
      <w:r>
        <w:rPr>
          <w:rFonts w:eastAsia="楷体" w:hint="eastAsia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 w:cs="宋体" w:hint="eastAsia"/>
          </w:rPr>
          <m:t>∈</m:t>
        </m:r>
        <m:r>
          <m:rPr>
            <m:sty m:val="p"/>
          </m:rPr>
          <w:rPr>
            <w:rFonts w:ascii="Cambria Math" w:hAnsi="Cambria Math"/>
          </w:rPr>
          <m:t>P</m:t>
        </m:r>
      </m:oMath>
      <w:r>
        <w:rPr>
          <w:rFonts w:eastAsia="楷体" w:hint="eastAsia"/>
        </w:rPr>
        <w:t xml:space="preserve"> denote </w:t>
      </w:r>
      <w:r>
        <w:rPr>
          <w:rFonts w:eastAsia="楷体"/>
        </w:rPr>
        <w:t>a patient</w:t>
      </w:r>
      <w:r>
        <w:rPr>
          <w:rStyle w:val="Char"/>
          <w:rFonts w:hint="default"/>
        </w:rPr>
        <w:t>，</w:t>
      </w:r>
      <w:r>
        <w:rPr>
          <w:rFonts w:eastAsia="楷体"/>
        </w:rPr>
        <w:t xml:space="preserve">and the corresponding multi-view dose distribution </w:t>
      </w:r>
      <w:r>
        <w:t xml:space="preserve">maps </w:t>
      </w:r>
      <w:r>
        <w:rPr>
          <w:rFonts w:eastAsia="楷体"/>
        </w:rPr>
        <w:t>be defined as</w:t>
      </w:r>
    </w:p>
    <w:p w14:paraId="2C15C268" w14:textId="77777777" w:rsidR="009E458E" w:rsidRDefault="009206C6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={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axial</m:t>
              </m:r>
            </m:sup>
          </m:sSubSup>
          <m:r>
            <w:rPr>
              <w:rFonts w:ascii="Cambria Math" w:hAnsi="Cambria Math"/>
            </w:rPr>
            <m:t>,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sagittal</m:t>
              </m:r>
            </m:sup>
          </m:sSubSup>
          <m:r>
            <w:rPr>
              <w:rFonts w:ascii="Cambria Math" w:hAnsi="Cambria Math"/>
            </w:rPr>
            <m:t>,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coronal</m:t>
              </m:r>
            </m:sup>
          </m:sSubSup>
          <m:r>
            <w:rPr>
              <w:rFonts w:ascii="Cambria Math" w:hAnsi="Cambria Math"/>
            </w:rPr>
            <m:t>}</m:t>
          </m:r>
        </m:oMath>
      </m:oMathPara>
    </w:p>
    <w:p w14:paraId="2C15C269" w14:textId="77777777" w:rsidR="009E458E" w:rsidRDefault="005B26BB">
      <w:r>
        <w:rPr>
          <w:rFonts w:eastAsia="楷体" w:hint="eastAsia"/>
        </w:rPr>
        <w:t>w</w:t>
      </w:r>
      <w:r>
        <w:rPr>
          <w:rFonts w:eastAsia="楷体"/>
        </w:rPr>
        <w:t>here</w:t>
      </w:r>
      <w:r>
        <w:rPr>
          <w:rFonts w:eastAsia="楷体" w:hint="eastAsia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  <m:sup>
            <m:r>
              <w:rPr>
                <w:rFonts w:ascii="Cambria Math" w:hAnsi="Cambria Math"/>
              </w:rPr>
              <m:t>v</m:t>
            </m:r>
          </m:sup>
        </m:sSubSup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v</m:t>
                </m:r>
              </m:sub>
            </m:sSub>
            <m:r>
              <w:rPr>
                <w:rFonts w:ascii="Cambria Math" w:hAnsi="Cambria Math"/>
              </w:rPr>
              <m:t>×C×H×W</m:t>
            </m:r>
          </m:sup>
        </m:sSup>
      </m:oMath>
      <w:r>
        <w:rPr>
          <w:rStyle w:val="Char"/>
          <w:rFonts w:hint="default"/>
        </w:rPr>
        <w:t xml:space="preserve">, </w:t>
      </w:r>
      <w:r>
        <w:rPr>
          <w:rFonts w:eastAsia="楷体"/>
        </w:rPr>
        <w:t xml:space="preserve">represents the slice sequence from view </w:t>
      </w:r>
      <m:oMath>
        <m:r>
          <w:rPr>
            <w:rFonts w:ascii="Cambria Math" w:hAnsi="Cambria Math"/>
          </w:rPr>
          <m:t>v∈{</m:t>
        </m:r>
        <m:r>
          <m:rPr>
            <m:sty m:val="p"/>
          </m:rPr>
          <w:rPr>
            <w:rFonts w:ascii="Cambria Math" w:hAnsi="Cambria Math"/>
          </w:rPr>
          <m:t>axial</m:t>
        </m:r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>sagittal</m:t>
        </m:r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>coronal</m:t>
        </m:r>
        <m:r>
          <w:rPr>
            <w:rFonts w:ascii="Cambria Math" w:hAnsi="Cambria Math"/>
          </w:rPr>
          <m:t>}</m:t>
        </m:r>
      </m:oMath>
      <w:r>
        <w:t xml:space="preserve"> </w:t>
      </w:r>
    </w:p>
    <w:p w14:paraId="2C15C26A" w14:textId="77777777" w:rsidR="009E458E" w:rsidRDefault="005B26BB">
      <w:pPr>
        <w:pStyle w:val="afd"/>
        <w:ind w:firstLineChars="0" w:firstLine="0"/>
        <w:rPr>
          <w:rFonts w:hint="default"/>
        </w:rPr>
      </w:pPr>
      <w:r>
        <w:t xml:space="preserve">Here,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</m:oMath>
      <w:r>
        <w:t xml:space="preserve"> denotes the number of slices, </w:t>
      </w:r>
      <w:r>
        <w:rPr>
          <w:rStyle w:val="Char"/>
        </w:rPr>
        <w:t>C</w:t>
      </w:r>
      <w:r>
        <w:t xml:space="preserve"> is the number of channels, and </w:t>
      </w:r>
      <w:r>
        <w:rPr>
          <w:rStyle w:val="Char"/>
        </w:rPr>
        <w:t xml:space="preserve">H,W </w:t>
      </w:r>
      <w:r>
        <w:t>are the spatial dimensions.</w:t>
      </w:r>
      <w:r>
        <w:rPr>
          <w:rFonts w:eastAsia="宋体"/>
        </w:rPr>
        <w:t xml:space="preserve"> </w:t>
      </w:r>
      <w:r>
        <w:t>Since the dose distribution maps are single-channel grayscale images, each slice was replicated across three channels to match the input requirements of the ResNet-18 backbone (C=3).</w:t>
      </w:r>
    </w:p>
    <w:p w14:paraId="2C15C26B" w14:textId="77777777" w:rsidR="009E458E" w:rsidRDefault="005B26BB">
      <w:pPr>
        <w:pStyle w:val="21"/>
      </w:pPr>
      <w:r>
        <w:t>Step 1. Feature extraction</w:t>
      </w:r>
      <w:r>
        <w:rPr>
          <w:rFonts w:hint="eastAsia"/>
        </w:rPr>
        <w:t xml:space="preserve"> </w:t>
      </w:r>
    </w:p>
    <w:p w14:paraId="2C15C26C" w14:textId="77777777" w:rsidR="009E458E" w:rsidRDefault="005B26BB">
      <w:pPr>
        <w:pStyle w:val="afd"/>
        <w:ind w:firstLineChars="0" w:firstLine="0"/>
        <w:rPr>
          <w:rFonts w:hint="default"/>
        </w:rPr>
      </w:pPr>
      <w:r>
        <w:t>Each slice is processed by a pre-trained ResNet-18 feature extractor (with the average pooling and fully connected layers removed), yielding</w:t>
      </w:r>
    </w:p>
    <w:p w14:paraId="2C15C26D" w14:textId="77777777" w:rsidR="009E458E" w:rsidRDefault="009206C6"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p,i</m:t>
              </m:r>
            </m:sub>
            <m:sup>
              <m:r>
                <w:rPr>
                  <w:rFonts w:ascii="Cambria Math" w:hAnsi="Cambria Math"/>
                </w:rPr>
                <m:t>v</m:t>
              </m:r>
            </m:sup>
          </m:sSubSup>
          <m:r>
            <w:rPr>
              <w:rFonts w:ascii="Cambria Math" w:hAnsi="Cambria Math"/>
            </w:rPr>
            <m:t>=ϕ(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p,i</m:t>
              </m:r>
            </m:sub>
            <m:sup>
              <m:r>
                <w:rPr>
                  <w:rFonts w:ascii="Cambria Math" w:hAnsi="Cambria Math"/>
                </w:rPr>
                <m:t>v</m:t>
              </m:r>
            </m:sup>
          </m:sSubSup>
          <m:r>
            <w:rPr>
              <w:rFonts w:ascii="Cambria Math" w:hAnsi="Cambria Math"/>
            </w:rPr>
            <m:t>)∈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cr m:val="double-struck"/>
                  <m:sty m:val="p"/>
                </m:rP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512</m:t>
              </m:r>
            </m:sup>
          </m:sSup>
          <m:r>
            <w:rPr>
              <w:rFonts w:ascii="Cambria Math" w:hAnsi="Cambria Math"/>
            </w:rPr>
            <m:t>,i=1,…,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</m:oMath>
      </m:oMathPara>
    </w:p>
    <w:p w14:paraId="2C15C26E" w14:textId="77777777" w:rsidR="009E458E" w:rsidRDefault="005B26BB">
      <w:pPr>
        <w:pStyle w:val="afd"/>
        <w:ind w:firstLineChars="0" w:firstLine="0"/>
        <w:rPr>
          <w:rFonts w:hint="default"/>
        </w:rPr>
      </w:pPr>
      <w:r>
        <w:t xml:space="preserve">where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p,i</m:t>
            </m:r>
          </m:sub>
          <m:sup>
            <m:r>
              <w:rPr>
                <w:rFonts w:ascii="Cambria Math" w:hAnsi="Cambria Math"/>
              </w:rPr>
              <m:t>v</m:t>
            </m:r>
          </m:sup>
        </m:sSubSup>
      </m:oMath>
      <w:r>
        <w:t xml:space="preserve"> denotes the i-th slice of patient p in view </w:t>
      </w:r>
      <m:oMath>
        <m:r>
          <w:rPr>
            <w:rFonts w:ascii="Cambria Math" w:hAnsi="Cambria Math" w:hint="default"/>
          </w:rPr>
          <m:t>v</m:t>
        </m:r>
        <m: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{</m:t>
        </m:r>
        <m:r>
          <m:rPr>
            <m:sty m:val="p"/>
          </m:rPr>
          <w:rPr>
            <w:rFonts w:ascii="Cambria Math" w:hAnsi="Cambria Math"/>
          </w:rPr>
          <m:t>axial</m:t>
        </m:r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>sagittal</m:t>
        </m:r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>coronal</m:t>
        </m:r>
        <m:r>
          <w:rPr>
            <w:rFonts w:ascii="Cambria Math" w:hAnsi="Cambria Math"/>
          </w:rPr>
          <m:t>}</m:t>
        </m:r>
      </m:oMath>
      <w:r>
        <w:t xml:space="preserve"> , </w:t>
      </w:r>
      <m:oMath>
        <m:r>
          <w:rPr>
            <w:rFonts w:ascii="Cambria Math" w:hAnsi="Cambria Math"/>
          </w:rPr>
          <m:t>ϕ</m:t>
        </m:r>
        <m:r>
          <w:rPr>
            <w:rFonts w:ascii="Cambria Math" w:hAnsi="Cambria Math" w:hint="default"/>
          </w:rPr>
          <m:t>(</m:t>
        </m:r>
        <m:r>
          <w:rPr>
            <w:rFonts w:ascii="Cambria Math" w:hAnsi="Cambria Math"/>
          </w:rPr>
          <m:t>·</m:t>
        </m:r>
        <m:r>
          <w:rPr>
            <w:rFonts w:ascii="Cambria Math" w:hAnsi="Cambria Math" w:hint="default"/>
          </w:rPr>
          <m:t>)</m:t>
        </m:r>
      </m:oMath>
      <w:r>
        <w:t xml:space="preserve"> represents the CNN backbone mapping, and the output is a 512-dimensional deep feature vector.</w:t>
      </w:r>
    </w:p>
    <w:p w14:paraId="2C15C26F" w14:textId="77777777" w:rsidR="009E458E" w:rsidRDefault="005B26BB">
      <w:pPr>
        <w:pStyle w:val="21"/>
      </w:pPr>
      <w:r>
        <w:t>Step 2. Slice-level pooling</w:t>
      </w:r>
      <w:r>
        <w:rPr>
          <w:rFonts w:hint="eastAsia"/>
        </w:rPr>
        <w:t xml:space="preserve"> </w:t>
      </w:r>
      <w:r>
        <w:t>(Global Average Pooling across slices).</w:t>
      </w:r>
    </w:p>
    <w:p w14:paraId="2C15C270" w14:textId="77777777" w:rsidR="009E458E" w:rsidRDefault="005B26BB">
      <w:pPr>
        <w:pStyle w:val="afd"/>
        <w:ind w:firstLineChars="0" w:firstLine="0"/>
        <w:rPr>
          <w:rFonts w:hint="default"/>
        </w:rPr>
      </w:pPr>
      <w:r>
        <w:t>The slice-level features for each view are averaged along the slice dimension:</w:t>
      </w:r>
    </w:p>
    <w:p w14:paraId="2C15C271" w14:textId="77777777" w:rsidR="009E458E" w:rsidRDefault="009206C6"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w:rPr>
                  <w:rFonts w:ascii="Cambria Math" w:hAnsi="Cambria Math"/>
                </w:rPr>
                <m:t>v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v</m:t>
                  </m:r>
                </m:sup>
              </m:sSubSup>
            </m:e>
          </m:nary>
          <m:r>
            <w:rPr>
              <w:rFonts w:ascii="Cambria Math" w:hAnsi="Cambria Math"/>
            </w:rPr>
            <m:t>=GAP(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p,1</m:t>
              </m:r>
            </m:sub>
            <m:sup>
              <m:r>
                <w:rPr>
                  <w:rFonts w:ascii="Cambria Math" w:hAnsi="Cambria Math"/>
                </w:rPr>
                <m:t>v</m:t>
              </m:r>
            </m:sup>
          </m:sSubSup>
          <m:r>
            <w:rPr>
              <w:rFonts w:ascii="Cambria Math" w:hAnsi="Cambria Math"/>
            </w:rPr>
            <m:t>,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p,2</m:t>
              </m:r>
            </m:sub>
            <m:sup>
              <m:r>
                <w:rPr>
                  <w:rFonts w:ascii="Cambria Math" w:hAnsi="Cambria Math"/>
                </w:rPr>
                <m:t>v</m:t>
              </m:r>
            </m:sup>
          </m:sSubSup>
          <m:r>
            <w:rPr>
              <w:rFonts w:ascii="Cambria Math" w:hAnsi="Cambria Math"/>
            </w:rPr>
            <m:t>,…,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p,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>v</m:t>
              </m:r>
            </m:sup>
          </m:sSubSup>
          <m:r>
            <w:rPr>
              <w:rFonts w:ascii="Cambria Math" w:hAnsi="Cambria Math"/>
            </w:rPr>
            <m:t>),v∈{</m:t>
          </m:r>
          <m:r>
            <m:rPr>
              <m:sty m:val="p"/>
            </m:rPr>
            <w:rPr>
              <w:rFonts w:ascii="Cambria Math" w:hAnsi="Cambria Math"/>
            </w:rPr>
            <m:t>axial</m:t>
          </m:r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sagittal</m:t>
          </m:r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coronal</m:t>
          </m:r>
          <m:r>
            <w:rPr>
              <w:rFonts w:ascii="Cambria Math" w:hAnsi="Cambria Math"/>
            </w:rPr>
            <m:t>}</m:t>
          </m:r>
        </m:oMath>
      </m:oMathPara>
    </w:p>
    <w:p w14:paraId="2C15C272" w14:textId="77777777" w:rsidR="009E458E" w:rsidRDefault="005B26BB">
      <w:pPr>
        <w:pStyle w:val="afd"/>
        <w:ind w:firstLineChars="0" w:firstLine="0"/>
        <w:rPr>
          <w:rFonts w:hint="default"/>
        </w:rPr>
      </w:pPr>
      <w:r>
        <w:t xml:space="preserve">where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</m:oMath>
      <w:r>
        <w:rPr>
          <w:rFonts w:ascii="MS Gothic" w:eastAsia="MS Gothic" w:hAnsi="MS Gothic" w:cs="MS Gothic"/>
        </w:rPr>
        <w:t>​</w:t>
      </w:r>
      <w:r>
        <w:t xml:space="preserve"> denotes the number of slices in view v,</w:t>
      </w:r>
      <w:r>
        <w:rPr>
          <w:rFonts w:eastAsia="宋体"/>
        </w:rPr>
        <w:t xml:space="preserve"> </w:t>
      </w:r>
      <w:r>
        <w:t xml:space="preserve">and the overline 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f</m:t>
            </m:r>
          </m:e>
        </m:bar>
      </m:oMath>
      <w:r>
        <w:t xml:space="preserve"> denotes the mean feature vector obtained by averaging across slices.</w:t>
      </w:r>
      <w:r>
        <w:rPr>
          <w:rFonts w:eastAsia="宋体"/>
        </w:rPr>
        <w:t xml:space="preserve"> </w:t>
      </w:r>
      <w:r>
        <w:t xml:space="preserve">This yields one global representation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p,i</m:t>
            </m:r>
          </m:sub>
          <m:sup>
            <m:r>
              <w:rPr>
                <w:rFonts w:ascii="Cambria Math" w:hAnsi="Cambria Math"/>
              </w:rPr>
              <m:t>v</m:t>
            </m:r>
          </m:sup>
        </m:sSubSup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eastAsia="MS Gothic" w:hAnsi="Cambria Math" w:cs="MS Gothic"/>
              </w:rPr>
              <m:t>R</m:t>
            </m:r>
          </m:e>
          <m:sup>
            <m:r>
              <w:rPr>
                <w:rFonts w:ascii="Cambria Math" w:hAnsi="Cambria Math"/>
              </w:rPr>
              <m:t>512</m:t>
            </m:r>
          </m:sup>
        </m:sSup>
      </m:oMath>
      <w:r>
        <w:t xml:space="preserve"> for each view.</w:t>
      </w:r>
    </w:p>
    <w:p w14:paraId="2C15C273" w14:textId="77777777" w:rsidR="009E458E" w:rsidRDefault="009E458E">
      <w:pPr>
        <w:pStyle w:val="afd"/>
        <w:ind w:firstLineChars="0" w:firstLine="0"/>
        <w:rPr>
          <w:rFonts w:hint="default"/>
        </w:rPr>
      </w:pPr>
    </w:p>
    <w:p w14:paraId="2C15C274" w14:textId="77777777" w:rsidR="009E458E" w:rsidRDefault="005B26BB">
      <w:pPr>
        <w:pStyle w:val="21"/>
        <w:rPr>
          <w:rStyle w:val="Char"/>
          <w:rFonts w:cstheme="minorBidi" w:hint="default"/>
          <w:b w:val="0"/>
          <w:bCs w:val="0"/>
          <w:szCs w:val="24"/>
        </w:rPr>
      </w:pPr>
      <w:r>
        <w:t xml:space="preserve">Step 3. Multi-view feature fusion </w:t>
      </w:r>
      <w:r>
        <w:br/>
      </w:r>
      <w:r>
        <w:rPr>
          <w:rStyle w:val="Char"/>
          <w:rFonts w:hint="default"/>
          <w:b w:val="0"/>
          <w:bCs w:val="0"/>
        </w:rPr>
        <w:t>T</w:t>
      </w:r>
      <w:r>
        <w:rPr>
          <w:rStyle w:val="Char"/>
          <w:rFonts w:cstheme="minorBidi" w:hint="default"/>
          <w:b w:val="0"/>
          <w:bCs w:val="0"/>
          <w:szCs w:val="24"/>
        </w:rPr>
        <w:t>he patient-level representation is obtained by concatenating the three view-specific features:</w:t>
      </w:r>
    </w:p>
    <w:p w14:paraId="2C15C275" w14:textId="77777777" w:rsidR="009E458E" w:rsidRDefault="009206C6">
      <w:pPr>
        <w:ind w:left="420" w:hangingChars="200" w:hanging="420"/>
        <w:rPr>
          <w:rFonts w:asciiTheme="majorHAnsi" w:eastAsia="楷体" w:hAnsiTheme="majorHAnsi" w:cstheme="majorBidi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=[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axial</m:t>
              </m:r>
            </m:sup>
          </m:sSubSup>
          <m:r>
            <w:rPr>
              <w:rFonts w:ascii="Cambria Math" w:hAnsi="Cambria Math"/>
            </w:rPr>
            <m:t>∥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sagittal</m:t>
              </m:r>
            </m:sup>
          </m:sSubSup>
          <m:r>
            <w:rPr>
              <w:rFonts w:ascii="Cambria Math" w:hAnsi="Cambria Math"/>
            </w:rPr>
            <m:t>∥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p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coronal</m:t>
              </m:r>
            </m:sup>
          </m:sSubSup>
          <m:r>
            <w:rPr>
              <w:rFonts w:ascii="Cambria Math" w:hAnsi="Cambria Math"/>
            </w:rPr>
            <m:t>]∈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cr m:val="double-struck"/>
                  <m:sty m:val="p"/>
                </m:rP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1536</m:t>
              </m:r>
            </m:sup>
          </m:sSup>
        </m:oMath>
      </m:oMathPara>
    </w:p>
    <w:p w14:paraId="2C15C276" w14:textId="77777777" w:rsidR="009E458E" w:rsidRDefault="005B26BB">
      <w:pPr>
        <w:ind w:left="420" w:hangingChars="200" w:hanging="420"/>
        <w:rPr>
          <w:rStyle w:val="22"/>
        </w:rPr>
      </w:pPr>
      <w:r>
        <w:rPr>
          <w:rStyle w:val="Char"/>
          <w:rFonts w:hint="default"/>
        </w:rPr>
        <w:t>where</w:t>
      </w:r>
      <w:r>
        <w:rPr>
          <w:rFonts w:asciiTheme="majorHAnsi" w:eastAsia="楷体" w:hAnsiTheme="majorHAnsi" w:cstheme="majorBidi" w:hint="eastAsia"/>
          <w:b/>
          <w:bCs/>
          <w:sz w:val="24"/>
          <w:szCs w:val="32"/>
        </w:rPr>
        <w:t xml:space="preserve"> </w:t>
      </w:r>
      <m:oMath>
        <m:r>
          <w:rPr>
            <w:rFonts w:ascii="Cambria Math" w:hAnsi="Cambria Math"/>
          </w:rPr>
          <m:t>∥</m:t>
        </m:r>
      </m:oMath>
      <w:r>
        <w:rPr>
          <w:rFonts w:asciiTheme="majorHAnsi" w:eastAsia="楷体" w:hAnsiTheme="majorHAnsi" w:cstheme="majorBidi" w:hint="eastAsia"/>
        </w:rPr>
        <w:t xml:space="preserve"> </w:t>
      </w:r>
      <w:r>
        <w:rPr>
          <w:rStyle w:val="Char"/>
          <w:rFonts w:hint="default"/>
        </w:rPr>
        <w:t>denotes vector concatenation.</w:t>
      </w:r>
    </w:p>
    <w:p w14:paraId="2C15C277" w14:textId="77777777" w:rsidR="009E458E" w:rsidRDefault="005B26BB">
      <w:pPr>
        <w:pStyle w:val="21"/>
        <w:rPr>
          <w:rStyle w:val="22"/>
          <w:rFonts w:ascii="Times New Roman" w:hAnsi="Times New Roman" w:cs="Times New Roman"/>
          <w:b/>
          <w:bCs/>
        </w:rPr>
      </w:pPr>
      <w:r>
        <w:rPr>
          <w:rStyle w:val="22"/>
          <w:rFonts w:ascii="Times New Roman" w:hAnsi="Times New Roman" w:cs="Times New Roman"/>
          <w:b/>
          <w:bCs/>
        </w:rPr>
        <w:lastRenderedPageBreak/>
        <w:t>Step 4. Feature matrix construction</w:t>
      </w:r>
    </w:p>
    <w:p w14:paraId="2C15C278" w14:textId="77777777" w:rsidR="009E458E" w:rsidRDefault="005B26BB">
      <w:pPr>
        <w:ind w:left="420" w:hangingChars="200" w:hanging="420"/>
        <w:rPr>
          <w:rStyle w:val="Char"/>
          <w:rFonts w:eastAsia="宋体" w:hint="default"/>
        </w:rPr>
      </w:pPr>
      <w:r>
        <w:rPr>
          <w:rStyle w:val="Char"/>
          <w:rFonts w:hint="default"/>
        </w:rPr>
        <w:t>The feature set for all patients is constructed as</w:t>
      </w:r>
    </w:p>
    <w:p w14:paraId="2C15C279" w14:textId="77777777" w:rsidR="009E458E" w:rsidRDefault="005B26BB">
      <m:oMathPara>
        <m:oMath>
          <m:r>
            <m:rPr>
              <m:scr m:val="script"/>
            </m:rPr>
            <w:rPr>
              <w:rFonts w:ascii="Cambria Math" w:hAnsi="Cambria Math"/>
            </w:rPr>
            <m:t>F={(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 w:hint="eastAsia"/>
                </w:rPr>
                <m:t>label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pid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)∣p∈</m:t>
          </m:r>
          <m:r>
            <m:rPr>
              <m:scr m:val="script"/>
            </m:rPr>
            <w:rPr>
              <w:rFonts w:ascii="Cambria Math" w:hAnsi="Cambria Math"/>
            </w:rPr>
            <m:t>P}</m:t>
          </m:r>
        </m:oMath>
      </m:oMathPara>
    </w:p>
    <w:p w14:paraId="2C15C27A" w14:textId="77777777" w:rsidR="009E458E" w:rsidRDefault="005B26BB">
      <w:pPr>
        <w:pStyle w:val="afd"/>
        <w:ind w:firstLineChars="0" w:firstLine="0"/>
        <w:rPr>
          <w:rFonts w:hint="default"/>
        </w:rPr>
      </w:pPr>
      <w:r>
        <w:t xml:space="preserve">where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label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>
        <w:rPr>
          <w:rFonts w:eastAsia="宋体"/>
        </w:rPr>
        <w:t xml:space="preserve"> </w:t>
      </w:r>
      <w:r>
        <w:t>denotes the ground-truth label and</w:t>
      </w:r>
      <w: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pid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 w:hint="default"/>
          </w:rPr>
          <m:t xml:space="preserve"> </m:t>
        </m:r>
      </m:oMath>
      <w:r>
        <w:t>is the unique patient identifier</w:t>
      </w:r>
      <w:r>
        <w:t>。</w:t>
      </w:r>
      <w:r>
        <w:t>The final patient-level feature matrix is thus</w:t>
      </w:r>
    </w:p>
    <w:p w14:paraId="2C15C27B" w14:textId="77777777" w:rsidR="009E458E" w:rsidRDefault="005B26BB">
      <m:oMathPara>
        <m:oMath>
          <m:r>
            <m:rPr>
              <m:sty m:val="b"/>
            </m:rPr>
            <w:rPr>
              <w:rFonts w:ascii="Cambria Math" w:hAnsi="Cambria Math"/>
            </w:rPr>
            <m:t>F</m:t>
          </m:r>
          <m:r>
            <w:rPr>
              <w:rFonts w:ascii="Cambria Math" w:hAnsi="Cambria Math"/>
            </w:rPr>
            <m:t>∈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cr m:val="double-struck"/>
                  <m:sty m:val="p"/>
                </m:rPr>
                <w:rPr>
                  <w:rFonts w:ascii="Cambria Math" w:hAnsi="Cambria Math"/>
                </w:rPr>
                <m:t>R</m:t>
              </m:r>
            </m:e>
            <m:sup>
              <m:r>
                <m:rPr>
                  <m:scr m:val="script"/>
                </m:rPr>
                <w:rPr>
                  <w:rFonts w:ascii="Cambria Math" w:hAnsi="Cambria Math"/>
                </w:rPr>
                <m:t>|P</m:t>
              </m:r>
              <m:r>
                <w:rPr>
                  <w:rFonts w:ascii="Cambria Math" w:hAnsi="Cambria Math"/>
                </w:rPr>
                <m:t>|×1536</m:t>
              </m:r>
            </m:sup>
          </m:sSup>
        </m:oMath>
      </m:oMathPara>
    </w:p>
    <w:p w14:paraId="2C15C27C" w14:textId="68814C99" w:rsidR="00AC74AF" w:rsidRDefault="00AC74AF">
      <w:pPr>
        <w:widowControl/>
        <w:jc w:val="left"/>
        <w:rPr>
          <w:rFonts w:eastAsia="楷体"/>
        </w:rPr>
      </w:pPr>
      <w:r>
        <w:br w:type="page"/>
      </w:r>
    </w:p>
    <w:p w14:paraId="2C15C27D" w14:textId="39095B4C" w:rsidR="009E458E" w:rsidRDefault="005B26BB">
      <w:pPr>
        <w:pStyle w:val="afd"/>
        <w:numPr>
          <w:ilvl w:val="0"/>
          <w:numId w:val="1"/>
        </w:numPr>
        <w:ind w:firstLineChars="0" w:firstLine="0"/>
        <w:rPr>
          <w:rFonts w:hint="default"/>
          <w:b/>
          <w:sz w:val="24"/>
        </w:rPr>
      </w:pPr>
      <w:r>
        <w:rPr>
          <w:b/>
          <w:sz w:val="24"/>
        </w:rPr>
        <w:lastRenderedPageBreak/>
        <w:t>Selected Features</w:t>
      </w:r>
    </w:p>
    <w:tbl>
      <w:tblPr>
        <w:tblW w:w="8429" w:type="dxa"/>
        <w:tblInd w:w="93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268"/>
        <w:gridCol w:w="2473"/>
        <w:gridCol w:w="1688"/>
      </w:tblGrid>
      <w:tr w:rsidR="00AC74AF" w14:paraId="2C15C27F" w14:textId="3D82C615" w:rsidTr="00AC74AF">
        <w:trPr>
          <w:trHeight w:val="422"/>
        </w:trPr>
        <w:tc>
          <w:tcPr>
            <w:tcW w:w="4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</w:tcPr>
          <w:p w14:paraId="2C15C27E" w14:textId="2EF86DED" w:rsidR="00AC74AF" w:rsidRDefault="00AC74AF" w:rsidP="00AC74AF">
            <w:pPr>
              <w:pStyle w:val="afc"/>
            </w:pPr>
            <w:r>
              <w:rPr>
                <w:rFonts w:hint="eastAsia"/>
                <w:b/>
                <w:bCs/>
              </w:rPr>
              <w:t>CT_radiomics_selected_features</w:t>
            </w:r>
          </w:p>
        </w:tc>
        <w:tc>
          <w:tcPr>
            <w:tcW w:w="2555" w:type="dxa"/>
            <w:tcBorders>
              <w:top w:val="single" w:sz="12" w:space="0" w:color="000000"/>
              <w:bottom w:val="single" w:sz="12" w:space="0" w:color="000000"/>
            </w:tcBorders>
          </w:tcPr>
          <w:p w14:paraId="58D71D0B" w14:textId="7B536116" w:rsidR="00AC74AF" w:rsidRDefault="00AC74AF" w:rsidP="00AC74AF">
            <w:pPr>
              <w:pStyle w:val="afc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Clinical_data_selected_features</w:t>
            </w:r>
          </w:p>
        </w:tc>
        <w:tc>
          <w:tcPr>
            <w:tcW w:w="1606" w:type="dxa"/>
            <w:tcBorders>
              <w:top w:val="single" w:sz="12" w:space="0" w:color="000000"/>
              <w:bottom w:val="single" w:sz="12" w:space="0" w:color="000000"/>
            </w:tcBorders>
          </w:tcPr>
          <w:p w14:paraId="5CF5E839" w14:textId="461726DC" w:rsidR="00AC74AF" w:rsidRDefault="00AC74AF" w:rsidP="00AC74AF">
            <w:pPr>
              <w:pStyle w:val="afc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Dose_selected_features</w:t>
            </w:r>
          </w:p>
        </w:tc>
      </w:tr>
      <w:tr w:rsidR="00AC74AF" w14:paraId="2C15C281" w14:textId="3B8AB0C0" w:rsidTr="00AC74AF">
        <w:trPr>
          <w:trHeight w:val="422"/>
        </w:trPr>
        <w:tc>
          <w:tcPr>
            <w:tcW w:w="4268" w:type="dxa"/>
            <w:tcBorders>
              <w:top w:val="single" w:sz="12" w:space="0" w:color="000000"/>
            </w:tcBorders>
            <w:shd w:val="clear" w:color="auto" w:fill="FFFFFF"/>
            <w:noWrap/>
            <w:vAlign w:val="bottom"/>
          </w:tcPr>
          <w:p w14:paraId="2C15C280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squareroot_glcm_ClusterShade</w:t>
            </w:r>
          </w:p>
        </w:tc>
        <w:tc>
          <w:tcPr>
            <w:tcW w:w="2555" w:type="dxa"/>
            <w:tcBorders>
              <w:top w:val="single" w:sz="12" w:space="0" w:color="000000"/>
            </w:tcBorders>
            <w:vAlign w:val="bottom"/>
          </w:tcPr>
          <w:p w14:paraId="65D818A5" w14:textId="48C08333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History of comorbidities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bottom"/>
          </w:tcPr>
          <w:p w14:paraId="52AB91D6" w14:textId="23629795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coronal_481</w:t>
            </w:r>
          </w:p>
        </w:tc>
      </w:tr>
      <w:tr w:rsidR="00AC74AF" w14:paraId="2C15C283" w14:textId="4C1B67A2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82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square_firstorder_InterquartileRange</w:t>
            </w:r>
          </w:p>
        </w:tc>
        <w:tc>
          <w:tcPr>
            <w:tcW w:w="2555" w:type="dxa"/>
            <w:vAlign w:val="bottom"/>
          </w:tcPr>
          <w:p w14:paraId="5B16BB94" w14:textId="1C761F42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Height</w:t>
            </w:r>
          </w:p>
        </w:tc>
        <w:tc>
          <w:tcPr>
            <w:tcW w:w="0" w:type="auto"/>
            <w:vAlign w:val="bottom"/>
          </w:tcPr>
          <w:p w14:paraId="5263870B" w14:textId="185DE82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coronal_248</w:t>
            </w:r>
          </w:p>
        </w:tc>
      </w:tr>
      <w:tr w:rsidR="00AC74AF" w14:paraId="2C15C285" w14:textId="59A8D17C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84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wavelet-HHH_glszm_SmallAreaEmphasis</w:t>
            </w:r>
          </w:p>
        </w:tc>
        <w:tc>
          <w:tcPr>
            <w:tcW w:w="2555" w:type="dxa"/>
            <w:vAlign w:val="bottom"/>
          </w:tcPr>
          <w:p w14:paraId="6604187A" w14:textId="7A99F7BF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Number of Reirradiation Fractions</w:t>
            </w:r>
          </w:p>
        </w:tc>
        <w:tc>
          <w:tcPr>
            <w:tcW w:w="0" w:type="auto"/>
            <w:vAlign w:val="bottom"/>
          </w:tcPr>
          <w:p w14:paraId="3C796879" w14:textId="659FDC69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axial_346</w:t>
            </w:r>
          </w:p>
        </w:tc>
      </w:tr>
      <w:tr w:rsidR="00AC74AF" w14:paraId="2C15C287" w14:textId="5E830119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86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wavelet-HHH_glszm_GrayLevelVariance</w:t>
            </w:r>
          </w:p>
        </w:tc>
        <w:tc>
          <w:tcPr>
            <w:tcW w:w="2555" w:type="dxa"/>
            <w:vAlign w:val="bottom"/>
          </w:tcPr>
          <w:p w14:paraId="0FE612AA" w14:textId="7FC2533E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Weight</w:t>
            </w:r>
          </w:p>
        </w:tc>
        <w:tc>
          <w:tcPr>
            <w:tcW w:w="0" w:type="auto"/>
            <w:vAlign w:val="bottom"/>
          </w:tcPr>
          <w:p w14:paraId="62CDFE03" w14:textId="40D7837B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axial_115</w:t>
            </w:r>
          </w:p>
        </w:tc>
      </w:tr>
      <w:tr w:rsidR="00AC74AF" w14:paraId="2C15C289" w14:textId="52093F1C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88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square_glszm_GrayLevelNonUniformity</w:t>
            </w:r>
          </w:p>
        </w:tc>
        <w:tc>
          <w:tcPr>
            <w:tcW w:w="2555" w:type="dxa"/>
            <w:vAlign w:val="bottom"/>
          </w:tcPr>
          <w:p w14:paraId="323811C8" w14:textId="5D007146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rN8th</w:t>
            </w:r>
          </w:p>
        </w:tc>
        <w:tc>
          <w:tcPr>
            <w:tcW w:w="0" w:type="auto"/>
            <w:vAlign w:val="bottom"/>
          </w:tcPr>
          <w:p w14:paraId="47C6E439" w14:textId="26DBEFA2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axial_354</w:t>
            </w:r>
          </w:p>
        </w:tc>
      </w:tr>
      <w:tr w:rsidR="00AC74AF" w14:paraId="2C15C28B" w14:textId="70562175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8A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wavelet-HHH_glrlm_LongRunLowGrayLevelEmphasis</w:t>
            </w:r>
          </w:p>
        </w:tc>
        <w:tc>
          <w:tcPr>
            <w:tcW w:w="2555" w:type="dxa"/>
            <w:vAlign w:val="bottom"/>
          </w:tcPr>
          <w:p w14:paraId="3EFB6DD6" w14:textId="75067F1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Gender</w:t>
            </w:r>
          </w:p>
        </w:tc>
        <w:tc>
          <w:tcPr>
            <w:tcW w:w="0" w:type="auto"/>
            <w:vAlign w:val="bottom"/>
          </w:tcPr>
          <w:p w14:paraId="334E8003" w14:textId="5E84ED8C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sagittal_139</w:t>
            </w:r>
          </w:p>
        </w:tc>
      </w:tr>
      <w:tr w:rsidR="00AC74AF" w14:paraId="2C15C28D" w14:textId="52F8DA9D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8C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gradient_firstorder_10Percentile</w:t>
            </w:r>
          </w:p>
        </w:tc>
        <w:tc>
          <w:tcPr>
            <w:tcW w:w="2555" w:type="dxa"/>
            <w:vAlign w:val="bottom"/>
          </w:tcPr>
          <w:p w14:paraId="7D88850D" w14:textId="15468E71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Age</w:t>
            </w:r>
          </w:p>
        </w:tc>
        <w:tc>
          <w:tcPr>
            <w:tcW w:w="0" w:type="auto"/>
          </w:tcPr>
          <w:p w14:paraId="2FE7AAA1" w14:textId="6890292D" w:rsidR="00AC74AF" w:rsidRDefault="00AC74AF" w:rsidP="00AC74AF">
            <w:pPr>
              <w:pStyle w:val="afc"/>
            </w:pPr>
          </w:p>
        </w:tc>
      </w:tr>
      <w:tr w:rsidR="00AC74AF" w14:paraId="2C15C28F" w14:textId="54916A40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8E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exponential_glcm_ClusterTendency</w:t>
            </w:r>
          </w:p>
        </w:tc>
        <w:tc>
          <w:tcPr>
            <w:tcW w:w="2555" w:type="dxa"/>
            <w:vAlign w:val="bottom"/>
          </w:tcPr>
          <w:p w14:paraId="6B627264" w14:textId="4ED34CE8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rM8th</w:t>
            </w:r>
          </w:p>
        </w:tc>
        <w:tc>
          <w:tcPr>
            <w:tcW w:w="0" w:type="auto"/>
          </w:tcPr>
          <w:p w14:paraId="69A6079E" w14:textId="3484F2C6" w:rsidR="00AC74AF" w:rsidRDefault="00AC74AF" w:rsidP="00AC74AF">
            <w:pPr>
              <w:pStyle w:val="afc"/>
            </w:pPr>
          </w:p>
        </w:tc>
      </w:tr>
      <w:tr w:rsidR="00AC74AF" w14:paraId="2C15C291" w14:textId="03F7CA9D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90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wavelet-HHH_glrlm_LowGrayLevelRunEmphasis</w:t>
            </w:r>
          </w:p>
        </w:tc>
        <w:tc>
          <w:tcPr>
            <w:tcW w:w="2555" w:type="dxa"/>
            <w:vAlign w:val="bottom"/>
          </w:tcPr>
          <w:p w14:paraId="100DAD57" w14:textId="1B3A418A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History of alcohol consumption</w:t>
            </w:r>
          </w:p>
        </w:tc>
        <w:tc>
          <w:tcPr>
            <w:tcW w:w="0" w:type="auto"/>
          </w:tcPr>
          <w:p w14:paraId="54248894" w14:textId="253C296B" w:rsidR="00AC74AF" w:rsidRDefault="00AC74AF" w:rsidP="00AC74AF">
            <w:pPr>
              <w:pStyle w:val="afc"/>
            </w:pPr>
          </w:p>
        </w:tc>
      </w:tr>
      <w:tr w:rsidR="00AC74AF" w14:paraId="2C15C293" w14:textId="4BD84C39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92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exponential_firstorder_90Percentile</w:t>
            </w:r>
          </w:p>
        </w:tc>
        <w:tc>
          <w:tcPr>
            <w:tcW w:w="2555" w:type="dxa"/>
            <w:vAlign w:val="bottom"/>
          </w:tcPr>
          <w:p w14:paraId="0B895245" w14:textId="24F11C22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rTNM8th</w:t>
            </w:r>
          </w:p>
        </w:tc>
        <w:tc>
          <w:tcPr>
            <w:tcW w:w="0" w:type="auto"/>
          </w:tcPr>
          <w:p w14:paraId="43F1027F" w14:textId="048C0ADC" w:rsidR="00AC74AF" w:rsidRDefault="00AC74AF" w:rsidP="00AC74AF">
            <w:pPr>
              <w:pStyle w:val="afc"/>
            </w:pPr>
          </w:p>
        </w:tc>
      </w:tr>
      <w:tr w:rsidR="00AC74AF" w14:paraId="2C15C295" w14:textId="4B73C39B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94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square_glszm_SizeZoneNonUniformity</w:t>
            </w:r>
          </w:p>
        </w:tc>
        <w:tc>
          <w:tcPr>
            <w:tcW w:w="2555" w:type="dxa"/>
            <w:vAlign w:val="bottom"/>
          </w:tcPr>
          <w:p w14:paraId="68273807" w14:textId="50D10563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EQD2</w:t>
            </w:r>
          </w:p>
        </w:tc>
        <w:tc>
          <w:tcPr>
            <w:tcW w:w="0" w:type="auto"/>
          </w:tcPr>
          <w:p w14:paraId="3323F4BD" w14:textId="3DC5CBC6" w:rsidR="00AC74AF" w:rsidRDefault="00AC74AF" w:rsidP="00AC74AF">
            <w:pPr>
              <w:pStyle w:val="afc"/>
            </w:pPr>
          </w:p>
        </w:tc>
      </w:tr>
      <w:tr w:rsidR="00AC74AF" w14:paraId="2C15C297" w14:textId="24109D4C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96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wavelet-HHH_glrlm_ShortRunLowGrayLevelEmphasis</w:t>
            </w:r>
          </w:p>
        </w:tc>
        <w:tc>
          <w:tcPr>
            <w:tcW w:w="2555" w:type="dxa"/>
          </w:tcPr>
          <w:p w14:paraId="015FB1CE" w14:textId="77777777" w:rsidR="00AC74AF" w:rsidRDefault="00AC74AF" w:rsidP="00AC74AF">
            <w:pPr>
              <w:pStyle w:val="afc"/>
            </w:pPr>
          </w:p>
        </w:tc>
        <w:tc>
          <w:tcPr>
            <w:tcW w:w="0" w:type="auto"/>
          </w:tcPr>
          <w:p w14:paraId="2C6F41F4" w14:textId="465D38FA" w:rsidR="00AC74AF" w:rsidRDefault="00AC74AF" w:rsidP="00AC74AF">
            <w:pPr>
              <w:pStyle w:val="afc"/>
            </w:pPr>
          </w:p>
        </w:tc>
      </w:tr>
      <w:tr w:rsidR="00AC74AF" w14:paraId="2C15C299" w14:textId="5249A7AE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98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logarithm_firstorder_10Percentile</w:t>
            </w:r>
          </w:p>
        </w:tc>
        <w:tc>
          <w:tcPr>
            <w:tcW w:w="2555" w:type="dxa"/>
          </w:tcPr>
          <w:p w14:paraId="28476EE7" w14:textId="77777777" w:rsidR="00AC74AF" w:rsidRDefault="00AC74AF" w:rsidP="00AC74AF">
            <w:pPr>
              <w:pStyle w:val="afc"/>
            </w:pPr>
          </w:p>
        </w:tc>
        <w:tc>
          <w:tcPr>
            <w:tcW w:w="0" w:type="auto"/>
          </w:tcPr>
          <w:p w14:paraId="6EB29D71" w14:textId="1A78D31B" w:rsidR="00AC74AF" w:rsidRDefault="00AC74AF" w:rsidP="00AC74AF">
            <w:pPr>
              <w:pStyle w:val="afc"/>
            </w:pPr>
          </w:p>
        </w:tc>
      </w:tr>
      <w:tr w:rsidR="00AC74AF" w14:paraId="2C15C29B" w14:textId="62A7AA31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9A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wavelet-HHH_glszm_SmallAreaLowGrayLevelEmphasis</w:t>
            </w:r>
          </w:p>
        </w:tc>
        <w:tc>
          <w:tcPr>
            <w:tcW w:w="2555" w:type="dxa"/>
          </w:tcPr>
          <w:p w14:paraId="7CA6EECD" w14:textId="77777777" w:rsidR="00AC74AF" w:rsidRDefault="00AC74AF" w:rsidP="00AC74AF">
            <w:pPr>
              <w:pStyle w:val="afc"/>
            </w:pPr>
          </w:p>
        </w:tc>
        <w:tc>
          <w:tcPr>
            <w:tcW w:w="0" w:type="auto"/>
          </w:tcPr>
          <w:p w14:paraId="553912A9" w14:textId="1CEE4A59" w:rsidR="00AC74AF" w:rsidRDefault="00AC74AF" w:rsidP="00AC74AF">
            <w:pPr>
              <w:pStyle w:val="afc"/>
            </w:pPr>
          </w:p>
        </w:tc>
      </w:tr>
      <w:tr w:rsidR="00AC74AF" w14:paraId="2C15C29D" w14:textId="5437D1BF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9C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wavelet-HHH_ngtdm_Contrast</w:t>
            </w:r>
          </w:p>
        </w:tc>
        <w:tc>
          <w:tcPr>
            <w:tcW w:w="2555" w:type="dxa"/>
          </w:tcPr>
          <w:p w14:paraId="3C89963C" w14:textId="77777777" w:rsidR="00AC74AF" w:rsidRDefault="00AC74AF" w:rsidP="00AC74AF">
            <w:pPr>
              <w:pStyle w:val="afc"/>
            </w:pPr>
          </w:p>
        </w:tc>
        <w:tc>
          <w:tcPr>
            <w:tcW w:w="0" w:type="auto"/>
          </w:tcPr>
          <w:p w14:paraId="7C767E59" w14:textId="4138D67F" w:rsidR="00AC74AF" w:rsidRDefault="00AC74AF" w:rsidP="00AC74AF">
            <w:pPr>
              <w:pStyle w:val="afc"/>
            </w:pPr>
          </w:p>
        </w:tc>
      </w:tr>
      <w:tr w:rsidR="00AC74AF" w14:paraId="2C15C29F" w14:textId="64256C06" w:rsidTr="00AC74AF">
        <w:trPr>
          <w:trHeight w:val="422"/>
        </w:trPr>
        <w:tc>
          <w:tcPr>
            <w:tcW w:w="4268" w:type="dxa"/>
            <w:shd w:val="clear" w:color="auto" w:fill="FFFFFF"/>
            <w:noWrap/>
            <w:vAlign w:val="bottom"/>
          </w:tcPr>
          <w:p w14:paraId="2C15C29E" w14:textId="77777777" w:rsidR="00AC74AF" w:rsidRDefault="00AC74AF" w:rsidP="00AC74AF">
            <w:pPr>
              <w:pStyle w:val="afc"/>
              <w:jc w:val="left"/>
            </w:pPr>
            <w:r>
              <w:rPr>
                <w:rFonts w:hint="eastAsia"/>
              </w:rPr>
              <w:t>wavelet-HHH_gldm_LargeDependenceLowGrayLevelEmphasis</w:t>
            </w:r>
          </w:p>
        </w:tc>
        <w:tc>
          <w:tcPr>
            <w:tcW w:w="2555" w:type="dxa"/>
          </w:tcPr>
          <w:p w14:paraId="7AA021D4" w14:textId="77777777" w:rsidR="00AC74AF" w:rsidRDefault="00AC74AF" w:rsidP="00AC74AF">
            <w:pPr>
              <w:pStyle w:val="afc"/>
            </w:pPr>
          </w:p>
        </w:tc>
        <w:tc>
          <w:tcPr>
            <w:tcW w:w="0" w:type="auto"/>
          </w:tcPr>
          <w:p w14:paraId="0AADFEDF" w14:textId="7025F11F" w:rsidR="00AC74AF" w:rsidRDefault="00AC74AF" w:rsidP="00AC74AF">
            <w:pPr>
              <w:pStyle w:val="afc"/>
            </w:pPr>
          </w:p>
        </w:tc>
      </w:tr>
    </w:tbl>
    <w:p w14:paraId="2C15C2A0" w14:textId="77777777" w:rsidR="009E458E" w:rsidRDefault="009E458E">
      <w:pPr>
        <w:pStyle w:val="afd"/>
        <w:ind w:firstLineChars="0" w:firstLine="0"/>
        <w:rPr>
          <w:rFonts w:hint="default"/>
        </w:rPr>
      </w:pPr>
    </w:p>
    <w:p w14:paraId="2C15C2C7" w14:textId="77777777" w:rsidR="009E458E" w:rsidRDefault="009E458E">
      <w:pPr>
        <w:pStyle w:val="afd"/>
        <w:ind w:firstLineChars="0" w:firstLine="0"/>
        <w:rPr>
          <w:rFonts w:hint="default"/>
        </w:rPr>
      </w:pPr>
    </w:p>
    <w:p w14:paraId="2C15C2DB" w14:textId="77777777" w:rsidR="009E458E" w:rsidRDefault="009E458E">
      <w:pPr>
        <w:pStyle w:val="afd"/>
        <w:ind w:firstLineChars="0" w:firstLine="0"/>
        <w:rPr>
          <w:rFonts w:hint="default"/>
        </w:rPr>
      </w:pPr>
    </w:p>
    <w:p w14:paraId="2C15C2DC" w14:textId="77777777" w:rsidR="009E458E" w:rsidRDefault="009E458E">
      <w:pPr>
        <w:pStyle w:val="afd"/>
        <w:ind w:firstLineChars="0" w:firstLine="0"/>
        <w:rPr>
          <w:rFonts w:hint="default"/>
        </w:rPr>
      </w:pPr>
    </w:p>
    <w:sectPr w:rsidR="009E4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7D4D" w14:textId="77777777" w:rsidR="00344E0D" w:rsidRDefault="00344E0D" w:rsidP="00344E0D">
      <w:r>
        <w:separator/>
      </w:r>
    </w:p>
  </w:endnote>
  <w:endnote w:type="continuationSeparator" w:id="0">
    <w:p w14:paraId="634EBC91" w14:textId="77777777" w:rsidR="00344E0D" w:rsidRDefault="00344E0D" w:rsidP="0034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6B9EE" w14:textId="77777777" w:rsidR="00344E0D" w:rsidRDefault="00344E0D" w:rsidP="00344E0D">
      <w:r>
        <w:separator/>
      </w:r>
    </w:p>
  </w:footnote>
  <w:footnote w:type="continuationSeparator" w:id="0">
    <w:p w14:paraId="57764D33" w14:textId="77777777" w:rsidR="00344E0D" w:rsidRDefault="00344E0D" w:rsidP="00344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2E18C"/>
    <w:multiLevelType w:val="singleLevel"/>
    <w:tmpl w:val="04090015"/>
    <w:lvl w:ilvl="0">
      <w:start w:val="1"/>
      <w:numFmt w:val="upperLetter"/>
      <w:lvlText w:val="%1."/>
      <w:lvlJc w:val="left"/>
      <w:pPr>
        <w:ind w:left="360" w:hanging="360"/>
      </w:pPr>
    </w:lvl>
  </w:abstractNum>
  <w:num w:numId="1" w16cid:durableId="94696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58C31B21"/>
    <w:rsid w:val="00003CE1"/>
    <w:rsid w:val="00005BC3"/>
    <w:rsid w:val="00010EDE"/>
    <w:rsid w:val="000110BE"/>
    <w:rsid w:val="00024AC7"/>
    <w:rsid w:val="00027121"/>
    <w:rsid w:val="00030BB6"/>
    <w:rsid w:val="00034313"/>
    <w:rsid w:val="0007021A"/>
    <w:rsid w:val="000728EF"/>
    <w:rsid w:val="00072ADA"/>
    <w:rsid w:val="00082312"/>
    <w:rsid w:val="0009010B"/>
    <w:rsid w:val="000A33C4"/>
    <w:rsid w:val="00110CB0"/>
    <w:rsid w:val="001170C1"/>
    <w:rsid w:val="00132A43"/>
    <w:rsid w:val="001407A1"/>
    <w:rsid w:val="0014692C"/>
    <w:rsid w:val="00166F89"/>
    <w:rsid w:val="00174EA8"/>
    <w:rsid w:val="00176CE2"/>
    <w:rsid w:val="00181236"/>
    <w:rsid w:val="001819C4"/>
    <w:rsid w:val="00194694"/>
    <w:rsid w:val="001A63A8"/>
    <w:rsid w:val="001B0537"/>
    <w:rsid w:val="001B4A8A"/>
    <w:rsid w:val="001E3243"/>
    <w:rsid w:val="001F7591"/>
    <w:rsid w:val="001F7A20"/>
    <w:rsid w:val="00201A9E"/>
    <w:rsid w:val="00205939"/>
    <w:rsid w:val="0020756B"/>
    <w:rsid w:val="00210AA7"/>
    <w:rsid w:val="00227EEA"/>
    <w:rsid w:val="00232FBB"/>
    <w:rsid w:val="00240D99"/>
    <w:rsid w:val="00253310"/>
    <w:rsid w:val="00267562"/>
    <w:rsid w:val="00274AEB"/>
    <w:rsid w:val="00282C5F"/>
    <w:rsid w:val="002B259C"/>
    <w:rsid w:val="002B5B67"/>
    <w:rsid w:val="002D04BE"/>
    <w:rsid w:val="002D3463"/>
    <w:rsid w:val="002E7777"/>
    <w:rsid w:val="002F2F87"/>
    <w:rsid w:val="00301C52"/>
    <w:rsid w:val="0032190A"/>
    <w:rsid w:val="00331951"/>
    <w:rsid w:val="0033495E"/>
    <w:rsid w:val="00344E0D"/>
    <w:rsid w:val="00350A90"/>
    <w:rsid w:val="003530B4"/>
    <w:rsid w:val="00361405"/>
    <w:rsid w:val="00361C2A"/>
    <w:rsid w:val="00382A1D"/>
    <w:rsid w:val="003B5AF1"/>
    <w:rsid w:val="003B64C2"/>
    <w:rsid w:val="003D0FB5"/>
    <w:rsid w:val="003E21CA"/>
    <w:rsid w:val="003E57C7"/>
    <w:rsid w:val="003F0B60"/>
    <w:rsid w:val="00407DBC"/>
    <w:rsid w:val="004368FE"/>
    <w:rsid w:val="00440BD2"/>
    <w:rsid w:val="00466B4C"/>
    <w:rsid w:val="00467A65"/>
    <w:rsid w:val="00471BC7"/>
    <w:rsid w:val="0048278E"/>
    <w:rsid w:val="0048767A"/>
    <w:rsid w:val="00496858"/>
    <w:rsid w:val="004C62DE"/>
    <w:rsid w:val="004E6A9E"/>
    <w:rsid w:val="004F4FF0"/>
    <w:rsid w:val="00501F71"/>
    <w:rsid w:val="00502C10"/>
    <w:rsid w:val="0052669F"/>
    <w:rsid w:val="00563270"/>
    <w:rsid w:val="0057570F"/>
    <w:rsid w:val="005B26BB"/>
    <w:rsid w:val="005B4295"/>
    <w:rsid w:val="005D2282"/>
    <w:rsid w:val="005D28E4"/>
    <w:rsid w:val="005F2644"/>
    <w:rsid w:val="00600FE9"/>
    <w:rsid w:val="00630CE1"/>
    <w:rsid w:val="00662D34"/>
    <w:rsid w:val="0067560C"/>
    <w:rsid w:val="0067774E"/>
    <w:rsid w:val="00694554"/>
    <w:rsid w:val="006B51DF"/>
    <w:rsid w:val="006D0B00"/>
    <w:rsid w:val="006D0F00"/>
    <w:rsid w:val="006D1A13"/>
    <w:rsid w:val="006F3DEB"/>
    <w:rsid w:val="00714293"/>
    <w:rsid w:val="007157AF"/>
    <w:rsid w:val="0071782D"/>
    <w:rsid w:val="00735B1D"/>
    <w:rsid w:val="007377B5"/>
    <w:rsid w:val="0074107E"/>
    <w:rsid w:val="00760723"/>
    <w:rsid w:val="00765F57"/>
    <w:rsid w:val="007675F8"/>
    <w:rsid w:val="00771CCF"/>
    <w:rsid w:val="00781C3C"/>
    <w:rsid w:val="007B1A88"/>
    <w:rsid w:val="007B47D7"/>
    <w:rsid w:val="00807669"/>
    <w:rsid w:val="00815659"/>
    <w:rsid w:val="00830BD9"/>
    <w:rsid w:val="00846412"/>
    <w:rsid w:val="008922B6"/>
    <w:rsid w:val="0089643F"/>
    <w:rsid w:val="008A43AA"/>
    <w:rsid w:val="008E79DC"/>
    <w:rsid w:val="009206C6"/>
    <w:rsid w:val="00935600"/>
    <w:rsid w:val="00950E11"/>
    <w:rsid w:val="00972E24"/>
    <w:rsid w:val="009B24F0"/>
    <w:rsid w:val="009E458E"/>
    <w:rsid w:val="009E606E"/>
    <w:rsid w:val="00A02CF1"/>
    <w:rsid w:val="00A03D4C"/>
    <w:rsid w:val="00A15721"/>
    <w:rsid w:val="00A31EDA"/>
    <w:rsid w:val="00A44372"/>
    <w:rsid w:val="00A479C9"/>
    <w:rsid w:val="00A614E2"/>
    <w:rsid w:val="00A71143"/>
    <w:rsid w:val="00AA003E"/>
    <w:rsid w:val="00AB099F"/>
    <w:rsid w:val="00AB671C"/>
    <w:rsid w:val="00AC56AF"/>
    <w:rsid w:val="00AC74AF"/>
    <w:rsid w:val="00AE6763"/>
    <w:rsid w:val="00B03209"/>
    <w:rsid w:val="00B13ACB"/>
    <w:rsid w:val="00B16434"/>
    <w:rsid w:val="00B40B05"/>
    <w:rsid w:val="00B42616"/>
    <w:rsid w:val="00B814AF"/>
    <w:rsid w:val="00B82ACD"/>
    <w:rsid w:val="00B830C5"/>
    <w:rsid w:val="00BA542D"/>
    <w:rsid w:val="00BB2EB4"/>
    <w:rsid w:val="00BB403F"/>
    <w:rsid w:val="00BD650F"/>
    <w:rsid w:val="00BF6315"/>
    <w:rsid w:val="00C0247B"/>
    <w:rsid w:val="00C04AF1"/>
    <w:rsid w:val="00C33A02"/>
    <w:rsid w:val="00C52143"/>
    <w:rsid w:val="00C52253"/>
    <w:rsid w:val="00C54CBE"/>
    <w:rsid w:val="00C74E32"/>
    <w:rsid w:val="00C8684A"/>
    <w:rsid w:val="00C9530C"/>
    <w:rsid w:val="00CA2411"/>
    <w:rsid w:val="00CB4B1B"/>
    <w:rsid w:val="00CB57EC"/>
    <w:rsid w:val="00CD7412"/>
    <w:rsid w:val="00CF3654"/>
    <w:rsid w:val="00D0253C"/>
    <w:rsid w:val="00D13851"/>
    <w:rsid w:val="00D17BB8"/>
    <w:rsid w:val="00D253A0"/>
    <w:rsid w:val="00D53635"/>
    <w:rsid w:val="00D7130B"/>
    <w:rsid w:val="00D72C6A"/>
    <w:rsid w:val="00D91890"/>
    <w:rsid w:val="00DC4C8C"/>
    <w:rsid w:val="00DE2220"/>
    <w:rsid w:val="00DF5047"/>
    <w:rsid w:val="00E04E77"/>
    <w:rsid w:val="00E1469A"/>
    <w:rsid w:val="00E31E06"/>
    <w:rsid w:val="00E3590F"/>
    <w:rsid w:val="00E534DB"/>
    <w:rsid w:val="00E61393"/>
    <w:rsid w:val="00E70F8B"/>
    <w:rsid w:val="00E96BF5"/>
    <w:rsid w:val="00EA73B6"/>
    <w:rsid w:val="00EC0058"/>
    <w:rsid w:val="00ED260F"/>
    <w:rsid w:val="00EE216A"/>
    <w:rsid w:val="00EE5EEF"/>
    <w:rsid w:val="00EF4AE7"/>
    <w:rsid w:val="00F07ED0"/>
    <w:rsid w:val="00F12C77"/>
    <w:rsid w:val="00F31611"/>
    <w:rsid w:val="00F3752F"/>
    <w:rsid w:val="00F5491A"/>
    <w:rsid w:val="00F6586F"/>
    <w:rsid w:val="00F65E5F"/>
    <w:rsid w:val="00F74FD4"/>
    <w:rsid w:val="00F910E9"/>
    <w:rsid w:val="00F91ECB"/>
    <w:rsid w:val="00FA23C4"/>
    <w:rsid w:val="00FB36FE"/>
    <w:rsid w:val="00FD4618"/>
    <w:rsid w:val="00FF4F57"/>
    <w:rsid w:val="00FF794E"/>
    <w:rsid w:val="017A1A26"/>
    <w:rsid w:val="0383751D"/>
    <w:rsid w:val="041F7BF5"/>
    <w:rsid w:val="0442248D"/>
    <w:rsid w:val="04835C19"/>
    <w:rsid w:val="08F75D7F"/>
    <w:rsid w:val="0ACE04DE"/>
    <w:rsid w:val="0D3E3859"/>
    <w:rsid w:val="0DE34C49"/>
    <w:rsid w:val="0FC873E4"/>
    <w:rsid w:val="0FFB3E58"/>
    <w:rsid w:val="11951A46"/>
    <w:rsid w:val="149947E3"/>
    <w:rsid w:val="14CC0997"/>
    <w:rsid w:val="15203826"/>
    <w:rsid w:val="154B7FAA"/>
    <w:rsid w:val="15C71193"/>
    <w:rsid w:val="16583A41"/>
    <w:rsid w:val="168E2EB3"/>
    <w:rsid w:val="16DE3E91"/>
    <w:rsid w:val="19E63A71"/>
    <w:rsid w:val="1D7E2BE8"/>
    <w:rsid w:val="1DF454EB"/>
    <w:rsid w:val="1EDC17A6"/>
    <w:rsid w:val="1EDD35D7"/>
    <w:rsid w:val="1FF9756E"/>
    <w:rsid w:val="210D7300"/>
    <w:rsid w:val="21C00C6F"/>
    <w:rsid w:val="254A48EC"/>
    <w:rsid w:val="27723DD1"/>
    <w:rsid w:val="28B318AB"/>
    <w:rsid w:val="304F44E8"/>
    <w:rsid w:val="30F66D7E"/>
    <w:rsid w:val="314A01BA"/>
    <w:rsid w:val="323D2377"/>
    <w:rsid w:val="353648FC"/>
    <w:rsid w:val="356B0EA6"/>
    <w:rsid w:val="36913E80"/>
    <w:rsid w:val="372432F0"/>
    <w:rsid w:val="38C04092"/>
    <w:rsid w:val="3BEC0A15"/>
    <w:rsid w:val="3D0812A8"/>
    <w:rsid w:val="3D3B1DEC"/>
    <w:rsid w:val="3D6924C9"/>
    <w:rsid w:val="3D8A21F3"/>
    <w:rsid w:val="3E636890"/>
    <w:rsid w:val="3FE6540D"/>
    <w:rsid w:val="40A9475E"/>
    <w:rsid w:val="42B14560"/>
    <w:rsid w:val="44B21DE3"/>
    <w:rsid w:val="458E4869"/>
    <w:rsid w:val="46B36680"/>
    <w:rsid w:val="46F14582"/>
    <w:rsid w:val="4C340F99"/>
    <w:rsid w:val="4CE9281D"/>
    <w:rsid w:val="4D7560E1"/>
    <w:rsid w:val="4E544FA0"/>
    <w:rsid w:val="4EED3D78"/>
    <w:rsid w:val="5009696C"/>
    <w:rsid w:val="51546E0B"/>
    <w:rsid w:val="5164435F"/>
    <w:rsid w:val="522239C3"/>
    <w:rsid w:val="52E6258C"/>
    <w:rsid w:val="552A1E7A"/>
    <w:rsid w:val="58C31B21"/>
    <w:rsid w:val="58F17AF4"/>
    <w:rsid w:val="5DDE7699"/>
    <w:rsid w:val="5EF939B6"/>
    <w:rsid w:val="60960C30"/>
    <w:rsid w:val="61350123"/>
    <w:rsid w:val="6166214E"/>
    <w:rsid w:val="63992C44"/>
    <w:rsid w:val="652345F2"/>
    <w:rsid w:val="679402A4"/>
    <w:rsid w:val="68D50F83"/>
    <w:rsid w:val="6AFF300A"/>
    <w:rsid w:val="6B333122"/>
    <w:rsid w:val="6B9E100E"/>
    <w:rsid w:val="6BC030CF"/>
    <w:rsid w:val="6DBF6EB7"/>
    <w:rsid w:val="6F4D4C57"/>
    <w:rsid w:val="6FE923AF"/>
    <w:rsid w:val="72144BAF"/>
    <w:rsid w:val="763E6F30"/>
    <w:rsid w:val="77FB140B"/>
    <w:rsid w:val="79134850"/>
    <w:rsid w:val="792B66CC"/>
    <w:rsid w:val="797109BB"/>
    <w:rsid w:val="7A6159B5"/>
    <w:rsid w:val="7BAE260E"/>
    <w:rsid w:val="7BB75764"/>
    <w:rsid w:val="7E285309"/>
    <w:rsid w:val="7EAD567B"/>
    <w:rsid w:val="7F931F68"/>
    <w:rsid w:val="7FA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C15C265"/>
  <w15:docId w15:val="{824CAA22-5DAC-4C74-AF55-3752A938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unhideWhenUsed="1" w:qFormat="1"/>
    <w:lsdException w:name="table of figures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unhideWhenUsed="1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able of figures"/>
    <w:basedOn w:val="a"/>
    <w:next w:val="a"/>
    <w:qFormat/>
    <w:pPr>
      <w:ind w:leftChars="200" w:left="200" w:hangingChars="200" w:hanging="200"/>
    </w:pPr>
  </w:style>
  <w:style w:type="paragraph" w:styleId="ac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d">
    <w:name w:val="Title"/>
    <w:basedOn w:val="a"/>
    <w:next w:val="a"/>
    <w:link w:val="ae"/>
    <w:qFormat/>
    <w:pPr>
      <w:spacing w:before="240" w:after="60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af">
    <w:name w:val="annotation subject"/>
    <w:basedOn w:val="a5"/>
    <w:next w:val="a5"/>
    <w:link w:val="af0"/>
    <w:qFormat/>
    <w:pPr>
      <w:jc w:val="both"/>
    </w:pPr>
    <w:rPr>
      <w:b/>
      <w:bCs/>
      <w:sz w:val="20"/>
      <w:szCs w:val="20"/>
    </w:rPr>
  </w:style>
  <w:style w:type="character" w:styleId="af1">
    <w:name w:val="Strong"/>
    <w:basedOn w:val="a0"/>
    <w:qFormat/>
    <w:rPr>
      <w:b/>
    </w:rPr>
  </w:style>
  <w:style w:type="character" w:styleId="af2">
    <w:name w:val="Emphasis"/>
    <w:basedOn w:val="a0"/>
    <w:qFormat/>
    <w:rPr>
      <w:i/>
    </w:rPr>
  </w:style>
  <w:style w:type="character" w:styleId="af3">
    <w:name w:val="Hyperlink"/>
    <w:basedOn w:val="a0"/>
    <w:qFormat/>
    <w:rPr>
      <w:color w:val="0026E5" w:themeColor="hyperlink"/>
      <w:u w:val="single"/>
    </w:rPr>
  </w:style>
  <w:style w:type="character" w:styleId="HTML">
    <w:name w:val="HTML Code"/>
    <w:basedOn w:val="a0"/>
    <w:qFormat/>
    <w:rPr>
      <w:rFonts w:ascii="Courier New" w:hAnsi="Courier New"/>
      <w:sz w:val="20"/>
    </w:rPr>
  </w:style>
  <w:style w:type="character" w:styleId="af4">
    <w:name w:val="annotation reference"/>
    <w:basedOn w:val="a0"/>
    <w:qFormat/>
    <w:rPr>
      <w:sz w:val="16"/>
      <w:szCs w:val="16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0">
    <w:name w:val="标题 3 字符"/>
    <w:basedOn w:val="a0"/>
    <w:link w:val="3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customStyle="1" w:styleId="af5">
    <w:name w:val="论文小标题"/>
    <w:basedOn w:val="7"/>
    <w:link w:val="af6"/>
    <w:qFormat/>
    <w:pPr>
      <w:spacing w:before="0" w:after="0" w:line="360" w:lineRule="auto"/>
      <w:outlineLvl w:val="1"/>
    </w:pPr>
    <w:rPr>
      <w:rFonts w:eastAsia="楷体"/>
      <w:bCs w:val="0"/>
    </w:rPr>
  </w:style>
  <w:style w:type="character" w:customStyle="1" w:styleId="70">
    <w:name w:val="标题 7 字符"/>
    <w:basedOn w:val="a0"/>
    <w:link w:val="7"/>
    <w:semiHidden/>
    <w:qFormat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customStyle="1" w:styleId="af6">
    <w:name w:val="小标题 字符"/>
    <w:basedOn w:val="70"/>
    <w:link w:val="af5"/>
    <w:qFormat/>
    <w:rPr>
      <w:rFonts w:ascii="Times New Roman" w:eastAsia="楷体" w:hAnsi="Times New Roman" w:cstheme="minorBidi"/>
      <w:b/>
      <w:bCs w:val="0"/>
      <w:kern w:val="2"/>
      <w:sz w:val="24"/>
      <w:szCs w:val="24"/>
    </w:rPr>
  </w:style>
  <w:style w:type="character" w:customStyle="1" w:styleId="ae">
    <w:name w:val="标题 字符"/>
    <w:basedOn w:val="a0"/>
    <w:link w:val="ad"/>
    <w:qFormat/>
    <w:rPr>
      <w:rFonts w:ascii="Times New Roman" w:eastAsiaTheme="majorEastAsia" w:hAnsi="Times New Roman" w:cstheme="majorBidi"/>
      <w:b/>
      <w:bCs/>
      <w:kern w:val="2"/>
      <w:sz w:val="32"/>
      <w:szCs w:val="32"/>
    </w:rPr>
  </w:style>
  <w:style w:type="table" w:customStyle="1" w:styleId="af7">
    <w:name w:val="三线表"/>
    <w:basedOn w:val="a1"/>
    <w:qFormat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f8">
    <w:name w:val="图表"/>
    <w:basedOn w:val="ab"/>
    <w:next w:val="ab"/>
    <w:qFormat/>
    <w:rPr>
      <w:rFonts w:cs="宋体"/>
      <w:color w:val="000000"/>
      <w:sz w:val="22"/>
      <w:szCs w:val="22"/>
    </w:rPr>
  </w:style>
  <w:style w:type="table" w:customStyle="1" w:styleId="af9">
    <w:name w:val="三线表测试"/>
    <w:basedOn w:val="a1"/>
    <w:uiPriority w:val="99"/>
    <w:qFormat/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eastAsia="宋体"/>
      </w:rPr>
      <w:tblPr/>
      <w:tcPr>
        <w:tcBorders>
          <w:bottom w:val="single" w:sz="4" w:space="0" w:color="auto"/>
        </w:tcBorders>
      </w:tcPr>
    </w:tblStylePr>
  </w:style>
  <w:style w:type="paragraph" w:customStyle="1" w:styleId="afa">
    <w:name w:val="论文主页标题"/>
    <w:basedOn w:val="ad"/>
    <w:qFormat/>
    <w:pPr>
      <w:keepNext/>
      <w:keepLines/>
      <w:spacing w:before="340" w:after="330" w:line="360" w:lineRule="auto"/>
      <w:textAlignment w:val="center"/>
    </w:pPr>
    <w:rPr>
      <w:rFonts w:eastAsia="楷体" w:hint="eastAsia"/>
      <w:kern w:val="44"/>
      <w:sz w:val="44"/>
    </w:rPr>
  </w:style>
  <w:style w:type="paragraph" w:customStyle="1" w:styleId="10">
    <w:name w:val="修订1"/>
    <w:hidden/>
    <w:uiPriority w:val="99"/>
    <w:unhideWhenUsed/>
    <w:qFormat/>
    <w:rPr>
      <w:rFonts w:cstheme="minorBidi"/>
      <w:kern w:val="2"/>
      <w:sz w:val="21"/>
      <w:szCs w:val="24"/>
    </w:rPr>
  </w:style>
  <w:style w:type="character" w:customStyle="1" w:styleId="a6">
    <w:name w:val="批注文字 字符"/>
    <w:basedOn w:val="a0"/>
    <w:link w:val="a5"/>
    <w:qFormat/>
    <w:rPr>
      <w:rFonts w:cstheme="minorBidi"/>
      <w:kern w:val="2"/>
      <w:sz w:val="21"/>
      <w:szCs w:val="24"/>
    </w:rPr>
  </w:style>
  <w:style w:type="character" w:customStyle="1" w:styleId="af0">
    <w:name w:val="批注主题 字符"/>
    <w:basedOn w:val="a6"/>
    <w:link w:val="af"/>
    <w:qFormat/>
    <w:rPr>
      <w:rFonts w:cstheme="minorBidi"/>
      <w:b/>
      <w:bCs/>
      <w:kern w:val="2"/>
      <w:sz w:val="21"/>
      <w:szCs w:val="24"/>
    </w:rPr>
  </w:style>
  <w:style w:type="paragraph" w:styleId="afb">
    <w:name w:val="List Paragraph"/>
    <w:basedOn w:val="a"/>
    <w:uiPriority w:val="99"/>
    <w:unhideWhenUsed/>
    <w:qFormat/>
    <w:pPr>
      <w:ind w:left="720"/>
      <w:contextualSpacing/>
    </w:pPr>
  </w:style>
  <w:style w:type="paragraph" w:customStyle="1" w:styleId="afc">
    <w:name w:val="论文表格"/>
    <w:basedOn w:val="ab"/>
    <w:qFormat/>
    <w:pPr>
      <w:widowControl/>
      <w:ind w:leftChars="0" w:left="0" w:firstLineChars="0" w:firstLine="0"/>
      <w:jc w:val="center"/>
    </w:pPr>
    <w:rPr>
      <w:rFonts w:eastAsiaTheme="minorEastAsia" w:cs="Times New Roman"/>
      <w:sz w:val="15"/>
    </w:rPr>
  </w:style>
  <w:style w:type="paragraph" w:customStyle="1" w:styleId="afd">
    <w:name w:val="论文正文"/>
    <w:basedOn w:val="a"/>
    <w:link w:val="Char"/>
    <w:qFormat/>
    <w:pPr>
      <w:spacing w:line="360" w:lineRule="auto"/>
      <w:ind w:firstLineChars="200" w:firstLine="883"/>
      <w:jc w:val="left"/>
    </w:pPr>
    <w:rPr>
      <w:rFonts w:eastAsia="楷体" w:hint="eastAsia"/>
    </w:rPr>
  </w:style>
  <w:style w:type="paragraph" w:customStyle="1" w:styleId="afe">
    <w:name w:val="论文图表"/>
    <w:basedOn w:val="af8"/>
    <w:qFormat/>
    <w:pPr>
      <w:spacing w:line="360" w:lineRule="auto"/>
      <w:jc w:val="center"/>
    </w:pPr>
    <w:rPr>
      <w:rFonts w:eastAsia="楷体"/>
    </w:rPr>
  </w:style>
  <w:style w:type="character" w:customStyle="1" w:styleId="Char">
    <w:name w:val="论文正文 Char"/>
    <w:link w:val="afd"/>
    <w:qFormat/>
    <w:rPr>
      <w:rFonts w:eastAsia="楷体" w:hint="eastAsia"/>
      <w:sz w:val="21"/>
    </w:rPr>
  </w:style>
  <w:style w:type="paragraph" w:customStyle="1" w:styleId="aff">
    <w:name w:val="论文摘要"/>
    <w:basedOn w:val="afd"/>
    <w:next w:val="afd"/>
    <w:qFormat/>
    <w:pPr>
      <w:ind w:firstLineChars="0" w:firstLine="0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cs="Times New Roman" w:hint="eastAsia"/>
      <w:sz w:val="20"/>
    </w:rPr>
  </w:style>
  <w:style w:type="character" w:customStyle="1" w:styleId="EndNoteBibliographyTitle0">
    <w:name w:val="EndNote Bibliography Title 字符"/>
    <w:basedOn w:val="Char"/>
    <w:link w:val="EndNoteBibliographyTitle"/>
    <w:qFormat/>
    <w:rPr>
      <w:rFonts w:eastAsia="楷体" w:hint="eastAsia"/>
      <w:kern w:val="2"/>
      <w:sz w:val="21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cs="Times New Roman" w:hint="eastAsia"/>
      <w:sz w:val="20"/>
    </w:rPr>
  </w:style>
  <w:style w:type="character" w:customStyle="1" w:styleId="EndNoteBibliography0">
    <w:name w:val="EndNote Bibliography 字符"/>
    <w:basedOn w:val="Char"/>
    <w:link w:val="EndNoteBibliography"/>
    <w:qFormat/>
    <w:rPr>
      <w:rFonts w:eastAsia="楷体" w:hint="eastAsia"/>
      <w:kern w:val="2"/>
      <w:sz w:val="21"/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题注 字符"/>
    <w:link w:val="a3"/>
    <w:qFormat/>
    <w:rPr>
      <w:rFonts w:asciiTheme="majorHAnsi" w:eastAsia="黑体" w:hAnsiTheme="majorHAnsi" w:cstheme="majorBidi"/>
      <w:sz w:val="20"/>
      <w:szCs w:val="20"/>
    </w:rPr>
  </w:style>
  <w:style w:type="character" w:styleId="aff0">
    <w:name w:val="Placeholder Text"/>
    <w:basedOn w:val="a0"/>
    <w:uiPriority w:val="99"/>
    <w:unhideWhenUsed/>
    <w:qFormat/>
    <w:rPr>
      <w:color w:val="666666"/>
    </w:rPr>
  </w:style>
  <w:style w:type="paragraph" w:customStyle="1" w:styleId="20">
    <w:name w:val="修订2"/>
    <w:hidden/>
    <w:uiPriority w:val="99"/>
    <w:unhideWhenUsed/>
    <w:qFormat/>
    <w:rPr>
      <w:rFonts w:cstheme="minorBidi"/>
      <w:kern w:val="2"/>
      <w:sz w:val="21"/>
      <w:szCs w:val="24"/>
    </w:rPr>
  </w:style>
  <w:style w:type="paragraph" w:customStyle="1" w:styleId="21">
    <w:name w:val="论文小标题2"/>
    <w:basedOn w:val="3"/>
    <w:next w:val="afd"/>
    <w:link w:val="22"/>
    <w:autoRedefine/>
    <w:qFormat/>
    <w:pPr>
      <w:spacing w:after="0" w:line="415" w:lineRule="auto"/>
    </w:pPr>
    <w:rPr>
      <w:rFonts w:eastAsia="楷体" w:cs="Times New Roman"/>
      <w:sz w:val="24"/>
    </w:rPr>
  </w:style>
  <w:style w:type="character" w:customStyle="1" w:styleId="80">
    <w:name w:val="标题 8 字符"/>
    <w:basedOn w:val="a0"/>
    <w:link w:val="8"/>
    <w:semiHidden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论文小标题2 字符"/>
    <w:basedOn w:val="80"/>
    <w:link w:val="21"/>
    <w:qFormat/>
    <w:rPr>
      <w:rFonts w:asciiTheme="majorHAnsi" w:eastAsia="楷体" w:hAnsiTheme="majorHAnsi" w:cstheme="majorBidi"/>
      <w:b/>
      <w:bCs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11163-9B6B-4F3A-A34E-913A31CA38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3075</Characters>
  <Application>Microsoft Office Word</Application>
  <DocSecurity>0</DocSecurity>
  <Lines>118</Lines>
  <Paragraphs>86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linjiaxin</dc:creator>
  <cp:lastModifiedBy>应林 彭</cp:lastModifiedBy>
  <cp:revision>2</cp:revision>
  <dcterms:created xsi:type="dcterms:W3CDTF">2025-11-05T09:27:00Z</dcterms:created>
  <dcterms:modified xsi:type="dcterms:W3CDTF">2025-11-05T09:27:00Z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A452811864BF4D7CBD5CD6D05A239298_13</vt:lpwstr>
  </property>
  <property fmtid="{D5CDD505-2E9C-101B-9397-08002B2CF9AE}" pid="4" name="KSOTemplateDocerSaveRecord">
    <vt:lpwstr>eyJoZGlkIjoiNmRiODQ4ZmRkNDM5MzBhMzExZGYyMjUxM2UxOTgyNWUiLCJ1c2VySWQiOiI0OTc2Nzg3NTgifQ==</vt:lpwstr>
  </property>
</Properties>
</file>