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323A4" w14:textId="77777777" w:rsidR="001753FD" w:rsidRDefault="001753FD" w:rsidP="001753FD">
      <w:pPr>
        <w:pStyle w:val="CorpoA"/>
        <w:keepLines/>
        <w:widowControl/>
        <w:spacing w:before="240" w:after="240" w:line="480" w:lineRule="auto"/>
        <w:jc w:val="center"/>
        <w:rPr>
          <w:rStyle w:val="Nenhum"/>
          <w:sz w:val="24"/>
          <w:szCs w:val="24"/>
        </w:rPr>
      </w:pPr>
      <w:r>
        <w:rPr>
          <w:rStyle w:val="Nenhum"/>
          <w:sz w:val="24"/>
          <w:szCs w:val="24"/>
          <w:lang w:val="en-US"/>
        </w:rPr>
        <w:t xml:space="preserve">Table 1 - </w:t>
      </w:r>
      <w:r>
        <w:rPr>
          <w:rStyle w:val="Nenhum"/>
          <w:lang w:val="en-US"/>
        </w:rPr>
        <w:t>Deprescribing Techniques</w:t>
      </w:r>
    </w:p>
    <w:tbl>
      <w:tblPr>
        <w:tblStyle w:val="TableNormal1"/>
        <w:tblW w:w="9840" w:type="dxa"/>
        <w:tblInd w:w="216" w:type="dxa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736"/>
        <w:gridCol w:w="530"/>
        <w:gridCol w:w="795"/>
        <w:gridCol w:w="1104"/>
        <w:gridCol w:w="1104"/>
        <w:gridCol w:w="942"/>
        <w:gridCol w:w="882"/>
        <w:gridCol w:w="693"/>
        <w:gridCol w:w="735"/>
        <w:gridCol w:w="587"/>
        <w:gridCol w:w="1732"/>
      </w:tblGrid>
      <w:tr w:rsidR="001753FD" w14:paraId="0C1E4534" w14:textId="77777777">
        <w:trPr>
          <w:trHeight w:val="550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A1B3E1D" w14:textId="77777777" w:rsidR="001753FD" w:rsidRDefault="001753FD">
            <w:pPr>
              <w:pStyle w:val="CorpoA"/>
              <w:widowControl/>
              <w:spacing w:after="120"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Authors, Year.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22AE230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Study design</w:t>
            </w:r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2340475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Country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09BDF1C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Technique description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6CB2783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Controls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B7AD79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n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86CF7B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Primary outcome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5D250F6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Death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78DEC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Hospital</w:t>
            </w:r>
          </w:p>
          <w:p w14:paraId="48088530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admission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9EA620D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Follow-up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FC03781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Additional information</w:t>
            </w:r>
          </w:p>
        </w:tc>
      </w:tr>
      <w:tr w:rsidR="001753FD" w14:paraId="53824481" w14:textId="77777777">
        <w:trPr>
          <w:trHeight w:val="2931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051A0C1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Clyne et al., 2015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690BCD1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cRCT</w:t>
            </w:r>
            <w:proofErr w:type="spellEnd"/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9A87A51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Ireland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F6935DE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Medication review using a web-based pharmaceutical treatment algorithm, indicating why the prescription may be inappropriate, alternative treatment options, and other relevant information.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2444138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Usual care. Prescription on a monthly or 3-month basis. Submission of a list summarizing the medication.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F86C455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196</w:t>
            </w:r>
          </w:p>
          <w:p w14:paraId="6026B330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C: 97/I:99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7B52F20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Patients having PIP:</w:t>
            </w:r>
          </w:p>
          <w:p w14:paraId="0CDDADAE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 = 0.32</w:t>
            </w:r>
          </w:p>
          <w:p w14:paraId="2F5C9187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(0.15 - 0.70)</w:t>
            </w:r>
          </w:p>
          <w:p w14:paraId="0D47AD0E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0.02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1C6B0BB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76A3B8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737CA4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6 months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81A5A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The mean PIP was also evaluated.</w:t>
            </w:r>
          </w:p>
          <w:p w14:paraId="65BBC350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MD = -0.48</w:t>
            </w:r>
          </w:p>
          <w:p w14:paraId="6F40CC3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(-0.80 to -0.17)</w:t>
            </w:r>
          </w:p>
          <w:p w14:paraId="23E87FAE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0.02</w:t>
            </w:r>
          </w:p>
          <w:p w14:paraId="2976F42E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The greatest reduction was in proton pump inhibitor, the most used PIM in the study population.</w:t>
            </w:r>
          </w:p>
        </w:tc>
      </w:tr>
      <w:tr w:rsidR="001753FD" w14:paraId="7165DC26" w14:textId="77777777">
        <w:trPr>
          <w:trHeight w:val="3480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78AE0C1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Jungo et al., 2023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DD286D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cRCT</w:t>
            </w:r>
            <w:proofErr w:type="spellEnd"/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064AF0D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Switzerland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19C23D8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  <w:lang w:val="en-US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Use of STRIPA tool, an electronic clinical decision support system that analyzes adverse effects, recommendations according to STOPP/START criteria, and appropriate dosage adjusted by renal function. The tool generated</w:t>
            </w:r>
          </w:p>
          <w:p w14:paraId="4E17F00F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recommendations on deprescribing.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7614878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Standard unit care with medication review by general practitioner followed by shared decision-making between practitioner and patient.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A25CEFA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323</w:t>
            </w:r>
          </w:p>
          <w:p w14:paraId="57822D2D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C:163/I:160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80C07D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Mean number of medications:</w:t>
            </w:r>
          </w:p>
          <w:p w14:paraId="4094A90E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MD</w:t>
            </w:r>
            <w:r>
              <w:rPr>
                <w:rStyle w:val="Nenhum"/>
                <w:b/>
                <w:bCs/>
                <w:sz w:val="14"/>
                <w:szCs w:val="14"/>
                <w:vertAlign w:val="subscript"/>
                <w:lang w:val="en-US"/>
              </w:rPr>
              <w:t>A</w:t>
            </w: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 xml:space="preserve"> = 0.0</w:t>
            </w:r>
          </w:p>
          <w:p w14:paraId="2226468B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(-0.87 to 0.97)</w:t>
            </w:r>
          </w:p>
          <w:p w14:paraId="316D0EC6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0.91</w:t>
            </w:r>
          </w:p>
          <w:p w14:paraId="3FDC9853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MD</w:t>
            </w:r>
            <w:r>
              <w:rPr>
                <w:rStyle w:val="Nenhum"/>
                <w:b/>
                <w:bCs/>
                <w:sz w:val="14"/>
                <w:szCs w:val="14"/>
                <w:vertAlign w:val="subscript"/>
                <w:lang w:val="en-US"/>
              </w:rPr>
              <w:t>B</w:t>
            </w: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 xml:space="preserve"> = 0.26</w:t>
            </w:r>
          </w:p>
          <w:p w14:paraId="0CCC6C3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(-0.64 to 1.16)</w:t>
            </w:r>
          </w:p>
          <w:p w14:paraId="195F4495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0.576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6D6C51E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8550A8F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82D0C3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A: 6 months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8FA73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The number of patients with improvement in MAI in 12 months was also evaluated.</w:t>
            </w:r>
          </w:p>
          <w:p w14:paraId="0C1016F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 = 1.05</w:t>
            </w:r>
          </w:p>
          <w:p w14:paraId="604EF8E5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(0.59 to 1.87)</w:t>
            </w:r>
          </w:p>
          <w:p w14:paraId="50AF553D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0.87</w:t>
            </w:r>
          </w:p>
        </w:tc>
      </w:tr>
      <w:tr w:rsidR="001753FD" w14:paraId="3750C1BF" w14:textId="77777777">
        <w:trPr>
          <w:trHeight w:val="2931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BB9995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Rieckert</w:t>
            </w:r>
            <w:proofErr w:type="spellEnd"/>
            <w:r>
              <w:rPr>
                <w:rStyle w:val="Nenhum"/>
                <w:sz w:val="14"/>
                <w:szCs w:val="14"/>
                <w:lang w:val="en-US"/>
              </w:rPr>
              <w:t xml:space="preserve"> et al., 2020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6FFEC08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cRCT</w:t>
            </w:r>
            <w:proofErr w:type="spellEnd"/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30EAEF8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Austria</w:t>
            </w:r>
          </w:p>
          <w:p w14:paraId="155B458D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United Kingdom</w:t>
            </w:r>
          </w:p>
          <w:p w14:paraId="6987E399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Germany</w:t>
            </w:r>
          </w:p>
          <w:p w14:paraId="1D335953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Italy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5F6787A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Use of the PRIMA-</w:t>
            </w: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eDS</w:t>
            </w:r>
            <w:proofErr w:type="spellEnd"/>
            <w:r>
              <w:rPr>
                <w:rStyle w:val="Nenhum"/>
                <w:sz w:val="14"/>
                <w:szCs w:val="14"/>
                <w:lang w:val="en-US"/>
              </w:rPr>
              <w:t xml:space="preserve"> system. The tool analyzes diagnoses, medications in use, symptoms, anthropometric measurements, and laboratory tests with recommendations for suspension or replacement of drugs.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78CA6B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Usual care, including adhering to any current guidelines, some country-specific but without using the PRIMA-</w:t>
            </w: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eDS</w:t>
            </w:r>
            <w:proofErr w:type="spellEnd"/>
            <w:r>
              <w:rPr>
                <w:rStyle w:val="Nenhum"/>
                <w:sz w:val="14"/>
                <w:szCs w:val="14"/>
                <w:lang w:val="en-US"/>
              </w:rPr>
              <w:t xml:space="preserve"> tool.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FA4C8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3904</w:t>
            </w:r>
          </w:p>
          <w:p w14:paraId="0455BE6B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C:1951/I:1953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876C245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 xml:space="preserve">Mean number of drugs: </w:t>
            </w:r>
          </w:p>
          <w:p w14:paraId="2F07C222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IRR* = 0.95</w:t>
            </w:r>
          </w:p>
          <w:p w14:paraId="57AF6FDC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(0.94 to 0.97)</w:t>
            </w:r>
          </w:p>
          <w:p w14:paraId="00633F24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&lt; 0.001</w:t>
            </w:r>
          </w:p>
          <w:p w14:paraId="7A79F0FC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2"/>
                <w:szCs w:val="12"/>
                <w:lang w:val="en-US"/>
              </w:rPr>
              <w:t>* Incidence rate ratio of the number of drugs in the intervention group and control group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31EFA7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 = 1.01</w:t>
            </w:r>
          </w:p>
          <w:p w14:paraId="467CA13E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(0.73 to 1.38)</w:t>
            </w:r>
          </w:p>
          <w:p w14:paraId="3642AFD3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0.96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60057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 = 0.92</w:t>
            </w:r>
          </w:p>
          <w:p w14:paraId="79BFBCCA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(0.76 to 1.10)</w:t>
            </w:r>
          </w:p>
          <w:p w14:paraId="4BBA818D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0.36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08D4EA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24 months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DCF4EA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The change in the total number of drugs (with M) was also evaluated.</w:t>
            </w:r>
          </w:p>
          <w:p w14:paraId="45ACA207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MD = -0.45</w:t>
            </w:r>
          </w:p>
          <w:p w14:paraId="0AD0CB66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(-0.63 to -0.26)</w:t>
            </w:r>
          </w:p>
          <w:p w14:paraId="0717CE44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&lt; 0.001</w:t>
            </w:r>
          </w:p>
        </w:tc>
      </w:tr>
      <w:tr w:rsidR="001753FD" w14:paraId="5CE2F5E6" w14:textId="77777777">
        <w:trPr>
          <w:trHeight w:val="3297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0259B52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lastRenderedPageBreak/>
              <w:t>McCarthy et al., 2022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C477F3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cRCT</w:t>
            </w:r>
            <w:proofErr w:type="spellEnd"/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53A72FA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Ireland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59C886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 xml:space="preserve">Use of the </w:t>
            </w: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SPPiRE</w:t>
            </w:r>
            <w:proofErr w:type="spellEnd"/>
            <w:r>
              <w:rPr>
                <w:rStyle w:val="Nenhum"/>
                <w:sz w:val="14"/>
                <w:szCs w:val="14"/>
                <w:lang w:val="en-US"/>
              </w:rPr>
              <w:t xml:space="preserve"> tool, a website that reviews medications in use, focusing on </w:t>
            </w:r>
            <w:proofErr w:type="gramStart"/>
            <w:r>
              <w:rPr>
                <w:rStyle w:val="Nenhum"/>
                <w:sz w:val="14"/>
                <w:szCs w:val="14"/>
                <w:lang w:val="en-US"/>
              </w:rPr>
              <w:t>deprescribing</w:t>
            </w:r>
            <w:proofErr w:type="gramEnd"/>
            <w:r>
              <w:rPr>
                <w:rStyle w:val="Nenhum"/>
                <w:sz w:val="14"/>
                <w:szCs w:val="14"/>
                <w:lang w:val="en-US"/>
              </w:rPr>
              <w:t xml:space="preserve"> potentially inappropriate medications and suggesting alternative treatments.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6E7F25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Usual care.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B106657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404</w:t>
            </w:r>
          </w:p>
          <w:p w14:paraId="5F32DE69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C:196/I:208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8B54E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Mean number of medications:</w:t>
            </w:r>
          </w:p>
          <w:p w14:paraId="25463928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AD = 0.95</w:t>
            </w:r>
          </w:p>
          <w:p w14:paraId="120B6F54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(0.89 to 0.99)</w:t>
            </w:r>
          </w:p>
          <w:p w14:paraId="5BBA9B0B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0.045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0DAD14F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59C9526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12974A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6 months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B42CC78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The percentage of patients with at least 1 PIP was also evaluated.</w:t>
            </w:r>
          </w:p>
          <w:p w14:paraId="2CAB0896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AD = 0.39</w:t>
            </w:r>
          </w:p>
          <w:p w14:paraId="38753909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(0.14 to 1.06)</w:t>
            </w:r>
          </w:p>
          <w:p w14:paraId="0419E03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0.066</w:t>
            </w:r>
          </w:p>
          <w:p w14:paraId="6FBC796C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Mean number of PIP.</w:t>
            </w:r>
          </w:p>
          <w:p w14:paraId="2C8B0857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AD = 0.92</w:t>
            </w:r>
          </w:p>
          <w:p w14:paraId="6CCBBEDB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(0.81 to 1.06)</w:t>
            </w:r>
          </w:p>
          <w:p w14:paraId="5F65BBD0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0.256</w:t>
            </w:r>
          </w:p>
        </w:tc>
      </w:tr>
      <w:tr w:rsidR="001753FD" w14:paraId="71588579" w14:textId="77777777">
        <w:trPr>
          <w:trHeight w:val="1884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A006282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Romskaug</w:t>
            </w:r>
            <w:proofErr w:type="spellEnd"/>
            <w:r>
              <w:rPr>
                <w:rStyle w:val="Nenhum"/>
                <w:sz w:val="14"/>
                <w:szCs w:val="14"/>
                <w:lang w:val="en-US"/>
              </w:rPr>
              <w:t xml:space="preserve"> et al., 2019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BCFC28F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cRCT</w:t>
            </w:r>
            <w:proofErr w:type="spellEnd"/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C67BDAA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Norway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E41B2B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Geriatric assessment and collaborative medication reviews by geriatrician and family physician and clinical follow-up.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3F31690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Usual care.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FB57943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174</w:t>
            </w:r>
          </w:p>
          <w:p w14:paraId="7FF9EF5B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C:87/I:87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60651A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MAI:</w:t>
            </w:r>
          </w:p>
          <w:p w14:paraId="371377C7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MD = -6.9</w:t>
            </w:r>
          </w:p>
          <w:p w14:paraId="00E6E543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(-9.1 to -4.7)</w:t>
            </w:r>
          </w:p>
          <w:p w14:paraId="34F5F842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p* &lt; 0.001</w:t>
            </w:r>
          </w:p>
          <w:p w14:paraId="5B41C94D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2"/>
                <w:szCs w:val="12"/>
                <w:lang w:val="en-US"/>
              </w:rPr>
              <w:t>*p-value calculated by the authors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5D485B3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 = 0.36</w:t>
            </w:r>
          </w:p>
          <w:p w14:paraId="4519E36B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(0.08 to 1.58)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D364CFA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 = 2.03</w:t>
            </w:r>
          </w:p>
          <w:p w14:paraId="7733C2C5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(0.98 to 4.24)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C4095D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6 months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6A7E9C2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The outcome after 16 weeks was also assessed.</w:t>
            </w:r>
          </w:p>
          <w:p w14:paraId="02BFA16E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MD = -6.5</w:t>
            </w:r>
          </w:p>
          <w:p w14:paraId="0CA0A64C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(-8.6 to -4.3)</w:t>
            </w:r>
          </w:p>
          <w:p w14:paraId="0A1860F8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p* &lt; 0.001</w:t>
            </w:r>
          </w:p>
          <w:p w14:paraId="644CCCC5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2"/>
                <w:szCs w:val="12"/>
                <w:lang w:val="en-US"/>
              </w:rPr>
              <w:t>*p-value calculated by the authors</w:t>
            </w:r>
          </w:p>
        </w:tc>
      </w:tr>
      <w:tr w:rsidR="001753FD" w14:paraId="2F94FAAE" w14:textId="77777777">
        <w:trPr>
          <w:trHeight w:val="3846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055915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  <w:lang w:val="en-US"/>
              </w:rPr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Strauven</w:t>
            </w:r>
            <w:proofErr w:type="spellEnd"/>
            <w:r>
              <w:rPr>
                <w:rStyle w:val="Nenhum"/>
                <w:sz w:val="14"/>
                <w:szCs w:val="14"/>
                <w:lang w:val="en-US"/>
              </w:rPr>
              <w:t xml:space="preserve"> et al.,</w:t>
            </w:r>
          </w:p>
          <w:p w14:paraId="24376AA6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2019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032B0F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cRCT</w:t>
            </w:r>
            <w:proofErr w:type="spellEnd"/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97C699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Belgium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2AAC801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 xml:space="preserve">Online educational program associated with interdisciplinary meetings and interdisciplinary case conferences to discuss drug use, with financial incentives for professionals who participate in </w:t>
            </w:r>
            <w:proofErr w:type="gramStart"/>
            <w:r>
              <w:rPr>
                <w:rStyle w:val="Nenhum"/>
                <w:sz w:val="14"/>
                <w:szCs w:val="14"/>
                <w:lang w:val="en-US"/>
              </w:rPr>
              <w:t>the case</w:t>
            </w:r>
            <w:proofErr w:type="gramEnd"/>
            <w:r>
              <w:rPr>
                <w:rStyle w:val="Nenhum"/>
                <w:sz w:val="14"/>
                <w:szCs w:val="14"/>
                <w:lang w:val="en-US"/>
              </w:rPr>
              <w:t xml:space="preserve"> conferences.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CC7A1E9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Usual care.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9B2F6E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1804</w:t>
            </w:r>
          </w:p>
          <w:p w14:paraId="397742E3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C:957/I:847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F4DD396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A: At least 1 PIM or omission that had been solved:</w:t>
            </w:r>
          </w:p>
          <w:p w14:paraId="57BAED9E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 = 2.66</w:t>
            </w:r>
          </w:p>
          <w:p w14:paraId="393AB538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 xml:space="preserve">(1.78 to 3.98) </w:t>
            </w:r>
          </w:p>
          <w:p w14:paraId="1C46F1A0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&lt; 0.001</w:t>
            </w:r>
          </w:p>
          <w:p w14:paraId="68B03727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 xml:space="preserve">B: No new PIM or omission: </w:t>
            </w:r>
          </w:p>
          <w:p w14:paraId="4B40BD9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 = 0.66</w:t>
            </w:r>
          </w:p>
          <w:p w14:paraId="0DB53AD2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(0.46 to 0.96)</w:t>
            </w:r>
          </w:p>
          <w:p w14:paraId="7C9E4747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0.03</w:t>
            </w:r>
          </w:p>
          <w:p w14:paraId="5F216973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A+B:</w:t>
            </w:r>
          </w:p>
          <w:p w14:paraId="1FD747F5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 = 1.48</w:t>
            </w:r>
          </w:p>
          <w:p w14:paraId="20F03A0D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(1.06 to 2.06)</w:t>
            </w:r>
          </w:p>
          <w:p w14:paraId="3AEFD978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0.021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E7694C8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367B5F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327C6A0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15 months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FBBD2C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Authors considered more than one outcome that reflects deprescribing, and the sum of the outcomes is the primary outcome of the study.</w:t>
            </w:r>
          </w:p>
        </w:tc>
      </w:tr>
      <w:tr w:rsidR="001753FD" w14:paraId="723F4BFD" w14:textId="77777777">
        <w:trPr>
          <w:trHeight w:val="2931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61B9CF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Mahlkecht</w:t>
            </w:r>
            <w:proofErr w:type="spellEnd"/>
            <w:r>
              <w:rPr>
                <w:rStyle w:val="Nenhum"/>
                <w:sz w:val="14"/>
                <w:szCs w:val="14"/>
                <w:lang w:val="en-US"/>
              </w:rPr>
              <w:t xml:space="preserve"> et al., 2021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21F073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cRCT</w:t>
            </w:r>
            <w:proofErr w:type="spellEnd"/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A1232BC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Italy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313C29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Multidisciplinary assessments of drug regimens. The general practitioners were invited to reflect on the recommendations in a shared decision-making process with the patient.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DDDB97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Usual care. General practitioners could use guidelines. They did not receive a structured review of the medications in use.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83E22DE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579</w:t>
            </w:r>
          </w:p>
          <w:p w14:paraId="32CC97E2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C:272/I:307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EB8EE4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Number of drugs</w:t>
            </w:r>
          </w:p>
          <w:p w14:paraId="00D5C036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median (IQR)</w:t>
            </w:r>
          </w:p>
          <w:p w14:paraId="233B830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CG = 9</w:t>
            </w:r>
          </w:p>
          <w:p w14:paraId="3D1D775C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(8 to 10)</w:t>
            </w:r>
          </w:p>
          <w:p w14:paraId="2E78DA07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IG = 8</w:t>
            </w:r>
          </w:p>
          <w:p w14:paraId="6D51195B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 xml:space="preserve">(7 to 10) </w:t>
            </w:r>
          </w:p>
          <w:p w14:paraId="5B469797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0.1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E326C79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 = 1.18</w:t>
            </w:r>
          </w:p>
          <w:p w14:paraId="2F783806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(0.51 to 2.72)</w:t>
            </w:r>
          </w:p>
          <w:p w14:paraId="3209FE65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0.7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7135B8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 = 1.39</w:t>
            </w:r>
          </w:p>
          <w:p w14:paraId="4626A33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(0.95 to 2.03)</w:t>
            </w:r>
          </w:p>
          <w:p w14:paraId="534F765A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0.09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A7C3596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24 months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A207BA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The total number of drugs was also evaluated.</w:t>
            </w:r>
          </w:p>
          <w:p w14:paraId="4B33BBE9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CG = 2140, IG = 2218</w:t>
            </w:r>
          </w:p>
          <w:p w14:paraId="1ABCAD3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Change in the number of drugs at the end of the study.</w:t>
            </w:r>
          </w:p>
          <w:p w14:paraId="534CF895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Median (IQR) = 0 (-2 to 0)</w:t>
            </w:r>
          </w:p>
          <w:p w14:paraId="4AE9466B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0.6</w:t>
            </w:r>
          </w:p>
        </w:tc>
      </w:tr>
      <w:tr w:rsidR="001753FD" w14:paraId="5862B789" w14:textId="77777777">
        <w:trPr>
          <w:trHeight w:val="3114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530FF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lastRenderedPageBreak/>
              <w:t>Toivo et al.,</w:t>
            </w:r>
          </w:p>
          <w:p w14:paraId="6A973ABC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2019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B52241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cRCT</w:t>
            </w:r>
            <w:proofErr w:type="spellEnd"/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EFE265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Finland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CCFACE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Prescription review by a community pharmacist associated with Drug Related Problem Risk Assessment Tool (DRP-RAT) by nurse and action plan from DRP-RAT.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0BEA0ED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Care was based on patient’s needs, with help in daily activities and medicine use.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C309A1D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129</w:t>
            </w:r>
          </w:p>
          <w:p w14:paraId="3F95013C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C:64/I:65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5D2533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Number of medications:</w:t>
            </w:r>
          </w:p>
          <w:p w14:paraId="5A68FD87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AMD = 0.52</w:t>
            </w:r>
          </w:p>
          <w:p w14:paraId="08D30262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(-0.37 to 1.41)</w:t>
            </w:r>
          </w:p>
          <w:p w14:paraId="220F1104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0.25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0C8EC3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CD8D2D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3ADFC59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12 months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B6A5B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Harmful medication</w:t>
            </w:r>
          </w:p>
          <w:p w14:paraId="4DFF5C74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  <w:lang w:val="en-US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users were also evaluated.</w:t>
            </w:r>
          </w:p>
          <w:p w14:paraId="588AB038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 xml:space="preserve">AMD = 1 </w:t>
            </w:r>
          </w:p>
          <w:p w14:paraId="5B974BA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(0.63 to 1.60)</w:t>
            </w:r>
          </w:p>
          <w:p w14:paraId="563D3FEC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1.0</w:t>
            </w:r>
          </w:p>
          <w:p w14:paraId="06CA11D0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And Beers Criteria medication users.</w:t>
            </w:r>
          </w:p>
          <w:p w14:paraId="1119FA35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AMD = 0.84</w:t>
            </w:r>
          </w:p>
          <w:p w14:paraId="2CA08C16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(0.39 to 1.82)</w:t>
            </w:r>
          </w:p>
          <w:p w14:paraId="262AF0C0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0.66</w:t>
            </w:r>
          </w:p>
        </w:tc>
      </w:tr>
      <w:tr w:rsidR="001753FD" w14:paraId="51541207" w14:textId="77777777">
        <w:trPr>
          <w:trHeight w:val="3663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E27EF0A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Bayliss et al., 2022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0A3E88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cRCT</w:t>
            </w:r>
            <w:proofErr w:type="spellEnd"/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0DB076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USA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1377C88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Educational activities performed with patient/caregiver with material distribution on the optimization of medicines.</w:t>
            </w:r>
          </w:p>
          <w:p w14:paraId="68B122D4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Educational activities with physicians about the optimization of medicines and deprescribing options.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E920C69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Review of routine medication reconciliation at primary care visits with electronic health record alerts for potentially high-risk prescribing.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3F2F979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3012</w:t>
            </w:r>
          </w:p>
          <w:p w14:paraId="4B59955C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C:1579/I:1433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C3D4B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 xml:space="preserve">Number of medications: </w:t>
            </w:r>
          </w:p>
          <w:p w14:paraId="61C5738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 xml:space="preserve">AD = </w:t>
            </w: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-0.1</w:t>
            </w:r>
          </w:p>
          <w:p w14:paraId="6EEF1C6C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(-0.2 to 0.04)</w:t>
            </w:r>
          </w:p>
          <w:p w14:paraId="66225584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0.14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379393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OR* = 1.04</w:t>
            </w:r>
          </w:p>
          <w:p w14:paraId="45255A73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(0.78 to 1.41)</w:t>
            </w:r>
          </w:p>
          <w:p w14:paraId="450BC4C5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0.77</w:t>
            </w:r>
          </w:p>
          <w:p w14:paraId="6F888EFB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lang w:val="en-US"/>
              </w:rPr>
            </w:pPr>
            <w:r>
              <w:rPr>
                <w:rStyle w:val="Nenhum"/>
                <w:sz w:val="12"/>
                <w:szCs w:val="12"/>
                <w:lang w:val="en-US"/>
              </w:rPr>
              <w:t>*</w:t>
            </w:r>
            <w:proofErr w:type="gramStart"/>
            <w:r>
              <w:rPr>
                <w:rStyle w:val="Nenhum"/>
                <w:sz w:val="12"/>
                <w:szCs w:val="12"/>
                <w:lang w:val="en-US"/>
              </w:rPr>
              <w:t>calculated</w:t>
            </w:r>
            <w:proofErr w:type="gramEnd"/>
            <w:r>
              <w:rPr>
                <w:rStyle w:val="Nenhum"/>
                <w:sz w:val="12"/>
                <w:szCs w:val="12"/>
                <w:lang w:val="en-US"/>
              </w:rPr>
              <w:t xml:space="preserve"> by authors based on the results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E23615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541AA0E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6 months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325C08A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The percentage of patients with at least one PIM was also evaluated.</w:t>
            </w:r>
          </w:p>
          <w:p w14:paraId="6A5845B9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AD = - 3.2</w:t>
            </w:r>
          </w:p>
          <w:p w14:paraId="5777B102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(-6.2 to 0.4)</w:t>
            </w:r>
          </w:p>
          <w:p w14:paraId="25CE7BA9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0.08</w:t>
            </w:r>
          </w:p>
          <w:p w14:paraId="7D6AC56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  <w:lang w:val="en-US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And sensitivity analysis for patients with 90 days or more of follow-up.</w:t>
            </w:r>
          </w:p>
          <w:p w14:paraId="042302EB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AD = -3.2</w:t>
            </w:r>
          </w:p>
          <w:p w14:paraId="4E339B68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(-6.3 to 0.4)</w:t>
            </w:r>
          </w:p>
          <w:p w14:paraId="2CDDBACD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0.08</w:t>
            </w:r>
          </w:p>
        </w:tc>
      </w:tr>
      <w:tr w:rsidR="001753FD" w14:paraId="32543DAD" w14:textId="77777777">
        <w:trPr>
          <w:trHeight w:val="2015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144824B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Cura-Gonzalez</w:t>
            </w:r>
          </w:p>
          <w:p w14:paraId="5C47325D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et al., 2022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63FFB0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cRCT</w:t>
            </w:r>
            <w:proofErr w:type="spellEnd"/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54DDFA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Spain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FD48DE5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Four-week course for physicians on an electronic health record system on topics related to multimorbidity, polypharmacy, and deprescribing.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8546E5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Usual care with guidelines and protocols</w:t>
            </w:r>
          </w:p>
          <w:p w14:paraId="6A1B06CE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of each isolated clinical condition.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9E0F3F0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593</w:t>
            </w:r>
          </w:p>
          <w:p w14:paraId="35FB15A1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C:295/I:298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C799A5A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MAI</w:t>
            </w:r>
          </w:p>
          <w:p w14:paraId="602358DE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AD</w:t>
            </w:r>
            <w:r>
              <w:rPr>
                <w:rStyle w:val="Nenhum"/>
                <w:b/>
                <w:bCs/>
                <w:sz w:val="14"/>
                <w:szCs w:val="14"/>
                <w:vertAlign w:val="subscript"/>
                <w:lang w:val="en-US"/>
              </w:rPr>
              <w:t>A</w:t>
            </w: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 xml:space="preserve"> = -2.42</w:t>
            </w:r>
          </w:p>
          <w:p w14:paraId="47152553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 xml:space="preserve">(-4.27 to -0.50) </w:t>
            </w:r>
          </w:p>
          <w:p w14:paraId="1145B17B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0.009</w:t>
            </w:r>
          </w:p>
          <w:p w14:paraId="39B6645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AD</w:t>
            </w:r>
            <w:r>
              <w:rPr>
                <w:rStyle w:val="Nenhum"/>
                <w:b/>
                <w:bCs/>
                <w:sz w:val="14"/>
                <w:szCs w:val="14"/>
                <w:vertAlign w:val="subscript"/>
                <w:lang w:val="en-US"/>
              </w:rPr>
              <w:t>B</w:t>
            </w: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 xml:space="preserve"> = -3.40</w:t>
            </w:r>
          </w:p>
          <w:p w14:paraId="25355C3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 xml:space="preserve">(-5.45 to -1.34) </w:t>
            </w:r>
          </w:p>
          <w:p w14:paraId="0B1E88D0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0.001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735234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C256909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AD = -0.14</w:t>
            </w:r>
          </w:p>
          <w:p w14:paraId="023B5770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(-0.57 to 0.30)</w:t>
            </w:r>
          </w:p>
          <w:p w14:paraId="39961D02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0.52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E3ADD8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A: 6</w:t>
            </w:r>
          </w:p>
          <w:p w14:paraId="0F911954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months</w:t>
            </w:r>
          </w:p>
          <w:p w14:paraId="4C856788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B: 12</w:t>
            </w:r>
          </w:p>
          <w:p w14:paraId="34E1B934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months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8ACFD7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The study showed an increased effect over time.</w:t>
            </w:r>
          </w:p>
        </w:tc>
      </w:tr>
      <w:tr w:rsidR="001753FD" w14:paraId="42B245DE" w14:textId="77777777">
        <w:trPr>
          <w:trHeight w:val="4579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CEF621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lastRenderedPageBreak/>
              <w:t>Rudolf et al., 2021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C5397C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cRCT</w:t>
            </w:r>
            <w:proofErr w:type="spellEnd"/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3B40A9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Germany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2C5B8C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  <w:lang w:val="en-US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Training with health professionals according to the need and request. Presentation of a pocket guide based on the Priscus list with 17 medications that should be avoided and three drug interactions and how to properly monitor the use of medicines.</w:t>
            </w:r>
          </w:p>
          <w:p w14:paraId="37C106FE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The training was performed with physicians alone and with the entire practice team in another group.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35FECA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 xml:space="preserve">Usual recommendations for pharmacotherapy to the elderly. The physicians were invited to perform continuing </w:t>
            </w:r>
            <w:proofErr w:type="gramStart"/>
            <w:r>
              <w:rPr>
                <w:rStyle w:val="Nenhum"/>
                <w:sz w:val="14"/>
                <w:szCs w:val="14"/>
                <w:lang w:val="en-US"/>
              </w:rPr>
              <w:t>education</w:t>
            </w:r>
            <w:proofErr w:type="gramEnd"/>
            <w:r>
              <w:rPr>
                <w:rStyle w:val="Nenhum"/>
                <w:sz w:val="14"/>
                <w:szCs w:val="14"/>
                <w:lang w:val="en-US"/>
              </w:rPr>
              <w:t xml:space="preserve"> about pharmacotherapy. The health team was not involved.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7C4DEB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1138</w:t>
            </w:r>
          </w:p>
          <w:p w14:paraId="40C6159A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 xml:space="preserve">C:562/I1:285 </w:t>
            </w:r>
          </w:p>
          <w:p w14:paraId="0A378EA3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I2: 291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67C6F4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Number of patients with at least one PIM or DDI</w:t>
            </w:r>
          </w:p>
          <w:p w14:paraId="784839E8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MD* 1+2 = -3.7</w:t>
            </w:r>
          </w:p>
          <w:p w14:paraId="05E26D20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(-10.1 to 2.7)</w:t>
            </w:r>
          </w:p>
          <w:p w14:paraId="5A811135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0.26</w:t>
            </w:r>
          </w:p>
          <w:p w14:paraId="247DFB04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MD1 = -6.4</w:t>
            </w:r>
          </w:p>
          <w:p w14:paraId="10139D5A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(-14.2 to 1.4)</w:t>
            </w:r>
          </w:p>
          <w:p w14:paraId="5B883174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0.11</w:t>
            </w:r>
          </w:p>
          <w:p w14:paraId="12DE0BFB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MD2 = -1.1</w:t>
            </w:r>
          </w:p>
          <w:p w14:paraId="6B7E51AE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(-9.37 to 7.16)</w:t>
            </w:r>
          </w:p>
          <w:p w14:paraId="68107493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0.79</w:t>
            </w:r>
          </w:p>
          <w:p w14:paraId="5A5508B0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lang w:val="en-US"/>
              </w:rPr>
            </w:pPr>
            <w:r>
              <w:rPr>
                <w:rStyle w:val="Nenhum"/>
                <w:sz w:val="12"/>
                <w:szCs w:val="12"/>
                <w:lang w:val="en-US"/>
              </w:rPr>
              <w:t>*</w:t>
            </w:r>
            <w:proofErr w:type="gramStart"/>
            <w:r>
              <w:rPr>
                <w:rStyle w:val="Nenhum"/>
                <w:sz w:val="12"/>
                <w:szCs w:val="12"/>
                <w:lang w:val="en-US"/>
              </w:rPr>
              <w:t>calculated</w:t>
            </w:r>
            <w:proofErr w:type="gramEnd"/>
            <w:r>
              <w:rPr>
                <w:rStyle w:val="Nenhum"/>
                <w:sz w:val="12"/>
                <w:szCs w:val="12"/>
                <w:lang w:val="en-US"/>
              </w:rPr>
              <w:t xml:space="preserve"> by authors based on the results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B3B2740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MD* = 1.6</w:t>
            </w:r>
          </w:p>
          <w:p w14:paraId="775D7785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(0.82 to 4.02)</w:t>
            </w:r>
          </w:p>
          <w:p w14:paraId="57BF2F23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0.2</w:t>
            </w:r>
          </w:p>
          <w:p w14:paraId="5C803B70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lang w:val="en-US"/>
              </w:rPr>
            </w:pPr>
            <w:r>
              <w:rPr>
                <w:rStyle w:val="Nenhum"/>
                <w:sz w:val="12"/>
                <w:szCs w:val="12"/>
                <w:lang w:val="en-US"/>
              </w:rPr>
              <w:t>*</w:t>
            </w:r>
            <w:proofErr w:type="gramStart"/>
            <w:r>
              <w:rPr>
                <w:rStyle w:val="Nenhum"/>
                <w:sz w:val="12"/>
                <w:szCs w:val="12"/>
                <w:lang w:val="en-US"/>
              </w:rPr>
              <w:t>calculated</w:t>
            </w:r>
            <w:proofErr w:type="gramEnd"/>
            <w:r>
              <w:rPr>
                <w:rStyle w:val="Nenhum"/>
                <w:sz w:val="12"/>
                <w:szCs w:val="12"/>
                <w:lang w:val="en-US"/>
              </w:rPr>
              <w:t xml:space="preserve"> by authors based on the results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E751CD7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MD* = - 8.6</w:t>
            </w:r>
          </w:p>
          <w:p w14:paraId="2DE04630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(-14.89 to -2.31)</w:t>
            </w:r>
          </w:p>
          <w:p w14:paraId="0FF1705D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0.008</w:t>
            </w:r>
          </w:p>
          <w:p w14:paraId="3C7059DB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lang w:val="en-US"/>
              </w:rPr>
            </w:pPr>
            <w:r>
              <w:rPr>
                <w:rStyle w:val="Nenhum"/>
                <w:sz w:val="12"/>
                <w:szCs w:val="12"/>
                <w:lang w:val="en-US"/>
              </w:rPr>
              <w:t>*</w:t>
            </w:r>
            <w:proofErr w:type="gramStart"/>
            <w:r>
              <w:rPr>
                <w:rStyle w:val="Nenhum"/>
                <w:sz w:val="12"/>
                <w:szCs w:val="12"/>
                <w:lang w:val="en-US"/>
              </w:rPr>
              <w:t>calculated</w:t>
            </w:r>
            <w:proofErr w:type="gramEnd"/>
            <w:r>
              <w:rPr>
                <w:rStyle w:val="Nenhum"/>
                <w:sz w:val="12"/>
                <w:szCs w:val="12"/>
                <w:lang w:val="en-US"/>
              </w:rPr>
              <w:t xml:space="preserve"> by authors based on the results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33F7A2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12 months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DAFC9DC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  <w:lang w:val="en-US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Two interventions were performed. In intervention 1, only physicians received the educational activity. In intervention 2, the entire practice team received educational activities.</w:t>
            </w:r>
          </w:p>
          <w:p w14:paraId="2BDFC5C1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For mortality and hospital admissions, MD was used among PHC clinics.</w:t>
            </w:r>
          </w:p>
        </w:tc>
      </w:tr>
      <w:tr w:rsidR="001753FD" w14:paraId="40F5BE2D" w14:textId="77777777">
        <w:trPr>
          <w:trHeight w:val="2799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C2F3DCC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Martinez-</w:t>
            </w:r>
          </w:p>
          <w:p w14:paraId="4B62A761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Sotelo et al., 2021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2BC2023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cRCT</w:t>
            </w:r>
            <w:proofErr w:type="spellEnd"/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629A7C6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Spain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160E3B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Pharmacist-led medication review with recommendation of treatment options.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42CA2DC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No intervention was performed.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7098F5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549</w:t>
            </w:r>
          </w:p>
          <w:p w14:paraId="6DA8A9F8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C:272/I:277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A8D8D6B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Number of PIM per patient:</w:t>
            </w:r>
          </w:p>
          <w:p w14:paraId="23774BAB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MD = -0.43</w:t>
            </w:r>
          </w:p>
          <w:p w14:paraId="329E9419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(-0.54 to -0.32)</w:t>
            </w:r>
          </w:p>
          <w:p w14:paraId="08A446AC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&lt; 0.001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137E1D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OR* = 1.23</w:t>
            </w:r>
          </w:p>
          <w:p w14:paraId="77DEE4A4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(0.33 to 4.64)</w:t>
            </w:r>
          </w:p>
          <w:p w14:paraId="3CF65FFD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0.76</w:t>
            </w:r>
          </w:p>
          <w:p w14:paraId="52CD42DA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lang w:val="en-US"/>
              </w:rPr>
            </w:pPr>
            <w:r>
              <w:rPr>
                <w:rStyle w:val="Nenhum"/>
                <w:sz w:val="12"/>
                <w:szCs w:val="12"/>
                <w:lang w:val="en-US"/>
              </w:rPr>
              <w:t>*</w:t>
            </w:r>
            <w:proofErr w:type="gramStart"/>
            <w:r>
              <w:rPr>
                <w:rStyle w:val="Nenhum"/>
                <w:sz w:val="12"/>
                <w:szCs w:val="12"/>
                <w:lang w:val="en-US"/>
              </w:rPr>
              <w:t>calculated</w:t>
            </w:r>
            <w:proofErr w:type="gramEnd"/>
            <w:r>
              <w:rPr>
                <w:rStyle w:val="Nenhum"/>
                <w:sz w:val="12"/>
                <w:szCs w:val="12"/>
                <w:lang w:val="en-US"/>
              </w:rPr>
              <w:t xml:space="preserve"> by authors based on the results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8A8C26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MDH* = -0.37</w:t>
            </w:r>
          </w:p>
          <w:p w14:paraId="092F5750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(-1.50 to 0.76)</w:t>
            </w:r>
          </w:p>
          <w:p w14:paraId="783552CE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0.52</w:t>
            </w:r>
          </w:p>
          <w:p w14:paraId="30B69243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lang w:val="en-US"/>
              </w:rPr>
            </w:pPr>
            <w:r>
              <w:rPr>
                <w:rStyle w:val="Nenhum"/>
                <w:sz w:val="12"/>
                <w:szCs w:val="12"/>
                <w:lang w:val="en-US"/>
              </w:rPr>
              <w:t>*</w:t>
            </w:r>
            <w:proofErr w:type="gramStart"/>
            <w:r>
              <w:rPr>
                <w:rStyle w:val="Nenhum"/>
                <w:sz w:val="12"/>
                <w:szCs w:val="12"/>
                <w:lang w:val="en-US"/>
              </w:rPr>
              <w:t>calculated</w:t>
            </w:r>
            <w:proofErr w:type="gramEnd"/>
            <w:r>
              <w:rPr>
                <w:rStyle w:val="Nenhum"/>
                <w:sz w:val="12"/>
                <w:szCs w:val="12"/>
                <w:lang w:val="en-US"/>
              </w:rPr>
              <w:t xml:space="preserve"> by authors based on the results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15DDB1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12 months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CE6C8D6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The number of patients with one or more PIMs was also estimated.</w:t>
            </w:r>
          </w:p>
          <w:p w14:paraId="4CB3850B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OR* = 0.41</w:t>
            </w:r>
          </w:p>
          <w:p w14:paraId="1E03E5E4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  <w:lang w:val="en-US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(0.27 to 0.63) p &lt; 0.001</w:t>
            </w:r>
          </w:p>
          <w:p w14:paraId="16972F14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2"/>
                <w:szCs w:val="12"/>
                <w:lang w:val="en-US"/>
              </w:rPr>
              <w:t>*OR calculated according to absolute numbers from the article results.</w:t>
            </w:r>
          </w:p>
        </w:tc>
      </w:tr>
      <w:tr w:rsidR="001753FD" w14:paraId="4547C7AE" w14:textId="77777777">
        <w:trPr>
          <w:trHeight w:val="4082"/>
        </w:trPr>
        <w:tc>
          <w:tcPr>
            <w:tcW w:w="736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8D88C2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  <w:lang w:val="en-US"/>
              </w:rPr>
            </w:pPr>
            <w:proofErr w:type="spellStart"/>
            <w:r>
              <w:rPr>
                <w:rStyle w:val="Nenhum"/>
                <w:sz w:val="14"/>
                <w:szCs w:val="14"/>
                <w:lang w:val="en-US"/>
              </w:rPr>
              <w:t>Rikala</w:t>
            </w:r>
            <w:proofErr w:type="spellEnd"/>
            <w:r>
              <w:rPr>
                <w:rStyle w:val="Nenhum"/>
                <w:sz w:val="14"/>
                <w:szCs w:val="14"/>
                <w:lang w:val="en-US"/>
              </w:rPr>
              <w:t xml:space="preserve"> et al.,</w:t>
            </w:r>
          </w:p>
          <w:p w14:paraId="06C44E1A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2011</w:t>
            </w:r>
          </w:p>
        </w:tc>
        <w:tc>
          <w:tcPr>
            <w:tcW w:w="530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3F4E3D5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RCT</w:t>
            </w:r>
          </w:p>
        </w:tc>
        <w:tc>
          <w:tcPr>
            <w:tcW w:w="79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4D5388C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Finland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2E7285B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Annual medication assessment conducted by physicians with recommendations of changes to patients.</w:t>
            </w:r>
          </w:p>
        </w:tc>
        <w:tc>
          <w:tcPr>
            <w:tcW w:w="110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03E833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Usual care.</w:t>
            </w:r>
          </w:p>
        </w:tc>
        <w:tc>
          <w:tcPr>
            <w:tcW w:w="94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EFCEC2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700</w:t>
            </w:r>
          </w:p>
          <w:p w14:paraId="4BDBC756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C:339/I:361</w:t>
            </w:r>
          </w:p>
        </w:tc>
        <w:tc>
          <w:tcPr>
            <w:tcW w:w="88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7B066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Patients with at least one psychotropic:</w:t>
            </w:r>
          </w:p>
          <w:p w14:paraId="0FB2A226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OR*</w:t>
            </w:r>
            <w:r>
              <w:rPr>
                <w:rStyle w:val="Nenhum"/>
                <w:b/>
                <w:bCs/>
                <w:sz w:val="14"/>
                <w:szCs w:val="14"/>
                <w:vertAlign w:val="subscript"/>
                <w:lang w:val="en-US"/>
              </w:rPr>
              <w:t>A</w:t>
            </w: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 xml:space="preserve"> = 1.29</w:t>
            </w:r>
          </w:p>
          <w:p w14:paraId="53034CC4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(0.93 to 1.77)</w:t>
            </w:r>
          </w:p>
          <w:p w14:paraId="40A4E78D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0.12</w:t>
            </w:r>
          </w:p>
          <w:p w14:paraId="1153D8BA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OR*</w:t>
            </w:r>
            <w:r>
              <w:rPr>
                <w:rStyle w:val="Nenhum"/>
                <w:b/>
                <w:bCs/>
                <w:sz w:val="14"/>
                <w:szCs w:val="14"/>
                <w:vertAlign w:val="subscript"/>
                <w:lang w:val="en-US"/>
              </w:rPr>
              <w:t>B</w:t>
            </w: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 xml:space="preserve"> = 1.19</w:t>
            </w:r>
          </w:p>
          <w:p w14:paraId="58AE1C8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(0.93 to 1.77)</w:t>
            </w:r>
          </w:p>
          <w:p w14:paraId="2A885EE6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0.12</w:t>
            </w:r>
          </w:p>
          <w:p w14:paraId="4CAD75D2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OR*</w:t>
            </w:r>
            <w:r>
              <w:rPr>
                <w:rStyle w:val="Nenhum"/>
                <w:b/>
                <w:bCs/>
                <w:sz w:val="14"/>
                <w:szCs w:val="14"/>
                <w:vertAlign w:val="subscript"/>
                <w:lang w:val="en-US"/>
              </w:rPr>
              <w:t>C</w:t>
            </w: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 xml:space="preserve"> = 1.06 </w:t>
            </w:r>
          </w:p>
          <w:p w14:paraId="358DD214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(0.75 to 1.51)</w:t>
            </w:r>
          </w:p>
          <w:p w14:paraId="1CC12C79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b/>
                <w:bCs/>
                <w:sz w:val="14"/>
                <w:szCs w:val="14"/>
              </w:rPr>
            </w:pPr>
            <w:r>
              <w:rPr>
                <w:rStyle w:val="Nenhum"/>
                <w:b/>
                <w:bCs/>
                <w:sz w:val="14"/>
                <w:szCs w:val="14"/>
                <w:lang w:val="en-US"/>
              </w:rPr>
              <w:t>p = 0.71</w:t>
            </w:r>
          </w:p>
          <w:p w14:paraId="39D3E45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lang w:val="en-US"/>
              </w:rPr>
            </w:pPr>
            <w:r>
              <w:rPr>
                <w:rStyle w:val="Nenhum"/>
                <w:sz w:val="12"/>
                <w:szCs w:val="12"/>
                <w:lang w:val="en-US"/>
              </w:rPr>
              <w:t>*</w:t>
            </w:r>
            <w:proofErr w:type="gramStart"/>
            <w:r>
              <w:rPr>
                <w:rStyle w:val="Nenhum"/>
                <w:sz w:val="12"/>
                <w:szCs w:val="12"/>
                <w:lang w:val="en-US"/>
              </w:rPr>
              <w:t>calculated</w:t>
            </w:r>
            <w:proofErr w:type="gramEnd"/>
            <w:r>
              <w:rPr>
                <w:rStyle w:val="Nenhum"/>
                <w:sz w:val="12"/>
                <w:szCs w:val="12"/>
                <w:lang w:val="en-US"/>
              </w:rPr>
              <w:t xml:space="preserve"> by authors based on the results</w:t>
            </w:r>
          </w:p>
        </w:tc>
        <w:tc>
          <w:tcPr>
            <w:tcW w:w="693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EAC069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73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8E42C7A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N/P</w:t>
            </w:r>
          </w:p>
        </w:tc>
        <w:tc>
          <w:tcPr>
            <w:tcW w:w="58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48AFDDF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A: 12</w:t>
            </w:r>
          </w:p>
          <w:p w14:paraId="6339F44E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months</w:t>
            </w:r>
          </w:p>
          <w:p w14:paraId="415E3931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B: 24</w:t>
            </w:r>
          </w:p>
          <w:p w14:paraId="56C4D302" w14:textId="77777777" w:rsidR="001753FD" w:rsidRDefault="001753FD">
            <w:pPr>
              <w:pStyle w:val="CorpoA"/>
              <w:widowControl/>
              <w:spacing w:line="276" w:lineRule="auto"/>
              <w:jc w:val="center"/>
              <w:rPr>
                <w:rStyle w:val="Nenhum"/>
                <w:sz w:val="14"/>
                <w:szCs w:val="14"/>
              </w:rPr>
            </w:pPr>
            <w:r>
              <w:rPr>
                <w:rStyle w:val="Nenhum"/>
                <w:sz w:val="14"/>
                <w:szCs w:val="14"/>
                <w:lang w:val="en-US"/>
              </w:rPr>
              <w:t>months</w:t>
            </w:r>
          </w:p>
          <w:p w14:paraId="57DFD522" w14:textId="77777777" w:rsidR="001753FD" w:rsidRDefault="001753FD">
            <w:pPr>
              <w:pStyle w:val="CorpoA"/>
              <w:widowControl/>
              <w:spacing w:line="276" w:lineRule="auto"/>
              <w:jc w:val="center"/>
            </w:pPr>
            <w:r>
              <w:rPr>
                <w:rStyle w:val="Nenhum"/>
                <w:sz w:val="14"/>
                <w:szCs w:val="14"/>
                <w:lang w:val="en-US"/>
              </w:rPr>
              <w:t>C: 36 months.</w:t>
            </w:r>
          </w:p>
        </w:tc>
        <w:tc>
          <w:tcPr>
            <w:tcW w:w="1732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005849" w14:textId="77777777" w:rsidR="001753FD" w:rsidRDefault="001753FD"/>
        </w:tc>
      </w:tr>
    </w:tbl>
    <w:p w14:paraId="6DC42BE9" w14:textId="77777777" w:rsidR="001753FD" w:rsidRDefault="001753FD" w:rsidP="001753FD">
      <w:pPr>
        <w:pStyle w:val="CorpoA"/>
        <w:keepLines/>
        <w:spacing w:before="240" w:after="240"/>
        <w:ind w:left="108" w:hanging="108"/>
        <w:rPr>
          <w:rStyle w:val="Nenhum"/>
          <w:sz w:val="24"/>
          <w:szCs w:val="24"/>
        </w:rPr>
      </w:pPr>
    </w:p>
    <w:p w14:paraId="19D57159" w14:textId="77777777" w:rsidR="001753FD" w:rsidRDefault="001753FD" w:rsidP="001753FD">
      <w:pPr>
        <w:pStyle w:val="CorpoA"/>
        <w:keepLines/>
        <w:spacing w:before="240" w:after="240"/>
        <w:rPr>
          <w:rStyle w:val="Nenhum"/>
          <w:sz w:val="24"/>
          <w:szCs w:val="24"/>
        </w:rPr>
      </w:pPr>
    </w:p>
    <w:p w14:paraId="2C6A25CC" w14:textId="77777777" w:rsidR="001753FD" w:rsidRDefault="001753FD" w:rsidP="001753FD">
      <w:pPr>
        <w:pStyle w:val="CorpoA"/>
        <w:keepLines/>
        <w:widowControl/>
        <w:spacing w:after="120" w:line="276" w:lineRule="auto"/>
        <w:jc w:val="center"/>
        <w:rPr>
          <w:rStyle w:val="Hyperlink2"/>
        </w:rPr>
      </w:pPr>
      <w:r>
        <w:rPr>
          <w:rStyle w:val="Nenhum"/>
          <w:sz w:val="12"/>
          <w:szCs w:val="12"/>
          <w:lang w:val="en-US"/>
        </w:rPr>
        <w:lastRenderedPageBreak/>
        <w:t xml:space="preserve">Note: </w:t>
      </w:r>
      <w:proofErr w:type="spellStart"/>
      <w:r>
        <w:rPr>
          <w:rStyle w:val="Nenhum"/>
          <w:sz w:val="12"/>
          <w:szCs w:val="12"/>
          <w:lang w:val="en-US"/>
        </w:rPr>
        <w:t>cRCT</w:t>
      </w:r>
      <w:proofErr w:type="spellEnd"/>
      <w:r>
        <w:rPr>
          <w:rStyle w:val="Nenhum"/>
          <w:sz w:val="12"/>
          <w:szCs w:val="12"/>
          <w:lang w:val="en-US"/>
        </w:rPr>
        <w:t>: cluster-Randomized Controlled Trial. RCT: Randomized Controlled Trial. PIM: Potentially Inappropriate Medication. MAI:</w:t>
      </w:r>
      <w:hyperlink r:id="rId4" w:history="1">
        <w:r>
          <w:rPr>
            <w:rStyle w:val="Hyperlink2"/>
          </w:rPr>
          <w:t xml:space="preserve"> </w:t>
        </w:r>
      </w:hyperlink>
      <w:hyperlink r:id="rId5" w:history="1">
        <w:r>
          <w:rPr>
            <w:rStyle w:val="Hyperlink3"/>
          </w:rPr>
          <w:t>Medication Appropriateness Ind</w:t>
        </w:r>
      </w:hyperlink>
      <w:r>
        <w:rPr>
          <w:rStyle w:val="Nenhum"/>
          <w:sz w:val="12"/>
          <w:szCs w:val="12"/>
          <w:lang w:val="en-US"/>
        </w:rPr>
        <w:t>ex. PIP: Potentially Inappropriate Prescribing. CG: Control Group. IG: Intervention Group. DDI: undesired drug</w:t>
      </w:r>
      <w:r>
        <w:rPr>
          <w:rStyle w:val="Hyperlink2"/>
        </w:rPr>
        <w:t>–</w:t>
      </w:r>
      <w:r>
        <w:rPr>
          <w:rStyle w:val="Nenhum"/>
          <w:sz w:val="12"/>
          <w:szCs w:val="12"/>
          <w:lang w:val="en-US"/>
        </w:rPr>
        <w:t xml:space="preserve">drug interaction. N/P: Not Performed. OR: Odds Ratio. MD: </w:t>
      </w:r>
      <w:proofErr w:type="gramStart"/>
      <w:r>
        <w:rPr>
          <w:rStyle w:val="Nenhum"/>
          <w:sz w:val="12"/>
          <w:szCs w:val="12"/>
          <w:lang w:val="en-US"/>
        </w:rPr>
        <w:t>mean difference</w:t>
      </w:r>
      <w:proofErr w:type="gramEnd"/>
      <w:r>
        <w:rPr>
          <w:rStyle w:val="Nenhum"/>
          <w:sz w:val="12"/>
          <w:szCs w:val="12"/>
          <w:lang w:val="en-US"/>
        </w:rPr>
        <w:t>. AD: Adjusted Difference. AMD: Adjusted Mean Difference. IQR: Interquartile Range. PHC: Primary Health Care. MDH: Mean difference of hospitalization days and emergency service visits.</w:t>
      </w:r>
    </w:p>
    <w:p w14:paraId="7F38BB01" w14:textId="77777777" w:rsidR="001753FD" w:rsidRDefault="001753FD" w:rsidP="001753FD">
      <w:pPr>
        <w:pStyle w:val="CorpoA"/>
        <w:keepLines/>
        <w:widowControl/>
        <w:spacing w:after="120" w:line="276" w:lineRule="auto"/>
        <w:jc w:val="center"/>
      </w:pPr>
      <w:r>
        <w:rPr>
          <w:rStyle w:val="Nenhum"/>
          <w:sz w:val="12"/>
          <w:szCs w:val="12"/>
          <w:lang w:val="en-US"/>
        </w:rPr>
        <w:t>Source: Authors.</w:t>
      </w:r>
    </w:p>
    <w:p w14:paraId="3E6B0289" w14:textId="77777777" w:rsidR="001753FD" w:rsidRDefault="001753FD" w:rsidP="001753FD">
      <w:pPr>
        <w:pStyle w:val="CorpoA"/>
        <w:keepLines/>
        <w:spacing w:line="480" w:lineRule="auto"/>
        <w:jc w:val="both"/>
        <w:rPr>
          <w:rStyle w:val="Nenhum"/>
          <w:sz w:val="24"/>
          <w:szCs w:val="24"/>
        </w:rPr>
      </w:pPr>
    </w:p>
    <w:p w14:paraId="660C501F" w14:textId="77777777" w:rsidR="001753FD" w:rsidRDefault="001753FD" w:rsidP="001753FD">
      <w:pPr>
        <w:rPr>
          <w:lang w:val="en-US"/>
        </w:rPr>
      </w:pPr>
    </w:p>
    <w:p w14:paraId="72FD47B7" w14:textId="77777777" w:rsidR="001753FD" w:rsidRDefault="001753FD" w:rsidP="001753FD">
      <w:pPr>
        <w:rPr>
          <w:lang w:val="en-US"/>
        </w:rPr>
      </w:pPr>
    </w:p>
    <w:p w14:paraId="6072DD64" w14:textId="016AA309" w:rsidR="001753FD" w:rsidRPr="001753FD" w:rsidRDefault="001753FD" w:rsidP="001753FD">
      <w:pPr>
        <w:rPr>
          <w:lang w:val="pt-BR"/>
        </w:rPr>
      </w:pPr>
      <w:r w:rsidRPr="001753FD">
        <w:rPr>
          <w:lang w:val="en-US"/>
        </w:rPr>
        <w:t>Table 2 - GRADE Assessment</w:t>
      </w:r>
    </w:p>
    <w:p w14:paraId="31A431E7" w14:textId="77777777" w:rsidR="001753FD" w:rsidRPr="001753FD" w:rsidRDefault="001753FD" w:rsidP="001753FD">
      <w:pPr>
        <w:rPr>
          <w:lang w:val="pt-BR"/>
        </w:rPr>
      </w:pPr>
    </w:p>
    <w:p w14:paraId="031B25F7" w14:textId="77777777" w:rsidR="001753FD" w:rsidRPr="001753FD" w:rsidRDefault="001753FD" w:rsidP="001753FD">
      <w:pPr>
        <w:rPr>
          <w:lang w:val="pt-BR"/>
        </w:rPr>
      </w:pPr>
      <w:r w:rsidRPr="001753FD">
        <w:rPr>
          <w:b/>
          <w:bCs/>
          <w:lang w:val="en-US"/>
        </w:rPr>
        <w:t xml:space="preserve">Author(s): </w:t>
      </w:r>
      <w:r w:rsidRPr="001753FD">
        <w:rPr>
          <w:lang w:val="en-US"/>
        </w:rPr>
        <w:t>[redacted]</w:t>
      </w:r>
    </w:p>
    <w:p w14:paraId="438C2D4D" w14:textId="77777777" w:rsidR="001753FD" w:rsidRPr="001753FD" w:rsidRDefault="001753FD" w:rsidP="001753FD">
      <w:pPr>
        <w:rPr>
          <w:lang w:val="pt-BR"/>
        </w:rPr>
      </w:pPr>
      <w:r w:rsidRPr="001753FD">
        <w:rPr>
          <w:b/>
          <w:bCs/>
          <w:lang w:val="it-IT"/>
        </w:rPr>
        <w:t xml:space="preserve">Question: </w:t>
      </w:r>
      <w:r w:rsidRPr="001753FD">
        <w:rPr>
          <w:lang w:val="en-US"/>
        </w:rPr>
        <w:t xml:space="preserve">Should </w:t>
      </w:r>
      <w:proofErr w:type="spellStart"/>
      <w:r w:rsidRPr="001753FD">
        <w:rPr>
          <w:lang w:val="en-US"/>
        </w:rPr>
        <w:t>Desprescribing</w:t>
      </w:r>
      <w:proofErr w:type="spellEnd"/>
      <w:r w:rsidRPr="001753FD">
        <w:rPr>
          <w:lang w:val="en-US"/>
        </w:rPr>
        <w:t xml:space="preserve"> techniques compare to usual care for Deprescribing? </w:t>
      </w:r>
    </w:p>
    <w:tbl>
      <w:tblPr>
        <w:tblW w:w="9870" w:type="dxa"/>
        <w:tblInd w:w="216" w:type="dxa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08"/>
        <w:gridCol w:w="704"/>
        <w:gridCol w:w="628"/>
        <w:gridCol w:w="626"/>
        <w:gridCol w:w="627"/>
        <w:gridCol w:w="613"/>
        <w:gridCol w:w="972"/>
        <w:gridCol w:w="2852"/>
        <w:gridCol w:w="882"/>
        <w:gridCol w:w="1058"/>
      </w:tblGrid>
      <w:tr w:rsidR="001753FD" w:rsidRPr="001753FD" w14:paraId="4C580DF5" w14:textId="77777777">
        <w:trPr>
          <w:trHeight w:val="302"/>
        </w:trPr>
        <w:tc>
          <w:tcPr>
            <w:tcW w:w="5075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B2C222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>Certainty assessment</w:t>
            </w:r>
          </w:p>
        </w:tc>
        <w:tc>
          <w:tcPr>
            <w:tcW w:w="2851" w:type="dxa"/>
            <w:vMerge w:val="restar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FFFFFF" w:themeColor="background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BCE770F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Impact </w:t>
            </w:r>
          </w:p>
        </w:tc>
        <w:tc>
          <w:tcPr>
            <w:tcW w:w="882" w:type="dxa"/>
            <w:vMerge w:val="restar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FFFFFF" w:themeColor="background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ABA32B9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Certainty </w:t>
            </w:r>
          </w:p>
        </w:tc>
        <w:tc>
          <w:tcPr>
            <w:tcW w:w="1057" w:type="dxa"/>
            <w:vMerge w:val="restar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FFFFFF" w:themeColor="background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38A67E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Importance </w:t>
            </w:r>
          </w:p>
        </w:tc>
      </w:tr>
      <w:tr w:rsidR="001753FD" w:rsidRPr="001753FD" w14:paraId="3614CD8B" w14:textId="77777777">
        <w:trPr>
          <w:trHeight w:val="417"/>
        </w:trPr>
        <w:tc>
          <w:tcPr>
            <w:tcW w:w="90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91C5634" w14:textId="77777777" w:rsidR="001753FD" w:rsidRPr="001753FD" w:rsidRDefault="001753FD" w:rsidP="001753FD">
            <w:pPr>
              <w:rPr>
                <w:b/>
                <w:bCs/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№ of </w:t>
            </w:r>
          </w:p>
          <w:p w14:paraId="7F23FFCC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studies </w:t>
            </w:r>
          </w:p>
        </w:tc>
        <w:tc>
          <w:tcPr>
            <w:tcW w:w="7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3193F6E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Study design </w:t>
            </w:r>
          </w:p>
        </w:tc>
        <w:tc>
          <w:tcPr>
            <w:tcW w:w="6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AA31E6E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Risk of bias </w:t>
            </w:r>
          </w:p>
        </w:tc>
        <w:tc>
          <w:tcPr>
            <w:tcW w:w="62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ED30FAA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Inconsistency </w:t>
            </w:r>
          </w:p>
        </w:tc>
        <w:tc>
          <w:tcPr>
            <w:tcW w:w="6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20CE552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Indirectness </w:t>
            </w:r>
          </w:p>
        </w:tc>
        <w:tc>
          <w:tcPr>
            <w:tcW w:w="61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3C6384E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Imprecision </w:t>
            </w:r>
          </w:p>
        </w:tc>
        <w:tc>
          <w:tcPr>
            <w:tcW w:w="97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66AE70D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>Other considerations</w:t>
            </w:r>
          </w:p>
        </w:tc>
        <w:tc>
          <w:tcPr>
            <w:tcW w:w="2851" w:type="dxa"/>
            <w:vMerge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FFFFFF" w:themeColor="background1"/>
              <w:right w:val="single" w:sz="8" w:space="0" w:color="000000" w:themeColor="text1"/>
            </w:tcBorders>
            <w:shd w:val="clear" w:color="auto" w:fill="CED7E7"/>
            <w:vAlign w:val="center"/>
            <w:hideMark/>
          </w:tcPr>
          <w:p w14:paraId="6E2E989D" w14:textId="77777777" w:rsidR="001753FD" w:rsidRPr="001753FD" w:rsidRDefault="001753FD" w:rsidP="001753FD">
            <w:pPr>
              <w:rPr>
                <w:lang w:val="pt-BR"/>
              </w:rPr>
            </w:pPr>
          </w:p>
        </w:tc>
        <w:tc>
          <w:tcPr>
            <w:tcW w:w="882" w:type="dxa"/>
            <w:vMerge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FFFFFF" w:themeColor="background1"/>
              <w:right w:val="single" w:sz="8" w:space="0" w:color="000000" w:themeColor="text1"/>
            </w:tcBorders>
            <w:shd w:val="clear" w:color="auto" w:fill="CED7E7"/>
            <w:vAlign w:val="center"/>
            <w:hideMark/>
          </w:tcPr>
          <w:p w14:paraId="0CA1B666" w14:textId="77777777" w:rsidR="001753FD" w:rsidRPr="001753FD" w:rsidRDefault="001753FD" w:rsidP="001753FD">
            <w:pPr>
              <w:rPr>
                <w:lang w:val="pt-BR"/>
              </w:rPr>
            </w:pPr>
          </w:p>
        </w:tc>
        <w:tc>
          <w:tcPr>
            <w:tcW w:w="1057" w:type="dxa"/>
            <w:vMerge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FFFFFF" w:themeColor="background1"/>
              <w:right w:val="single" w:sz="8" w:space="0" w:color="000000" w:themeColor="text1"/>
            </w:tcBorders>
            <w:shd w:val="clear" w:color="auto" w:fill="CED7E7"/>
            <w:vAlign w:val="center"/>
            <w:hideMark/>
          </w:tcPr>
          <w:p w14:paraId="32DF282B" w14:textId="77777777" w:rsidR="001753FD" w:rsidRPr="001753FD" w:rsidRDefault="001753FD" w:rsidP="001753FD">
            <w:pPr>
              <w:rPr>
                <w:lang w:val="pt-BR"/>
              </w:rPr>
            </w:pPr>
          </w:p>
        </w:tc>
      </w:tr>
    </w:tbl>
    <w:p w14:paraId="571E11C1" w14:textId="77777777" w:rsidR="001753FD" w:rsidRPr="001753FD" w:rsidRDefault="001753FD" w:rsidP="001753FD">
      <w:pPr>
        <w:rPr>
          <w:lang w:val="pt-BR"/>
        </w:rPr>
      </w:pPr>
    </w:p>
    <w:p w14:paraId="379C0529" w14:textId="77777777" w:rsidR="001753FD" w:rsidRPr="001753FD" w:rsidRDefault="001753FD" w:rsidP="001753FD">
      <w:pPr>
        <w:rPr>
          <w:lang w:val="pt-BR"/>
        </w:rPr>
      </w:pPr>
    </w:p>
    <w:p w14:paraId="777ECCE2" w14:textId="77777777" w:rsidR="001753FD" w:rsidRPr="001753FD" w:rsidRDefault="001753FD" w:rsidP="001753FD">
      <w:pPr>
        <w:rPr>
          <w:lang w:val="pt-BR"/>
        </w:rPr>
      </w:pPr>
    </w:p>
    <w:p w14:paraId="5686F5E2" w14:textId="77777777" w:rsidR="001753FD" w:rsidRPr="001753FD" w:rsidRDefault="001753FD" w:rsidP="001753FD">
      <w:pPr>
        <w:rPr>
          <w:b/>
          <w:bCs/>
          <w:lang w:val="pt-BR"/>
        </w:rPr>
      </w:pPr>
      <w:r w:rsidRPr="001753FD">
        <w:rPr>
          <w:b/>
          <w:bCs/>
          <w:lang w:val="en-US"/>
        </w:rPr>
        <w:t xml:space="preserve">Deprescribing techniques </w:t>
      </w:r>
      <w:proofErr w:type="gramStart"/>
      <w:r w:rsidRPr="001753FD">
        <w:rPr>
          <w:b/>
          <w:bCs/>
          <w:lang w:val="en-US"/>
        </w:rPr>
        <w:t>compared</w:t>
      </w:r>
      <w:proofErr w:type="gramEnd"/>
      <w:r w:rsidRPr="001753FD">
        <w:rPr>
          <w:b/>
          <w:bCs/>
          <w:lang w:val="en-US"/>
        </w:rPr>
        <w:t xml:space="preserve"> usual care to Reduction of PIMs or PIPs </w:t>
      </w:r>
    </w:p>
    <w:tbl>
      <w:tblPr>
        <w:tblW w:w="9855" w:type="dxa"/>
        <w:tblInd w:w="216" w:type="dxa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97"/>
        <w:gridCol w:w="691"/>
        <w:gridCol w:w="640"/>
        <w:gridCol w:w="627"/>
        <w:gridCol w:w="627"/>
        <w:gridCol w:w="615"/>
        <w:gridCol w:w="974"/>
        <w:gridCol w:w="2852"/>
        <w:gridCol w:w="889"/>
        <w:gridCol w:w="1043"/>
      </w:tblGrid>
      <w:tr w:rsidR="001753FD" w:rsidRPr="001753FD" w14:paraId="757D4A5D" w14:textId="77777777">
        <w:trPr>
          <w:trHeight w:val="2178"/>
        </w:trPr>
        <w:tc>
          <w:tcPr>
            <w:tcW w:w="8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293BBA4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 xml:space="preserve">6 </w:t>
            </w:r>
          </w:p>
        </w:tc>
        <w:tc>
          <w:tcPr>
            <w:tcW w:w="69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924291" w14:textId="77777777" w:rsidR="001753FD" w:rsidRPr="001753FD" w:rsidRDefault="001753FD" w:rsidP="001753FD">
            <w:pPr>
              <w:rPr>
                <w:lang w:val="pt-BR"/>
              </w:rPr>
            </w:pPr>
            <w:proofErr w:type="spellStart"/>
            <w:r w:rsidRPr="001753FD">
              <w:rPr>
                <w:vertAlign w:val="superscript"/>
                <w:lang w:val="en-US"/>
              </w:rPr>
              <w:t>randomised</w:t>
            </w:r>
            <w:proofErr w:type="spellEnd"/>
            <w:r w:rsidRPr="001753FD">
              <w:rPr>
                <w:vertAlign w:val="superscript"/>
                <w:lang w:val="en-US"/>
              </w:rPr>
              <w:t xml:space="preserve"> trials</w:t>
            </w:r>
          </w:p>
        </w:tc>
        <w:tc>
          <w:tcPr>
            <w:tcW w:w="6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E109329" w14:textId="77777777" w:rsidR="001753FD" w:rsidRPr="001753FD" w:rsidRDefault="001753FD" w:rsidP="001753FD">
            <w:pPr>
              <w:rPr>
                <w:lang w:val="pt-BR"/>
              </w:rPr>
            </w:pPr>
            <w:proofErr w:type="spellStart"/>
            <w:r w:rsidRPr="001753FD">
              <w:rPr>
                <w:lang w:val="en-US"/>
              </w:rPr>
              <w:t>serious</w:t>
            </w:r>
            <w:r w:rsidRPr="001753FD">
              <w:rPr>
                <w:vertAlign w:val="superscript"/>
                <w:lang w:val="en-US"/>
              </w:rPr>
              <w:t>a</w:t>
            </w:r>
            <w:proofErr w:type="spellEnd"/>
            <w:r w:rsidRPr="001753FD">
              <w:rPr>
                <w:vertAlign w:val="superscript"/>
                <w:lang w:val="en-US"/>
              </w:rPr>
              <w:t xml:space="preserve"> </w:t>
            </w:r>
          </w:p>
        </w:tc>
        <w:tc>
          <w:tcPr>
            <w:tcW w:w="6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CEA679B" w14:textId="77777777" w:rsidR="001753FD" w:rsidRPr="001753FD" w:rsidRDefault="001753FD" w:rsidP="001753FD">
            <w:pPr>
              <w:rPr>
                <w:lang w:val="pt-BR"/>
              </w:rPr>
            </w:pPr>
            <w:proofErr w:type="spellStart"/>
            <w:r w:rsidRPr="001753FD">
              <w:rPr>
                <w:lang w:val="en-US"/>
              </w:rPr>
              <w:t>serious</w:t>
            </w:r>
            <w:r w:rsidRPr="001753FD">
              <w:rPr>
                <w:vertAlign w:val="superscript"/>
                <w:lang w:val="en-US"/>
              </w:rPr>
              <w:t>b</w:t>
            </w:r>
            <w:proofErr w:type="spellEnd"/>
            <w:r w:rsidRPr="001753FD">
              <w:rPr>
                <w:vertAlign w:val="superscript"/>
                <w:lang w:val="en-US"/>
              </w:rPr>
              <w:t xml:space="preserve"> </w:t>
            </w:r>
          </w:p>
        </w:tc>
        <w:tc>
          <w:tcPr>
            <w:tcW w:w="6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7958BBC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 xml:space="preserve">not serious </w:t>
            </w:r>
          </w:p>
        </w:tc>
        <w:tc>
          <w:tcPr>
            <w:tcW w:w="6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1E90C1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 xml:space="preserve">not serious </w:t>
            </w:r>
          </w:p>
        </w:tc>
        <w:tc>
          <w:tcPr>
            <w:tcW w:w="9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A3ED57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 xml:space="preserve">none </w:t>
            </w:r>
          </w:p>
        </w:tc>
        <w:tc>
          <w:tcPr>
            <w:tcW w:w="28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161" w:type="dxa"/>
              <w:bottom w:w="80" w:type="dxa"/>
              <w:right w:w="729" w:type="dxa"/>
            </w:tcMar>
            <w:hideMark/>
          </w:tcPr>
          <w:p w14:paraId="15D50969" w14:textId="77777777" w:rsidR="001753FD" w:rsidRPr="001753FD" w:rsidRDefault="001753FD" w:rsidP="001753FD">
            <w:pPr>
              <w:rPr>
                <w:lang w:val="en-US"/>
              </w:rPr>
            </w:pPr>
            <w:r w:rsidRPr="001753FD">
              <w:rPr>
                <w:b/>
                <w:bCs/>
                <w:lang w:val="en-US"/>
              </w:rPr>
              <w:t xml:space="preserve">Clyne et al. (2015): </w:t>
            </w:r>
            <w:r w:rsidRPr="001753FD">
              <w:rPr>
                <w:lang w:val="en-US"/>
              </w:rPr>
              <w:t xml:space="preserve">Significant reduction in potentially inappropriate prescriptions (PIPs). </w:t>
            </w:r>
          </w:p>
          <w:p w14:paraId="28D6BCB7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Martinez-Sotelo et al. (2021): </w:t>
            </w:r>
            <w:r w:rsidRPr="001753FD">
              <w:rPr>
                <w:lang w:val="en-US"/>
              </w:rPr>
              <w:t xml:space="preserve">Significant reduction in potentially inappropriate </w:t>
            </w:r>
            <w:r w:rsidRPr="001753FD">
              <w:rPr>
                <w:lang w:val="en-US"/>
              </w:rPr>
              <w:lastRenderedPageBreak/>
              <w:t xml:space="preserve">medications (PIMs) per patient. </w:t>
            </w:r>
          </w:p>
          <w:p w14:paraId="51127B77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McCarthy et al. (2022): </w:t>
            </w:r>
            <w:r w:rsidRPr="001753FD">
              <w:rPr>
                <w:lang w:val="en-US"/>
              </w:rPr>
              <w:t xml:space="preserve">Significant reduction in mean number of medications, but not in PIPs. </w:t>
            </w:r>
          </w:p>
          <w:p w14:paraId="4D176CE8" w14:textId="77777777" w:rsidR="001753FD" w:rsidRPr="001753FD" w:rsidRDefault="001753FD" w:rsidP="001753FD">
            <w:pPr>
              <w:rPr>
                <w:lang w:val="en-US"/>
              </w:rPr>
            </w:pPr>
            <w:proofErr w:type="spellStart"/>
            <w:r w:rsidRPr="001753FD">
              <w:rPr>
                <w:b/>
                <w:bCs/>
                <w:lang w:val="en-US"/>
              </w:rPr>
              <w:t>Strauven</w:t>
            </w:r>
            <w:proofErr w:type="spellEnd"/>
            <w:r w:rsidRPr="001753FD">
              <w:rPr>
                <w:b/>
                <w:bCs/>
                <w:lang w:val="en-US"/>
              </w:rPr>
              <w:t xml:space="preserve"> et al. (2019): </w:t>
            </w:r>
            <w:r w:rsidRPr="001753FD">
              <w:rPr>
                <w:lang w:val="en-US"/>
              </w:rPr>
              <w:t xml:space="preserve">Effective at resolving existing PIMs/omissions, but mixed results on preventing new ones. </w:t>
            </w:r>
          </w:p>
          <w:p w14:paraId="16B9D09B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Rudolf et al. (2021): </w:t>
            </w:r>
            <w:r w:rsidRPr="001753FD">
              <w:rPr>
                <w:lang w:val="en-US"/>
              </w:rPr>
              <w:t xml:space="preserve">No significant reduction in patients with PIMs or drug-drug interactions (DDIs). </w:t>
            </w:r>
          </w:p>
          <w:p w14:paraId="7184995B" w14:textId="77777777" w:rsidR="001753FD" w:rsidRPr="001753FD" w:rsidRDefault="001753FD" w:rsidP="001753FD">
            <w:pPr>
              <w:rPr>
                <w:lang w:val="en-US"/>
              </w:rPr>
            </w:pPr>
            <w:proofErr w:type="spellStart"/>
            <w:r w:rsidRPr="001753FD">
              <w:rPr>
                <w:b/>
                <w:bCs/>
                <w:lang w:val="en-US"/>
              </w:rPr>
              <w:t>Rikala</w:t>
            </w:r>
            <w:proofErr w:type="spellEnd"/>
            <w:r w:rsidRPr="001753FD">
              <w:rPr>
                <w:b/>
                <w:bCs/>
                <w:lang w:val="en-US"/>
              </w:rPr>
              <w:t xml:space="preserve"> et al. (2011): </w:t>
            </w:r>
            <w:r w:rsidRPr="001753FD">
              <w:rPr>
                <w:lang w:val="en-US"/>
              </w:rPr>
              <w:t>No significant reduction in psychotropic medication use.</w:t>
            </w:r>
          </w:p>
        </w:tc>
        <w:tc>
          <w:tcPr>
            <w:tcW w:w="8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FC2A1A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rFonts w:ascii="Cambria Math" w:hAnsi="Cambria Math" w:cs="Cambria Math"/>
                <w:lang w:val="en-US"/>
              </w:rPr>
              <w:lastRenderedPageBreak/>
              <w:t>⨁⨁◯◯</w:t>
            </w:r>
            <w:r w:rsidRPr="001753FD">
              <w:rPr>
                <w:lang w:val="en-US"/>
              </w:rPr>
              <w:t xml:space="preserve"> </w:t>
            </w:r>
          </w:p>
          <w:p w14:paraId="12E7EC9B" w14:textId="77777777" w:rsidR="001753FD" w:rsidRPr="001753FD" w:rsidRDefault="001753FD" w:rsidP="001753FD">
            <w:pPr>
              <w:rPr>
                <w:lang w:val="en-US"/>
              </w:rPr>
            </w:pPr>
            <w:proofErr w:type="spellStart"/>
            <w:proofErr w:type="gramStart"/>
            <w:r w:rsidRPr="001753FD">
              <w:rPr>
                <w:lang w:val="en-US"/>
              </w:rPr>
              <w:t>Low</w:t>
            </w:r>
            <w:r w:rsidRPr="001753FD">
              <w:rPr>
                <w:vertAlign w:val="superscript"/>
                <w:lang w:val="en-US"/>
              </w:rPr>
              <w:t>a,b</w:t>
            </w:r>
            <w:proofErr w:type="spellEnd"/>
            <w:proofErr w:type="gramEnd"/>
          </w:p>
        </w:tc>
        <w:tc>
          <w:tcPr>
            <w:tcW w:w="10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6CC2E2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>IMPORTANT</w:t>
            </w:r>
          </w:p>
        </w:tc>
      </w:tr>
    </w:tbl>
    <w:p w14:paraId="629AD210" w14:textId="77777777" w:rsidR="001753FD" w:rsidRPr="001753FD" w:rsidRDefault="001753FD" w:rsidP="001753FD">
      <w:pPr>
        <w:rPr>
          <w:b/>
          <w:bCs/>
          <w:lang w:val="pt-BR"/>
        </w:rPr>
      </w:pPr>
    </w:p>
    <w:p w14:paraId="68798873" w14:textId="77777777" w:rsidR="001753FD" w:rsidRPr="001753FD" w:rsidRDefault="001753FD" w:rsidP="001753FD">
      <w:pPr>
        <w:rPr>
          <w:b/>
          <w:bCs/>
          <w:lang w:val="pt-BR"/>
        </w:rPr>
      </w:pPr>
    </w:p>
    <w:p w14:paraId="19749F69" w14:textId="77777777" w:rsidR="001753FD" w:rsidRPr="001753FD" w:rsidRDefault="001753FD" w:rsidP="001753FD">
      <w:pPr>
        <w:rPr>
          <w:lang w:val="pt-BR"/>
        </w:rPr>
      </w:pPr>
    </w:p>
    <w:p w14:paraId="2A144DBF" w14:textId="77777777" w:rsidR="001753FD" w:rsidRPr="001753FD" w:rsidRDefault="001753FD" w:rsidP="001753FD">
      <w:pPr>
        <w:rPr>
          <w:b/>
          <w:bCs/>
          <w:lang w:val="pt-BR"/>
        </w:rPr>
      </w:pPr>
      <w:r w:rsidRPr="001753FD">
        <w:rPr>
          <w:b/>
          <w:bCs/>
          <w:lang w:val="en-US"/>
        </w:rPr>
        <w:t>Deprescribing techniques compared with usual care to Reduction in Number of Medications</w:t>
      </w:r>
    </w:p>
    <w:tbl>
      <w:tblPr>
        <w:tblW w:w="9870" w:type="dxa"/>
        <w:tblInd w:w="216" w:type="dxa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83"/>
        <w:gridCol w:w="729"/>
        <w:gridCol w:w="627"/>
        <w:gridCol w:w="626"/>
        <w:gridCol w:w="627"/>
        <w:gridCol w:w="613"/>
        <w:gridCol w:w="973"/>
        <w:gridCol w:w="2853"/>
        <w:gridCol w:w="790"/>
        <w:gridCol w:w="1149"/>
      </w:tblGrid>
      <w:tr w:rsidR="001753FD" w:rsidRPr="001753FD" w14:paraId="5FADDBFC" w14:textId="77777777">
        <w:trPr>
          <w:trHeight w:val="1216"/>
        </w:trPr>
        <w:tc>
          <w:tcPr>
            <w:tcW w:w="88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7F7609E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lastRenderedPageBreak/>
              <w:t xml:space="preserve">5 </w:t>
            </w:r>
          </w:p>
        </w:tc>
        <w:tc>
          <w:tcPr>
            <w:tcW w:w="72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8426B23" w14:textId="77777777" w:rsidR="001753FD" w:rsidRPr="001753FD" w:rsidRDefault="001753FD" w:rsidP="001753FD">
            <w:pPr>
              <w:rPr>
                <w:lang w:val="en-US"/>
              </w:rPr>
            </w:pPr>
            <w:proofErr w:type="spellStart"/>
            <w:r w:rsidRPr="001753FD">
              <w:rPr>
                <w:lang w:val="en-US"/>
              </w:rPr>
              <w:t>randomised</w:t>
            </w:r>
            <w:proofErr w:type="spellEnd"/>
          </w:p>
          <w:p w14:paraId="4714DA1B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>trials</w:t>
            </w:r>
          </w:p>
        </w:tc>
        <w:tc>
          <w:tcPr>
            <w:tcW w:w="6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002716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 xml:space="preserve">not serious </w:t>
            </w:r>
          </w:p>
        </w:tc>
        <w:tc>
          <w:tcPr>
            <w:tcW w:w="62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EE83256" w14:textId="77777777" w:rsidR="001753FD" w:rsidRPr="001753FD" w:rsidRDefault="001753FD" w:rsidP="001753FD">
            <w:pPr>
              <w:rPr>
                <w:lang w:val="pt-BR"/>
              </w:rPr>
            </w:pPr>
            <w:proofErr w:type="spellStart"/>
            <w:r w:rsidRPr="001753FD">
              <w:rPr>
                <w:lang w:val="en-US"/>
              </w:rPr>
              <w:t>serious</w:t>
            </w:r>
            <w:r w:rsidRPr="001753FD">
              <w:rPr>
                <w:vertAlign w:val="superscript"/>
                <w:lang w:val="en-US"/>
              </w:rPr>
              <w:t>b</w:t>
            </w:r>
            <w:proofErr w:type="spellEnd"/>
            <w:r w:rsidRPr="001753FD">
              <w:rPr>
                <w:vertAlign w:val="superscript"/>
                <w:lang w:val="en-US"/>
              </w:rPr>
              <w:t xml:space="preserve"> </w:t>
            </w:r>
          </w:p>
        </w:tc>
        <w:tc>
          <w:tcPr>
            <w:tcW w:w="6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DFE1B0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 xml:space="preserve">not serious </w:t>
            </w:r>
          </w:p>
        </w:tc>
        <w:tc>
          <w:tcPr>
            <w:tcW w:w="61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E1EB9C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 xml:space="preserve">not serious </w:t>
            </w:r>
          </w:p>
        </w:tc>
        <w:tc>
          <w:tcPr>
            <w:tcW w:w="97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D18B53C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 xml:space="preserve">none </w:t>
            </w:r>
          </w:p>
        </w:tc>
        <w:tc>
          <w:tcPr>
            <w:tcW w:w="285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161" w:type="dxa"/>
              <w:bottom w:w="80" w:type="dxa"/>
              <w:right w:w="451" w:type="dxa"/>
            </w:tcMar>
            <w:hideMark/>
          </w:tcPr>
          <w:p w14:paraId="77ED987C" w14:textId="77777777" w:rsidR="001753FD" w:rsidRPr="001753FD" w:rsidRDefault="001753FD" w:rsidP="001753FD">
            <w:pPr>
              <w:rPr>
                <w:lang w:val="en-US"/>
              </w:rPr>
            </w:pPr>
            <w:proofErr w:type="spellStart"/>
            <w:r w:rsidRPr="001753FD">
              <w:rPr>
                <w:b/>
                <w:bCs/>
                <w:lang w:val="en-US"/>
              </w:rPr>
              <w:t>Rieckert</w:t>
            </w:r>
            <w:proofErr w:type="spellEnd"/>
            <w:r w:rsidRPr="001753FD">
              <w:rPr>
                <w:b/>
                <w:bCs/>
                <w:lang w:val="en-US"/>
              </w:rPr>
              <w:t xml:space="preserve"> et al. (2020): </w:t>
            </w:r>
            <w:r w:rsidRPr="001753FD">
              <w:rPr>
                <w:lang w:val="en-US"/>
              </w:rPr>
              <w:t xml:space="preserve">Significant reduction in the mean number of </w:t>
            </w:r>
            <w:proofErr w:type="spellStart"/>
            <w:proofErr w:type="gramStart"/>
            <w:r w:rsidRPr="001753FD">
              <w:rPr>
                <w:lang w:val="en-US"/>
              </w:rPr>
              <w:t>drugs.</w:t>
            </w:r>
            <w:r w:rsidRPr="001753FD">
              <w:rPr>
                <w:b/>
                <w:bCs/>
                <w:lang w:val="en-US"/>
              </w:rPr>
              <w:t>McCarthy</w:t>
            </w:r>
            <w:proofErr w:type="spellEnd"/>
            <w:proofErr w:type="gramEnd"/>
            <w:r w:rsidRPr="001753FD">
              <w:rPr>
                <w:b/>
                <w:bCs/>
                <w:lang w:val="en-US"/>
              </w:rPr>
              <w:t xml:space="preserve"> et al. (2022): </w:t>
            </w:r>
            <w:r w:rsidRPr="001753FD">
              <w:rPr>
                <w:lang w:val="en-US"/>
              </w:rPr>
              <w:t xml:space="preserve">Significant reduction in the mean number of medications, but not in PIPs. </w:t>
            </w:r>
          </w:p>
          <w:p w14:paraId="70FFB725" w14:textId="77777777" w:rsidR="001753FD" w:rsidRPr="001753FD" w:rsidRDefault="001753FD" w:rsidP="001753FD">
            <w:pPr>
              <w:rPr>
                <w:lang w:val="pt-BR"/>
              </w:rPr>
            </w:pPr>
            <w:proofErr w:type="spellStart"/>
            <w:r w:rsidRPr="001753FD">
              <w:rPr>
                <w:b/>
                <w:bCs/>
                <w:lang w:val="en-US"/>
              </w:rPr>
              <w:t>Mahlkecht</w:t>
            </w:r>
            <w:proofErr w:type="spellEnd"/>
            <w:r w:rsidRPr="001753FD">
              <w:rPr>
                <w:b/>
                <w:bCs/>
                <w:lang w:val="en-US"/>
              </w:rPr>
              <w:t xml:space="preserve"> et al. (2021): </w:t>
            </w:r>
            <w:r w:rsidRPr="001753FD">
              <w:rPr>
                <w:lang w:val="en-US"/>
              </w:rPr>
              <w:t xml:space="preserve">No significant reduction in the number of drugs. </w:t>
            </w:r>
            <w:r w:rsidRPr="001753FD">
              <w:rPr>
                <w:b/>
                <w:bCs/>
                <w:lang w:val="en-US"/>
              </w:rPr>
              <w:t xml:space="preserve">Toivo et al. (2019): </w:t>
            </w:r>
            <w:r w:rsidRPr="001753FD">
              <w:rPr>
                <w:lang w:val="en-US"/>
              </w:rPr>
              <w:t xml:space="preserve">No significant reduction in the number of medications. </w:t>
            </w:r>
            <w:r w:rsidRPr="001753FD">
              <w:rPr>
                <w:b/>
                <w:bCs/>
                <w:lang w:val="en-US"/>
              </w:rPr>
              <w:t xml:space="preserve">Bayliss et al. (2022): </w:t>
            </w:r>
            <w:r w:rsidRPr="001753FD">
              <w:rPr>
                <w:lang w:val="en-US"/>
              </w:rPr>
              <w:t>No significant reduction in the number of medications or the percentage of patients with PIMs.</w:t>
            </w:r>
          </w:p>
        </w:tc>
        <w:tc>
          <w:tcPr>
            <w:tcW w:w="78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D21E813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rFonts w:ascii="Cambria Math" w:hAnsi="Cambria Math" w:cs="Cambria Math"/>
                <w:lang w:val="en-US"/>
              </w:rPr>
              <w:t>⨁⨁⨁◯</w:t>
            </w:r>
            <w:r w:rsidRPr="001753FD">
              <w:rPr>
                <w:lang w:val="en-US"/>
              </w:rPr>
              <w:t xml:space="preserve"> </w:t>
            </w:r>
          </w:p>
          <w:p w14:paraId="38D0EE74" w14:textId="77777777" w:rsidR="001753FD" w:rsidRPr="001753FD" w:rsidRDefault="001753FD" w:rsidP="001753FD">
            <w:pPr>
              <w:rPr>
                <w:lang w:val="en-US"/>
              </w:rPr>
            </w:pPr>
            <w:proofErr w:type="spellStart"/>
            <w:r w:rsidRPr="001753FD">
              <w:rPr>
                <w:lang w:val="en-US"/>
              </w:rPr>
              <w:t>Moderate</w:t>
            </w:r>
            <w:r w:rsidRPr="001753FD">
              <w:rPr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11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258B1E8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>IMPORTANT</w:t>
            </w:r>
          </w:p>
        </w:tc>
      </w:tr>
    </w:tbl>
    <w:p w14:paraId="2BDD300F" w14:textId="77777777" w:rsidR="001753FD" w:rsidRPr="001753FD" w:rsidRDefault="001753FD" w:rsidP="001753FD">
      <w:pPr>
        <w:rPr>
          <w:b/>
          <w:bCs/>
          <w:lang w:val="pt-BR"/>
        </w:rPr>
      </w:pPr>
    </w:p>
    <w:p w14:paraId="5F897D4C" w14:textId="77777777" w:rsidR="001753FD" w:rsidRPr="001753FD" w:rsidRDefault="001753FD" w:rsidP="001753FD">
      <w:pPr>
        <w:rPr>
          <w:b/>
          <w:bCs/>
          <w:lang w:val="pt-BR"/>
        </w:rPr>
      </w:pPr>
    </w:p>
    <w:p w14:paraId="3898C23F" w14:textId="77777777" w:rsidR="001753FD" w:rsidRPr="001753FD" w:rsidRDefault="001753FD" w:rsidP="001753FD">
      <w:pPr>
        <w:rPr>
          <w:lang w:val="pt-BR"/>
        </w:rPr>
      </w:pPr>
    </w:p>
    <w:p w14:paraId="5760CB78" w14:textId="77777777" w:rsidR="001753FD" w:rsidRPr="001753FD" w:rsidRDefault="001753FD" w:rsidP="001753FD">
      <w:pPr>
        <w:rPr>
          <w:b/>
          <w:bCs/>
          <w:lang w:val="pt-BR"/>
        </w:rPr>
      </w:pPr>
      <w:r w:rsidRPr="001753FD">
        <w:rPr>
          <w:b/>
          <w:bCs/>
          <w:lang w:val="en-US"/>
        </w:rPr>
        <w:t>Deprescribing techniques compared with usual care to Improve in Medication Appropriateness Index (MAI)</w:t>
      </w:r>
    </w:p>
    <w:tbl>
      <w:tblPr>
        <w:tblW w:w="9870" w:type="dxa"/>
        <w:tblInd w:w="216" w:type="dxa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81"/>
        <w:gridCol w:w="742"/>
        <w:gridCol w:w="626"/>
        <w:gridCol w:w="625"/>
        <w:gridCol w:w="626"/>
        <w:gridCol w:w="613"/>
        <w:gridCol w:w="970"/>
        <w:gridCol w:w="2848"/>
        <w:gridCol w:w="881"/>
        <w:gridCol w:w="1058"/>
      </w:tblGrid>
      <w:tr w:rsidR="001753FD" w:rsidRPr="001753FD" w14:paraId="431A013C" w14:textId="77777777">
        <w:trPr>
          <w:trHeight w:val="672"/>
        </w:trPr>
        <w:tc>
          <w:tcPr>
            <w:tcW w:w="8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76A999B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 xml:space="preserve">2 </w:t>
            </w:r>
          </w:p>
        </w:tc>
        <w:tc>
          <w:tcPr>
            <w:tcW w:w="74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F938F13" w14:textId="77777777" w:rsidR="001753FD" w:rsidRPr="001753FD" w:rsidRDefault="001753FD" w:rsidP="001753FD">
            <w:pPr>
              <w:rPr>
                <w:lang w:val="en-US"/>
              </w:rPr>
            </w:pPr>
            <w:proofErr w:type="spellStart"/>
            <w:r w:rsidRPr="001753FD">
              <w:rPr>
                <w:lang w:val="en-US"/>
              </w:rPr>
              <w:t>randomised</w:t>
            </w:r>
            <w:proofErr w:type="spellEnd"/>
          </w:p>
          <w:p w14:paraId="2AE4957C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>trials</w:t>
            </w:r>
          </w:p>
        </w:tc>
        <w:tc>
          <w:tcPr>
            <w:tcW w:w="62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4777C3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 xml:space="preserve">not serious </w:t>
            </w:r>
          </w:p>
        </w:tc>
        <w:tc>
          <w:tcPr>
            <w:tcW w:w="6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CA32C8" w14:textId="77777777" w:rsidR="001753FD" w:rsidRPr="001753FD" w:rsidRDefault="001753FD" w:rsidP="001753FD">
            <w:pPr>
              <w:rPr>
                <w:lang w:val="pt-BR"/>
              </w:rPr>
            </w:pPr>
            <w:proofErr w:type="spellStart"/>
            <w:r w:rsidRPr="001753FD">
              <w:rPr>
                <w:lang w:val="en-US"/>
              </w:rPr>
              <w:t>serious</w:t>
            </w:r>
            <w:r w:rsidRPr="001753FD">
              <w:rPr>
                <w:vertAlign w:val="superscript"/>
                <w:lang w:val="en-US"/>
              </w:rPr>
              <w:t>c</w:t>
            </w:r>
            <w:proofErr w:type="spellEnd"/>
            <w:r w:rsidRPr="001753FD">
              <w:rPr>
                <w:vertAlign w:val="superscript"/>
                <w:lang w:val="en-US"/>
              </w:rPr>
              <w:t xml:space="preserve"> </w:t>
            </w:r>
          </w:p>
        </w:tc>
        <w:tc>
          <w:tcPr>
            <w:tcW w:w="62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0AEC51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 xml:space="preserve">not serious </w:t>
            </w:r>
          </w:p>
        </w:tc>
        <w:tc>
          <w:tcPr>
            <w:tcW w:w="61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C1881BE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 xml:space="preserve">not serious </w:t>
            </w:r>
          </w:p>
        </w:tc>
        <w:tc>
          <w:tcPr>
            <w:tcW w:w="97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3363736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 xml:space="preserve">none </w:t>
            </w:r>
          </w:p>
        </w:tc>
        <w:tc>
          <w:tcPr>
            <w:tcW w:w="284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152" w:type="dxa"/>
              <w:bottom w:w="80" w:type="dxa"/>
              <w:right w:w="271" w:type="dxa"/>
            </w:tcMar>
            <w:hideMark/>
          </w:tcPr>
          <w:p w14:paraId="51F0B65B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b/>
                <w:bCs/>
                <w:lang w:val="en-US"/>
              </w:rPr>
              <w:t xml:space="preserve">Cura-Gonzalez et al. (2022): </w:t>
            </w:r>
            <w:r w:rsidRPr="001753FD">
              <w:rPr>
                <w:lang w:val="en-US"/>
              </w:rPr>
              <w:t xml:space="preserve">Significant reduction in </w:t>
            </w:r>
            <w:proofErr w:type="spellStart"/>
            <w:r w:rsidRPr="001753FD">
              <w:rPr>
                <w:lang w:val="en-US"/>
              </w:rPr>
              <w:t>MedicationAppropriateness</w:t>
            </w:r>
            <w:proofErr w:type="spellEnd"/>
            <w:r w:rsidRPr="001753FD">
              <w:rPr>
                <w:lang w:val="en-US"/>
              </w:rPr>
              <w:t xml:space="preserve"> Index (MAI) scores, with the effect increasing over time. </w:t>
            </w:r>
            <w:proofErr w:type="spellStart"/>
            <w:r w:rsidRPr="001753FD">
              <w:rPr>
                <w:b/>
                <w:bCs/>
                <w:lang w:val="en-US"/>
              </w:rPr>
              <w:lastRenderedPageBreak/>
              <w:t>Romskaug</w:t>
            </w:r>
            <w:proofErr w:type="spellEnd"/>
            <w:r w:rsidRPr="001753FD">
              <w:rPr>
                <w:b/>
                <w:bCs/>
                <w:lang w:val="en-US"/>
              </w:rPr>
              <w:t xml:space="preserve"> et al. (2019): </w:t>
            </w:r>
            <w:r w:rsidRPr="001753FD">
              <w:rPr>
                <w:lang w:val="en-US"/>
              </w:rPr>
              <w:t>Significant reduction in Medication Appropriateness Index (MAI) scores.</w:t>
            </w:r>
          </w:p>
        </w:tc>
        <w:tc>
          <w:tcPr>
            <w:tcW w:w="88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A90B38E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rFonts w:ascii="Cambria Math" w:hAnsi="Cambria Math" w:cs="Cambria Math"/>
                <w:lang w:val="en-US"/>
              </w:rPr>
              <w:lastRenderedPageBreak/>
              <w:t>⨁⨁⨁◯</w:t>
            </w:r>
            <w:r w:rsidRPr="001753FD">
              <w:rPr>
                <w:lang w:val="en-US"/>
              </w:rPr>
              <w:t xml:space="preserve"> </w:t>
            </w:r>
          </w:p>
          <w:p w14:paraId="3C4507AF" w14:textId="77777777" w:rsidR="001753FD" w:rsidRPr="001753FD" w:rsidRDefault="001753FD" w:rsidP="001753FD">
            <w:pPr>
              <w:rPr>
                <w:lang w:val="en-US"/>
              </w:rPr>
            </w:pPr>
            <w:proofErr w:type="spellStart"/>
            <w:r w:rsidRPr="001753FD">
              <w:rPr>
                <w:lang w:val="en-US"/>
              </w:rPr>
              <w:t>Moderate</w:t>
            </w:r>
            <w:r w:rsidRPr="001753FD">
              <w:rPr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105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F4487C9" w14:textId="77777777" w:rsidR="001753FD" w:rsidRPr="001753FD" w:rsidRDefault="001753FD" w:rsidP="001753FD">
            <w:pPr>
              <w:rPr>
                <w:lang w:val="pt-BR"/>
              </w:rPr>
            </w:pPr>
            <w:r w:rsidRPr="001753FD">
              <w:rPr>
                <w:lang w:val="en-US"/>
              </w:rPr>
              <w:t>IMPORTANT</w:t>
            </w:r>
          </w:p>
        </w:tc>
      </w:tr>
    </w:tbl>
    <w:p w14:paraId="57AE451E" w14:textId="77777777" w:rsidR="001753FD" w:rsidRPr="001753FD" w:rsidRDefault="001753FD" w:rsidP="001753FD">
      <w:pPr>
        <w:rPr>
          <w:b/>
          <w:bCs/>
          <w:lang w:val="pt-BR"/>
        </w:rPr>
      </w:pPr>
    </w:p>
    <w:p w14:paraId="539E866F" w14:textId="77777777" w:rsidR="001753FD" w:rsidRPr="001753FD" w:rsidRDefault="001753FD" w:rsidP="001753FD">
      <w:pPr>
        <w:rPr>
          <w:b/>
          <w:bCs/>
          <w:lang w:val="pt-BR"/>
        </w:rPr>
      </w:pPr>
    </w:p>
    <w:p w14:paraId="039837CE" w14:textId="77777777" w:rsidR="001753FD" w:rsidRPr="001753FD" w:rsidRDefault="001753FD" w:rsidP="001753FD">
      <w:pPr>
        <w:rPr>
          <w:lang w:val="pt-BR"/>
        </w:rPr>
      </w:pPr>
    </w:p>
    <w:p w14:paraId="01A18765" w14:textId="77777777" w:rsidR="001753FD" w:rsidRPr="001753FD" w:rsidRDefault="001753FD" w:rsidP="001753FD">
      <w:pPr>
        <w:rPr>
          <w:lang w:val="pt-BR"/>
        </w:rPr>
      </w:pPr>
      <w:r w:rsidRPr="001753FD">
        <w:rPr>
          <w:b/>
          <w:bCs/>
          <w:lang w:val="pt-BR"/>
        </w:rPr>
        <w:t xml:space="preserve">CI: </w:t>
      </w:r>
      <w:r w:rsidRPr="001753FD">
        <w:rPr>
          <w:lang w:val="en-US"/>
        </w:rPr>
        <w:t xml:space="preserve">confidence interval </w:t>
      </w:r>
    </w:p>
    <w:p w14:paraId="2CD3F1F4" w14:textId="77777777" w:rsidR="001753FD" w:rsidRPr="001753FD" w:rsidRDefault="001753FD" w:rsidP="001753FD">
      <w:pPr>
        <w:rPr>
          <w:b/>
          <w:bCs/>
          <w:lang w:val="pt-BR"/>
        </w:rPr>
      </w:pPr>
      <w:r w:rsidRPr="001753FD">
        <w:rPr>
          <w:b/>
          <w:bCs/>
          <w:lang w:val="en-US"/>
        </w:rPr>
        <w:t xml:space="preserve">Explanations </w:t>
      </w:r>
    </w:p>
    <w:p w14:paraId="59F5E353" w14:textId="77777777" w:rsidR="001753FD" w:rsidRPr="001753FD" w:rsidRDefault="001753FD" w:rsidP="001753FD">
      <w:pPr>
        <w:rPr>
          <w:lang w:val="en-US"/>
        </w:rPr>
      </w:pPr>
      <w:r w:rsidRPr="001753FD">
        <w:rPr>
          <w:lang w:val="en-US"/>
        </w:rPr>
        <w:t xml:space="preserve">a. The study by </w:t>
      </w:r>
      <w:proofErr w:type="spellStart"/>
      <w:r w:rsidRPr="001753FD">
        <w:rPr>
          <w:lang w:val="en-US"/>
        </w:rPr>
        <w:t>Strauven</w:t>
      </w:r>
      <w:proofErr w:type="spellEnd"/>
      <w:r w:rsidRPr="001753FD">
        <w:rPr>
          <w:lang w:val="en-US"/>
        </w:rPr>
        <w:t xml:space="preserve"> et al. has a high risk of bias due to missing outcome data, and the study by </w:t>
      </w:r>
      <w:proofErr w:type="spellStart"/>
      <w:r w:rsidRPr="001753FD">
        <w:rPr>
          <w:lang w:val="en-US"/>
        </w:rPr>
        <w:t>Rikala</w:t>
      </w:r>
      <w:proofErr w:type="spellEnd"/>
      <w:r w:rsidRPr="001753FD">
        <w:rPr>
          <w:lang w:val="en-US"/>
        </w:rPr>
        <w:t xml:space="preserve"> et al. did not describe the randomization process. </w:t>
      </w:r>
    </w:p>
    <w:p w14:paraId="491EC9A5" w14:textId="77777777" w:rsidR="001753FD" w:rsidRPr="001753FD" w:rsidRDefault="001753FD" w:rsidP="001753FD">
      <w:pPr>
        <w:rPr>
          <w:lang w:val="pt-BR"/>
        </w:rPr>
      </w:pPr>
      <w:r w:rsidRPr="001753FD">
        <w:rPr>
          <w:lang w:val="en-US"/>
        </w:rPr>
        <w:t xml:space="preserve">b. The deprescribing techniques used were extremely varied, including the use of deprescribing algorithms, pharmacist-led medication reviews, educational programs, and family physician-led medication reviews, which are difficult to compare with each other. </w:t>
      </w:r>
    </w:p>
    <w:p w14:paraId="3D2AA30C" w14:textId="77777777" w:rsidR="001753FD" w:rsidRPr="001753FD" w:rsidRDefault="001753FD" w:rsidP="001753FD">
      <w:pPr>
        <w:rPr>
          <w:lang w:val="pt-BR"/>
        </w:rPr>
      </w:pPr>
      <w:r w:rsidRPr="001753FD">
        <w:rPr>
          <w:lang w:val="en-US"/>
        </w:rPr>
        <w:t>c. There was a comparison between different techniques, namely an educational activity and a multidisciplinary evaluation</w:t>
      </w:r>
    </w:p>
    <w:p w14:paraId="54EEECA5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3FD"/>
    <w:rsid w:val="001753FD"/>
    <w:rsid w:val="00767E38"/>
    <w:rsid w:val="00866F7D"/>
    <w:rsid w:val="00DF1348"/>
    <w:rsid w:val="00EE5CC4"/>
    <w:rsid w:val="00F3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B8376"/>
  <w15:chartTrackingRefBased/>
  <w15:docId w15:val="{F9B21A01-2D48-4230-AE59-274D19FF2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53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53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3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3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3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3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3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3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3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3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53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3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3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3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3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3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3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3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53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3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3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53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53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3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53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53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3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3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53FD"/>
    <w:rPr>
      <w:b/>
      <w:bCs/>
      <w:smallCaps/>
      <w:color w:val="0F4761" w:themeColor="accent1" w:themeShade="BF"/>
      <w:spacing w:val="5"/>
    </w:rPr>
  </w:style>
  <w:style w:type="paragraph" w:customStyle="1" w:styleId="CorpoA">
    <w:name w:val="Corpo A"/>
    <w:rsid w:val="001753FD"/>
    <w:pPr>
      <w:widowControl w:val="0"/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2"/>
      <w:szCs w:val="22"/>
      <w:u w:color="000000"/>
      <w:lang w:val="pt-BR" w:eastAsia="pt-BR"/>
      <w14:textOutline w14:w="12700" w14:cap="flat" w14:cmpd="sng" w14:algn="ctr">
        <w14:noFill/>
        <w14:prstDash w14:val="solid"/>
        <w14:miter w14:lim="100000"/>
      </w14:textOutline>
      <w14:ligatures w14:val="none"/>
    </w:rPr>
  </w:style>
  <w:style w:type="character" w:customStyle="1" w:styleId="Nenhum">
    <w:name w:val="Nenhum"/>
    <w:rsid w:val="001753FD"/>
  </w:style>
  <w:style w:type="character" w:customStyle="1" w:styleId="Hyperlink2">
    <w:name w:val="Hyperlink.2"/>
    <w:basedOn w:val="Nenhum"/>
    <w:rsid w:val="001753FD"/>
    <w:rPr>
      <w:sz w:val="12"/>
      <w:szCs w:val="12"/>
    </w:rPr>
  </w:style>
  <w:style w:type="character" w:customStyle="1" w:styleId="Hyperlink3">
    <w:name w:val="Hyperlink.3"/>
    <w:basedOn w:val="Nenhum"/>
    <w:rsid w:val="001753FD"/>
    <w:rPr>
      <w:outline w:val="0"/>
      <w:shadow w:val="0"/>
      <w:emboss w:val="0"/>
      <w:imprint w:val="0"/>
      <w:color w:val="1155CC"/>
      <w:sz w:val="12"/>
      <w:szCs w:val="12"/>
      <w:u w:val="single" w:color="1155CC"/>
      <w:lang w:val="it-IT"/>
    </w:rPr>
  </w:style>
  <w:style w:type="table" w:customStyle="1" w:styleId="TableNormal1">
    <w:name w:val="Table Normal1"/>
    <w:rsid w:val="001753FD"/>
    <w:pP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one" w:sz="0" w:space="0" w:color="auto" w:frame="1"/>
      <w:lang w:val="pt-BR"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cgakit.com/m-2-mai%2523%2525253A~%2525253Atext%2525253D(modified)%25252526text%2525253DThe%25252520Medication%25252520Appropriateness%25252520Index%25252520(MAI%2525252Ccriteria%25252520for%25252520each%25252520medication%25252520prescribed.%25252526text%2525253DThe%25252520MAI%25252520has%25252520been%25252520used%25252520in%25252520observational%25252520and%25252520interventional%25252520studies" TargetMode="External"/><Relationship Id="rId4" Type="http://schemas.openxmlformats.org/officeDocument/2006/relationships/hyperlink" Target="https://www.cgakit.com/m-2-mai%2523%2525253A~%2525253Atext%2525253D(modified)%25252526text%2525253DThe%25252520Medication%25252520Appropriateness%25252520Index%25252520(MAI%2525252Ccriteria%25252520for%25252520each%25252520medication%25252520prescribed.%25252526text%2525253DThe%25252520MAI%25252520has%25252520been%25252520used%25252520in%25252520observational%25252520and%25252520interventional%25252520studi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2004</Words>
  <Characters>10421</Characters>
  <Application>Microsoft Office Word</Application>
  <DocSecurity>0</DocSecurity>
  <Lines>1157</Lines>
  <Paragraphs>496</Paragraphs>
  <ScaleCrop>false</ScaleCrop>
  <Company/>
  <LinksUpToDate>false</LinksUpToDate>
  <CharactersWithSpaces>11929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2026-01-14T16:04:00Z</dcterms:created>
  <dcterms:modified xsi:type="dcterms:W3CDTF">2026-01-14T16:05:00Z</dcterms:modified>
</cp:coreProperties>
</file>