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  <w:bookmarkStart w:id="0" w:name="_GoBack"/>
      <w:bookmarkEnd w:id="0"/>
    </w:p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b/>
          <w:color w:val="000000"/>
          <w:kern w:val="0"/>
          <w:szCs w:val="21"/>
        </w:rPr>
        <w:t>Supplement Table 4 Univariate and multivariate Cox regression analysis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1"/>
        <w:gridCol w:w="770"/>
        <w:gridCol w:w="1394"/>
        <w:gridCol w:w="1629"/>
        <w:gridCol w:w="1394"/>
        <w:gridCol w:w="7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Total(N)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 xml:space="preserve">HR(95% CI) 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P value Univariate analysis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 xml:space="preserve">HR(95% CI)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MA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 xml:space="preserve">P value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 stage (T2&amp;T3&amp;T4 vs. T1)</w:t>
            </w:r>
          </w:p>
        </w:tc>
        <w:tc>
          <w:tcPr>
            <w:tcW w:w="0" w:type="auto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0" w:type="auto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2.126 (1.481-3.052)</w:t>
            </w:r>
          </w:p>
        </w:tc>
        <w:tc>
          <w:tcPr>
            <w:tcW w:w="0" w:type="auto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1.335 (0.811-2.196)</w:t>
            </w:r>
          </w:p>
        </w:tc>
        <w:tc>
          <w:tcPr>
            <w:tcW w:w="0" w:type="auto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Pathologic stage (Stage III&amp;Stage IV vs. Stage I&amp;Stage II)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2.504 (1.727-3.631)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1.766 (1.079-2.889)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Tumor status (With tumor vs. Tumor free)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2.317 (1.590-3.376)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1.876 (1.253-2.807)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Gender (Male vs. Female)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0.793 (0.557-1.130)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Race (White vs. Asian&amp;Black or African American)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1.265 (0.881-1.816)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BMI (&gt;25 vs. &lt;=25)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0.798 (0.550-1.158)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Age (&gt;60 vs. &lt;=60)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1.205 (0.850-1.708)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Residual tumor (R1&amp;R2 vs. R0)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1.604 (0.812-3.169)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Histologic grade (G3&amp;G4 vs. G1&amp;G2)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1.091 (0.761-1.564)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Adjacent hepatic tissue inflammation (Mild&amp;Severe vs. None)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1.194 (0.734-1.942)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Fibrosis ishak score (3/4&amp;5/6 vs. 0&amp;1/2)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0.740 (0.445-1.232)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Vascular invasion (Yes vs. No)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1.344 (0.887-2.035)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CTH (High vs. Low)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0.679 (0.478-0.963)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0.653 (0.443-0.962)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0.031</w:t>
            </w:r>
          </w:p>
        </w:tc>
      </w:tr>
    </w:tbl>
    <w:p>
      <w:pPr>
        <w:widowControl/>
        <w:spacing w:line="480" w:lineRule="auto"/>
        <w:rPr>
          <w:rFonts w:ascii="Times New Roman" w:hAnsi="Times New Roman" w:eastAsia="宋体" w:cs="Times New Roman"/>
          <w:bCs/>
          <w:color w:val="000000"/>
          <w:kern w:val="0"/>
          <w:szCs w:val="21"/>
        </w:rPr>
      </w:pPr>
      <w:r>
        <w:rPr>
          <w:rFonts w:hint="eastAsia" w:ascii="Times New Roman" w:hAnsi="Times New Roman" w:eastAsia="宋体" w:cs="Times New Roman"/>
          <w:bCs/>
          <w:color w:val="000000"/>
          <w:kern w:val="0"/>
          <w:szCs w:val="21"/>
        </w:rPr>
        <w:t>UA:</w:t>
      </w:r>
      <w:r>
        <w:rPr>
          <w:rFonts w:ascii="Times New Roman" w:hAnsi="Times New Roman" w:eastAsia="宋体" w:cs="Times New Roman"/>
          <w:bCs/>
          <w:color w:val="000000"/>
          <w:kern w:val="0"/>
          <w:szCs w:val="21"/>
        </w:rPr>
        <w:t>Univariate analysis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Cs w:val="21"/>
        </w:rPr>
        <w:t>;</w:t>
      </w:r>
      <w:r>
        <w:rPr>
          <w:rFonts w:ascii="Times New Roman" w:hAnsi="Times New Roman" w:eastAsia="宋体" w:cs="Times New Roman"/>
          <w:bCs/>
          <w:color w:val="000000"/>
          <w:kern w:val="0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Cs w:val="21"/>
        </w:rPr>
        <w:t>MA:</w:t>
      </w:r>
      <w:r>
        <w:rPr>
          <w:rFonts w:ascii="Times New Roman" w:hAnsi="Times New Roman" w:eastAsia="宋体" w:cs="Times New Roman"/>
          <w:bCs/>
          <w:color w:val="000000"/>
          <w:kern w:val="0"/>
          <w:szCs w:val="21"/>
        </w:rPr>
        <w:t>Multivariate analysis</w:t>
      </w:r>
    </w:p>
    <w:p>
      <w:pPr>
        <w:jc w:val="center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528DB"/>
    <w:rsid w:val="2A9B1F30"/>
    <w:rsid w:val="45E51054"/>
    <w:rsid w:val="54A35A7D"/>
    <w:rsid w:val="5BB3645F"/>
    <w:rsid w:val="6B22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2021-07-25T07:35:00Z</dcterms:created>
  <dc:creator>apple</dc:creator>
  <cp:lastModifiedBy>WPS_1625981202</cp:lastModifiedBy>
  <dcterms:modified xsi:type="dcterms:W3CDTF">2021-08-26T11:32:50Z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