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1E28" w:rsidRPr="00721E28" w:rsidRDefault="00721E28" w:rsidP="00721E28">
      <w:pPr>
        <w:pStyle w:val="NormaleWeb"/>
        <w:spacing w:line="480" w:lineRule="auto"/>
        <w:jc w:val="both"/>
        <w:rPr>
          <w:b/>
          <w:sz w:val="28"/>
          <w:lang w:val="en-US"/>
        </w:rPr>
      </w:pPr>
      <w:r w:rsidRPr="00721E28">
        <w:rPr>
          <w:b/>
          <w:iCs/>
          <w:sz w:val="28"/>
          <w:lang w:val="en-US"/>
        </w:rPr>
        <w:t>Supplementary</w:t>
      </w:r>
      <w:r w:rsidR="000F092B">
        <w:rPr>
          <w:b/>
          <w:sz w:val="28"/>
          <w:lang w:val="en-US"/>
        </w:rPr>
        <w:t xml:space="preserve"> Digital Content </w:t>
      </w:r>
    </w:p>
    <w:p w:rsidR="00721E28" w:rsidRPr="00721E28" w:rsidRDefault="00721E28" w:rsidP="00721E28">
      <w:pPr>
        <w:pStyle w:val="NormaleWeb"/>
        <w:spacing w:line="480" w:lineRule="auto"/>
        <w:jc w:val="both"/>
        <w:rPr>
          <w:b/>
          <w:iCs/>
          <w:sz w:val="28"/>
          <w:lang w:val="en-US"/>
        </w:rPr>
      </w:pPr>
      <w:r w:rsidRPr="00721E28">
        <w:rPr>
          <w:b/>
          <w:iCs/>
          <w:sz w:val="28"/>
          <w:lang w:val="en-US"/>
        </w:rPr>
        <w:t>Biochemical procedures for sampling, storage and measurement of biomarker</w:t>
      </w:r>
      <w:r>
        <w:rPr>
          <w:b/>
          <w:iCs/>
          <w:sz w:val="28"/>
          <w:lang w:val="en-US"/>
        </w:rPr>
        <w:t>s</w:t>
      </w:r>
      <w:r w:rsidRPr="00721E28">
        <w:rPr>
          <w:b/>
          <w:sz w:val="28"/>
          <w:lang w:val="en-US"/>
        </w:rPr>
        <w:t xml:space="preserve">. </w:t>
      </w:r>
    </w:p>
    <w:p w:rsidR="00721E28" w:rsidRDefault="00721E28" w:rsidP="00721E28">
      <w:pPr>
        <w:spacing w:line="480" w:lineRule="auto"/>
        <w:jc w:val="both"/>
        <w:rPr>
          <w:i/>
          <w:iCs/>
          <w:lang w:val="en-US"/>
        </w:rPr>
      </w:pPr>
    </w:p>
    <w:p w:rsidR="00721E28" w:rsidRDefault="00721E28" w:rsidP="00721E28">
      <w:pPr>
        <w:spacing w:line="480" w:lineRule="auto"/>
        <w:jc w:val="both"/>
        <w:rPr>
          <w:i/>
          <w:iCs/>
          <w:lang w:val="en-US"/>
        </w:rPr>
      </w:pPr>
    </w:p>
    <w:p w:rsidR="00721E28" w:rsidRPr="006E5DFE" w:rsidRDefault="00721E28" w:rsidP="00721E28">
      <w:pPr>
        <w:spacing w:line="480" w:lineRule="auto"/>
        <w:jc w:val="both"/>
        <w:rPr>
          <w:i/>
          <w:lang w:val="en-US"/>
        </w:rPr>
      </w:pPr>
      <w:r w:rsidRPr="006E5DFE">
        <w:rPr>
          <w:i/>
          <w:iCs/>
          <w:lang w:val="en-US"/>
        </w:rPr>
        <w:t xml:space="preserve">Measurement of </w:t>
      </w:r>
      <w:r w:rsidRPr="006E5DFE">
        <w:rPr>
          <w:i/>
          <w:lang w:val="en-US"/>
        </w:rPr>
        <w:t>NSE, S100B, hs-TPN, nGAL, HIF-1alpha and acetyl-CoA</w:t>
      </w:r>
    </w:p>
    <w:p w:rsidR="00721E28" w:rsidRPr="006E5DFE" w:rsidRDefault="00721E28" w:rsidP="00721E28">
      <w:pPr>
        <w:spacing w:line="480" w:lineRule="auto"/>
        <w:jc w:val="both"/>
        <w:rPr>
          <w:lang w:val="en-US"/>
        </w:rPr>
      </w:pPr>
    </w:p>
    <w:p w:rsidR="00721E28" w:rsidRPr="006E5DFE" w:rsidRDefault="00721E28" w:rsidP="00721E28">
      <w:pPr>
        <w:spacing w:line="480" w:lineRule="auto"/>
        <w:jc w:val="both"/>
        <w:rPr>
          <w:lang w:val="en-US"/>
        </w:rPr>
      </w:pPr>
      <w:r w:rsidRPr="006E5DFE">
        <w:rPr>
          <w:lang w:val="en-US"/>
        </w:rPr>
        <w:t xml:space="preserve">Commercially available ELISA kit were used to measure neuron specific enolase (NSE) (Quantikine ELISA Kit Human Enolase 2/Neuron-specific Enolase Catalog Number DENL201, S100B (S100B Abnova S100B (Human) ELISA Kit Catalog Number KA0037, high sensitive troponin (Abcam Human Cardiac Troponin 1 SimpleStep ELISA® Kit Catalog Number ab200016), nGAL (Quantikine® ELISA Human NGAL Immunoassay Catalog Number DLCN20), HIF-1alpha ((Human SimpleStep ELISA® Kit HIF1a Catalog Number ab171577 – HIF1a) and acetyl-CoA (Abnova Acetyl – CoA Assay Kit Catalog Number KA0803) concentration. The assays were performed according to the manufacturer's protocol. Briefly, each sample was incubated with specific primary antibody, anti-rabbit immunoglobulin G and horseradish peroxidase conjugates, in successive order. Absorbance was measured at a wave- length of 450 nm, and biomarker concentration was calculated from a standard curve generated with purified proteins. The limit of detection as specified by the manufacturer were 0.012 ng/mL ng/ml (NGAL), 0.020 ng/mL (NSE), 42 pg/mL (HIF-1a), 10 pg/mL (S100B) Each measurement was performed in triplicate, and means were reported. </w:t>
      </w:r>
    </w:p>
    <w:p w:rsidR="00721E28" w:rsidRPr="006E5DFE" w:rsidRDefault="00721E28" w:rsidP="00721E28">
      <w:pPr>
        <w:spacing w:before="100" w:beforeAutospacing="1" w:after="100" w:afterAutospacing="1" w:line="480" w:lineRule="auto"/>
        <w:jc w:val="both"/>
        <w:rPr>
          <w:i/>
          <w:iCs/>
          <w:lang w:val="en-US"/>
        </w:rPr>
      </w:pPr>
      <w:r w:rsidRPr="006E5DFE">
        <w:rPr>
          <w:i/>
          <w:iCs/>
          <w:lang w:val="en-US"/>
        </w:rPr>
        <w:t>Lipid hydroperoxide (LOOH) determination</w:t>
      </w:r>
    </w:p>
    <w:p w:rsidR="00721E28" w:rsidRPr="006E5DFE" w:rsidRDefault="00721E28" w:rsidP="00721E28">
      <w:pPr>
        <w:spacing w:before="100" w:beforeAutospacing="1" w:after="100" w:afterAutospacing="1" w:line="480" w:lineRule="auto"/>
        <w:jc w:val="both"/>
        <w:rPr>
          <w:lang w:val="en-US"/>
        </w:rPr>
      </w:pPr>
      <w:r w:rsidRPr="006E5DFE">
        <w:rPr>
          <w:lang w:val="en-US"/>
        </w:rPr>
        <w:t>LOOH levels were evaluated following the oxidation of Fe</w:t>
      </w:r>
      <w:r w:rsidRPr="006E5DFE">
        <w:rPr>
          <w:position w:val="8"/>
          <w:lang w:val="en-US"/>
        </w:rPr>
        <w:t xml:space="preserve">2+ </w:t>
      </w:r>
      <w:r w:rsidRPr="006E5DFE">
        <w:rPr>
          <w:lang w:val="en-US"/>
        </w:rPr>
        <w:t>to Fe</w:t>
      </w:r>
      <w:r w:rsidRPr="006E5DFE">
        <w:rPr>
          <w:position w:val="8"/>
          <w:lang w:val="en-US"/>
        </w:rPr>
        <w:t xml:space="preserve">3+ </w:t>
      </w:r>
      <w:r w:rsidRPr="006E5DFE">
        <w:rPr>
          <w:lang w:val="en-US"/>
        </w:rPr>
        <w:t xml:space="preserve">in the presence of xylenol orange. The assay mixture contained, in a total volume of 1 ml/100 ml of plasma sample, 100 </w:t>
      </w:r>
      <w:r w:rsidRPr="006E5DFE">
        <w:rPr>
          <w:lang w:val="en-US"/>
        </w:rPr>
        <w:lastRenderedPageBreak/>
        <w:t>mmol/l xylenol orange, 250 mmol/l ammonium ferrous sulfate, 90% methanol, 4 mmol/l butylated hydroxytoluene and 25 mmol/l H</w:t>
      </w:r>
      <w:r w:rsidRPr="006E5DFE">
        <w:rPr>
          <w:position w:val="-4"/>
          <w:lang w:val="en-US"/>
        </w:rPr>
        <w:t>2</w:t>
      </w:r>
      <w:r w:rsidRPr="006E5DFE">
        <w:rPr>
          <w:lang w:val="en-US"/>
        </w:rPr>
        <w:t>SO</w:t>
      </w:r>
      <w:r w:rsidRPr="006E5DFE">
        <w:rPr>
          <w:position w:val="-4"/>
          <w:lang w:val="en-US"/>
        </w:rPr>
        <w:t>4</w:t>
      </w:r>
      <w:r w:rsidRPr="006E5DFE">
        <w:rPr>
          <w:lang w:val="en-US"/>
        </w:rPr>
        <w:t xml:space="preserve">. Following incubation for 30 minutes at room temperature, the absorbance was measured using a U2000 Hitachi spectrophotometer (Hitachi, Ltd., Tokyo, Japan) at a wavelength of 560 nm. Calibration was obtained using hydrogen peroxide (0.2-20 mmol/l). The limit of detection for this assay is ~0.25 nmol/l. </w:t>
      </w:r>
    </w:p>
    <w:p w:rsidR="00721E28" w:rsidRPr="006E5DFE" w:rsidRDefault="00721E28" w:rsidP="00721E28">
      <w:pPr>
        <w:spacing w:before="100" w:beforeAutospacing="1" w:after="100" w:afterAutospacing="1" w:line="480" w:lineRule="auto"/>
        <w:jc w:val="both"/>
        <w:rPr>
          <w:i/>
          <w:iCs/>
          <w:lang w:val="en-US"/>
        </w:rPr>
      </w:pPr>
      <w:r w:rsidRPr="006E5DFE">
        <w:rPr>
          <w:i/>
          <w:iCs/>
          <w:lang w:val="en-US"/>
        </w:rPr>
        <w:t xml:space="preserve">Measurement of reduced glutathione (GSH) </w:t>
      </w:r>
    </w:p>
    <w:p w:rsidR="00721E28" w:rsidRPr="006E5DFE" w:rsidRDefault="00721E28" w:rsidP="00721E28">
      <w:pPr>
        <w:spacing w:before="100" w:beforeAutospacing="1" w:after="100" w:afterAutospacing="1" w:line="480" w:lineRule="auto"/>
        <w:jc w:val="both"/>
        <w:rPr>
          <w:lang w:val="en-US"/>
        </w:rPr>
      </w:pPr>
      <w:r w:rsidRPr="006E5DFE">
        <w:rPr>
          <w:lang w:val="en-US"/>
        </w:rPr>
        <w:t>Plasma levels of GSH were measured using a spectrophotometric assay based on the reaction of thiol groups with 2,2-dithio-bis-nitrobenzoic acid at a wavelength of 412 nm (</w:t>
      </w:r>
      <w:r w:rsidRPr="006E5DFE">
        <w:t>ε</w:t>
      </w:r>
      <w:r w:rsidRPr="006E5DFE">
        <w:rPr>
          <w:lang w:val="en-US"/>
        </w:rPr>
        <w:t xml:space="preserve">M=13,600 M-1 cm-1, where </w:t>
      </w:r>
      <w:r w:rsidRPr="006E5DFE">
        <w:t>ε</w:t>
      </w:r>
      <w:r w:rsidRPr="006E5DFE">
        <w:rPr>
          <w:lang w:val="en-US"/>
        </w:rPr>
        <w:t xml:space="preserve">M is a wavelength‐dependent molar absorptivity coefficient). Measurements were performed in duplicate. </w:t>
      </w:r>
    </w:p>
    <w:p w:rsidR="00D8046A" w:rsidRDefault="00D8046A"/>
    <w:sectPr w:rsidR="00D8046A" w:rsidSect="00D8046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6E69" w:rsidRDefault="00EB6E69" w:rsidP="00721E28">
      <w:r>
        <w:separator/>
      </w:r>
    </w:p>
  </w:endnote>
  <w:endnote w:type="continuationSeparator" w:id="1">
    <w:p w:rsidR="00EB6E69" w:rsidRDefault="00EB6E69" w:rsidP="00721E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6E69" w:rsidRDefault="00EB6E69" w:rsidP="00721E28">
      <w:r>
        <w:separator/>
      </w:r>
    </w:p>
  </w:footnote>
  <w:footnote w:type="continuationSeparator" w:id="1">
    <w:p w:rsidR="00EB6E69" w:rsidRDefault="00EB6E69" w:rsidP="00721E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1"/>
  <w:doNotDisplayPageBoundaries/>
  <w:defaultTabStop w:val="708"/>
  <w:hyphenationZone w:val="283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21E28"/>
    <w:rsid w:val="000F092B"/>
    <w:rsid w:val="00721E28"/>
    <w:rsid w:val="009449D8"/>
    <w:rsid w:val="009A36F8"/>
    <w:rsid w:val="00D8046A"/>
    <w:rsid w:val="00EB6E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21E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721E2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721E28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721E2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721E28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ormaleWeb">
    <w:name w:val="Normal (Web)"/>
    <w:basedOn w:val="Normale"/>
    <w:link w:val="NormaleWebCarattere"/>
    <w:uiPriority w:val="99"/>
    <w:rsid w:val="00721E28"/>
    <w:pPr>
      <w:spacing w:before="100" w:beforeAutospacing="1" w:after="100" w:afterAutospacing="1"/>
    </w:pPr>
  </w:style>
  <w:style w:type="character" w:customStyle="1" w:styleId="NormaleWebCarattere">
    <w:name w:val="Normale (Web) Carattere"/>
    <w:basedOn w:val="Carpredefinitoparagrafo"/>
    <w:link w:val="NormaleWeb"/>
    <w:uiPriority w:val="99"/>
    <w:rsid w:val="00721E28"/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350</Words>
  <Characters>1999</Characters>
  <Application>Microsoft Office Word</Application>
  <DocSecurity>0</DocSecurity>
  <Lines>16</Lines>
  <Paragraphs>4</Paragraphs>
  <ScaleCrop>false</ScaleCrop>
  <Company>Hewlett-Packard Company</Company>
  <LinksUpToDate>false</LinksUpToDate>
  <CharactersWithSpaces>2345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 Sanfilippo</dc:creator>
  <cp:keywords/>
  <dc:description/>
  <cp:lastModifiedBy>F Sanfilippo</cp:lastModifiedBy>
  <cp:revision>3</cp:revision>
  <dcterms:created xsi:type="dcterms:W3CDTF">2021-07-15T09:06:00Z</dcterms:created>
  <dcterms:modified xsi:type="dcterms:W3CDTF">2021-08-27T15:10:00Z</dcterms:modified>
</cp:coreProperties>
</file>