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32C6D" w14:textId="77777777" w:rsidR="00605D4B" w:rsidRPr="00090A1E" w:rsidRDefault="00605D4B" w:rsidP="00605D4B">
      <w:pPr>
        <w:spacing w:line="360" w:lineRule="auto"/>
        <w:jc w:val="center"/>
        <w:rPr>
          <w:rFonts w:eastAsia="Times New Roman"/>
          <w:b/>
          <w:bCs/>
          <w:kern w:val="28"/>
          <w:sz w:val="24"/>
          <w:szCs w:val="24"/>
        </w:rPr>
      </w:pPr>
      <w:r w:rsidRPr="00090A1E">
        <w:rPr>
          <w:rFonts w:eastAsia="Times New Roman"/>
          <w:b/>
          <w:bCs/>
          <w:kern w:val="28"/>
          <w:sz w:val="24"/>
          <w:szCs w:val="24"/>
        </w:rPr>
        <w:t>Supplementary Materials for</w:t>
      </w:r>
    </w:p>
    <w:p w14:paraId="136C22F9" w14:textId="013163C2" w:rsidR="00605D4B" w:rsidRPr="00090A1E" w:rsidRDefault="00C00E6C" w:rsidP="00605D4B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  <w:r w:rsidRPr="00C00E6C">
        <w:rPr>
          <w:b/>
          <w:bCs/>
          <w:color w:val="000000" w:themeColor="text1"/>
          <w:sz w:val="24"/>
          <w:szCs w:val="24"/>
        </w:rPr>
        <w:t>Targeting CSF1 /CSF1R axis</w:t>
      </w:r>
      <w:r w:rsidRPr="000B1E1E">
        <w:t xml:space="preserve"> </w:t>
      </w:r>
      <w:r w:rsidR="00605D4B" w:rsidRPr="00090A1E">
        <w:rPr>
          <w:b/>
          <w:bCs/>
          <w:color w:val="000000" w:themeColor="text1"/>
          <w:sz w:val="24"/>
          <w:szCs w:val="24"/>
        </w:rPr>
        <w:t>alleviates intervertebral disc degeneration and associated neuropathic pain</w:t>
      </w:r>
    </w:p>
    <w:p w14:paraId="368667F9" w14:textId="77777777" w:rsidR="00605D4B" w:rsidRPr="00090A1E" w:rsidRDefault="00605D4B" w:rsidP="00605D4B">
      <w:pPr>
        <w:pStyle w:val="Head"/>
        <w:spacing w:before="0" w:after="0" w:line="360" w:lineRule="auto"/>
        <w:rPr>
          <w:sz w:val="24"/>
          <w:szCs w:val="24"/>
        </w:rPr>
      </w:pPr>
    </w:p>
    <w:p w14:paraId="5D4F9A2A" w14:textId="77777777" w:rsidR="00605D4B" w:rsidRPr="00090A1E" w:rsidRDefault="00605D4B" w:rsidP="00605D4B">
      <w:pPr>
        <w:pStyle w:val="Teaser"/>
        <w:spacing w:before="0" w:line="360" w:lineRule="auto"/>
        <w:jc w:val="center"/>
        <w:rPr>
          <w:b/>
        </w:rPr>
      </w:pPr>
      <w:r w:rsidRPr="00090A1E">
        <w:rPr>
          <w:color w:val="000000"/>
        </w:rPr>
        <w:t>Lei Liu et al</w:t>
      </w:r>
    </w:p>
    <w:p w14:paraId="51DA2DE0" w14:textId="77777777" w:rsidR="00605D4B" w:rsidRPr="00090A1E" w:rsidRDefault="00605D4B" w:rsidP="00605D4B">
      <w:pPr>
        <w:pStyle w:val="Paragraph"/>
        <w:spacing w:before="0" w:line="360" w:lineRule="auto"/>
        <w:ind w:firstLine="0"/>
        <w:jc w:val="center"/>
        <w:rPr>
          <w:b/>
        </w:rPr>
      </w:pPr>
    </w:p>
    <w:p w14:paraId="3A1EC471" w14:textId="77777777" w:rsidR="00605D4B" w:rsidRPr="00090A1E" w:rsidRDefault="00605D4B" w:rsidP="00605D4B">
      <w:pPr>
        <w:spacing w:line="360" w:lineRule="auto"/>
        <w:jc w:val="center"/>
        <w:rPr>
          <w:b/>
          <w:color w:val="000000"/>
          <w:sz w:val="24"/>
          <w:szCs w:val="24"/>
        </w:rPr>
      </w:pPr>
      <w:r w:rsidRPr="00090A1E">
        <w:rPr>
          <w:b/>
          <w:color w:val="000000"/>
          <w:sz w:val="24"/>
          <w:szCs w:val="24"/>
        </w:rPr>
        <w:t>Corresponding author</w:t>
      </w:r>
    </w:p>
    <w:p w14:paraId="4962E344" w14:textId="77777777" w:rsidR="00605D4B" w:rsidRPr="00090A1E" w:rsidRDefault="00605D4B" w:rsidP="00605D4B">
      <w:pPr>
        <w:spacing w:line="360" w:lineRule="auto"/>
        <w:jc w:val="center"/>
        <w:rPr>
          <w:color w:val="000000" w:themeColor="text1"/>
          <w:sz w:val="24"/>
          <w:szCs w:val="24"/>
        </w:rPr>
      </w:pPr>
      <w:r w:rsidRPr="00090A1E">
        <w:rPr>
          <w:bCs/>
          <w:color w:val="000000"/>
          <w:sz w:val="24"/>
          <w:szCs w:val="24"/>
        </w:rPr>
        <w:t>Yi Lu</w:t>
      </w:r>
      <w:r w:rsidRPr="00090A1E">
        <w:rPr>
          <w:color w:val="000000" w:themeColor="text1"/>
          <w:sz w:val="24"/>
          <w:szCs w:val="24"/>
        </w:rPr>
        <w:t xml:space="preserve">: </w:t>
      </w:r>
      <w:hyperlink r:id="rId4" w:history="1">
        <w:r w:rsidRPr="00090A1E">
          <w:rPr>
            <w:rStyle w:val="Hyperlink"/>
            <w:color w:val="000000" w:themeColor="text1"/>
            <w:sz w:val="24"/>
            <w:szCs w:val="24"/>
            <w:u w:val="none"/>
          </w:rPr>
          <w:t>ylu4@bwh.harvard.edu</w:t>
        </w:r>
      </w:hyperlink>
      <w:r w:rsidRPr="00090A1E">
        <w:rPr>
          <w:color w:val="000000" w:themeColor="text1"/>
          <w:sz w:val="24"/>
          <w:szCs w:val="24"/>
        </w:rPr>
        <w:t>, Hong Guo: hguo3@bwh.harvard.edu</w:t>
      </w:r>
    </w:p>
    <w:p w14:paraId="71B574BA" w14:textId="77777777" w:rsidR="00605D4B" w:rsidRPr="00090A1E" w:rsidRDefault="00605D4B" w:rsidP="00605D4B">
      <w:pPr>
        <w:spacing w:line="360" w:lineRule="auto"/>
        <w:jc w:val="center"/>
        <w:rPr>
          <w:sz w:val="24"/>
          <w:szCs w:val="24"/>
        </w:rPr>
      </w:pPr>
    </w:p>
    <w:p w14:paraId="594BF948" w14:textId="77777777" w:rsidR="00605D4B" w:rsidRPr="00090A1E" w:rsidRDefault="00605D4B" w:rsidP="00605D4B">
      <w:pPr>
        <w:spacing w:line="360" w:lineRule="auto"/>
        <w:jc w:val="center"/>
        <w:rPr>
          <w:b/>
          <w:bCs/>
          <w:sz w:val="24"/>
          <w:szCs w:val="24"/>
        </w:rPr>
      </w:pPr>
    </w:p>
    <w:p w14:paraId="52A726C8" w14:textId="77777777" w:rsidR="00605D4B" w:rsidRPr="00090A1E" w:rsidRDefault="00605D4B" w:rsidP="00605D4B">
      <w:pPr>
        <w:spacing w:line="360" w:lineRule="auto"/>
        <w:rPr>
          <w:sz w:val="24"/>
          <w:szCs w:val="24"/>
        </w:rPr>
      </w:pPr>
      <w:r w:rsidRPr="00090A1E">
        <w:rPr>
          <w:b/>
          <w:bCs/>
          <w:sz w:val="24"/>
          <w:szCs w:val="24"/>
        </w:rPr>
        <w:t>The PDF file includes:</w:t>
      </w:r>
    </w:p>
    <w:p w14:paraId="7187A883" w14:textId="77777777" w:rsidR="00605D4B" w:rsidRPr="00090A1E" w:rsidRDefault="00605D4B" w:rsidP="00605D4B">
      <w:pPr>
        <w:spacing w:line="360" w:lineRule="auto"/>
        <w:rPr>
          <w:sz w:val="24"/>
          <w:szCs w:val="24"/>
        </w:rPr>
      </w:pPr>
      <w:r w:rsidRPr="00090A1E">
        <w:rPr>
          <w:sz w:val="24"/>
          <w:szCs w:val="24"/>
        </w:rPr>
        <w:t>Figs. S1 to S7</w:t>
      </w:r>
    </w:p>
    <w:p w14:paraId="7453C6A2" w14:textId="77777777" w:rsidR="00605D4B" w:rsidRPr="00090A1E" w:rsidRDefault="00605D4B">
      <w:pPr>
        <w:spacing w:after="160" w:line="278" w:lineRule="auto"/>
        <w:rPr>
          <w:b/>
          <w:sz w:val="24"/>
          <w:szCs w:val="24"/>
        </w:rPr>
      </w:pPr>
      <w:r w:rsidRPr="00090A1E">
        <w:rPr>
          <w:b/>
          <w:sz w:val="24"/>
          <w:szCs w:val="24"/>
        </w:rPr>
        <w:br w:type="page"/>
      </w:r>
    </w:p>
    <w:p w14:paraId="55CF636C" w14:textId="1B6E5F89" w:rsidR="00605D4B" w:rsidRPr="00090A1E" w:rsidRDefault="00605D4B" w:rsidP="00605D4B">
      <w:pPr>
        <w:spacing w:line="360" w:lineRule="auto"/>
        <w:rPr>
          <w:sz w:val="24"/>
          <w:szCs w:val="24"/>
        </w:rPr>
      </w:pPr>
      <w:r w:rsidRPr="00090A1E">
        <w:rPr>
          <w:b/>
          <w:sz w:val="24"/>
          <w:szCs w:val="24"/>
        </w:rPr>
        <w:lastRenderedPageBreak/>
        <w:t>Supplementary Figure 1 Supporting analyses for NPC heterogeneity. (</w:t>
      </w:r>
      <w:r w:rsidRPr="00090A1E">
        <w:rPr>
          <w:b/>
          <w:color w:val="FF0000"/>
          <w:kern w:val="24"/>
          <w:sz w:val="24"/>
          <w:szCs w:val="24"/>
        </w:rPr>
        <w:t>Related to Figure 1</w:t>
      </w:r>
      <w:r w:rsidRPr="00090A1E">
        <w:rPr>
          <w:b/>
          <w:color w:val="000000"/>
          <w:kern w:val="24"/>
          <w:sz w:val="24"/>
          <w:szCs w:val="24"/>
        </w:rPr>
        <w:t>)</w:t>
      </w:r>
      <w:r w:rsidRPr="00090A1E">
        <w:rPr>
          <w:sz w:val="24"/>
          <w:szCs w:val="24"/>
        </w:rPr>
        <w:br/>
        <w:t>(A) UMAP visualization of single cells from mild vs. severe NP tissues.</w:t>
      </w:r>
      <w:r w:rsidRPr="00090A1E">
        <w:rPr>
          <w:sz w:val="24"/>
          <w:szCs w:val="24"/>
        </w:rPr>
        <w:br/>
        <w:t xml:space="preserve">(B) Heatmap illustrating cellular signaling communication between macrophage and other NP cell subsets based on </w:t>
      </w:r>
      <w:proofErr w:type="spellStart"/>
      <w:r w:rsidRPr="00090A1E">
        <w:rPr>
          <w:sz w:val="24"/>
          <w:szCs w:val="24"/>
        </w:rPr>
        <w:t>CellChat</w:t>
      </w:r>
      <w:proofErr w:type="spellEnd"/>
      <w:r w:rsidRPr="00090A1E">
        <w:rPr>
          <w:sz w:val="24"/>
          <w:szCs w:val="24"/>
        </w:rPr>
        <w:t xml:space="preserve"> analysis of </w:t>
      </w:r>
      <w:proofErr w:type="spellStart"/>
      <w:r w:rsidRPr="00090A1E">
        <w:rPr>
          <w:sz w:val="24"/>
          <w:szCs w:val="24"/>
        </w:rPr>
        <w:t>scRNA</w:t>
      </w:r>
      <w:proofErr w:type="spellEnd"/>
      <w:r w:rsidRPr="00090A1E">
        <w:rPr>
          <w:sz w:val="24"/>
          <w:szCs w:val="24"/>
        </w:rPr>
        <w:t>-Seq data.</w:t>
      </w:r>
    </w:p>
    <w:p w14:paraId="102618CE" w14:textId="77777777" w:rsidR="00605D4B" w:rsidRPr="00090A1E" w:rsidRDefault="00605D4B" w:rsidP="00605D4B">
      <w:pPr>
        <w:spacing w:line="360" w:lineRule="auto"/>
        <w:rPr>
          <w:sz w:val="24"/>
          <w:szCs w:val="24"/>
        </w:rPr>
      </w:pPr>
      <w:r w:rsidRPr="00090A1E">
        <w:rPr>
          <w:sz w:val="24"/>
          <w:szCs w:val="24"/>
        </w:rPr>
        <w:t xml:space="preserve">(C) </w:t>
      </w:r>
      <w:proofErr w:type="spellStart"/>
      <w:r w:rsidRPr="00090A1E">
        <w:rPr>
          <w:sz w:val="24"/>
          <w:szCs w:val="24"/>
        </w:rPr>
        <w:t>Dotplot</w:t>
      </w:r>
      <w:proofErr w:type="spellEnd"/>
      <w:r w:rsidRPr="00090A1E">
        <w:rPr>
          <w:sz w:val="24"/>
          <w:szCs w:val="24"/>
        </w:rPr>
        <w:t xml:space="preserve"> of gene expression.</w:t>
      </w:r>
    </w:p>
    <w:p w14:paraId="20923FE6" w14:textId="77777777" w:rsidR="00605D4B" w:rsidRPr="00090A1E" w:rsidRDefault="00605D4B" w:rsidP="00605D4B">
      <w:pPr>
        <w:spacing w:line="360" w:lineRule="auto"/>
        <w:rPr>
          <w:sz w:val="24"/>
          <w:szCs w:val="24"/>
        </w:rPr>
      </w:pPr>
      <w:r w:rsidRPr="00090A1E">
        <w:rPr>
          <w:sz w:val="24"/>
          <w:szCs w:val="24"/>
        </w:rPr>
        <w:t>(D) UMAP display of NPC marker gene expression.</w:t>
      </w:r>
      <w:r w:rsidRPr="00090A1E">
        <w:rPr>
          <w:sz w:val="24"/>
          <w:szCs w:val="24"/>
        </w:rPr>
        <w:br/>
        <w:t>(E) Violin plots displaying indicated pathway activity scores (</w:t>
      </w:r>
      <w:proofErr w:type="spellStart"/>
      <w:r w:rsidRPr="00090A1E">
        <w:rPr>
          <w:sz w:val="24"/>
          <w:szCs w:val="24"/>
        </w:rPr>
        <w:t>MSigDB</w:t>
      </w:r>
      <w:proofErr w:type="spellEnd"/>
      <w:r w:rsidRPr="00090A1E">
        <w:rPr>
          <w:sz w:val="24"/>
          <w:szCs w:val="24"/>
        </w:rPr>
        <w:t xml:space="preserve"> Hallmark gene sets) in sub-cluster of NPCs.</w:t>
      </w:r>
      <w:r w:rsidRPr="00090A1E">
        <w:rPr>
          <w:sz w:val="24"/>
          <w:szCs w:val="24"/>
        </w:rPr>
        <w:br/>
        <w:t>(F-G) GO enrichment analysis of Fib-Inf-NPCs (F) and Fib-NPCs (G).</w:t>
      </w:r>
      <w:r w:rsidRPr="00090A1E">
        <w:rPr>
          <w:sz w:val="24"/>
          <w:szCs w:val="24"/>
        </w:rPr>
        <w:br/>
        <w:t>(H) </w:t>
      </w:r>
      <w:proofErr w:type="spellStart"/>
      <w:r w:rsidRPr="00090A1E">
        <w:rPr>
          <w:sz w:val="24"/>
          <w:szCs w:val="24"/>
        </w:rPr>
        <w:t>Pseudotime</w:t>
      </w:r>
      <w:proofErr w:type="spellEnd"/>
      <w:r w:rsidRPr="00090A1E">
        <w:rPr>
          <w:sz w:val="24"/>
          <w:szCs w:val="24"/>
        </w:rPr>
        <w:t xml:space="preserve"> kinetics of key genes in NPCs.</w:t>
      </w:r>
      <w:r w:rsidRPr="00090A1E">
        <w:rPr>
          <w:sz w:val="24"/>
          <w:szCs w:val="24"/>
        </w:rPr>
        <w:br/>
        <w:t>(I) </w:t>
      </w:r>
      <w:r w:rsidRPr="00090A1E">
        <w:rPr>
          <w:i/>
          <w:iCs/>
          <w:sz w:val="24"/>
          <w:szCs w:val="24"/>
        </w:rPr>
        <w:t>CSF1</w:t>
      </w:r>
      <w:r w:rsidRPr="00090A1E">
        <w:rPr>
          <w:sz w:val="24"/>
          <w:szCs w:val="24"/>
        </w:rPr>
        <w:t> expression in human cartilaginous endplate tissues (n=3 each group;  *p=0.004, ANOVA).</w:t>
      </w:r>
    </w:p>
    <w:p w14:paraId="34CCFF57" w14:textId="77777777" w:rsidR="00D35D0F" w:rsidRPr="00090A1E" w:rsidRDefault="00D35D0F">
      <w:pPr>
        <w:spacing w:after="160" w:line="278" w:lineRule="auto"/>
        <w:rPr>
          <w:b/>
          <w:bCs/>
          <w:color w:val="000000"/>
          <w:kern w:val="24"/>
          <w:sz w:val="24"/>
          <w:szCs w:val="24"/>
        </w:rPr>
      </w:pPr>
      <w:r w:rsidRPr="00090A1E">
        <w:rPr>
          <w:b/>
          <w:bCs/>
          <w:color w:val="000000"/>
          <w:kern w:val="24"/>
          <w:sz w:val="24"/>
          <w:szCs w:val="24"/>
        </w:rPr>
        <w:br w:type="page"/>
      </w:r>
    </w:p>
    <w:p w14:paraId="4FC88F25" w14:textId="77777777" w:rsidR="00D35D0F" w:rsidRPr="00090A1E" w:rsidRDefault="00D35D0F" w:rsidP="00605D4B">
      <w:pPr>
        <w:spacing w:line="360" w:lineRule="auto"/>
        <w:rPr>
          <w:b/>
          <w:bCs/>
          <w:color w:val="000000"/>
          <w:kern w:val="24"/>
          <w:sz w:val="24"/>
          <w:szCs w:val="24"/>
        </w:rPr>
      </w:pPr>
      <w:r w:rsidRPr="00090A1E">
        <w:rPr>
          <w:b/>
          <w:bCs/>
          <w:noProof/>
          <w:color w:val="000000"/>
          <w:kern w:val="24"/>
          <w:sz w:val="24"/>
          <w:szCs w:val="24"/>
          <w14:ligatures w14:val="standardContextual"/>
        </w:rPr>
        <w:lastRenderedPageBreak/>
        <w:drawing>
          <wp:inline distT="0" distB="0" distL="0" distR="0" wp14:anchorId="72879455" wp14:editId="4D4DD593">
            <wp:extent cx="5697220" cy="8229600"/>
            <wp:effectExtent l="0" t="0" r="0" b="0"/>
            <wp:docPr id="33802456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24563" name="Picture 1" descr="A screenshot of a computer scree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898B" w14:textId="01C1A751" w:rsidR="00D35D0F" w:rsidRPr="00090A1E" w:rsidRDefault="00D35D0F">
      <w:pPr>
        <w:spacing w:after="160" w:line="278" w:lineRule="auto"/>
        <w:rPr>
          <w:b/>
          <w:bCs/>
          <w:color w:val="000000"/>
          <w:kern w:val="24"/>
          <w:sz w:val="24"/>
          <w:szCs w:val="24"/>
        </w:rPr>
      </w:pPr>
      <w:r w:rsidRPr="00090A1E">
        <w:rPr>
          <w:b/>
          <w:bCs/>
          <w:noProof/>
          <w:color w:val="000000"/>
          <w:kern w:val="24"/>
          <w:sz w:val="24"/>
          <w:szCs w:val="24"/>
          <w14:ligatures w14:val="standardContextual"/>
        </w:rPr>
        <w:lastRenderedPageBreak/>
        <w:drawing>
          <wp:inline distT="0" distB="0" distL="0" distR="0" wp14:anchorId="7D3C7323" wp14:editId="35D52734">
            <wp:extent cx="5697220" cy="8229600"/>
            <wp:effectExtent l="0" t="0" r="0" b="0"/>
            <wp:docPr id="1611153041" name="Picture 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53041" name="Picture 3" descr="A screenshot of a graph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A1E">
        <w:rPr>
          <w:b/>
          <w:bCs/>
          <w:color w:val="000000"/>
          <w:kern w:val="24"/>
          <w:sz w:val="24"/>
          <w:szCs w:val="24"/>
        </w:rPr>
        <w:br w:type="page"/>
      </w:r>
    </w:p>
    <w:p w14:paraId="2306ED78" w14:textId="5C2870C8" w:rsidR="00605D4B" w:rsidRPr="00090A1E" w:rsidRDefault="00605D4B" w:rsidP="00605D4B">
      <w:pPr>
        <w:spacing w:line="360" w:lineRule="auto"/>
        <w:rPr>
          <w:color w:val="000000"/>
          <w:kern w:val="24"/>
          <w:sz w:val="24"/>
          <w:szCs w:val="24"/>
        </w:rPr>
      </w:pPr>
      <w:r w:rsidRPr="00090A1E">
        <w:rPr>
          <w:b/>
          <w:bCs/>
          <w:color w:val="000000"/>
          <w:kern w:val="24"/>
          <w:sz w:val="24"/>
          <w:szCs w:val="24"/>
        </w:rPr>
        <w:lastRenderedPageBreak/>
        <w:t>Supplementary Figure 2. DP induced disc degeneration. (</w:t>
      </w:r>
      <w:r w:rsidRPr="00090A1E">
        <w:rPr>
          <w:b/>
          <w:bCs/>
          <w:color w:val="EE0000"/>
          <w:kern w:val="24"/>
          <w:sz w:val="24"/>
          <w:szCs w:val="24"/>
        </w:rPr>
        <w:t>Related to Figure 2</w:t>
      </w:r>
      <w:r w:rsidRPr="00090A1E">
        <w:rPr>
          <w:b/>
          <w:bCs/>
          <w:color w:val="000000"/>
          <w:kern w:val="24"/>
          <w:sz w:val="24"/>
          <w:szCs w:val="24"/>
        </w:rPr>
        <w:t>).</w:t>
      </w:r>
      <w:r w:rsidRPr="00090A1E">
        <w:rPr>
          <w:b/>
          <w:bCs/>
          <w:color w:val="000000"/>
          <w:kern w:val="24"/>
          <w:sz w:val="24"/>
          <w:szCs w:val="24"/>
        </w:rPr>
        <w:br/>
      </w:r>
      <w:r w:rsidRPr="00090A1E">
        <w:rPr>
          <w:color w:val="000000"/>
          <w:kern w:val="24"/>
          <w:sz w:val="24"/>
          <w:szCs w:val="24"/>
        </w:rPr>
        <w:t xml:space="preserve">(A) Illustration showing the angle of puncture entry in a posterolateral surgical approach. </w:t>
      </w:r>
    </w:p>
    <w:p w14:paraId="41353036" w14:textId="527D29F5" w:rsidR="00D35D0F" w:rsidRPr="00090A1E" w:rsidRDefault="00605D4B" w:rsidP="00D35D0F">
      <w:pPr>
        <w:spacing w:line="360" w:lineRule="auto"/>
        <w:rPr>
          <w:color w:val="000000"/>
          <w:kern w:val="24"/>
          <w:sz w:val="24"/>
          <w:szCs w:val="24"/>
        </w:rPr>
      </w:pPr>
      <w:r w:rsidRPr="00090A1E">
        <w:rPr>
          <w:color w:val="000000"/>
          <w:kern w:val="24"/>
          <w:sz w:val="24"/>
          <w:szCs w:val="24"/>
        </w:rPr>
        <w:t>(C) Images of the custom-made tools used in vertebrate endplate damage.</w:t>
      </w:r>
      <w:r w:rsidRPr="00090A1E">
        <w:rPr>
          <w:color w:val="000000"/>
          <w:kern w:val="24"/>
          <w:sz w:val="24"/>
          <w:szCs w:val="24"/>
        </w:rPr>
        <w:br/>
        <w:t>(C) Representative histological specimens obtained from L5/6 intervertebral discs of mice from uninjured and DP groups (14 days post-injury) at the same age. Safranin-O/</w:t>
      </w:r>
      <w:proofErr w:type="gramStart"/>
      <w:r w:rsidRPr="00090A1E">
        <w:rPr>
          <w:color w:val="000000"/>
          <w:kern w:val="24"/>
          <w:sz w:val="24"/>
          <w:szCs w:val="24"/>
        </w:rPr>
        <w:t>Fast Green-stained</w:t>
      </w:r>
      <w:proofErr w:type="gramEnd"/>
      <w:r w:rsidRPr="00090A1E">
        <w:rPr>
          <w:color w:val="000000"/>
          <w:kern w:val="24"/>
          <w:sz w:val="24"/>
          <w:szCs w:val="24"/>
        </w:rPr>
        <w:t xml:space="preserve"> sections. Scale bar = 150 µm. Magnified images: scale bar = 60 µm.</w:t>
      </w:r>
    </w:p>
    <w:p w14:paraId="5AE41221" w14:textId="73774C9F" w:rsidR="00D35D0F" w:rsidRPr="00090A1E" w:rsidRDefault="00D35D0F" w:rsidP="00605D4B">
      <w:pPr>
        <w:spacing w:line="360" w:lineRule="auto"/>
        <w:rPr>
          <w:color w:val="000000"/>
          <w:kern w:val="24"/>
          <w:sz w:val="24"/>
          <w:szCs w:val="24"/>
        </w:rPr>
      </w:pPr>
      <w:r w:rsidRPr="00090A1E">
        <w:rPr>
          <w:noProof/>
          <w:color w:val="000000"/>
          <w:kern w:val="24"/>
          <w:sz w:val="24"/>
          <w:szCs w:val="24"/>
          <w14:ligatures w14:val="standardContextual"/>
        </w:rPr>
        <w:drawing>
          <wp:inline distT="0" distB="0" distL="0" distR="0" wp14:anchorId="34AE238F" wp14:editId="61DB5192">
            <wp:extent cx="5697220" cy="3287730"/>
            <wp:effectExtent l="0" t="0" r="0" b="8255"/>
            <wp:docPr id="736254238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54238" name="Picture 4" descr="A screenshot of a computer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32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5D4B" w:rsidRPr="00090A1E">
        <w:rPr>
          <w:color w:val="000000"/>
          <w:kern w:val="24"/>
          <w:sz w:val="24"/>
          <w:szCs w:val="24"/>
        </w:rPr>
        <w:br/>
      </w:r>
      <w:r w:rsidR="00605D4B" w:rsidRPr="00090A1E">
        <w:rPr>
          <w:b/>
          <w:color w:val="000000"/>
          <w:kern w:val="24"/>
          <w:sz w:val="24"/>
          <w:szCs w:val="24"/>
        </w:rPr>
        <w:t>Supplementary Figure 3. Disc injury induced behavioral changes. (</w:t>
      </w:r>
      <w:r w:rsidR="00605D4B" w:rsidRPr="00090A1E">
        <w:rPr>
          <w:b/>
          <w:color w:val="EE0000"/>
          <w:kern w:val="24"/>
          <w:sz w:val="24"/>
          <w:szCs w:val="24"/>
        </w:rPr>
        <w:t>Related to Figure 2</w:t>
      </w:r>
      <w:r w:rsidR="00605D4B" w:rsidRPr="00090A1E">
        <w:rPr>
          <w:b/>
          <w:color w:val="000000"/>
          <w:kern w:val="24"/>
          <w:sz w:val="24"/>
          <w:szCs w:val="24"/>
        </w:rPr>
        <w:t>).</w:t>
      </w:r>
      <w:r w:rsidR="00605D4B" w:rsidRPr="00090A1E">
        <w:rPr>
          <w:b/>
          <w:color w:val="000000"/>
          <w:kern w:val="24"/>
          <w:sz w:val="24"/>
          <w:szCs w:val="24"/>
        </w:rPr>
        <w:br/>
      </w:r>
      <w:r w:rsidR="00605D4B" w:rsidRPr="00090A1E">
        <w:rPr>
          <w:color w:val="000000"/>
          <w:kern w:val="24"/>
          <w:sz w:val="24"/>
          <w:szCs w:val="24"/>
        </w:rPr>
        <w:t>(A) Plots showing thermal hyperalgesia post analysis by the plantar test at indicated times after DP. Data are presented as mean ± SEM. *p &lt; 0.005. ANOVA. n = 10 per group.</w:t>
      </w:r>
      <w:r w:rsidR="00605D4B" w:rsidRPr="00090A1E">
        <w:rPr>
          <w:color w:val="000000"/>
          <w:kern w:val="24"/>
          <w:sz w:val="24"/>
          <w:szCs w:val="24"/>
        </w:rPr>
        <w:br/>
        <w:t>(B) Plot showing burrowing behavior test analyzed at indicated times after DP. Data are presented as mean ± SEM. *p &lt; 0.05. ANOVA. n = 10 per group.</w:t>
      </w:r>
      <w:r w:rsidR="00605D4B" w:rsidRPr="00090A1E">
        <w:rPr>
          <w:color w:val="000000"/>
          <w:kern w:val="24"/>
          <w:sz w:val="24"/>
          <w:szCs w:val="24"/>
        </w:rPr>
        <w:br/>
        <w:t>(C) Plot showing the speed tolerance during treadmill walking pre- and post-DP. No statistical significance. n = 8 per group.</w:t>
      </w:r>
      <w:r w:rsidR="00605D4B" w:rsidRPr="00090A1E">
        <w:rPr>
          <w:color w:val="000000"/>
          <w:kern w:val="24"/>
          <w:sz w:val="24"/>
          <w:szCs w:val="24"/>
        </w:rPr>
        <w:br/>
        <w:t xml:space="preserve">(D) Plot showing the </w:t>
      </w:r>
      <w:proofErr w:type="spellStart"/>
      <w:r w:rsidR="00605D4B" w:rsidRPr="00090A1E">
        <w:rPr>
          <w:color w:val="000000"/>
          <w:kern w:val="24"/>
          <w:sz w:val="24"/>
          <w:szCs w:val="24"/>
        </w:rPr>
        <w:t>rota</w:t>
      </w:r>
      <w:proofErr w:type="spellEnd"/>
      <w:r w:rsidR="00605D4B" w:rsidRPr="00090A1E">
        <w:rPr>
          <w:color w:val="000000"/>
          <w:kern w:val="24"/>
          <w:sz w:val="24"/>
          <w:szCs w:val="24"/>
        </w:rPr>
        <w:t>-rod test pre- and post-DP. No statistical significance. n = 7 per group.</w:t>
      </w:r>
      <w:r w:rsidR="00605D4B" w:rsidRPr="00090A1E">
        <w:rPr>
          <w:color w:val="000000"/>
          <w:kern w:val="24"/>
          <w:sz w:val="24"/>
          <w:szCs w:val="24"/>
        </w:rPr>
        <w:br/>
        <w:t>(E–G) Plot showing the open field test. Total travelled distance, movement velocity, and percentage of time spent in central/peripheral regions were recorded and quantified 28 days post-DP. No statistical significance. n = 7 per group.</w:t>
      </w:r>
    </w:p>
    <w:p w14:paraId="42C36E17" w14:textId="77777777" w:rsidR="00D35D0F" w:rsidRPr="00090A1E" w:rsidRDefault="00D35D0F">
      <w:pPr>
        <w:spacing w:after="160" w:line="278" w:lineRule="auto"/>
        <w:rPr>
          <w:color w:val="000000"/>
          <w:kern w:val="24"/>
          <w:sz w:val="24"/>
          <w:szCs w:val="24"/>
        </w:rPr>
      </w:pPr>
      <w:r w:rsidRPr="00090A1E">
        <w:rPr>
          <w:color w:val="000000"/>
          <w:kern w:val="24"/>
          <w:sz w:val="24"/>
          <w:szCs w:val="24"/>
        </w:rPr>
        <w:br w:type="page"/>
      </w:r>
    </w:p>
    <w:p w14:paraId="1A636DC8" w14:textId="225F3949" w:rsidR="00605D4B" w:rsidRPr="00090A1E" w:rsidRDefault="00D35D0F" w:rsidP="00605D4B">
      <w:pPr>
        <w:spacing w:line="360" w:lineRule="auto"/>
        <w:rPr>
          <w:color w:val="000000"/>
          <w:kern w:val="24"/>
          <w:sz w:val="24"/>
          <w:szCs w:val="24"/>
        </w:rPr>
      </w:pPr>
      <w:r w:rsidRPr="00090A1E">
        <w:rPr>
          <w:noProof/>
          <w:color w:val="000000"/>
          <w:kern w:val="24"/>
          <w:sz w:val="24"/>
          <w:szCs w:val="24"/>
          <w14:ligatures w14:val="standardContextual"/>
        </w:rPr>
        <w:lastRenderedPageBreak/>
        <w:drawing>
          <wp:inline distT="0" distB="0" distL="0" distR="0" wp14:anchorId="3A256223" wp14:editId="19B22252">
            <wp:extent cx="5697220" cy="4839128"/>
            <wp:effectExtent l="0" t="0" r="0" b="0"/>
            <wp:docPr id="932270244" name="Picture 5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70244" name="Picture 5" descr="A screenshot of a test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483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62AE4" w14:textId="77777777" w:rsidR="00D35D0F" w:rsidRPr="00090A1E" w:rsidRDefault="00D35D0F">
      <w:pPr>
        <w:spacing w:after="160" w:line="278" w:lineRule="auto"/>
        <w:rPr>
          <w:b/>
          <w:bCs/>
          <w:sz w:val="24"/>
          <w:szCs w:val="24"/>
        </w:rPr>
      </w:pPr>
      <w:r w:rsidRPr="00090A1E">
        <w:rPr>
          <w:b/>
          <w:bCs/>
          <w:sz w:val="24"/>
          <w:szCs w:val="24"/>
        </w:rPr>
        <w:br w:type="page"/>
      </w:r>
    </w:p>
    <w:p w14:paraId="24CF08F0" w14:textId="3BC4DAAE" w:rsidR="00605D4B" w:rsidRPr="00090A1E" w:rsidRDefault="00605D4B" w:rsidP="00605D4B">
      <w:pPr>
        <w:spacing w:line="360" w:lineRule="auto"/>
        <w:rPr>
          <w:b/>
          <w:bCs/>
          <w:sz w:val="24"/>
          <w:szCs w:val="24"/>
        </w:rPr>
      </w:pPr>
      <w:r w:rsidRPr="00090A1E">
        <w:rPr>
          <w:b/>
          <w:bCs/>
          <w:sz w:val="24"/>
          <w:szCs w:val="24"/>
        </w:rPr>
        <w:lastRenderedPageBreak/>
        <w:t xml:space="preserve">Supplemental Figure 4 </w:t>
      </w:r>
      <w:r w:rsidRPr="00090A1E">
        <w:rPr>
          <w:b/>
          <w:bCs/>
          <w:i/>
          <w:iCs/>
          <w:sz w:val="24"/>
          <w:szCs w:val="24"/>
        </w:rPr>
        <w:t xml:space="preserve">Csf1r </w:t>
      </w:r>
      <w:r w:rsidRPr="00090A1E">
        <w:rPr>
          <w:b/>
          <w:bCs/>
          <w:sz w:val="24"/>
          <w:szCs w:val="24"/>
        </w:rPr>
        <w:t>deletion reduces proinflammatory cytokine release post-disc injury (</w:t>
      </w:r>
      <w:r w:rsidRPr="00090A1E">
        <w:rPr>
          <w:b/>
          <w:bCs/>
          <w:color w:val="FF0000"/>
          <w:sz w:val="24"/>
          <w:szCs w:val="24"/>
        </w:rPr>
        <w:t>Related to Figure 3</w:t>
      </w:r>
      <w:r w:rsidRPr="00090A1E">
        <w:rPr>
          <w:b/>
          <w:bCs/>
          <w:sz w:val="24"/>
          <w:szCs w:val="24"/>
        </w:rPr>
        <w:t>).</w:t>
      </w:r>
    </w:p>
    <w:p w14:paraId="5DB3ABD7" w14:textId="0BCE8A9D" w:rsidR="00605D4B" w:rsidRPr="00090A1E" w:rsidRDefault="00605D4B" w:rsidP="00605D4B">
      <w:pPr>
        <w:spacing w:line="360" w:lineRule="auto"/>
        <w:rPr>
          <w:sz w:val="24"/>
          <w:szCs w:val="24"/>
        </w:rPr>
      </w:pPr>
      <w:r w:rsidRPr="00090A1E">
        <w:rPr>
          <w:sz w:val="24"/>
          <w:szCs w:val="24"/>
        </w:rPr>
        <w:t xml:space="preserve">(A) Immunofluorescence of Iba1 and CSF1R in microglia from tamoxifen treated </w:t>
      </w:r>
      <w:r w:rsidRPr="00090A1E">
        <w:rPr>
          <w:i/>
          <w:iCs/>
          <w:sz w:val="24"/>
          <w:szCs w:val="24"/>
        </w:rPr>
        <w:t>Cx3cr1</w:t>
      </w:r>
      <w:r w:rsidRPr="00090A1E">
        <w:rPr>
          <w:i/>
          <w:iCs/>
          <w:sz w:val="24"/>
          <w:szCs w:val="24"/>
          <w:vertAlign w:val="superscript"/>
        </w:rPr>
        <w:t>CreER/+</w:t>
      </w:r>
      <w:r w:rsidRPr="00090A1E">
        <w:rPr>
          <w:i/>
          <w:iCs/>
          <w:sz w:val="24"/>
          <w:szCs w:val="24"/>
        </w:rPr>
        <w:t>: Csf1r</w:t>
      </w:r>
      <w:r w:rsidRPr="00090A1E">
        <w:rPr>
          <w:i/>
          <w:iCs/>
          <w:sz w:val="24"/>
          <w:szCs w:val="24"/>
          <w:vertAlign w:val="superscript"/>
        </w:rPr>
        <w:t>fl/</w:t>
      </w:r>
      <w:proofErr w:type="spellStart"/>
      <w:r w:rsidRPr="00090A1E">
        <w:rPr>
          <w:i/>
          <w:iCs/>
          <w:sz w:val="24"/>
          <w:szCs w:val="24"/>
          <w:vertAlign w:val="superscript"/>
        </w:rPr>
        <w:t>fl</w:t>
      </w:r>
      <w:proofErr w:type="spellEnd"/>
      <w:r w:rsidRPr="00090A1E">
        <w:rPr>
          <w:i/>
          <w:iCs/>
          <w:sz w:val="24"/>
          <w:szCs w:val="24"/>
        </w:rPr>
        <w:t xml:space="preserve"> </w:t>
      </w:r>
      <w:r w:rsidRPr="00090A1E">
        <w:rPr>
          <w:sz w:val="24"/>
          <w:szCs w:val="24"/>
        </w:rPr>
        <w:t>mouse. Scale bar: 50 µm.</w:t>
      </w:r>
    </w:p>
    <w:p w14:paraId="50D4378A" w14:textId="6E78C3A2" w:rsidR="00605D4B" w:rsidRPr="00090A1E" w:rsidRDefault="00605D4B" w:rsidP="00605D4B">
      <w:pPr>
        <w:spacing w:line="360" w:lineRule="auto"/>
        <w:rPr>
          <w:sz w:val="24"/>
          <w:szCs w:val="24"/>
        </w:rPr>
      </w:pPr>
      <w:r w:rsidRPr="00090A1E">
        <w:rPr>
          <w:sz w:val="24"/>
          <w:szCs w:val="24"/>
        </w:rPr>
        <w:t xml:space="preserve">(B) Antibody chart for cytokine array. </w:t>
      </w:r>
      <w:r w:rsidR="00D35D0F" w:rsidRPr="00090A1E">
        <w:rPr>
          <w:noProof/>
          <w:sz w:val="24"/>
          <w:szCs w:val="24"/>
          <w14:ligatures w14:val="standardContextual"/>
        </w:rPr>
        <w:drawing>
          <wp:inline distT="0" distB="0" distL="0" distR="0" wp14:anchorId="29F60781" wp14:editId="2D61BD91">
            <wp:extent cx="5697220" cy="3041151"/>
            <wp:effectExtent l="0" t="0" r="0" b="6985"/>
            <wp:docPr id="907543859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43859" name="Picture 6" descr="A screenshot of a computer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304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6CEEA" w14:textId="7A9859CC" w:rsidR="00605D4B" w:rsidRPr="00090A1E" w:rsidRDefault="00605D4B" w:rsidP="00605D4B">
      <w:pPr>
        <w:spacing w:line="360" w:lineRule="auto"/>
        <w:rPr>
          <w:color w:val="000000"/>
          <w:kern w:val="24"/>
          <w:sz w:val="24"/>
          <w:szCs w:val="24"/>
        </w:rPr>
      </w:pPr>
    </w:p>
    <w:p w14:paraId="78E64F43" w14:textId="77777777" w:rsidR="00D35D0F" w:rsidRPr="00090A1E" w:rsidRDefault="00D35D0F">
      <w:pPr>
        <w:spacing w:after="160" w:line="278" w:lineRule="auto"/>
        <w:rPr>
          <w:b/>
          <w:bCs/>
          <w:sz w:val="24"/>
          <w:szCs w:val="24"/>
        </w:rPr>
      </w:pPr>
      <w:r w:rsidRPr="00090A1E">
        <w:rPr>
          <w:b/>
          <w:bCs/>
          <w:sz w:val="24"/>
          <w:szCs w:val="24"/>
        </w:rPr>
        <w:br w:type="page"/>
      </w:r>
    </w:p>
    <w:p w14:paraId="2BD90403" w14:textId="118561D9" w:rsidR="00634CD6" w:rsidRPr="00090A1E" w:rsidRDefault="00605D4B" w:rsidP="00634CD6">
      <w:pPr>
        <w:spacing w:line="360" w:lineRule="auto"/>
        <w:rPr>
          <w:sz w:val="24"/>
          <w:szCs w:val="24"/>
        </w:rPr>
      </w:pPr>
      <w:r w:rsidRPr="00090A1E">
        <w:rPr>
          <w:b/>
          <w:bCs/>
          <w:sz w:val="24"/>
          <w:szCs w:val="24"/>
        </w:rPr>
        <w:lastRenderedPageBreak/>
        <w:t>Supplemental Figure 5. Disc injury activates DRG macrophages. (</w:t>
      </w:r>
      <w:r w:rsidRPr="00090A1E">
        <w:rPr>
          <w:b/>
          <w:bCs/>
          <w:color w:val="FF0000"/>
          <w:sz w:val="24"/>
          <w:szCs w:val="24"/>
        </w:rPr>
        <w:t>Related to Figure 4</w:t>
      </w:r>
      <w:r w:rsidRPr="00090A1E">
        <w:rPr>
          <w:b/>
          <w:bCs/>
          <w:sz w:val="24"/>
          <w:szCs w:val="24"/>
        </w:rPr>
        <w:t>).</w:t>
      </w:r>
      <w:r w:rsidRPr="00090A1E">
        <w:rPr>
          <w:b/>
          <w:bCs/>
          <w:sz w:val="24"/>
          <w:szCs w:val="24"/>
        </w:rPr>
        <w:br/>
      </w:r>
      <w:r w:rsidRPr="00090A1E">
        <w:rPr>
          <w:sz w:val="24"/>
          <w:szCs w:val="24"/>
        </w:rPr>
        <w:t xml:space="preserve">(A) Photomicrographs showing Iba1 immunostaining and quantification in DRG from DP mice at different time points (days post </w:t>
      </w:r>
      <w:proofErr w:type="gramStart"/>
      <w:r w:rsidRPr="00090A1E">
        <w:rPr>
          <w:sz w:val="24"/>
          <w:szCs w:val="24"/>
        </w:rPr>
        <w:t>injury(</w:t>
      </w:r>
      <w:proofErr w:type="gramEnd"/>
      <w:r w:rsidRPr="00090A1E">
        <w:rPr>
          <w:sz w:val="24"/>
          <w:szCs w:val="24"/>
        </w:rPr>
        <w:t>DPI). Scale bar: 100 µm. Data are mean ± SEM. *p &lt; 0.05. n = 5–6 DRGs.</w:t>
      </w:r>
      <w:r w:rsidR="00634CD6" w:rsidRPr="00634CD6">
        <w:rPr>
          <w:sz w:val="24"/>
          <w:szCs w:val="24"/>
        </w:rPr>
        <w:t xml:space="preserve"> </w:t>
      </w:r>
      <w:r w:rsidR="00634CD6" w:rsidRPr="00090A1E">
        <w:rPr>
          <w:sz w:val="24"/>
          <w:szCs w:val="24"/>
        </w:rPr>
        <w:t>ANOVA.</w:t>
      </w:r>
      <w:r w:rsidRPr="00090A1E">
        <w:rPr>
          <w:sz w:val="24"/>
          <w:szCs w:val="24"/>
        </w:rPr>
        <w:br/>
        <w:t>(</w:t>
      </w:r>
      <w:proofErr w:type="gramStart"/>
      <w:r w:rsidRPr="00090A1E">
        <w:rPr>
          <w:sz w:val="24"/>
          <w:szCs w:val="24"/>
        </w:rPr>
        <w:t>B)  Ki</w:t>
      </w:r>
      <w:proofErr w:type="gramEnd"/>
      <w:r w:rsidRPr="00090A1E">
        <w:rPr>
          <w:sz w:val="24"/>
          <w:szCs w:val="24"/>
        </w:rPr>
        <w:t xml:space="preserve">67 quantification in </w:t>
      </w:r>
      <w:r w:rsidRPr="00090A1E">
        <w:rPr>
          <w:i/>
          <w:iCs/>
          <w:sz w:val="24"/>
          <w:szCs w:val="24"/>
        </w:rPr>
        <w:t>Cx3cr1</w:t>
      </w:r>
      <w:r w:rsidRPr="00090A1E">
        <w:rPr>
          <w:i/>
          <w:iCs/>
          <w:sz w:val="24"/>
          <w:szCs w:val="24"/>
          <w:vertAlign w:val="superscript"/>
        </w:rPr>
        <w:t>GFP+/−</w:t>
      </w:r>
      <w:r w:rsidRPr="00090A1E">
        <w:rPr>
          <w:sz w:val="24"/>
          <w:szCs w:val="24"/>
        </w:rPr>
        <w:t xml:space="preserve"> mice DRG. Scale bar: 50 µm. Data are mean ± SEM. *p &lt; 0.05. n = 6.</w:t>
      </w:r>
      <w:r w:rsidR="00634CD6" w:rsidRPr="00634CD6">
        <w:rPr>
          <w:sz w:val="24"/>
          <w:szCs w:val="24"/>
        </w:rPr>
        <w:t xml:space="preserve"> </w:t>
      </w:r>
      <w:r w:rsidR="00634CD6" w:rsidRPr="00090A1E">
        <w:rPr>
          <w:sz w:val="24"/>
          <w:szCs w:val="24"/>
        </w:rPr>
        <w:t>ANOVA.</w:t>
      </w:r>
      <w:r w:rsidRPr="00090A1E">
        <w:rPr>
          <w:sz w:val="24"/>
          <w:szCs w:val="24"/>
        </w:rPr>
        <w:br/>
        <w:t>(C) Iba1 quantification 7- and 14- DPI in DRG from</w:t>
      </w:r>
      <w:r w:rsidRPr="00090A1E">
        <w:rPr>
          <w:i/>
          <w:iCs/>
          <w:sz w:val="24"/>
          <w:szCs w:val="24"/>
        </w:rPr>
        <w:t xml:space="preserve"> Cx3cr1</w:t>
      </w:r>
      <w:r w:rsidRPr="00090A1E">
        <w:rPr>
          <w:i/>
          <w:iCs/>
          <w:sz w:val="24"/>
          <w:szCs w:val="24"/>
          <w:vertAlign w:val="superscript"/>
        </w:rPr>
        <w:t>CreER/+</w:t>
      </w:r>
      <w:r w:rsidRPr="00090A1E">
        <w:rPr>
          <w:i/>
          <w:iCs/>
          <w:sz w:val="24"/>
          <w:szCs w:val="24"/>
        </w:rPr>
        <w:t>: Csf1r</w:t>
      </w:r>
      <w:r w:rsidRPr="00090A1E">
        <w:rPr>
          <w:i/>
          <w:iCs/>
          <w:sz w:val="24"/>
          <w:szCs w:val="24"/>
          <w:vertAlign w:val="superscript"/>
        </w:rPr>
        <w:t>fl/</w:t>
      </w:r>
      <w:proofErr w:type="spellStart"/>
      <w:proofErr w:type="gramStart"/>
      <w:r w:rsidRPr="00090A1E">
        <w:rPr>
          <w:i/>
          <w:iCs/>
          <w:sz w:val="24"/>
          <w:szCs w:val="24"/>
          <w:vertAlign w:val="superscript"/>
        </w:rPr>
        <w:t>fl</w:t>
      </w:r>
      <w:proofErr w:type="spellEnd"/>
      <w:r w:rsidRPr="00090A1E">
        <w:rPr>
          <w:i/>
          <w:iCs/>
          <w:sz w:val="24"/>
          <w:szCs w:val="24"/>
        </w:rPr>
        <w:t xml:space="preserve">  </w:t>
      </w:r>
      <w:r w:rsidRPr="00090A1E">
        <w:rPr>
          <w:sz w:val="24"/>
          <w:szCs w:val="24"/>
        </w:rPr>
        <w:t>mice</w:t>
      </w:r>
      <w:proofErr w:type="gramEnd"/>
      <w:r w:rsidRPr="00090A1E">
        <w:rPr>
          <w:sz w:val="24"/>
          <w:szCs w:val="24"/>
        </w:rPr>
        <w:t xml:space="preserve">. </w:t>
      </w:r>
      <w:proofErr w:type="gramStart"/>
      <w:r w:rsidRPr="00090A1E">
        <w:rPr>
          <w:sz w:val="24"/>
          <w:szCs w:val="24"/>
        </w:rPr>
        <w:t>Veh</w:t>
      </w:r>
      <w:r w:rsidRPr="00090A1E">
        <w:rPr>
          <w:i/>
          <w:iCs/>
          <w:sz w:val="24"/>
          <w:szCs w:val="24"/>
        </w:rPr>
        <w:t>(</w:t>
      </w:r>
      <w:proofErr w:type="gramEnd"/>
      <w:r w:rsidRPr="00090A1E">
        <w:rPr>
          <w:i/>
          <w:iCs/>
          <w:sz w:val="24"/>
          <w:szCs w:val="24"/>
        </w:rPr>
        <w:t>Csf1r</w:t>
      </w:r>
      <w:r w:rsidRPr="00090A1E">
        <w:rPr>
          <w:sz w:val="24"/>
          <w:szCs w:val="24"/>
        </w:rPr>
        <w:t xml:space="preserve"> WT), </w:t>
      </w:r>
      <w:proofErr w:type="gramStart"/>
      <w:r w:rsidRPr="00090A1E">
        <w:rPr>
          <w:sz w:val="24"/>
          <w:szCs w:val="24"/>
        </w:rPr>
        <w:t>TAM</w:t>
      </w:r>
      <w:r w:rsidRPr="00090A1E">
        <w:rPr>
          <w:i/>
          <w:iCs/>
          <w:sz w:val="24"/>
          <w:szCs w:val="24"/>
        </w:rPr>
        <w:t>(</w:t>
      </w:r>
      <w:proofErr w:type="gramEnd"/>
      <w:r w:rsidRPr="00090A1E">
        <w:rPr>
          <w:i/>
          <w:iCs/>
          <w:sz w:val="24"/>
          <w:szCs w:val="24"/>
        </w:rPr>
        <w:t>Csf1r</w:t>
      </w:r>
      <w:r w:rsidRPr="00090A1E">
        <w:rPr>
          <w:sz w:val="24"/>
          <w:szCs w:val="24"/>
        </w:rPr>
        <w:t xml:space="preserve"> KO</w:t>
      </w:r>
      <w:proofErr w:type="gramStart"/>
      <w:r w:rsidRPr="00090A1E">
        <w:rPr>
          <w:sz w:val="24"/>
          <w:szCs w:val="24"/>
        </w:rPr>
        <w:t>) .</w:t>
      </w:r>
      <w:proofErr w:type="gramEnd"/>
      <w:r w:rsidRPr="00090A1E">
        <w:rPr>
          <w:sz w:val="24"/>
          <w:szCs w:val="24"/>
        </w:rPr>
        <w:t xml:space="preserve"> Data are mean ± SEM. *p &lt; 0.05. n = 5 DRGs. </w:t>
      </w:r>
      <w:r w:rsidR="00634CD6" w:rsidRPr="00090A1E">
        <w:rPr>
          <w:sz w:val="24"/>
          <w:szCs w:val="24"/>
        </w:rPr>
        <w:t>ANOVA.</w:t>
      </w:r>
      <w:r w:rsidRPr="00090A1E">
        <w:rPr>
          <w:sz w:val="24"/>
          <w:szCs w:val="24"/>
        </w:rPr>
        <w:br/>
        <w:t>(D) Photomicrographs and plot showing CSF1 and Nissl staining in DRG from</w:t>
      </w:r>
      <w:r w:rsidRPr="00090A1E">
        <w:rPr>
          <w:i/>
          <w:iCs/>
          <w:sz w:val="24"/>
          <w:szCs w:val="24"/>
        </w:rPr>
        <w:t xml:space="preserve"> Cx3cr1</w:t>
      </w:r>
      <w:r w:rsidRPr="00090A1E">
        <w:rPr>
          <w:i/>
          <w:iCs/>
          <w:sz w:val="24"/>
          <w:szCs w:val="24"/>
          <w:vertAlign w:val="superscript"/>
        </w:rPr>
        <w:t>CreER/+</w:t>
      </w:r>
      <w:r w:rsidRPr="00090A1E">
        <w:rPr>
          <w:i/>
          <w:iCs/>
          <w:sz w:val="24"/>
          <w:szCs w:val="24"/>
        </w:rPr>
        <w:t>: Csf1r</w:t>
      </w:r>
      <w:r w:rsidRPr="00090A1E">
        <w:rPr>
          <w:i/>
          <w:iCs/>
          <w:sz w:val="24"/>
          <w:szCs w:val="24"/>
          <w:vertAlign w:val="superscript"/>
        </w:rPr>
        <w:t>fl/</w:t>
      </w:r>
      <w:proofErr w:type="spellStart"/>
      <w:proofErr w:type="gramStart"/>
      <w:r w:rsidRPr="00090A1E">
        <w:rPr>
          <w:i/>
          <w:iCs/>
          <w:sz w:val="24"/>
          <w:szCs w:val="24"/>
          <w:vertAlign w:val="superscript"/>
        </w:rPr>
        <w:t>fl</w:t>
      </w:r>
      <w:proofErr w:type="spellEnd"/>
      <w:r w:rsidRPr="00090A1E">
        <w:rPr>
          <w:i/>
          <w:iCs/>
          <w:sz w:val="24"/>
          <w:szCs w:val="24"/>
        </w:rPr>
        <w:t xml:space="preserve">  </w:t>
      </w:r>
      <w:r w:rsidRPr="00090A1E">
        <w:rPr>
          <w:sz w:val="24"/>
          <w:szCs w:val="24"/>
        </w:rPr>
        <w:t>mice</w:t>
      </w:r>
      <w:proofErr w:type="gramEnd"/>
      <w:r w:rsidRPr="00090A1E">
        <w:rPr>
          <w:sz w:val="24"/>
          <w:szCs w:val="24"/>
        </w:rPr>
        <w:t xml:space="preserve">. </w:t>
      </w:r>
      <w:proofErr w:type="gramStart"/>
      <w:r w:rsidRPr="00090A1E">
        <w:rPr>
          <w:sz w:val="24"/>
          <w:szCs w:val="24"/>
        </w:rPr>
        <w:t>Veh</w:t>
      </w:r>
      <w:r w:rsidRPr="00090A1E">
        <w:rPr>
          <w:i/>
          <w:iCs/>
          <w:sz w:val="24"/>
          <w:szCs w:val="24"/>
        </w:rPr>
        <w:t>(</w:t>
      </w:r>
      <w:proofErr w:type="gramEnd"/>
      <w:r w:rsidRPr="00090A1E">
        <w:rPr>
          <w:i/>
          <w:iCs/>
          <w:sz w:val="24"/>
          <w:szCs w:val="24"/>
        </w:rPr>
        <w:t>Csf1r</w:t>
      </w:r>
      <w:r w:rsidRPr="00090A1E">
        <w:rPr>
          <w:sz w:val="24"/>
          <w:szCs w:val="24"/>
        </w:rPr>
        <w:t xml:space="preserve"> WT), </w:t>
      </w:r>
      <w:proofErr w:type="gramStart"/>
      <w:r w:rsidRPr="00090A1E">
        <w:rPr>
          <w:sz w:val="24"/>
          <w:szCs w:val="24"/>
        </w:rPr>
        <w:t>TAM</w:t>
      </w:r>
      <w:r w:rsidRPr="00090A1E">
        <w:rPr>
          <w:i/>
          <w:iCs/>
          <w:sz w:val="24"/>
          <w:szCs w:val="24"/>
        </w:rPr>
        <w:t>(</w:t>
      </w:r>
      <w:proofErr w:type="gramEnd"/>
      <w:r w:rsidRPr="00090A1E">
        <w:rPr>
          <w:i/>
          <w:iCs/>
          <w:sz w:val="24"/>
          <w:szCs w:val="24"/>
        </w:rPr>
        <w:t>Csf1r</w:t>
      </w:r>
      <w:r w:rsidRPr="00090A1E">
        <w:rPr>
          <w:sz w:val="24"/>
          <w:szCs w:val="24"/>
        </w:rPr>
        <w:t xml:space="preserve"> KO). Scale bar: 50 µm. CSF1/Nissl ratio quantified (lower panel). n = 6–7 DRGs per group. *p &lt; 0.05.</w:t>
      </w:r>
      <w:r w:rsidR="00634CD6" w:rsidRPr="00634CD6">
        <w:rPr>
          <w:sz w:val="24"/>
          <w:szCs w:val="24"/>
        </w:rPr>
        <w:t xml:space="preserve"> </w:t>
      </w:r>
      <w:r w:rsidR="00634CD6" w:rsidRPr="00090A1E">
        <w:rPr>
          <w:sz w:val="24"/>
          <w:szCs w:val="24"/>
        </w:rPr>
        <w:t>ANOVA.</w:t>
      </w:r>
      <w:r w:rsidRPr="00090A1E">
        <w:rPr>
          <w:sz w:val="24"/>
          <w:szCs w:val="24"/>
        </w:rPr>
        <w:br/>
        <w:t xml:space="preserve">(E) Photomicrographs and plot showing Iba1 and CSF1R immunostaining (14 DPI) in spinal cord dorsal horn of wild type mice and quantification of different timepoints.  </w:t>
      </w:r>
      <w:r w:rsidR="00634CD6" w:rsidRPr="00090A1E">
        <w:rPr>
          <w:sz w:val="24"/>
          <w:szCs w:val="24"/>
        </w:rPr>
        <w:t>Scale bar: 50 µm.</w:t>
      </w:r>
    </w:p>
    <w:p w14:paraId="69D8C33E" w14:textId="3F7BB743" w:rsidR="00D35D0F" w:rsidRPr="00090A1E" w:rsidRDefault="00605D4B" w:rsidP="00605D4B">
      <w:pPr>
        <w:spacing w:line="360" w:lineRule="auto"/>
        <w:rPr>
          <w:sz w:val="24"/>
          <w:szCs w:val="24"/>
        </w:rPr>
      </w:pPr>
      <w:r w:rsidRPr="00090A1E">
        <w:rPr>
          <w:sz w:val="24"/>
          <w:szCs w:val="24"/>
        </w:rPr>
        <w:t>Data are mean ± SEM. *p &lt; 0.05. n = 5 DRGs. ANOVA.</w:t>
      </w:r>
    </w:p>
    <w:p w14:paraId="7D36CF9C" w14:textId="77777777" w:rsidR="00D35D0F" w:rsidRPr="00090A1E" w:rsidRDefault="00D35D0F">
      <w:pPr>
        <w:spacing w:after="160" w:line="278" w:lineRule="auto"/>
        <w:rPr>
          <w:sz w:val="24"/>
          <w:szCs w:val="24"/>
        </w:rPr>
      </w:pPr>
      <w:r w:rsidRPr="00090A1E">
        <w:rPr>
          <w:sz w:val="24"/>
          <w:szCs w:val="24"/>
        </w:rPr>
        <w:br w:type="page"/>
      </w:r>
    </w:p>
    <w:p w14:paraId="34B7E1CF" w14:textId="143638EC" w:rsidR="00605D4B" w:rsidRPr="00090A1E" w:rsidRDefault="00D35D0F" w:rsidP="00605D4B">
      <w:pPr>
        <w:spacing w:line="360" w:lineRule="auto"/>
        <w:rPr>
          <w:sz w:val="24"/>
          <w:szCs w:val="24"/>
        </w:rPr>
      </w:pPr>
      <w:r w:rsidRPr="00090A1E">
        <w:rPr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7F327652" wp14:editId="64B275E5">
            <wp:extent cx="5697220" cy="7304926"/>
            <wp:effectExtent l="0" t="0" r="0" b="0"/>
            <wp:docPr id="692929642" name="Picture 7" descr="A collage of images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29642" name="Picture 7" descr="A collage of images of different colored squares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7304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571DB" w14:textId="77777777" w:rsidR="00D35D0F" w:rsidRPr="00090A1E" w:rsidRDefault="00D35D0F">
      <w:pPr>
        <w:spacing w:after="160" w:line="278" w:lineRule="auto"/>
        <w:rPr>
          <w:b/>
          <w:bCs/>
          <w:sz w:val="24"/>
          <w:szCs w:val="24"/>
        </w:rPr>
      </w:pPr>
      <w:r w:rsidRPr="00090A1E">
        <w:rPr>
          <w:b/>
          <w:bCs/>
          <w:sz w:val="24"/>
          <w:szCs w:val="24"/>
        </w:rPr>
        <w:br w:type="page"/>
      </w:r>
    </w:p>
    <w:p w14:paraId="3A4B3D74" w14:textId="7A563829" w:rsidR="00605D4B" w:rsidRPr="00090A1E" w:rsidRDefault="00605D4B" w:rsidP="00605D4B">
      <w:pPr>
        <w:spacing w:line="360" w:lineRule="auto"/>
        <w:rPr>
          <w:sz w:val="24"/>
          <w:szCs w:val="24"/>
        </w:rPr>
      </w:pPr>
      <w:r w:rsidRPr="00090A1E">
        <w:rPr>
          <w:b/>
          <w:bCs/>
          <w:sz w:val="24"/>
          <w:szCs w:val="24"/>
        </w:rPr>
        <w:lastRenderedPageBreak/>
        <w:t>Supplemental Figure 6 GW2580 reduces macrophage infiltration in IVD and DRG Post-DP (</w:t>
      </w:r>
      <w:r w:rsidRPr="00090A1E">
        <w:rPr>
          <w:b/>
          <w:bCs/>
          <w:color w:val="FF0000"/>
          <w:sz w:val="24"/>
          <w:szCs w:val="24"/>
        </w:rPr>
        <w:t>Related to Figure 5</w:t>
      </w:r>
      <w:r w:rsidRPr="00090A1E">
        <w:rPr>
          <w:b/>
          <w:bCs/>
          <w:sz w:val="24"/>
          <w:szCs w:val="24"/>
        </w:rPr>
        <w:t>).</w:t>
      </w:r>
      <w:r w:rsidRPr="00090A1E">
        <w:rPr>
          <w:b/>
          <w:bCs/>
          <w:sz w:val="24"/>
          <w:szCs w:val="24"/>
        </w:rPr>
        <w:br/>
      </w:r>
      <w:r w:rsidRPr="00090A1E">
        <w:rPr>
          <w:sz w:val="24"/>
          <w:szCs w:val="24"/>
        </w:rPr>
        <w:t>(A-B) Photomicrographs of GFP staining in IVDs of Cx3cr1</w:t>
      </w:r>
      <w:r w:rsidRPr="00090A1E">
        <w:rPr>
          <w:sz w:val="24"/>
          <w:szCs w:val="24"/>
          <w:vertAlign w:val="superscript"/>
        </w:rPr>
        <w:t>GFP+/-</w:t>
      </w:r>
      <w:r w:rsidRPr="00090A1E">
        <w:rPr>
          <w:sz w:val="24"/>
          <w:szCs w:val="24"/>
        </w:rPr>
        <w:t> mice from inner annulus fibrosus and NP(A) and quantification of GFP</w:t>
      </w:r>
      <w:r w:rsidRPr="00090A1E">
        <w:rPr>
          <w:sz w:val="24"/>
          <w:szCs w:val="24"/>
          <w:vertAlign w:val="superscript"/>
        </w:rPr>
        <w:t>+</w:t>
      </w:r>
      <w:r w:rsidRPr="00090A1E">
        <w:rPr>
          <w:sz w:val="24"/>
          <w:szCs w:val="24"/>
        </w:rPr>
        <w:t xml:space="preserve"> cells(B). 90 days after DP. Scale bar: 50 µm. p* &lt; 0.05; </w:t>
      </w:r>
      <w:r w:rsidRPr="00090A1E">
        <w:rPr>
          <w:color w:val="000000"/>
          <w:kern w:val="24"/>
          <w:sz w:val="24"/>
          <w:szCs w:val="24"/>
        </w:rPr>
        <w:t>ANOVA.</w:t>
      </w:r>
      <w:r w:rsidRPr="00090A1E">
        <w:rPr>
          <w:sz w:val="24"/>
          <w:szCs w:val="24"/>
        </w:rPr>
        <w:t xml:space="preserve">  n = 6 each group. </w:t>
      </w:r>
    </w:p>
    <w:p w14:paraId="73815EFC" w14:textId="2F170EC6" w:rsidR="00605D4B" w:rsidRPr="00090A1E" w:rsidRDefault="00605D4B" w:rsidP="00605D4B">
      <w:pPr>
        <w:spacing w:line="360" w:lineRule="auto"/>
        <w:rPr>
          <w:sz w:val="24"/>
          <w:szCs w:val="24"/>
        </w:rPr>
      </w:pPr>
      <w:r w:rsidRPr="00090A1E">
        <w:rPr>
          <w:sz w:val="24"/>
          <w:szCs w:val="24"/>
        </w:rPr>
        <w:t xml:space="preserve">(C) Iba1 quantification in DRG in wild type mice. Data are mean ± SEM. *p &lt; 0.05. </w:t>
      </w:r>
      <w:r w:rsidRPr="00090A1E">
        <w:rPr>
          <w:color w:val="000000"/>
          <w:kern w:val="24"/>
          <w:sz w:val="24"/>
          <w:szCs w:val="24"/>
        </w:rPr>
        <w:t xml:space="preserve">ANOVA. </w:t>
      </w:r>
      <w:r w:rsidRPr="00090A1E">
        <w:rPr>
          <w:sz w:val="24"/>
          <w:szCs w:val="24"/>
        </w:rPr>
        <w:t xml:space="preserve">n = 5-6 DRGs. </w:t>
      </w:r>
      <w:r w:rsidR="00D35D0F" w:rsidRPr="00090A1E">
        <w:rPr>
          <w:noProof/>
          <w:sz w:val="24"/>
          <w:szCs w:val="24"/>
          <w14:ligatures w14:val="standardContextual"/>
        </w:rPr>
        <w:drawing>
          <wp:inline distT="0" distB="0" distL="0" distR="0" wp14:anchorId="229EA091" wp14:editId="42B63F98">
            <wp:extent cx="5697220" cy="5167901"/>
            <wp:effectExtent l="0" t="0" r="0" b="0"/>
            <wp:docPr id="1493363333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63333" name="Picture 8" descr="A screenshot of a compute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516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0A1E">
        <w:rPr>
          <w:sz w:val="24"/>
          <w:szCs w:val="24"/>
        </w:rPr>
        <w:br/>
      </w:r>
    </w:p>
    <w:p w14:paraId="192ABD15" w14:textId="77777777" w:rsidR="00D35D0F" w:rsidRPr="00090A1E" w:rsidRDefault="00D35D0F">
      <w:pPr>
        <w:spacing w:after="160" w:line="278" w:lineRule="auto"/>
        <w:rPr>
          <w:b/>
          <w:bCs/>
          <w:sz w:val="24"/>
          <w:szCs w:val="24"/>
        </w:rPr>
      </w:pPr>
      <w:r w:rsidRPr="00090A1E">
        <w:rPr>
          <w:b/>
          <w:bCs/>
          <w:sz w:val="24"/>
          <w:szCs w:val="24"/>
        </w:rPr>
        <w:br w:type="page"/>
      </w:r>
    </w:p>
    <w:p w14:paraId="597E2F6D" w14:textId="4DF05CF3" w:rsidR="00605D4B" w:rsidRPr="00090A1E" w:rsidRDefault="00605D4B" w:rsidP="00605D4B">
      <w:pPr>
        <w:spacing w:line="480" w:lineRule="auto"/>
        <w:rPr>
          <w:sz w:val="24"/>
          <w:szCs w:val="24"/>
        </w:rPr>
      </w:pPr>
      <w:r w:rsidRPr="00090A1E">
        <w:rPr>
          <w:b/>
          <w:bCs/>
          <w:sz w:val="24"/>
          <w:szCs w:val="24"/>
        </w:rPr>
        <w:lastRenderedPageBreak/>
        <w:t>Supplemental Figure 7. GW2580 alleviates behavior changes after DP. </w:t>
      </w:r>
      <w:r w:rsidRPr="00090A1E">
        <w:rPr>
          <w:b/>
          <w:bCs/>
          <w:color w:val="EE0000"/>
          <w:sz w:val="24"/>
          <w:szCs w:val="24"/>
        </w:rPr>
        <w:t>Related to Figure 6.</w:t>
      </w:r>
      <w:r w:rsidRPr="00090A1E">
        <w:rPr>
          <w:sz w:val="24"/>
          <w:szCs w:val="24"/>
        </w:rPr>
        <w:br/>
        <w:t xml:space="preserve">(A) Photomicrographs of CSF1R immunostaining in spinal cord. Scale bar: 200 µm. 50 µm(magnification). </w:t>
      </w:r>
    </w:p>
    <w:p w14:paraId="58EE43B6" w14:textId="77777777" w:rsidR="00605D4B" w:rsidRPr="00090A1E" w:rsidRDefault="00605D4B" w:rsidP="00605D4B">
      <w:pPr>
        <w:spacing w:line="360" w:lineRule="auto"/>
        <w:rPr>
          <w:sz w:val="24"/>
          <w:szCs w:val="24"/>
        </w:rPr>
      </w:pPr>
      <w:r w:rsidRPr="00090A1E">
        <w:rPr>
          <w:sz w:val="24"/>
          <w:szCs w:val="24"/>
        </w:rPr>
        <w:t>(B) Fluorescence imaging showing Fos (</w:t>
      </w:r>
      <w:proofErr w:type="spellStart"/>
      <w:r w:rsidRPr="00090A1E">
        <w:rPr>
          <w:sz w:val="24"/>
          <w:szCs w:val="24"/>
        </w:rPr>
        <w:t>tdTomato</w:t>
      </w:r>
      <w:proofErr w:type="spellEnd"/>
      <w:r w:rsidRPr="00090A1E">
        <w:rPr>
          <w:sz w:val="24"/>
          <w:szCs w:val="24"/>
        </w:rPr>
        <w:t xml:space="preserve">) </w:t>
      </w:r>
      <w:proofErr w:type="gramStart"/>
      <w:r w:rsidRPr="00090A1E">
        <w:rPr>
          <w:sz w:val="24"/>
          <w:szCs w:val="24"/>
        </w:rPr>
        <w:t>expression  in</w:t>
      </w:r>
      <w:proofErr w:type="gramEnd"/>
      <w:r w:rsidRPr="00090A1E">
        <w:rPr>
          <w:sz w:val="24"/>
          <w:szCs w:val="24"/>
        </w:rPr>
        <w:t xml:space="preserve"> DRG of L5. Scale bars: 400 µm (main), 10 µm (insets). Quantification (right panel). *p &lt; 0.05. ANOVA. n = 5-8 per group. </w:t>
      </w:r>
    </w:p>
    <w:p w14:paraId="6520E5BF" w14:textId="4CB00C67" w:rsidR="001816CB" w:rsidRPr="00090A1E" w:rsidRDefault="00605D4B" w:rsidP="00D35D0F">
      <w:pPr>
        <w:spacing w:line="360" w:lineRule="auto"/>
        <w:rPr>
          <w:sz w:val="24"/>
          <w:szCs w:val="24"/>
        </w:rPr>
      </w:pPr>
      <w:r w:rsidRPr="00090A1E">
        <w:rPr>
          <w:sz w:val="24"/>
          <w:szCs w:val="24"/>
        </w:rPr>
        <w:t>(C) Plot showing burrowing behavior post-DP. Data are mean ± SEM. *p &lt; 0.05. ANOVA. n = 8 per group.</w:t>
      </w:r>
      <w:r w:rsidRPr="00090A1E">
        <w:rPr>
          <w:sz w:val="24"/>
          <w:szCs w:val="24"/>
        </w:rPr>
        <w:br/>
        <w:t>(D) Plot showing cold allodynia (plantar test). Data are mean ± SEM. *p &lt; 0.05. ANOVA. n = 10 per group.</w:t>
      </w:r>
      <w:r w:rsidRPr="00090A1E">
        <w:rPr>
          <w:sz w:val="24"/>
          <w:szCs w:val="24"/>
        </w:rPr>
        <w:br/>
        <w:t>(E) Plo</w:t>
      </w:r>
      <w:r w:rsidR="00634CD6">
        <w:rPr>
          <w:sz w:val="24"/>
          <w:szCs w:val="24"/>
        </w:rPr>
        <w:t>t</w:t>
      </w:r>
      <w:r w:rsidRPr="00090A1E">
        <w:rPr>
          <w:sz w:val="24"/>
          <w:szCs w:val="24"/>
        </w:rPr>
        <w:t xml:space="preserve"> showing body weight changes in mice treated with GW2580 or </w:t>
      </w:r>
      <w:proofErr w:type="gramStart"/>
      <w:r w:rsidRPr="00090A1E">
        <w:rPr>
          <w:sz w:val="24"/>
          <w:szCs w:val="24"/>
        </w:rPr>
        <w:t>vehicle .</w:t>
      </w:r>
      <w:proofErr w:type="gramEnd"/>
      <w:r w:rsidRPr="00090A1E">
        <w:rPr>
          <w:sz w:val="24"/>
          <w:szCs w:val="24"/>
        </w:rPr>
        <w:t xml:space="preserve"> </w:t>
      </w:r>
      <w:proofErr w:type="gramStart"/>
      <w:r w:rsidRPr="00090A1E">
        <w:rPr>
          <w:sz w:val="24"/>
          <w:szCs w:val="24"/>
        </w:rPr>
        <w:t xml:space="preserve">Data are mean </w:t>
      </w:r>
      <w:r w:rsidRPr="00090A1E">
        <w:rPr>
          <w:sz w:val="24"/>
          <w:szCs w:val="24"/>
        </w:rPr>
        <w:lastRenderedPageBreak/>
        <w:t>±</w:t>
      </w:r>
      <w:proofErr w:type="gramEnd"/>
      <w:r w:rsidRPr="00090A1E">
        <w:rPr>
          <w:sz w:val="24"/>
          <w:szCs w:val="24"/>
        </w:rPr>
        <w:t xml:space="preserve"> SEM. </w:t>
      </w:r>
      <w:r w:rsidRPr="00090A1E">
        <w:rPr>
          <w:color w:val="000000"/>
          <w:kern w:val="24"/>
          <w:sz w:val="24"/>
          <w:szCs w:val="24"/>
        </w:rPr>
        <w:t>No statistical significance.</w:t>
      </w:r>
      <w:r w:rsidRPr="00090A1E">
        <w:rPr>
          <w:sz w:val="24"/>
          <w:szCs w:val="24"/>
        </w:rPr>
        <w:t xml:space="preserve"> n = 10–12 per group.</w:t>
      </w:r>
      <w:r w:rsidR="00D35D0F" w:rsidRPr="00090A1E">
        <w:rPr>
          <w:noProof/>
          <w:sz w:val="24"/>
          <w:szCs w:val="24"/>
          <w14:ligatures w14:val="standardContextual"/>
        </w:rPr>
        <w:drawing>
          <wp:inline distT="0" distB="0" distL="0" distR="0" wp14:anchorId="6098FA20" wp14:editId="367BB407">
            <wp:extent cx="5697220" cy="5198724"/>
            <wp:effectExtent l="0" t="0" r="0" b="2540"/>
            <wp:docPr id="777758166" name="Picture 9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58166" name="Picture 9" descr="A screenshot of a graph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5198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16CB" w:rsidRPr="00090A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D4B"/>
    <w:rsid w:val="00090A1E"/>
    <w:rsid w:val="001816CB"/>
    <w:rsid w:val="00242D75"/>
    <w:rsid w:val="002A47E8"/>
    <w:rsid w:val="00345097"/>
    <w:rsid w:val="00391BF7"/>
    <w:rsid w:val="004A120D"/>
    <w:rsid w:val="00605D4B"/>
    <w:rsid w:val="00634CD6"/>
    <w:rsid w:val="006F118E"/>
    <w:rsid w:val="007C786B"/>
    <w:rsid w:val="008D7BB6"/>
    <w:rsid w:val="00AC4601"/>
    <w:rsid w:val="00B005C7"/>
    <w:rsid w:val="00B27C90"/>
    <w:rsid w:val="00C00E6C"/>
    <w:rsid w:val="00CB18E7"/>
    <w:rsid w:val="00D35D0F"/>
    <w:rsid w:val="00E50D57"/>
    <w:rsid w:val="00F0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AD2A9"/>
  <w15:chartTrackingRefBased/>
  <w15:docId w15:val="{3B318F29-1867-4CAA-8F0D-8C317CA0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D4B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5D4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5D4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5D4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5D4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5D4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5D4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5D4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5D4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5D4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5D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5D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5D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5D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5D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5D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5D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5D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5D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5D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05D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5D4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05D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5D4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05D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5D4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05D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5D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5D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5D4B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605D4B"/>
    <w:pPr>
      <w:spacing w:before="120"/>
      <w:ind w:firstLine="720"/>
    </w:pPr>
    <w:rPr>
      <w:rFonts w:eastAsia="Times New Roman"/>
      <w:sz w:val="24"/>
      <w:szCs w:val="24"/>
    </w:rPr>
  </w:style>
  <w:style w:type="paragraph" w:customStyle="1" w:styleId="Head">
    <w:name w:val="Head"/>
    <w:basedOn w:val="Normal"/>
    <w:rsid w:val="00605D4B"/>
    <w:pPr>
      <w:keepNext/>
      <w:spacing w:before="120" w:after="120"/>
      <w:jc w:val="center"/>
      <w:outlineLvl w:val="0"/>
    </w:pPr>
    <w:rPr>
      <w:rFonts w:eastAsia="Times New Roman"/>
      <w:b/>
      <w:bCs/>
      <w:kern w:val="28"/>
      <w:sz w:val="28"/>
      <w:szCs w:val="28"/>
    </w:rPr>
  </w:style>
  <w:style w:type="character" w:styleId="Hyperlink">
    <w:name w:val="Hyperlink"/>
    <w:rsid w:val="00605D4B"/>
    <w:rPr>
      <w:color w:val="0000FF"/>
      <w:u w:val="single"/>
    </w:rPr>
  </w:style>
  <w:style w:type="paragraph" w:customStyle="1" w:styleId="Teaser">
    <w:name w:val="Teaser"/>
    <w:basedOn w:val="Normal"/>
    <w:rsid w:val="00605D4B"/>
    <w:pPr>
      <w:spacing w:before="120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hyperlink" Target="mailto:ylu4@bwh.harvard.edu" TargetMode="Externa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783</Words>
  <Characters>4049</Characters>
  <Application>Microsoft Office Word</Application>
  <DocSecurity>0</DocSecurity>
  <Lines>96</Lines>
  <Paragraphs>23</Paragraphs>
  <ScaleCrop>false</ScaleCrop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Guo, Hong</dc:creator>
  <cp:keywords/>
  <dc:description/>
  <cp:lastModifiedBy>Lu, Yi,MD, PhD</cp:lastModifiedBy>
  <cp:revision>5</cp:revision>
  <cp:lastPrinted>2025-09-16T21:10:00Z</cp:lastPrinted>
  <dcterms:created xsi:type="dcterms:W3CDTF">2025-12-18T16:14:00Z</dcterms:created>
  <dcterms:modified xsi:type="dcterms:W3CDTF">2025-12-20T17:57:00Z</dcterms:modified>
</cp:coreProperties>
</file>