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C5C7F7">
      <w:pPr>
        <w:jc w:val="center"/>
        <w:rPr>
          <w:rFonts w:hint="eastAsia" w:ascii="Times New Roman" w:hAnsi="Times New Roman" w:eastAsia="宋体" w:cs="Times New Roman"/>
          <w:b/>
          <w:bCs/>
          <w:sz w:val="28"/>
          <w:szCs w:val="28"/>
          <w:lang w:val="en-US" w:eastAsia="zh-CN" w:bidi="ar"/>
        </w:rPr>
      </w:pPr>
      <w:r>
        <w:rPr>
          <w:rFonts w:hint="eastAsia" w:ascii="Times New Roman" w:hAnsi="Times New Roman" w:eastAsia="宋体" w:cs="Times New Roman"/>
          <w:b/>
          <w:bCs/>
          <w:sz w:val="28"/>
          <w:szCs w:val="28"/>
          <w:lang w:bidi="ar"/>
        </w:rPr>
        <w:t>Supplementary Material</w:t>
      </w:r>
      <w:r>
        <w:rPr>
          <w:rFonts w:hint="eastAsia" w:ascii="Times New Roman" w:hAnsi="Times New Roman" w:eastAsia="宋体" w:cs="Times New Roman"/>
          <w:b/>
          <w:bCs/>
          <w:sz w:val="28"/>
          <w:szCs w:val="28"/>
          <w:lang w:val="en-US" w:eastAsia="zh-CN" w:bidi="ar"/>
        </w:rPr>
        <w:t>s</w:t>
      </w:r>
    </w:p>
    <w:p w14:paraId="74624A10">
      <w:pPr>
        <w:keepNext w:val="0"/>
        <w:keepLines w:val="0"/>
        <w:pageBreakBefore w:val="0"/>
        <w:wordWrap/>
        <w:overflowPunct/>
        <w:topLinePunct w:val="0"/>
        <w:autoSpaceDE/>
        <w:autoSpaceDN/>
        <w:bidi w:val="0"/>
        <w:snapToGrid/>
        <w:spacing w:line="480" w:lineRule="auto"/>
        <w:jc w:val="center"/>
        <w:rPr>
          <w:rFonts w:hint="default" w:ascii="Times New Roman" w:hAnsi="Times New Roman" w:eastAsia="宋体" w:cs="Times New Roman"/>
          <w:b/>
          <w:bCs/>
          <w:sz w:val="24"/>
          <w:lang w:val="en-US" w:eastAsia="zh-CN" w:bidi="ar"/>
        </w:rPr>
      </w:pPr>
      <w:r>
        <w:rPr>
          <w:rFonts w:hint="eastAsia" w:ascii="Times New Roman" w:hAnsi="Times New Roman" w:eastAsia="宋体" w:cs="Times New Roman"/>
          <w:b/>
          <w:bCs/>
          <w:sz w:val="24"/>
          <w:lang w:bidi="ar"/>
        </w:rPr>
        <w:t>Supplementary Material</w:t>
      </w:r>
      <w:r>
        <w:rPr>
          <w:rFonts w:hint="eastAsia" w:ascii="Times New Roman" w:hAnsi="Times New Roman" w:eastAsia="宋体" w:cs="Times New Roman"/>
          <w:b/>
          <w:bCs/>
          <w:sz w:val="24"/>
          <w:lang w:val="en-US" w:eastAsia="zh-CN" w:bidi="ar"/>
        </w:rPr>
        <w:t xml:space="preserve"> [1.1]</w:t>
      </w:r>
      <w:r>
        <w:rPr>
          <w:rFonts w:hint="eastAsia" w:ascii="Times New Roman" w:hAnsi="Times New Roman" w:eastAsia="宋体" w:cs="Times New Roman"/>
          <w:b/>
          <w:bCs/>
          <w:sz w:val="24"/>
          <w:lang w:bidi="ar"/>
        </w:rPr>
        <w:t>: Participant Screening and Selection</w:t>
      </w:r>
      <w:r>
        <w:rPr>
          <w:rFonts w:hint="eastAsia" w:ascii="Times New Roman" w:hAnsi="Times New Roman" w:eastAsia="宋体" w:cs="Times New Roman"/>
          <w:b/>
          <w:bCs/>
          <w:sz w:val="24"/>
          <w:lang w:val="en-US" w:eastAsia="zh-CN" w:bidi="ar"/>
        </w:rPr>
        <w:t xml:space="preserve"> for Experiment 1</w:t>
      </w:r>
    </w:p>
    <w:p w14:paraId="75227A5B">
      <w:pPr>
        <w:keepNext w:val="0"/>
        <w:keepLines w:val="0"/>
        <w:pageBreakBefore w:val="0"/>
        <w:wordWrap/>
        <w:overflowPunct/>
        <w:topLinePunct w:val="0"/>
        <w:autoSpaceDE/>
        <w:autoSpaceDN/>
        <w:bidi w:val="0"/>
        <w:snapToGrid/>
        <w:spacing w:line="480" w:lineRule="auto"/>
        <w:ind w:firstLine="480" w:firstLineChars="200"/>
        <w:rPr>
          <w:rFonts w:ascii="Times New Roman" w:hAnsi="Times New Roman" w:eastAsia="宋体" w:cs="Times New Roman"/>
          <w:color w:val="E54C5E" w:themeColor="accent6"/>
          <w:sz w:val="24"/>
          <w:lang w:bidi="ar"/>
          <w14:textFill>
            <w14:solidFill>
              <w14:schemeClr w14:val="accent6"/>
            </w14:solidFill>
          </w14:textFill>
        </w:rPr>
      </w:pPr>
      <w:r>
        <w:rPr>
          <w:rFonts w:ascii="Times New Roman" w:hAnsi="Times New Roman" w:eastAsia="宋体" w:cs="Times New Roman"/>
          <w:sz w:val="24"/>
          <w:lang w:bidi="ar"/>
        </w:rPr>
        <w:t xml:space="preserve">We used G*Power </w:t>
      </w:r>
      <w:r>
        <w:rPr>
          <w:rFonts w:ascii="Times New Roman" w:hAnsi="Times New Roman" w:eastAsia="宋体" w:cs="Times New Roman"/>
          <w:color w:val="auto"/>
          <w:sz w:val="24"/>
          <w:highlight w:val="none"/>
          <w:lang w:bidi="ar"/>
        </w:rPr>
        <w:t xml:space="preserve">3.1 </w:t>
      </w:r>
      <w:r>
        <w:rPr>
          <w:rFonts w:ascii="Times New Roman" w:hAnsi="Times New Roman" w:eastAsia="宋体" w:cs="Times New Roman"/>
          <w:color w:val="auto"/>
          <w:sz w:val="24"/>
          <w:highlight w:val="none"/>
          <w:lang w:bidi="ar"/>
        </w:rPr>
        <w:fldChar w:fldCharType="begin"/>
      </w:r>
      <w:r>
        <w:rPr>
          <w:rFonts w:ascii="Times New Roman" w:hAnsi="Times New Roman" w:eastAsia="宋体" w:cs="Times New Roman"/>
          <w:color w:val="auto"/>
          <w:sz w:val="24"/>
          <w:highlight w:val="none"/>
          <w:lang w:bidi="ar"/>
        </w:rPr>
        <w:instrText xml:space="preserve"> ADDIN ZOTERO_ITEM CSL_CITATION {"citationID":"HEFUv9a7","properties":{"formattedCitation":"(Faul et al., 2007)","plainCitation":"(Faul et al., 2007)","noteIndex":0},"citationItems":[{"id":178,"uris":["http://zotero.org/users/17131070/items/4CR7UVKY"],"itemData":{"id":178,"type":"article-journal","container-title":"Behavior Research Methods","DOI":"10.3758/BF03193146","ISSN":"1554-351X, 1554-3528","issue":"2","journalAbbreviation":"Behavior Research Methods","language":"en","license":"http://www.springer.com/tdm","page":"175-191","source":"DOI.org (Crossref)","title":"G*Power 3: A flexible statistical power analysis program for the social, behavioral, and biomedical sciences","title-short":"G*Power 3","volume":"39","author":[{"family":"Faul","given":"Franz"},{"family":"Erdfelder","given":"Edgar"},{"family":"Lang","given":"Albert-Georg"},{"family":"Buchner","given":"Axel"}],"issued":{"date-parts":[["2007",5]]}}}],"schema":"https://github.com/citation-style-language/schema/raw/master/csl-citation.json"} </w:instrText>
      </w:r>
      <w:r>
        <w:rPr>
          <w:rFonts w:ascii="Times New Roman" w:hAnsi="Times New Roman" w:eastAsia="宋体" w:cs="Times New Roman"/>
          <w:color w:val="auto"/>
          <w:sz w:val="24"/>
          <w:highlight w:val="none"/>
          <w:lang w:bidi="ar"/>
        </w:rPr>
        <w:fldChar w:fldCharType="separate"/>
      </w:r>
      <w:r>
        <w:rPr>
          <w:rFonts w:ascii="Times New Roman" w:hAnsi="Times New Roman" w:cs="Times New Roman"/>
          <w:color w:val="auto"/>
          <w:sz w:val="24"/>
          <w:highlight w:val="none"/>
        </w:rPr>
        <w:t>(Faul et al., 2007)</w:t>
      </w:r>
      <w:r>
        <w:rPr>
          <w:rFonts w:ascii="Times New Roman" w:hAnsi="Times New Roman" w:eastAsia="宋体" w:cs="Times New Roman"/>
          <w:color w:val="auto"/>
          <w:sz w:val="24"/>
          <w:highlight w:val="none"/>
          <w:lang w:bidi="ar"/>
        </w:rPr>
        <w:fldChar w:fldCharType="end"/>
      </w:r>
      <w:r>
        <w:rPr>
          <w:rFonts w:ascii="Times New Roman" w:hAnsi="Times New Roman" w:eastAsia="宋体" w:cs="Times New Roman"/>
          <w:color w:val="auto"/>
          <w:sz w:val="24"/>
          <w:highlight w:val="none"/>
          <w:lang w:bidi="ar"/>
        </w:rPr>
        <w:t xml:space="preserve"> </w:t>
      </w:r>
      <w:r>
        <w:rPr>
          <w:rFonts w:ascii="Times New Roman" w:hAnsi="Times New Roman" w:eastAsia="宋体" w:cs="Times New Roman"/>
          <w:color w:val="auto"/>
          <w:sz w:val="24"/>
          <w:highlight w:val="none"/>
        </w:rPr>
        <w:t>to estimate the required sample size. Based on a medium effect size (f = 0.25), α = .05, and power (1 - β) = .95, the analysis suggested that 36 participants would be sufficient to detect within-between interactions in a 2 × 2 × 2 mixed design.</w:t>
      </w:r>
      <w:r>
        <w:rPr>
          <w:rFonts w:hint="eastAsia" w:ascii="Times New Roman" w:hAnsi="Times New Roman" w:eastAsia="宋体" w:cs="Times New Roman"/>
          <w:color w:val="auto"/>
          <w:sz w:val="24"/>
          <w:highlight w:val="none"/>
          <w:lang w:bidi="ar"/>
        </w:rPr>
        <w:t xml:space="preserve"> </w:t>
      </w:r>
      <w:r>
        <w:rPr>
          <w:rFonts w:ascii="Times New Roman" w:hAnsi="Times New Roman" w:eastAsia="宋体" w:cs="Times New Roman"/>
          <w:color w:val="auto"/>
          <w:sz w:val="24"/>
          <w:highlight w:val="none"/>
          <w:lang w:bidi="ar"/>
        </w:rPr>
        <w:t xml:space="preserve">Considering the uncertainty in power estimates for complex designs and need for robust sample size justification in confirmatory research </w:t>
      </w:r>
      <w:r>
        <w:rPr>
          <w:rFonts w:ascii="Times New Roman" w:hAnsi="Times New Roman" w:eastAsia="宋体" w:cs="Times New Roman"/>
          <w:color w:val="auto"/>
          <w:sz w:val="24"/>
          <w:highlight w:val="none"/>
          <w:lang w:bidi="ar"/>
        </w:rPr>
        <w:fldChar w:fldCharType="begin"/>
      </w:r>
      <w:r>
        <w:rPr>
          <w:rFonts w:ascii="Times New Roman" w:hAnsi="Times New Roman" w:eastAsia="宋体" w:cs="Times New Roman"/>
          <w:color w:val="auto"/>
          <w:sz w:val="24"/>
          <w:highlight w:val="none"/>
          <w:lang w:bidi="ar"/>
        </w:rPr>
        <w:instrText xml:space="preserve"> ADDIN ZOTERO_ITEM CSL_CITATION {"citationID":"12PlX9JL","properties":{"formattedCitation":"(Brysbaert, 2019; Lakens, 2022)","plainCitation":"(Brysbaert, 2019; Lakens, 2022)","noteIndex":0},"citationItems":[{"id":267,"uris":["http://zotero.org/users/17131070/items/KEU7PI9E"],"itemData":{"id":267,"type":"article-journal","container-title":"Journal of Cognition","DOI":"10.5334/joc.72","ISSN":"2514-4820","issue":"1","language":"en","license":"http://creativecommons.org/licenses/by/4.0","page":"16","source":"DOI.org (Crossref)","title":"How Many Participants Do We Have to Include in Properly Powered Experiments? A Tutorial of Power Analysis with Reference Tables","title-short":"How Many Participants Do We Have to Include in Properly Powered Experiments?","volume":"2","author":[{"family":"Brysbaert","given":"Marc"}],"issued":{"date-parts":[["2019",7,19]]}}},{"id":231,"uris":["http://zotero.org/users/17131070/items/WHI8HTWY"],"itemData":{"id":231,"type":"article-journal","abstract":"An important step when designing an empirical study is to justify the sample size that will be collected. The key aim of a sample size justification for such studies is to explain how the collected data is expected to provide valuable information given the inferential goals of the researcher. In this overview article six approaches are discussed to justify the sample size in a quantitative empirical study: 1) collecting data from (almost) the entire population, 2) choosing a sample size based on resource constraints, 3) performing an a-priori power analysis, 4) planning for a desired accuracy, 5) using heuristics, or 6) explicitly acknowledging the absence of a justification. An important question to consider when justifying sample sizes is which effect sizes are deemed interesting, and the extent to which the data that is collected informs inferences about these effect sizes. Depending on the sample size justification chosen, researchers could consider 1) what the smallest effect size of interest is, 2) which minimal effect size will be statistically significant, 3) which effect sizes they expect (and what they base these expectations on), 4) which effect sizes would be rejected based on a confidence interval around the effect size, 5) which ranges of effects a study has sufficient power to detect based on a sensitivity power analysis, and 6) which effect sizes are expected in a specific research area. Researchers can use the guidelines presented in this article, for example by using the interactive form in the accompanying online Shiny app, to improve their sample size justification, and hopefully, align the informational value of a study with their inferential goals.","container-title":"Collabra: Psychology","DOI":"10.1525/collabra.33267","ISSN":"2474-7394","issue":"1","language":"en","license":"http://creativecommons.org/licenses/by/4.0","page":"33267","source":"DOI.org (Crossref)","title":"Sample Size Justification","volume":"8","author":[{"family":"Lakens","given":"Daniël"}],"editor":[{"family":"Ravenzwaaij","given":"Don Van"}],"issued":{"date-parts":[["2022",3,22]]}}}],"schema":"https://github.com/citation-style-language/schema/raw/master/csl-citation.json"} </w:instrText>
      </w:r>
      <w:r>
        <w:rPr>
          <w:rFonts w:ascii="Times New Roman" w:hAnsi="Times New Roman" w:eastAsia="宋体" w:cs="Times New Roman"/>
          <w:color w:val="auto"/>
          <w:sz w:val="24"/>
          <w:highlight w:val="none"/>
          <w:lang w:bidi="ar"/>
        </w:rPr>
        <w:fldChar w:fldCharType="separate"/>
      </w:r>
      <w:r>
        <w:rPr>
          <w:rFonts w:ascii="Times New Roman" w:hAnsi="Times New Roman" w:cs="Times New Roman"/>
          <w:color w:val="auto"/>
          <w:sz w:val="24"/>
          <w:highlight w:val="none"/>
        </w:rPr>
        <w:t>(Brysbaert, 2019; Lakens, 2022)</w:t>
      </w:r>
      <w:r>
        <w:rPr>
          <w:rFonts w:ascii="Times New Roman" w:hAnsi="Times New Roman" w:eastAsia="宋体" w:cs="Times New Roman"/>
          <w:color w:val="auto"/>
          <w:sz w:val="24"/>
          <w:highlight w:val="none"/>
          <w:lang w:bidi="ar"/>
        </w:rPr>
        <w:fldChar w:fldCharType="end"/>
      </w:r>
      <w:r>
        <w:rPr>
          <w:rFonts w:ascii="Times New Roman" w:hAnsi="Times New Roman" w:eastAsia="宋体" w:cs="Times New Roman"/>
          <w:color w:val="auto"/>
          <w:sz w:val="24"/>
          <w:highlight w:val="none"/>
          <w:lang w:bidi="ar"/>
        </w:rPr>
        <w:t>, w</w:t>
      </w:r>
      <w:r>
        <w:rPr>
          <w:rFonts w:ascii="Times New Roman" w:hAnsi="Times New Roman" w:eastAsia="宋体" w:cs="Times New Roman"/>
          <w:sz w:val="24"/>
          <w:lang w:bidi="ar"/>
        </w:rPr>
        <w:t>e recruit</w:t>
      </w:r>
      <w:r>
        <w:rPr>
          <w:rFonts w:ascii="Times New Roman" w:hAnsi="Times New Roman" w:eastAsia="宋体" w:cs="Times New Roman"/>
          <w:sz w:val="24"/>
        </w:rPr>
        <w:t>ed a larger sample.</w:t>
      </w:r>
    </w:p>
    <w:p w14:paraId="75227A5C">
      <w:pPr>
        <w:keepNext w:val="0"/>
        <w:keepLines w:val="0"/>
        <w:pageBreakBefore w:val="0"/>
        <w:wordWrap/>
        <w:overflowPunct/>
        <w:topLinePunct w:val="0"/>
        <w:autoSpaceDE/>
        <w:autoSpaceDN/>
        <w:bidi w:val="0"/>
        <w:snapToGrid/>
        <w:spacing w:line="480" w:lineRule="auto"/>
        <w:ind w:firstLine="480" w:firstLineChars="200"/>
        <w:rPr>
          <w:rFonts w:ascii="Times New Roman" w:hAnsi="Times New Roman" w:eastAsia="宋体" w:cs="Times New Roman"/>
          <w:sz w:val="24"/>
          <w:lang w:bidi="ar"/>
        </w:rPr>
      </w:pPr>
      <w:r>
        <w:rPr>
          <w:rFonts w:ascii="Times New Roman" w:hAnsi="Times New Roman" w:eastAsia="宋体" w:cs="Times New Roman"/>
          <w:sz w:val="24"/>
          <w:lang w:bidi="ar"/>
        </w:rPr>
        <w:t>This experiment included 770 participants (153 male individuals</w:t>
      </w:r>
      <w:r>
        <w:rPr>
          <w:rFonts w:hint="eastAsia" w:ascii="Times New Roman" w:hAnsi="Times New Roman" w:eastAsia="宋体" w:cs="Times New Roman"/>
          <w:sz w:val="24"/>
          <w:lang w:bidi="ar"/>
        </w:rPr>
        <w:t>, m</w:t>
      </w:r>
      <w:r>
        <w:rPr>
          <w:rFonts w:hint="eastAsia" w:ascii="Times New Roman" w:hAnsi="Times New Roman" w:eastAsia="宋体" w:cs="Times New Roman"/>
          <w:iCs/>
          <w:sz w:val="24"/>
          <w:lang w:bidi="ar"/>
        </w:rPr>
        <w:t>ean age</w:t>
      </w:r>
      <w:r>
        <w:rPr>
          <w:rFonts w:ascii="Times New Roman" w:hAnsi="Times New Roman" w:eastAsia="宋体" w:cs="Times New Roman"/>
          <w:iCs/>
          <w:sz w:val="24"/>
          <w:lang w:bidi="ar"/>
        </w:rPr>
        <w:t xml:space="preserve"> </w:t>
      </w:r>
      <w:r>
        <w:rPr>
          <w:rFonts w:hint="eastAsia" w:ascii="Times New Roman" w:hAnsi="Times New Roman" w:eastAsia="宋体" w:cs="Times New Roman"/>
          <w:iCs/>
          <w:sz w:val="24"/>
          <w:lang w:bidi="ar"/>
        </w:rPr>
        <w:t xml:space="preserve">= </w:t>
      </w:r>
      <w:r>
        <w:rPr>
          <w:rFonts w:ascii="Times New Roman" w:hAnsi="Times New Roman" w:eastAsia="宋体" w:cs="Times New Roman"/>
          <w:sz w:val="24"/>
          <w:lang w:bidi="ar"/>
        </w:rPr>
        <w:t>20.60</w:t>
      </w:r>
      <w:r>
        <w:rPr>
          <w:rFonts w:hint="eastAsia" w:ascii="Times New Roman" w:hAnsi="Times New Roman" w:eastAsia="宋体" w:cs="Times New Roman"/>
          <w:sz w:val="24"/>
          <w:lang w:bidi="ar"/>
        </w:rPr>
        <w:t xml:space="preserve"> </w:t>
      </w:r>
      <w:r>
        <w:rPr>
          <w:rFonts w:ascii="Times New Roman" w:hAnsi="Times New Roman" w:eastAsia="微软雅黑" w:cs="Times New Roman"/>
          <w:sz w:val="24"/>
          <w:lang w:bidi="ar"/>
        </w:rPr>
        <w:t>±</w:t>
      </w:r>
      <w:r>
        <w:rPr>
          <w:rFonts w:ascii="Times New Roman" w:hAnsi="Times New Roman" w:eastAsia="宋体" w:cs="Times New Roman"/>
          <w:sz w:val="24"/>
          <w:lang w:bidi="ar"/>
        </w:rPr>
        <w:t xml:space="preserve"> 1.91) who completed the 8-item Chinese version of the University of California Los Angeles Loneliness Scale (ULS</w:t>
      </w:r>
      <w:r>
        <w:rPr>
          <w:rFonts w:hint="eastAsia" w:ascii="Times New Roman" w:hAnsi="Times New Roman" w:eastAsia="宋体" w:cs="Times New Roman"/>
          <w:sz w:val="24"/>
          <w:lang w:bidi="ar"/>
        </w:rPr>
        <w:t>-8</w:t>
      </w:r>
      <w:r>
        <w:rPr>
          <w:rFonts w:ascii="Times New Roman" w:hAnsi="Times New Roman" w:eastAsia="宋体" w:cs="Times New Roman"/>
          <w:sz w:val="24"/>
          <w:lang w:bidi="ar"/>
        </w:rPr>
        <w:t xml:space="preserve">), adapted and validated by </w:t>
      </w:r>
      <w:r>
        <w:rPr>
          <w:rFonts w:ascii="Times New Roman" w:hAnsi="Times New Roman" w:eastAsia="宋体" w:cs="Times New Roman"/>
          <w:sz w:val="24"/>
          <w:lang w:bidi="ar"/>
        </w:rPr>
        <w:fldChar w:fldCharType="begin"/>
      </w:r>
      <w:r>
        <w:rPr>
          <w:rFonts w:ascii="Times New Roman" w:hAnsi="Times New Roman" w:eastAsia="宋体" w:cs="Times New Roman"/>
          <w:sz w:val="24"/>
          <w:lang w:bidi="ar"/>
        </w:rPr>
        <w:instrText xml:space="preserve"> ADDIN ZOTERO_ITEM CSL_CITATION {"citationID":"m2uk5aYT","properties":{"formattedCitation":"(Xu et al., 2018)","plainCitation":"(Xu et al., 2018)","dontUpdate":true,"noteIndex":0},"citationItems":[{"id":249,"uris":["http://zotero.org/users/17131070/items/EZYJLCMF"],"itemData":{"id":249,"type":"article-journal","container-title":"Medicine","DOI":"10.1097/MD.0000000000012373","ISSN":"0025-7974","issue":"38","language":"en","page":"e12373","source":"DOI.org (Crossref)","title":"Psychometric properties of the short-form UCLA Loneliness Scale (ULS-8) among Chinese adolescents","volume":"97","author":[{"family":"Xu","given":"Shurong"},{"family":"Qiu","given":"Dan"},{"family":"Hahne","given":"Jessica"},{"family":"Zhao","given":"Mei"},{"family":"Hu","given":"Mi"}],"issued":{"date-parts":[["2018",9]]}}}],"schema":"https://github.com/citation-style-language/schema/raw/master/csl-citation.json"} </w:instrText>
      </w:r>
      <w:r>
        <w:rPr>
          <w:rFonts w:ascii="Times New Roman" w:hAnsi="Times New Roman" w:eastAsia="宋体" w:cs="Times New Roman"/>
          <w:sz w:val="24"/>
          <w:lang w:bidi="ar"/>
        </w:rPr>
        <w:fldChar w:fldCharType="separate"/>
      </w:r>
      <w:r>
        <w:rPr>
          <w:rFonts w:ascii="Times New Roman" w:hAnsi="Times New Roman" w:cs="Times New Roman"/>
          <w:sz w:val="24"/>
        </w:rPr>
        <w:t>Xu et al. (2018)</w:t>
      </w:r>
      <w:r>
        <w:rPr>
          <w:rFonts w:ascii="Times New Roman" w:hAnsi="Times New Roman" w:eastAsia="宋体" w:cs="Times New Roman"/>
          <w:sz w:val="24"/>
          <w:lang w:bidi="ar"/>
        </w:rPr>
        <w:fldChar w:fldCharType="end"/>
      </w:r>
      <w:r>
        <w:rPr>
          <w:rFonts w:ascii="Times New Roman" w:hAnsi="Times New Roman" w:eastAsia="宋体" w:cs="Times New Roman"/>
          <w:sz w:val="24"/>
          <w:lang w:bidi="ar"/>
        </w:rPr>
        <w:t>. The scale demonstrated good internal consistency (Cronbach’s α = .81), and total scores ranged from 8 to 32 points (</w:t>
      </w:r>
      <w:r>
        <w:rPr>
          <w:rFonts w:hint="eastAsia" w:ascii="Times New Roman" w:hAnsi="Times New Roman" w:eastAsia="宋体" w:cs="Times New Roman"/>
          <w:iCs/>
          <w:sz w:val="24"/>
          <w:lang w:bidi="ar"/>
        </w:rPr>
        <w:t>mean ULS-8</w:t>
      </w:r>
      <w:r>
        <w:rPr>
          <w:rFonts w:ascii="Times New Roman" w:hAnsi="Times New Roman" w:eastAsia="宋体" w:cs="Times New Roman"/>
          <w:sz w:val="24"/>
          <w:lang w:bidi="ar"/>
        </w:rPr>
        <w:t xml:space="preserve"> </w:t>
      </w:r>
      <w:r>
        <w:rPr>
          <w:rFonts w:hint="eastAsia" w:ascii="Times New Roman" w:hAnsi="Times New Roman" w:eastAsia="宋体" w:cs="Times New Roman"/>
          <w:iCs/>
          <w:sz w:val="24"/>
          <w:lang w:bidi="ar"/>
        </w:rPr>
        <w:t xml:space="preserve">score </w:t>
      </w:r>
      <w:r>
        <w:rPr>
          <w:rFonts w:ascii="Times New Roman" w:hAnsi="Times New Roman" w:eastAsia="宋体" w:cs="Times New Roman"/>
          <w:sz w:val="24"/>
          <w:lang w:bidi="ar"/>
        </w:rPr>
        <w:t>= 17.96</w:t>
      </w:r>
      <w:r>
        <w:rPr>
          <w:rFonts w:hint="eastAsia" w:ascii="Times New Roman" w:hAnsi="Times New Roman" w:eastAsia="宋体" w:cs="Times New Roman"/>
          <w:sz w:val="24"/>
          <w:lang w:bidi="ar"/>
        </w:rPr>
        <w:t xml:space="preserve"> </w:t>
      </w:r>
      <w:r>
        <w:rPr>
          <w:rFonts w:ascii="Times New Roman" w:hAnsi="Times New Roman" w:eastAsia="微软雅黑" w:cs="Times New Roman"/>
          <w:sz w:val="24"/>
          <w:lang w:bidi="ar"/>
        </w:rPr>
        <w:t>±</w:t>
      </w:r>
      <w:r>
        <w:rPr>
          <w:rFonts w:ascii="Times New Roman" w:hAnsi="Times New Roman" w:eastAsia="宋体" w:cs="Times New Roman"/>
          <w:sz w:val="24"/>
          <w:lang w:bidi="ar"/>
        </w:rPr>
        <w:t xml:space="preserve"> 4.00). Higher scores indicated greater loneliness. Based on Guan et al.’s (2025) classification criteria, participants who scored ≥ 21 and ≤ 15 points were classified into the high-loneliness (HL) and low-loneliness (LL) groups, respectively. This threshold reflected 0.8 standard deviations</w:t>
      </w:r>
      <w:r>
        <w:rPr>
          <w:rFonts w:hint="eastAsia" w:ascii="Times New Roman" w:hAnsi="Times New Roman" w:eastAsia="宋体" w:cs="Times New Roman"/>
          <w:sz w:val="24"/>
          <w:lang w:bidi="ar"/>
        </w:rPr>
        <w:t xml:space="preserve"> </w:t>
      </w:r>
      <w:r>
        <w:rPr>
          <w:rFonts w:ascii="Times New Roman" w:hAnsi="Times New Roman" w:eastAsia="宋体" w:cs="Times New Roman"/>
          <w:sz w:val="24"/>
          <w:lang w:bidi="ar"/>
        </w:rPr>
        <w:t>(SD) above and below the sample mean</w:t>
      </w:r>
      <w:r>
        <w:rPr>
          <w:rFonts w:hint="eastAsia" w:ascii="Times New Roman" w:hAnsi="Times New Roman" w:eastAsia="宋体" w:cs="Times New Roman"/>
          <w:sz w:val="24"/>
          <w:lang w:bidi="ar"/>
        </w:rPr>
        <w:t xml:space="preserve">, </w:t>
      </w:r>
      <w:r>
        <w:rPr>
          <w:rFonts w:ascii="Times New Roman" w:hAnsi="Times New Roman" w:eastAsia="宋体" w:cs="Times New Roman"/>
          <w:sz w:val="24"/>
          <w:lang w:bidi="ar"/>
        </w:rPr>
        <w:t>respectively.</w:t>
      </w:r>
    </w:p>
    <w:p w14:paraId="75227A5D">
      <w:pPr>
        <w:keepNext w:val="0"/>
        <w:keepLines w:val="0"/>
        <w:pageBreakBefore w:val="0"/>
        <w:wordWrap/>
        <w:overflowPunct/>
        <w:topLinePunct w:val="0"/>
        <w:autoSpaceDE/>
        <w:autoSpaceDN/>
        <w:bidi w:val="0"/>
        <w:snapToGrid/>
        <w:spacing w:line="480" w:lineRule="auto"/>
        <w:ind w:firstLine="480" w:firstLineChars="200"/>
        <w:rPr>
          <w:rFonts w:ascii="Times New Roman" w:hAnsi="Times New Roman" w:cs="Times New Roman"/>
          <w:sz w:val="24"/>
        </w:rPr>
      </w:pPr>
      <w:r>
        <w:rPr>
          <w:rFonts w:ascii="Times New Roman" w:hAnsi="Times New Roman" w:eastAsia="宋体" w:cs="Times New Roman"/>
          <w:sz w:val="24"/>
          <w:lang w:bidi="ar"/>
        </w:rPr>
        <w:t>From numerous eligible candidates, 136 were invited to participate in the laboratory-based experiment. No participants reported a history of neurological or psychiatric disorders.</w:t>
      </w:r>
      <w:r>
        <w:rPr>
          <w:rFonts w:hint="eastAsia" w:ascii="Times New Roman" w:hAnsi="Times New Roman" w:eastAsia="宋体" w:cs="Times New Roman"/>
          <w:sz w:val="24"/>
          <w:lang w:bidi="ar"/>
        </w:rPr>
        <w:t xml:space="preserve"> </w:t>
      </w:r>
      <w:r>
        <w:rPr>
          <w:rFonts w:ascii="Times New Roman" w:hAnsi="Times New Roman" w:eastAsia="宋体" w:cs="Times New Roman"/>
          <w:sz w:val="24"/>
          <w:lang w:bidi="ar"/>
        </w:rPr>
        <w:t xml:space="preserve">Of these, 4 were excluded as their mean </w:t>
      </w:r>
      <w:r>
        <w:rPr>
          <w:rFonts w:hint="eastAsia" w:ascii="Times New Roman" w:hAnsi="Times New Roman" w:eastAsia="宋体" w:cs="Times New Roman"/>
          <w:sz w:val="24"/>
          <w:lang w:bidi="ar"/>
        </w:rPr>
        <w:t>RT</w:t>
      </w:r>
      <w:r>
        <w:rPr>
          <w:rFonts w:ascii="Times New Roman" w:hAnsi="Times New Roman" w:eastAsia="宋体" w:cs="Times New Roman"/>
          <w:sz w:val="24"/>
          <w:lang w:bidi="ar"/>
        </w:rPr>
        <w:t xml:space="preserve"> exceeded ±</w:t>
      </w:r>
      <w:r>
        <w:rPr>
          <w:rFonts w:hint="eastAsia" w:ascii="Times New Roman" w:hAnsi="Times New Roman" w:eastAsia="宋体" w:cs="Times New Roman"/>
          <w:sz w:val="24"/>
          <w:lang w:bidi="ar"/>
        </w:rPr>
        <w:t xml:space="preserve"> </w:t>
      </w:r>
      <w:r>
        <w:rPr>
          <w:rFonts w:ascii="Times New Roman" w:hAnsi="Times New Roman" w:eastAsia="宋体" w:cs="Times New Roman"/>
          <w:sz w:val="24"/>
          <w:lang w:bidi="ar"/>
        </w:rPr>
        <w:t xml:space="preserve">3 </w:t>
      </w:r>
      <w:r>
        <w:rPr>
          <w:rFonts w:hint="eastAsia" w:ascii="Times New Roman" w:hAnsi="Times New Roman" w:eastAsia="宋体" w:cs="Times New Roman"/>
          <w:sz w:val="24"/>
          <w:lang w:bidi="ar"/>
        </w:rPr>
        <w:t>SD</w:t>
      </w:r>
      <w:r>
        <w:rPr>
          <w:rFonts w:ascii="Times New Roman" w:hAnsi="Times New Roman" w:eastAsia="宋体" w:cs="Times New Roman"/>
          <w:sz w:val="24"/>
          <w:lang w:bidi="ar"/>
        </w:rPr>
        <w:t xml:space="preserve"> from the overall sample mean</w:t>
      </w:r>
      <w:r>
        <w:rPr>
          <w:rFonts w:hint="eastAsia" w:ascii="Times New Roman" w:hAnsi="Times New Roman" w:eastAsia="宋体" w:cs="Times New Roman"/>
          <w:sz w:val="24"/>
          <w:lang w:bidi="ar"/>
        </w:rPr>
        <w:t xml:space="preserve">. </w:t>
      </w:r>
      <w:r>
        <w:rPr>
          <w:rFonts w:ascii="Times New Roman" w:hAnsi="Times New Roman" w:eastAsia="宋体" w:cs="Times New Roman"/>
          <w:sz w:val="24"/>
          <w:lang w:bidi="ar"/>
        </w:rPr>
        <w:t>The final sample comprised 132 participants, divided into 2 loneliness groups:</w:t>
      </w:r>
      <w:r>
        <w:rPr>
          <w:rFonts w:hint="eastAsia" w:ascii="Times New Roman" w:hAnsi="Times New Roman" w:eastAsia="宋体" w:cs="Times New Roman"/>
          <w:sz w:val="24"/>
          <w:lang w:bidi="ar"/>
        </w:rPr>
        <w:t xml:space="preserve"> </w:t>
      </w:r>
      <w:r>
        <w:rPr>
          <w:rFonts w:ascii="Times New Roman" w:hAnsi="Times New Roman" w:eastAsia="宋体" w:cs="Times New Roman"/>
          <w:sz w:val="24"/>
          <w:lang w:bidi="ar"/>
        </w:rPr>
        <w:t>HL (n = 66, 10 male individuals</w:t>
      </w:r>
      <w:r>
        <w:rPr>
          <w:rFonts w:hint="eastAsia" w:ascii="Times New Roman" w:hAnsi="Times New Roman" w:eastAsia="宋体" w:cs="Times New Roman"/>
          <w:sz w:val="24"/>
          <w:lang w:bidi="ar"/>
        </w:rPr>
        <w:t>,</w:t>
      </w:r>
      <w:r>
        <w:rPr>
          <w:rFonts w:ascii="Times New Roman" w:hAnsi="Times New Roman" w:eastAsia="宋体" w:cs="Times New Roman"/>
          <w:sz w:val="24"/>
          <w:lang w:bidi="ar"/>
        </w:rPr>
        <w:t xml:space="preserve"> </w:t>
      </w:r>
      <w:r>
        <w:rPr>
          <w:rFonts w:hint="eastAsia" w:ascii="Times New Roman" w:hAnsi="Times New Roman" w:eastAsia="宋体" w:cs="Times New Roman"/>
          <w:iCs/>
          <w:sz w:val="24"/>
          <w:lang w:bidi="ar"/>
        </w:rPr>
        <w:t>mean age</w:t>
      </w:r>
      <w:r>
        <w:rPr>
          <w:rFonts w:ascii="Times New Roman" w:hAnsi="Times New Roman" w:eastAsia="宋体" w:cs="Times New Roman"/>
          <w:iCs/>
          <w:sz w:val="24"/>
          <w:lang w:bidi="ar"/>
        </w:rPr>
        <w:t xml:space="preserve"> </w:t>
      </w:r>
      <w:r>
        <w:rPr>
          <w:rFonts w:hint="eastAsia" w:ascii="Times New Roman" w:hAnsi="Times New Roman" w:eastAsia="宋体" w:cs="Times New Roman"/>
          <w:iCs/>
          <w:sz w:val="24"/>
          <w:lang w:bidi="ar"/>
        </w:rPr>
        <w:t xml:space="preserve">= </w:t>
      </w:r>
      <w:r>
        <w:rPr>
          <w:rFonts w:ascii="Times New Roman" w:hAnsi="Times New Roman" w:eastAsia="宋体" w:cs="Times New Roman"/>
          <w:sz w:val="24"/>
          <w:lang w:bidi="ar"/>
        </w:rPr>
        <w:t>20.76</w:t>
      </w:r>
      <w:r>
        <w:rPr>
          <w:rFonts w:hint="eastAsia" w:ascii="Times New Roman" w:hAnsi="Times New Roman" w:eastAsia="宋体" w:cs="Times New Roman"/>
          <w:sz w:val="24"/>
          <w:lang w:bidi="ar"/>
        </w:rPr>
        <w:t xml:space="preserve"> </w:t>
      </w:r>
      <w:r>
        <w:rPr>
          <w:rFonts w:ascii="Times New Roman" w:hAnsi="Times New Roman" w:eastAsia="微软雅黑" w:cs="Times New Roman"/>
          <w:sz w:val="24"/>
          <w:lang w:bidi="ar"/>
        </w:rPr>
        <w:t>±</w:t>
      </w:r>
      <w:r>
        <w:rPr>
          <w:rFonts w:ascii="Times New Roman" w:hAnsi="Times New Roman" w:eastAsia="宋体" w:cs="Times New Roman"/>
          <w:sz w:val="24"/>
          <w:lang w:bidi="ar"/>
        </w:rPr>
        <w:t xml:space="preserve"> 1.59</w:t>
      </w:r>
      <w:r>
        <w:rPr>
          <w:rFonts w:hint="eastAsia" w:ascii="Times New Roman" w:hAnsi="Times New Roman" w:eastAsia="宋体" w:cs="Times New Roman"/>
          <w:sz w:val="24"/>
          <w:lang w:bidi="ar"/>
        </w:rPr>
        <w:t>,</w:t>
      </w:r>
      <w:r>
        <w:rPr>
          <w:rFonts w:hint="eastAsia" w:ascii="Times New Roman" w:hAnsi="Times New Roman" w:eastAsia="宋体" w:cs="Times New Roman"/>
          <w:iCs/>
          <w:sz w:val="24"/>
          <w:lang w:bidi="ar"/>
        </w:rPr>
        <w:t xml:space="preserve"> mean ULS-8 score</w:t>
      </w:r>
      <w:r>
        <w:rPr>
          <w:rFonts w:ascii="Times New Roman" w:hAnsi="Times New Roman" w:eastAsia="宋体" w:cs="Times New Roman"/>
          <w:sz w:val="24"/>
          <w:lang w:bidi="ar"/>
        </w:rPr>
        <w:t xml:space="preserve"> = 22.46</w:t>
      </w:r>
      <w:r>
        <w:rPr>
          <w:rFonts w:hint="eastAsia" w:ascii="Times New Roman" w:hAnsi="Times New Roman" w:eastAsia="宋体" w:cs="Times New Roman"/>
          <w:sz w:val="24"/>
          <w:lang w:bidi="ar"/>
        </w:rPr>
        <w:t xml:space="preserve"> </w:t>
      </w:r>
      <w:r>
        <w:rPr>
          <w:rFonts w:ascii="Times New Roman" w:hAnsi="Times New Roman" w:eastAsia="微软雅黑" w:cs="Times New Roman"/>
          <w:sz w:val="24"/>
          <w:lang w:bidi="ar"/>
        </w:rPr>
        <w:t>±</w:t>
      </w:r>
      <w:r>
        <w:rPr>
          <w:rFonts w:ascii="Times New Roman" w:hAnsi="Times New Roman" w:eastAsia="宋体" w:cs="Times New Roman"/>
          <w:sz w:val="24"/>
          <w:lang w:bidi="ar"/>
        </w:rPr>
        <w:t xml:space="preserve"> 1.53) and LL</w:t>
      </w:r>
      <w:r>
        <w:rPr>
          <w:rFonts w:hint="eastAsia" w:ascii="Times New Roman" w:hAnsi="Times New Roman" w:eastAsia="宋体" w:cs="Times New Roman"/>
          <w:sz w:val="24"/>
          <w:lang w:val="en-US" w:eastAsia="zh-CN" w:bidi="ar"/>
        </w:rPr>
        <w:t xml:space="preserve"> </w:t>
      </w:r>
      <w:r>
        <w:rPr>
          <w:rFonts w:ascii="Times New Roman" w:hAnsi="Times New Roman" w:eastAsia="宋体" w:cs="Times New Roman"/>
          <w:sz w:val="24"/>
          <w:lang w:bidi="ar"/>
        </w:rPr>
        <w:t>group (n = 66, 20 male individuals</w:t>
      </w:r>
      <w:r>
        <w:rPr>
          <w:rFonts w:hint="eastAsia" w:ascii="Times New Roman" w:hAnsi="Times New Roman" w:eastAsia="宋体" w:cs="Times New Roman"/>
          <w:sz w:val="24"/>
          <w:lang w:bidi="ar"/>
        </w:rPr>
        <w:t>,</w:t>
      </w:r>
      <w:r>
        <w:rPr>
          <w:rFonts w:ascii="Times New Roman" w:hAnsi="Times New Roman" w:eastAsia="宋体" w:cs="Times New Roman"/>
          <w:sz w:val="24"/>
          <w:lang w:bidi="ar"/>
        </w:rPr>
        <w:t xml:space="preserve"> </w:t>
      </w:r>
      <w:r>
        <w:rPr>
          <w:rFonts w:hint="eastAsia" w:ascii="Times New Roman" w:hAnsi="Times New Roman" w:eastAsia="宋体" w:cs="Times New Roman"/>
          <w:iCs/>
          <w:sz w:val="24"/>
          <w:lang w:bidi="ar"/>
        </w:rPr>
        <w:t>mean age</w:t>
      </w:r>
      <w:r>
        <w:rPr>
          <w:rFonts w:ascii="Times New Roman" w:hAnsi="Times New Roman" w:eastAsia="宋体" w:cs="Times New Roman"/>
          <w:iCs/>
          <w:sz w:val="24"/>
          <w:lang w:bidi="ar"/>
        </w:rPr>
        <w:t xml:space="preserve"> </w:t>
      </w:r>
      <w:r>
        <w:rPr>
          <w:rFonts w:hint="eastAsia" w:ascii="Times New Roman" w:hAnsi="Times New Roman" w:eastAsia="宋体" w:cs="Times New Roman"/>
          <w:iCs/>
          <w:sz w:val="24"/>
          <w:lang w:bidi="ar"/>
        </w:rPr>
        <w:t xml:space="preserve">= </w:t>
      </w:r>
      <w:r>
        <w:rPr>
          <w:rFonts w:ascii="Times New Roman" w:hAnsi="Times New Roman" w:eastAsia="宋体" w:cs="Times New Roman"/>
          <w:sz w:val="24"/>
          <w:lang w:bidi="ar"/>
        </w:rPr>
        <w:t>20.35</w:t>
      </w:r>
      <w:r>
        <w:rPr>
          <w:rFonts w:hint="eastAsia" w:ascii="Times New Roman" w:hAnsi="Times New Roman" w:eastAsia="宋体" w:cs="Times New Roman"/>
          <w:sz w:val="24"/>
          <w:lang w:bidi="ar"/>
        </w:rPr>
        <w:t xml:space="preserve"> </w:t>
      </w:r>
      <w:r>
        <w:rPr>
          <w:rFonts w:ascii="Times New Roman" w:hAnsi="Times New Roman" w:eastAsia="微软雅黑" w:cs="Times New Roman"/>
          <w:sz w:val="24"/>
          <w:lang w:bidi="ar"/>
        </w:rPr>
        <w:t>±</w:t>
      </w:r>
      <w:r>
        <w:rPr>
          <w:rFonts w:ascii="Times New Roman" w:hAnsi="Times New Roman" w:eastAsia="宋体" w:cs="Times New Roman"/>
          <w:sz w:val="24"/>
          <w:lang w:bidi="ar"/>
        </w:rPr>
        <w:t xml:space="preserve"> 1.60</w:t>
      </w:r>
      <w:r>
        <w:rPr>
          <w:rFonts w:hint="eastAsia" w:ascii="Times New Roman" w:hAnsi="Times New Roman" w:eastAsia="宋体" w:cs="Times New Roman"/>
          <w:sz w:val="24"/>
          <w:lang w:bidi="ar"/>
        </w:rPr>
        <w:t>,</w:t>
      </w:r>
      <w:r>
        <w:rPr>
          <w:rFonts w:ascii="Times New Roman" w:hAnsi="Times New Roman" w:eastAsia="宋体" w:cs="Times New Roman"/>
          <w:sz w:val="24"/>
          <w:lang w:bidi="ar"/>
        </w:rPr>
        <w:t xml:space="preserve"> </w:t>
      </w:r>
      <w:r>
        <w:rPr>
          <w:rFonts w:hint="eastAsia" w:ascii="Times New Roman" w:hAnsi="Times New Roman" w:eastAsia="宋体" w:cs="Times New Roman"/>
          <w:iCs/>
          <w:sz w:val="24"/>
          <w:lang w:bidi="ar"/>
        </w:rPr>
        <w:t>mean ULS-8</w:t>
      </w:r>
      <w:r>
        <w:rPr>
          <w:rFonts w:ascii="Times New Roman" w:hAnsi="Times New Roman" w:eastAsia="宋体" w:cs="Times New Roman"/>
          <w:sz w:val="24"/>
          <w:lang w:bidi="ar"/>
        </w:rPr>
        <w:t xml:space="preserve"> </w:t>
      </w:r>
      <w:r>
        <w:rPr>
          <w:rFonts w:hint="eastAsia" w:ascii="Times New Roman" w:hAnsi="Times New Roman" w:eastAsia="宋体" w:cs="Times New Roman"/>
          <w:iCs/>
          <w:sz w:val="24"/>
          <w:lang w:bidi="ar"/>
        </w:rPr>
        <w:t xml:space="preserve">score </w:t>
      </w:r>
      <w:r>
        <w:rPr>
          <w:rFonts w:ascii="Times New Roman" w:hAnsi="Times New Roman" w:eastAsia="宋体" w:cs="Times New Roman"/>
          <w:sz w:val="24"/>
          <w:lang w:bidi="ar"/>
        </w:rPr>
        <w:t>= 12.90</w:t>
      </w:r>
      <w:r>
        <w:rPr>
          <w:rFonts w:hint="eastAsia" w:ascii="Times New Roman" w:hAnsi="Times New Roman" w:eastAsia="宋体" w:cs="Times New Roman"/>
          <w:sz w:val="24"/>
          <w:lang w:bidi="ar"/>
        </w:rPr>
        <w:t xml:space="preserve"> </w:t>
      </w:r>
      <w:r>
        <w:rPr>
          <w:rFonts w:ascii="Times New Roman" w:hAnsi="Times New Roman" w:eastAsia="微软雅黑" w:cs="Times New Roman"/>
          <w:sz w:val="24"/>
          <w:lang w:bidi="ar"/>
        </w:rPr>
        <w:t>±</w:t>
      </w:r>
      <w:r>
        <w:rPr>
          <w:rFonts w:ascii="Times New Roman" w:hAnsi="Times New Roman" w:eastAsia="宋体" w:cs="Times New Roman"/>
          <w:sz w:val="24"/>
          <w:lang w:bidi="ar"/>
        </w:rPr>
        <w:t xml:space="preserve"> 1.63). As associations between loneliness and symptoms of depression, anxiety, and stress are well-established </w:t>
      </w:r>
      <w:r>
        <w:rPr>
          <w:rFonts w:ascii="Times New Roman" w:hAnsi="Times New Roman" w:eastAsia="宋体" w:cs="Times New Roman"/>
          <w:sz w:val="24"/>
          <w:lang w:bidi="ar"/>
        </w:rPr>
        <w:fldChar w:fldCharType="begin"/>
      </w:r>
      <w:r>
        <w:rPr>
          <w:rFonts w:ascii="Times New Roman" w:hAnsi="Times New Roman" w:eastAsia="宋体" w:cs="Times New Roman"/>
          <w:sz w:val="24"/>
          <w:lang w:bidi="ar"/>
        </w:rPr>
        <w:instrText xml:space="preserve"> ADDIN ZOTERO_ITEM CSL_CITATION {"citationID":"4VtF2gzW","properties":{"formattedCitation":"(Ali et al., 2024; Wolters et al., 2023)","plainCitation":"(Ali et al., 2024; Wolters et al., 2023)","noteIndex":0},"citationItems":[{"id":183,"uris":["http://zotero.org/users/17131070/items/D64LJKGT"],"itemData":{"id":183,"type":"article-journal","abstract":"Abstract\n            The global trend of advanced aging comes at the cost of amplified onset of age-related diseases. Dementia is a common multifactorial age-related neurodegenerative disorder, which manifests with progressive declines in cognitive functioning and ability to perform activities of daily living. As polices discourage institutionalized care, family members act as primary caregivers and endure increased vulnerability to physical and mental health problems secondary to care-related changes in life routine and relationships. Targeting clinically significant distress at earlier stages through valid brief measures may promote caregivers’ wellbeing and dementia care continuity/quality. This study aimed to determine the optimal cutoff score of the Depression Anxiety Stress Scale 8-items (DASS-8) in a convenience sample of 571 European caregivers (Mean age = 53 ± 12 years, Italian = 74.4%, Swiss = 25.6%) through three methods. K-means clustering classified the sample into high- and low-distress clusters based on DASS-8 score of 19. Receiver operator curve (ROC) analysis using 48 and 7 cutoffs of the Zarit Burden Interview (ZBI) and the Three-Item University of California, Los Angeles, Loneliness Scale-version 3 (UCLALS3), revealed two DASS-8 cutoffs (12.5 and 14.5, area under the curve (AUC) = 0.85 and 0.92, p values &lt; .001, 95% CI 0.82–0.88 and 0.89 to 0.94, sensitivity = 0.81 and 0.78, specificity = 0.76 and 0.89, Youden index = 0.57 and 0.67, respectively). Decision modeling produced two DASS-8 cutoffs (9.5 and 14.5) for predicting low and high caregiving burden and loneliness, respectively. According to the median of all DASS-8 cutoffs (14.5) the prevalence of mental distress was 50.8%. Distress correlated with key mental problems such as burnout and loneliness—in path analysis, DASS-8 scores were predicted by the ZBI, UCLALS3, care dependency, and receiving help with care, especially among older, female, and spouse caregivers. Further diagnostic workup should follow to confirm psycho-pathogenicity among caregivers with DASS-8 scores above 14.5. Investigations of the DASS-8 in other countries/populations may confirm the validity of this cutoff score.","container-title":"Scientific Reports","DOI":"10.1038/s41598-024-60127-1","ISSN":"2045-2322","issue":"1","journalAbbreviation":"Sci Rep","language":"en","page":"13075","source":"DOI.org (Crossref)","title":"The Depression Anxiety Stress Scale 8: investigating its cutoff scores in relevance to loneliness and burnout among dementia family caregivers","title-short":"The Depression Anxiety Stress Scale 8","volume":"14","author":[{"family":"Ali","given":"Amira Mohammed"},{"family":"Alkhamees","given":"Abdulmajeed A."},{"family":"Hallit","given":"Souheil"},{"family":"Al-Dwaikat","given":"Tariq N."},{"family":"Khatatbeh","given":"Haitham"},{"family":"Al-Dossary","given":"Saeed A."}],"issued":{"date-parts":[["2024",6,6]]}}},{"id":181,"uris":["http://zotero.org/users/17131070/items/H5G3RRDL"],"itemData":{"id":181,"type":"article-journal","container-title":"Journal of Affective Disorders","DOI":"10.1016/j.jad.2023.02.096","ISSN":"01650327","journalAbbreviation":"Journal of Affective Disorders","language":"en","page":"207-217","source":"DOI.org (Crossref)","title":"Emotional and social loneliness and their unique links with social isolation, depression and anxiety","volume":"329","author":[{"family":"Wolters","given":"Nine E."},{"family":"Mobach","given":"Lynn"},{"family":"Wuthrich","given":"Viviana M."},{"family":"Vonk","given":"Peter"},{"family":"Van Der Heijde","given":"Claudia M."},{"family":"Wiers","given":"Reinout W."},{"family":"Rapee","given":"Ronald M."},{"family":"Klein","given":"Anke M."}],"issued":{"date-parts":[["2023",5]]}}}],"schema":"https://github.com/citation-style-language/schema/raw/master/csl-citation.json"} </w:instrText>
      </w:r>
      <w:r>
        <w:rPr>
          <w:rFonts w:ascii="Times New Roman" w:hAnsi="Times New Roman" w:eastAsia="宋体" w:cs="Times New Roman"/>
          <w:sz w:val="24"/>
          <w:lang w:bidi="ar"/>
        </w:rPr>
        <w:fldChar w:fldCharType="separate"/>
      </w:r>
      <w:r>
        <w:rPr>
          <w:rFonts w:ascii="Times New Roman" w:hAnsi="Times New Roman" w:eastAsia="宋体" w:cs="Times New Roman"/>
          <w:sz w:val="24"/>
          <w:lang w:bidi="ar"/>
        </w:rPr>
        <w:t>(Ali et al., 2024; Wolters et al., 2023)</w:t>
      </w:r>
      <w:r>
        <w:rPr>
          <w:rFonts w:ascii="Times New Roman" w:hAnsi="Times New Roman" w:eastAsia="宋体" w:cs="Times New Roman"/>
          <w:sz w:val="24"/>
          <w:lang w:bidi="ar"/>
        </w:rPr>
        <w:fldChar w:fldCharType="end"/>
      </w:r>
      <w:r>
        <w:rPr>
          <w:rFonts w:ascii="Times New Roman" w:hAnsi="Times New Roman" w:eastAsia="宋体" w:cs="Times New Roman"/>
          <w:sz w:val="24"/>
          <w:lang w:bidi="ar"/>
        </w:rPr>
        <w:t xml:space="preserve">, participants also completed the Chinese version of the 8-item Depression Anxiety Stress Scale (DASS-8), translated from the original English scale </w:t>
      </w:r>
      <w:r>
        <w:rPr>
          <w:rFonts w:ascii="Times New Roman" w:hAnsi="Times New Roman" w:eastAsia="宋体" w:cs="Times New Roman"/>
          <w:sz w:val="24"/>
          <w:lang w:bidi="ar"/>
        </w:rPr>
        <w:fldChar w:fldCharType="begin"/>
      </w:r>
      <w:r>
        <w:rPr>
          <w:rFonts w:ascii="Times New Roman" w:hAnsi="Times New Roman" w:eastAsia="宋体" w:cs="Times New Roman"/>
          <w:sz w:val="24"/>
          <w:lang w:bidi="ar"/>
        </w:rPr>
        <w:instrText xml:space="preserve"> ADDIN ZOTERO_ITEM CSL_CITATION {"citationID":"PQvg8izE","properties":{"formattedCitation":"(Ali et al., 2021)","plainCitation":"(Ali et al., 2021)","noteIndex":0},"citationItems":[{"id":185,"uris":["http://zotero.org/users/17131070/items/AT6INMN2"],"itemData":{"id":185,"type":"article-journal","abstract":"Despite extensive investigations of the Depression Anxiety Stress Scales-21 (DASS-21) since its development in 1995, its factor structure and other psychometric properties still need to be firmly established, with several calls for revising its item structure. Employing confirmatory factor analysis (CFA), this study examined the factor structure of the DASS-21 and five shortened versions of the DASS-21 among psychiatric patients (N = 168) and the general public (N = 992) during the COVID-19 confinement period in Saudi Arabia. Multigroup CFA, Mann Whitney W test, Spearman’s correlation, and coefficient alpha were used to examine the shortened versions of the DASS-21 (DASS-13, DASS-12, DASS-9 (two versions), and DASS-8) for invariance across age and gender groups, discriminant validity, predictive validity, item coverage, and internal consistency, respectively. Compared with the DASS-21, all three-factor structures of the shortened versions expressed good fit, with the DASS-8 demonstrating the best fit and highest item loadings on the corresponding factors in both samples (χ2(16, 15) = 16.5, 67.0; p = 0.420, 0.001; CFI = 1.000, 0.998; TLI = 0.999, 0.997; RMSEA = 0.013, 0.059, SRMR = 0.0186, 0.0203). The DASS-8 expressed configural, metric, and scalar invariance across age and gender groups. Its internal consistency was comparable to other versions (α = 0.94). Strong positive correlations of the DASS-8 and its subscales with the DASS-21 and its subscales (r = 0.97 to 0.81) suggest adequate item coverage and good predictive validity of this version. The DASS-8 and its subscales distinguished the clinical sample from the general public at the same level of significance expressed by the DASS-21 and other shortened versions, supporting its discriminant validity. Neither the DASS-21 nor the shortened versions distinguished patients diagnosed with depression and anxiety from each other or from other psychiatric conditions. The DASS-8 represents a valid short version of the DASS-21, which may be useful in research and clinical practice for quick identification of individuals with potential psychopathologies. Diagnosing depression/anxiety disorders may be further confirmed in a next step by clinician-facilitated examinations. Brevity of the DASS-21 would save time and effort used for filling the questionnaire and support comprehensive assessments by allowing the inclusion of more measures on test batteries.","container-title":"International Journal of Environmental Research and Public Health","DOI":"10.3390/ijerph181910142","ISSN":"1660-4601","issue":"19","journalAbbreviation":"IJERPH","language":"en","license":"https://creativecommons.org/licenses/by/4.0/","page":"10142","source":"DOI.org (Crossref)","title":"The Depression Anxiety Stress Scale 21: Development and Validation of the Depression Anxiety Stress Scale 8-Item in Psychiatric Patients and the General Public for Easier Mental Health Measurement in a Post COVID-19 World","title-short":"The Depression Anxiety Stress Scale 21","volume":"18","author":[{"family":"Ali","given":"Amira Mohammed"},{"family":"Alkhamees","given":"Abdulmajeed A."},{"family":"Hori","given":"Hiroaki"},{"family":"Kim","given":"Yoshiharu"},{"family":"Kunugi","given":"Hiroshi"}],"issued":{"date-parts":[["2021",9,27]]}}}],"schema":"https://github.com/citation-style-language/schema/raw/master/csl-citation.json"} </w:instrText>
      </w:r>
      <w:r>
        <w:rPr>
          <w:rFonts w:ascii="Times New Roman" w:hAnsi="Times New Roman" w:eastAsia="宋体" w:cs="Times New Roman"/>
          <w:sz w:val="24"/>
          <w:lang w:bidi="ar"/>
        </w:rPr>
        <w:fldChar w:fldCharType="separate"/>
      </w:r>
      <w:r>
        <w:rPr>
          <w:rFonts w:ascii="Times New Roman" w:hAnsi="Times New Roman" w:eastAsia="宋体" w:cs="Times New Roman"/>
          <w:sz w:val="24"/>
          <w:lang w:bidi="ar"/>
        </w:rPr>
        <w:t>(Ali et al., 2021)</w:t>
      </w:r>
      <w:r>
        <w:rPr>
          <w:rFonts w:ascii="Times New Roman" w:hAnsi="Times New Roman" w:eastAsia="宋体" w:cs="Times New Roman"/>
          <w:sz w:val="24"/>
          <w:lang w:bidi="ar"/>
        </w:rPr>
        <w:fldChar w:fldCharType="end"/>
      </w:r>
      <w:r>
        <w:rPr>
          <w:rFonts w:ascii="Times New Roman" w:hAnsi="Times New Roman" w:eastAsia="宋体" w:cs="Times New Roman"/>
          <w:sz w:val="24"/>
          <w:lang w:bidi="ar"/>
        </w:rPr>
        <w:t>.</w:t>
      </w:r>
      <w:r>
        <w:rPr>
          <w:rFonts w:hint="eastAsia" w:ascii="Times New Roman" w:hAnsi="Times New Roman" w:eastAsia="宋体" w:cs="Times New Roman"/>
          <w:sz w:val="24"/>
          <w:lang w:bidi="ar"/>
        </w:rPr>
        <w:t xml:space="preserve"> </w:t>
      </w:r>
      <w:r>
        <w:rPr>
          <w:rFonts w:ascii="Times New Roman" w:hAnsi="Times New Roman" w:eastAsia="宋体" w:cs="Times New Roman"/>
          <w:sz w:val="24"/>
          <w:lang w:bidi="ar"/>
        </w:rPr>
        <w:t>In the current sample, the DASS-8 demonstrated excellent internal consistency (Cronbach’s α</w:t>
      </w:r>
      <w:r>
        <w:rPr>
          <w:rFonts w:hint="eastAsia" w:ascii="Times New Roman" w:hAnsi="Times New Roman" w:eastAsia="宋体" w:cs="Times New Roman"/>
          <w:sz w:val="24"/>
          <w:lang w:bidi="ar"/>
        </w:rPr>
        <w:t xml:space="preserve"> </w:t>
      </w:r>
      <w:r>
        <w:rPr>
          <w:rFonts w:ascii="Times New Roman" w:hAnsi="Times New Roman" w:eastAsia="宋体" w:cs="Times New Roman"/>
          <w:sz w:val="24"/>
          <w:lang w:bidi="ar"/>
        </w:rPr>
        <w:t>= .90).</w:t>
      </w:r>
    </w:p>
    <w:p w14:paraId="03401E33">
      <w:pPr>
        <w:rPr>
          <w:sz w:val="20"/>
          <w:szCs w:val="22"/>
        </w:rPr>
      </w:pPr>
    </w:p>
    <w:p w14:paraId="0B26C4B0">
      <w:pPr>
        <w:rPr>
          <w:sz w:val="20"/>
          <w:szCs w:val="22"/>
        </w:rPr>
      </w:pPr>
    </w:p>
    <w:p w14:paraId="0DFF56C0">
      <w:pPr>
        <w:rPr>
          <w:rFonts w:hint="eastAsia" w:ascii="Times New Roman" w:hAnsi="Times New Roman" w:eastAsia="宋体" w:cs="Times New Roman"/>
          <w:b/>
          <w:bCs/>
          <w:sz w:val="28"/>
          <w:szCs w:val="28"/>
          <w:lang w:val="en-US" w:eastAsia="zh-CN" w:bidi="ar"/>
        </w:rPr>
      </w:pPr>
      <w:r>
        <w:rPr>
          <w:rFonts w:hint="eastAsia" w:ascii="Times New Roman" w:hAnsi="Times New Roman" w:eastAsia="宋体" w:cs="Times New Roman"/>
          <w:b/>
          <w:bCs/>
          <w:sz w:val="28"/>
          <w:szCs w:val="28"/>
          <w:lang w:val="en-US" w:eastAsia="zh-CN" w:bidi="ar"/>
        </w:rPr>
        <w:br w:type="page"/>
      </w:r>
    </w:p>
    <w:p w14:paraId="1A41AB3A">
      <w:pPr>
        <w:keepNext w:val="0"/>
        <w:keepLines w:val="0"/>
        <w:pageBreakBefore w:val="0"/>
        <w:wordWrap/>
        <w:overflowPunct/>
        <w:topLinePunct w:val="0"/>
        <w:autoSpaceDE/>
        <w:autoSpaceDN/>
        <w:bidi w:val="0"/>
        <w:snapToGrid/>
        <w:spacing w:line="480" w:lineRule="auto"/>
        <w:jc w:val="center"/>
        <w:rPr>
          <w:rFonts w:hint="eastAsia" w:ascii="Times New Roman" w:hAnsi="Times New Roman" w:eastAsia="宋体" w:cs="Times New Roman"/>
          <w:b/>
          <w:bCs/>
          <w:sz w:val="24"/>
          <w:lang w:val="en-US" w:eastAsia="zh-CN" w:bidi="ar"/>
        </w:rPr>
      </w:pPr>
      <w:r>
        <w:rPr>
          <w:rFonts w:hint="default" w:ascii="Times New Roman" w:hAnsi="Times New Roman" w:eastAsia="宋体" w:cs="Times New Roman"/>
          <w:b/>
          <w:bCs/>
          <w:color w:val="auto"/>
          <w:sz w:val="24"/>
          <w:lang w:bidi="ar"/>
        </w:rPr>
        <w:t>Supplementary Material</w:t>
      </w:r>
      <w:r>
        <w:rPr>
          <w:rFonts w:hint="eastAsia" w:ascii="Times New Roman" w:hAnsi="Times New Roman" w:eastAsia="宋体" w:cs="Times New Roman"/>
          <w:b/>
          <w:bCs/>
          <w:color w:val="auto"/>
          <w:sz w:val="24"/>
          <w:lang w:val="en-US" w:eastAsia="zh-CN" w:bidi="ar"/>
        </w:rPr>
        <w:t xml:space="preserve"> </w:t>
      </w:r>
      <w:r>
        <w:rPr>
          <w:rFonts w:hint="default" w:ascii="Times New Roman" w:hAnsi="Times New Roman" w:eastAsia="宋体" w:cs="Times New Roman"/>
          <w:b/>
          <w:bCs/>
          <w:color w:val="auto"/>
          <w:sz w:val="24"/>
          <w:lang w:val="en-US" w:eastAsia="zh-CN" w:bidi="ar"/>
        </w:rPr>
        <w:t>[1.</w:t>
      </w:r>
      <w:r>
        <w:rPr>
          <w:rFonts w:hint="eastAsia" w:ascii="Times New Roman" w:hAnsi="Times New Roman" w:eastAsia="宋体" w:cs="Times New Roman"/>
          <w:b/>
          <w:bCs/>
          <w:color w:val="auto"/>
          <w:sz w:val="24"/>
          <w:lang w:val="en-US" w:eastAsia="zh-CN" w:bidi="ar"/>
        </w:rPr>
        <w:t>2</w:t>
      </w:r>
      <w:r>
        <w:rPr>
          <w:rFonts w:hint="default" w:ascii="Times New Roman" w:hAnsi="Times New Roman" w:eastAsia="宋体" w:cs="Times New Roman"/>
          <w:b/>
          <w:bCs/>
          <w:color w:val="auto"/>
          <w:sz w:val="24"/>
          <w:lang w:val="en-US" w:eastAsia="zh-CN" w:bidi="ar"/>
        </w:rPr>
        <w:t>]</w:t>
      </w:r>
      <w:r>
        <w:rPr>
          <w:rFonts w:hint="default" w:ascii="Times New Roman" w:hAnsi="Times New Roman" w:eastAsia="宋体" w:cs="Times New Roman"/>
          <w:b/>
          <w:bCs/>
          <w:color w:val="auto"/>
          <w:sz w:val="24"/>
          <w:lang w:bidi="ar"/>
        </w:rPr>
        <w:t>:</w:t>
      </w:r>
      <w:r>
        <w:rPr>
          <w:rFonts w:hint="eastAsia" w:ascii="Times New Roman" w:hAnsi="Times New Roman" w:eastAsia="宋体" w:cs="Times New Roman"/>
          <w:b/>
          <w:bCs/>
          <w:color w:val="auto"/>
          <w:sz w:val="24"/>
          <w:lang w:val="en-US" w:eastAsia="zh-CN" w:bidi="ar"/>
        </w:rPr>
        <w:t xml:space="preserve"> </w:t>
      </w:r>
      <w:r>
        <w:rPr>
          <w:rFonts w:hint="default" w:ascii="Times New Roman" w:hAnsi="Times New Roman" w:eastAsia="宋体" w:cs="Times New Roman"/>
          <w:b/>
          <w:bCs/>
          <w:color w:val="auto"/>
          <w:sz w:val="24"/>
          <w:lang w:bidi="ar"/>
        </w:rPr>
        <w:t>Full 2 × 2 × 2 ANCOVA Results for Experiment 1 Behavioral Data</w:t>
      </w:r>
      <w:r>
        <w:rPr>
          <w:rFonts w:hint="eastAsia" w:ascii="Times New Roman" w:hAnsi="Times New Roman" w:eastAsia="宋体" w:cs="Times New Roman"/>
          <w:b/>
          <w:bCs/>
          <w:color w:val="auto"/>
          <w:sz w:val="24"/>
          <w:lang w:val="en-US" w:eastAsia="zh-CN" w:bidi="ar"/>
        </w:rPr>
        <w:t xml:space="preserve"> (RT and P</w:t>
      </w:r>
      <w:r>
        <w:rPr>
          <w:rFonts w:ascii="Times New Roman" w:hAnsi="Times New Roman" w:eastAsia="宋体" w:cs="Times New Roman"/>
          <w:b/>
          <w:bCs/>
          <w:sz w:val="24"/>
          <w:lang w:bidi="ar"/>
        </w:rPr>
        <w:t>ercentage errors</w:t>
      </w:r>
      <w:r>
        <w:rPr>
          <w:rFonts w:hint="eastAsia" w:ascii="Times New Roman" w:hAnsi="Times New Roman" w:eastAsia="宋体" w:cs="Times New Roman"/>
          <w:b/>
          <w:bCs/>
          <w:sz w:val="24"/>
          <w:lang w:val="en-US" w:eastAsia="zh-CN" w:bidi="ar"/>
        </w:rPr>
        <w:t>)</w:t>
      </w:r>
    </w:p>
    <w:p w14:paraId="1550DD2F">
      <w:pPr>
        <w:keepNext w:val="0"/>
        <w:keepLines w:val="0"/>
        <w:pageBreakBefore w:val="0"/>
        <w:wordWrap/>
        <w:overflowPunct/>
        <w:topLinePunct w:val="0"/>
        <w:autoSpaceDE/>
        <w:autoSpaceDN/>
        <w:bidi w:val="0"/>
        <w:snapToGrid/>
        <w:spacing w:line="480" w:lineRule="auto"/>
        <w:ind w:firstLine="480" w:firstLineChars="200"/>
        <w:rPr>
          <w:rFonts w:ascii="Times New Roman" w:hAnsi="Times New Roman" w:eastAsia="宋体" w:cs="Times New Roman"/>
          <w:sz w:val="24"/>
          <w:lang w:bidi="ar"/>
        </w:rPr>
      </w:pPr>
      <w:r>
        <w:rPr>
          <w:rFonts w:ascii="Times New Roman" w:hAnsi="Times New Roman" w:eastAsia="宋体" w:cs="Times New Roman"/>
          <w:sz w:val="24"/>
          <w:lang w:bidi="ar"/>
        </w:rPr>
        <w:t>For RT</w:t>
      </w:r>
      <w:r>
        <w:rPr>
          <w:rFonts w:hint="eastAsia" w:ascii="Times New Roman" w:hAnsi="Times New Roman" w:eastAsia="宋体" w:cs="Times New Roman"/>
          <w:sz w:val="24"/>
          <w:lang w:bidi="ar"/>
        </w:rPr>
        <w:t xml:space="preserve"> (see Fig. 1A)</w:t>
      </w:r>
      <w:r>
        <w:rPr>
          <w:rFonts w:ascii="Times New Roman" w:hAnsi="Times New Roman" w:eastAsia="宋体" w:cs="Times New Roman"/>
          <w:sz w:val="24"/>
          <w:lang w:bidi="ar"/>
        </w:rPr>
        <w:t xml:space="preserve">, the </w:t>
      </w:r>
      <w:r>
        <w:rPr>
          <w:rFonts w:hint="eastAsia" w:ascii="Times New Roman" w:hAnsi="Times New Roman" w:eastAsia="宋体" w:cs="Times New Roman"/>
          <w:sz w:val="24"/>
          <w:lang w:bidi="ar"/>
        </w:rPr>
        <w:t xml:space="preserve">2 </w:t>
      </w:r>
      <w:r>
        <w:rPr>
          <w:rFonts w:ascii="Times New Roman" w:hAnsi="Times New Roman" w:eastAsia="宋体" w:cs="Times New Roman"/>
          <w:sz w:val="24"/>
          <w:lang w:bidi="ar"/>
        </w:rPr>
        <w:t>×</w:t>
      </w:r>
      <w:r>
        <w:rPr>
          <w:rFonts w:hint="eastAsia" w:ascii="Times New Roman" w:hAnsi="Times New Roman" w:eastAsia="宋体" w:cs="Times New Roman"/>
          <w:sz w:val="24"/>
          <w:lang w:bidi="ar"/>
        </w:rPr>
        <w:t xml:space="preserve"> 2 </w:t>
      </w:r>
      <w:r>
        <w:rPr>
          <w:rFonts w:ascii="Times New Roman" w:hAnsi="Times New Roman" w:eastAsia="宋体" w:cs="Times New Roman"/>
          <w:sz w:val="24"/>
          <w:lang w:bidi="ar"/>
        </w:rPr>
        <w:t>×</w:t>
      </w:r>
      <w:r>
        <w:rPr>
          <w:rFonts w:hint="eastAsia" w:ascii="Times New Roman" w:hAnsi="Times New Roman" w:eastAsia="宋体" w:cs="Times New Roman"/>
          <w:sz w:val="24"/>
          <w:lang w:bidi="ar"/>
        </w:rPr>
        <w:t xml:space="preserve"> 2</w:t>
      </w:r>
      <w:r>
        <w:rPr>
          <w:rFonts w:ascii="Times New Roman" w:hAnsi="Times New Roman" w:eastAsia="宋体" w:cs="Times New Roman"/>
          <w:sz w:val="24"/>
          <w:lang w:bidi="ar"/>
        </w:rPr>
        <w:t xml:space="preserve"> ANCOVA revealed a significant main effect of consistency, F(1, 128) = 55.01, </w:t>
      </w:r>
      <w:r>
        <w:rPr>
          <w:rFonts w:ascii="Times New Roman" w:hAnsi="Times New Roman" w:eastAsia="宋体" w:cs="Times New Roman"/>
          <w:i/>
          <w:iCs/>
          <w:sz w:val="24"/>
          <w:lang w:bidi="ar"/>
        </w:rPr>
        <w:t>p</w:t>
      </w:r>
      <w:r>
        <w:rPr>
          <w:rFonts w:ascii="Times New Roman" w:hAnsi="Times New Roman" w:eastAsia="宋体" w:cs="Times New Roman"/>
          <w:sz w:val="24"/>
          <w:lang w:bidi="ar"/>
        </w:rPr>
        <w:t xml:space="preserve"> &lt; .001, η</w:t>
      </w:r>
      <w:r>
        <w:rPr>
          <w:rFonts w:ascii="Times New Roman" w:hAnsi="Times New Roman" w:eastAsia="宋体" w:cs="Times New Roman"/>
          <w:sz w:val="24"/>
          <w:vertAlign w:val="subscript"/>
          <w:lang w:bidi="ar"/>
        </w:rPr>
        <w:t>p</w:t>
      </w:r>
      <w:r>
        <w:rPr>
          <w:rFonts w:ascii="Times New Roman" w:hAnsi="Times New Roman" w:eastAsia="宋体" w:cs="Times New Roman"/>
          <w:sz w:val="24"/>
          <w:vertAlign w:val="superscript"/>
          <w:lang w:bidi="ar"/>
        </w:rPr>
        <w:t>2</w:t>
      </w:r>
      <w:r>
        <w:rPr>
          <w:rFonts w:ascii="Times New Roman" w:hAnsi="Times New Roman" w:eastAsia="宋体" w:cs="Times New Roman"/>
          <w:sz w:val="24"/>
          <w:lang w:bidi="ar"/>
        </w:rPr>
        <w:t xml:space="preserve"> = .30, with slower responses on inconsistent trials (EMM = 72</w:t>
      </w:r>
      <w:r>
        <w:rPr>
          <w:rFonts w:hint="eastAsia" w:ascii="Times New Roman" w:hAnsi="Times New Roman" w:eastAsia="宋体" w:cs="Times New Roman"/>
          <w:sz w:val="24"/>
          <w:lang w:bidi="ar"/>
        </w:rPr>
        <w:t>1</w:t>
      </w:r>
      <w:r>
        <w:rPr>
          <w:rFonts w:ascii="Times New Roman" w:hAnsi="Times New Roman" w:eastAsia="宋体" w:cs="Times New Roman"/>
          <w:sz w:val="24"/>
          <w:lang w:bidi="ar"/>
        </w:rPr>
        <w:t xml:space="preserve"> ms) than consistent trials (EMM = 669 ms). A significant consistency × perspective interaction was observed, F(1, 128) = 8.85, </w:t>
      </w:r>
      <w:r>
        <w:rPr>
          <w:rFonts w:ascii="Times New Roman" w:hAnsi="Times New Roman" w:eastAsia="宋体" w:cs="Times New Roman"/>
          <w:i/>
          <w:iCs/>
          <w:sz w:val="24"/>
          <w:lang w:bidi="ar"/>
        </w:rPr>
        <w:t>p</w:t>
      </w:r>
      <w:r>
        <w:rPr>
          <w:rFonts w:ascii="Times New Roman" w:hAnsi="Times New Roman" w:eastAsia="宋体" w:cs="Times New Roman"/>
          <w:sz w:val="24"/>
          <w:lang w:bidi="ar"/>
        </w:rPr>
        <w:t xml:space="preserve"> = .004, η</w:t>
      </w:r>
      <w:r>
        <w:rPr>
          <w:rFonts w:ascii="Times New Roman" w:hAnsi="Times New Roman" w:eastAsia="宋体" w:cs="Times New Roman"/>
          <w:sz w:val="24"/>
          <w:vertAlign w:val="subscript"/>
          <w:lang w:bidi="ar"/>
        </w:rPr>
        <w:t>p</w:t>
      </w:r>
      <w:r>
        <w:rPr>
          <w:rFonts w:ascii="Times New Roman" w:hAnsi="Times New Roman" w:eastAsia="宋体" w:cs="Times New Roman"/>
          <w:sz w:val="24"/>
          <w:vertAlign w:val="superscript"/>
          <w:lang w:bidi="ar"/>
        </w:rPr>
        <w:t>2</w:t>
      </w:r>
      <w:r>
        <w:rPr>
          <w:rFonts w:ascii="Times New Roman" w:hAnsi="Times New Roman" w:eastAsia="宋体" w:cs="Times New Roman"/>
          <w:sz w:val="24"/>
          <w:lang w:bidi="ar"/>
        </w:rPr>
        <w:t xml:space="preserve"> = .07. Follow-up comparisons revealed significant consistency effects for both perspectives. Participants responded more slowly to inconsistent than </w:t>
      </w:r>
      <w:r>
        <w:rPr>
          <w:rFonts w:ascii="Times New Roman" w:hAnsi="Times New Roman" w:eastAsia="宋体" w:cs="Times New Roman"/>
          <w:sz w:val="24"/>
        </w:rPr>
        <w:t>consistent trials (self: difference</w:t>
      </w:r>
      <w:r>
        <w:rPr>
          <w:rFonts w:hint="eastAsia" w:ascii="Times New Roman" w:hAnsi="Times New Roman" w:eastAsia="宋体" w:cs="Times New Roman"/>
          <w:sz w:val="24"/>
          <w:lang w:bidi="ar"/>
        </w:rPr>
        <w:t xml:space="preserve"> = </w:t>
      </w:r>
      <w:r>
        <w:rPr>
          <w:rFonts w:ascii="Times New Roman" w:hAnsi="Times New Roman" w:eastAsia="宋体" w:cs="Times New Roman"/>
          <w:sz w:val="24"/>
          <w:lang w:bidi="ar"/>
        </w:rPr>
        <w:t xml:space="preserve">27 ms, </w:t>
      </w:r>
      <w:r>
        <w:rPr>
          <w:rFonts w:ascii="Times New Roman" w:hAnsi="Times New Roman" w:eastAsia="宋体" w:cs="Times New Roman"/>
          <w:i/>
          <w:iCs/>
          <w:sz w:val="24"/>
          <w:lang w:bidi="ar"/>
        </w:rPr>
        <w:t xml:space="preserve">p </w:t>
      </w:r>
      <w:r>
        <w:rPr>
          <w:rFonts w:ascii="Times New Roman" w:hAnsi="Times New Roman" w:eastAsia="宋体" w:cs="Times New Roman"/>
          <w:sz w:val="24"/>
          <w:lang w:bidi="ar"/>
        </w:rPr>
        <w:t>&lt; .001; other: difference</w:t>
      </w:r>
      <w:r>
        <w:rPr>
          <w:rFonts w:hint="eastAsia" w:ascii="Times New Roman" w:hAnsi="Times New Roman" w:eastAsia="宋体" w:cs="Times New Roman"/>
          <w:sz w:val="24"/>
          <w:lang w:bidi="ar"/>
        </w:rPr>
        <w:t xml:space="preserve"> = </w:t>
      </w:r>
      <w:r>
        <w:rPr>
          <w:rFonts w:ascii="Times New Roman" w:hAnsi="Times New Roman" w:eastAsia="宋体" w:cs="Times New Roman"/>
          <w:sz w:val="24"/>
          <w:lang w:bidi="ar"/>
        </w:rPr>
        <w:t xml:space="preserve">76 ms, </w:t>
      </w:r>
      <w:r>
        <w:rPr>
          <w:rFonts w:ascii="Times New Roman" w:hAnsi="Times New Roman" w:eastAsia="宋体" w:cs="Times New Roman"/>
          <w:i/>
          <w:iCs/>
          <w:sz w:val="24"/>
          <w:lang w:bidi="ar"/>
        </w:rPr>
        <w:t>p</w:t>
      </w:r>
      <w:r>
        <w:rPr>
          <w:rFonts w:ascii="Times New Roman" w:hAnsi="Times New Roman" w:eastAsia="宋体" w:cs="Times New Roman"/>
          <w:sz w:val="24"/>
          <w:lang w:bidi="ar"/>
        </w:rPr>
        <w:t xml:space="preserve"> &lt; .001). Furthermore, the effect of perspective was significant in consistent trials, with slower responses from the self-perspective than other-perspective</w:t>
      </w:r>
      <w:r>
        <w:rPr>
          <w:rFonts w:ascii="Times New Roman" w:hAnsi="Times New Roman" w:eastAsia="宋体" w:cs="Times New Roman"/>
          <w:sz w:val="24"/>
        </w:rPr>
        <w:t xml:space="preserve"> (difference</w:t>
      </w:r>
      <w:r>
        <w:rPr>
          <w:rFonts w:hint="eastAsia" w:ascii="Times New Roman" w:hAnsi="Times New Roman" w:eastAsia="宋体" w:cs="Times New Roman"/>
          <w:sz w:val="24"/>
          <w:lang w:bidi="ar"/>
        </w:rPr>
        <w:t xml:space="preserve"> = </w:t>
      </w:r>
      <w:r>
        <w:rPr>
          <w:rFonts w:ascii="Times New Roman" w:hAnsi="Times New Roman" w:eastAsia="宋体" w:cs="Times New Roman"/>
          <w:sz w:val="24"/>
          <w:lang w:bidi="ar"/>
        </w:rPr>
        <w:t xml:space="preserve">33 ms, </w:t>
      </w:r>
      <w:r>
        <w:rPr>
          <w:rFonts w:ascii="Times New Roman" w:hAnsi="Times New Roman" w:eastAsia="宋体" w:cs="Times New Roman"/>
          <w:i/>
          <w:iCs/>
          <w:sz w:val="24"/>
          <w:lang w:bidi="ar"/>
        </w:rPr>
        <w:t>p</w:t>
      </w:r>
      <w:r>
        <w:rPr>
          <w:rFonts w:ascii="Times New Roman" w:hAnsi="Times New Roman" w:eastAsia="宋体" w:cs="Times New Roman"/>
          <w:sz w:val="24"/>
          <w:lang w:bidi="ar"/>
        </w:rPr>
        <w:t xml:space="preserve"> &lt; .001). In inconsistent trials, this pattern was reversed</w:t>
      </w:r>
      <w:r>
        <w:rPr>
          <w:rFonts w:hint="eastAsia" w:ascii="Times New Roman" w:hAnsi="Times New Roman" w:eastAsia="宋体" w:cs="Times New Roman"/>
          <w:sz w:val="24"/>
          <w:lang w:bidi="ar"/>
        </w:rPr>
        <w:t xml:space="preserve"> </w:t>
      </w:r>
      <w:r>
        <w:rPr>
          <w:rFonts w:ascii="Times New Roman" w:hAnsi="Times New Roman" w:eastAsia="宋体" w:cs="Times New Roman"/>
          <w:sz w:val="24"/>
          <w:lang w:bidi="ar"/>
        </w:rPr>
        <w:t>(difference</w:t>
      </w:r>
      <w:r>
        <w:rPr>
          <w:rFonts w:hint="eastAsia" w:ascii="Times New Roman" w:hAnsi="Times New Roman" w:eastAsia="宋体" w:cs="Times New Roman"/>
          <w:sz w:val="24"/>
          <w:lang w:bidi="ar"/>
        </w:rPr>
        <w:t xml:space="preserve"> = -</w:t>
      </w:r>
      <w:r>
        <w:rPr>
          <w:rFonts w:ascii="Times New Roman" w:hAnsi="Times New Roman" w:eastAsia="宋体" w:cs="Times New Roman"/>
          <w:sz w:val="24"/>
          <w:lang w:bidi="ar"/>
        </w:rPr>
        <w:t>16 ms</w:t>
      </w:r>
      <w:r>
        <w:rPr>
          <w:rFonts w:hint="eastAsia" w:ascii="Times New Roman" w:hAnsi="Times New Roman" w:eastAsia="宋体" w:cs="Times New Roman"/>
          <w:sz w:val="24"/>
          <w:lang w:bidi="ar"/>
        </w:rPr>
        <w:t>)</w:t>
      </w:r>
      <w:r>
        <w:rPr>
          <w:rFonts w:ascii="Times New Roman" w:hAnsi="Times New Roman" w:eastAsia="宋体" w:cs="Times New Roman"/>
          <w:sz w:val="24"/>
          <w:lang w:bidi="ar"/>
        </w:rPr>
        <w:t xml:space="preserve">; however, the difference did not achieve significance </w:t>
      </w:r>
      <w:r>
        <w:rPr>
          <w:rFonts w:hint="eastAsia" w:ascii="Times New Roman" w:hAnsi="Times New Roman" w:eastAsia="宋体" w:cs="Times New Roman"/>
          <w:sz w:val="24"/>
          <w:lang w:bidi="ar"/>
        </w:rPr>
        <w:t>(</w:t>
      </w:r>
      <w:r>
        <w:rPr>
          <w:rFonts w:ascii="Times New Roman" w:hAnsi="Times New Roman" w:eastAsia="宋体" w:cs="Times New Roman"/>
          <w:i/>
          <w:iCs/>
          <w:sz w:val="24"/>
          <w:lang w:bidi="ar"/>
        </w:rPr>
        <w:t>p</w:t>
      </w:r>
      <w:r>
        <w:rPr>
          <w:rFonts w:ascii="Times New Roman" w:hAnsi="Times New Roman" w:eastAsia="宋体" w:cs="Times New Roman"/>
          <w:sz w:val="24"/>
          <w:lang w:bidi="ar"/>
        </w:rPr>
        <w:t xml:space="preserve"> = .089). </w:t>
      </w:r>
      <w:r>
        <w:rPr>
          <w:rFonts w:hint="eastAsia" w:ascii="Times New Roman" w:hAnsi="Times New Roman" w:eastAsia="宋体" w:cs="Times New Roman"/>
          <w:sz w:val="24"/>
          <w:lang w:bidi="ar"/>
        </w:rPr>
        <w:t xml:space="preserve">In addition, the </w:t>
      </w:r>
      <w:r>
        <w:rPr>
          <w:rFonts w:ascii="Times New Roman" w:hAnsi="Times New Roman" w:eastAsia="宋体" w:cs="Times New Roman"/>
          <w:sz w:val="24"/>
          <w:lang w:bidi="ar"/>
        </w:rPr>
        <w:t xml:space="preserve">consistency × group interaction was significant, F(1, 128) = 8.97, </w:t>
      </w:r>
      <w:r>
        <w:rPr>
          <w:rFonts w:ascii="Times New Roman" w:hAnsi="Times New Roman" w:eastAsia="宋体" w:cs="Times New Roman"/>
          <w:i/>
          <w:iCs/>
          <w:sz w:val="24"/>
          <w:lang w:bidi="ar"/>
        </w:rPr>
        <w:t>p</w:t>
      </w:r>
      <w:r>
        <w:rPr>
          <w:rFonts w:ascii="Times New Roman" w:hAnsi="Times New Roman" w:eastAsia="宋体" w:cs="Times New Roman"/>
          <w:sz w:val="24"/>
          <w:lang w:bidi="ar"/>
        </w:rPr>
        <w:t xml:space="preserve"> = .003, η</w:t>
      </w:r>
      <w:r>
        <w:rPr>
          <w:rFonts w:ascii="Times New Roman" w:hAnsi="Times New Roman" w:eastAsia="宋体" w:cs="Times New Roman"/>
          <w:sz w:val="24"/>
          <w:vertAlign w:val="subscript"/>
          <w:lang w:bidi="ar"/>
        </w:rPr>
        <w:t>p</w:t>
      </w:r>
      <w:r>
        <w:rPr>
          <w:rFonts w:ascii="Times New Roman" w:hAnsi="Times New Roman" w:eastAsia="宋体" w:cs="Times New Roman"/>
          <w:sz w:val="24"/>
          <w:vertAlign w:val="superscript"/>
          <w:lang w:bidi="ar"/>
        </w:rPr>
        <w:t>2</w:t>
      </w:r>
      <w:r>
        <w:rPr>
          <w:rFonts w:ascii="Times New Roman" w:hAnsi="Times New Roman" w:eastAsia="宋体" w:cs="Times New Roman"/>
          <w:sz w:val="24"/>
          <w:lang w:bidi="ar"/>
        </w:rPr>
        <w:t xml:space="preserve"> = .07. Follow-up comparisons revealed significant consistency effects </w:t>
      </w:r>
      <w:r>
        <w:rPr>
          <w:rFonts w:hint="eastAsia" w:ascii="Times New Roman" w:hAnsi="Times New Roman" w:eastAsia="宋体" w:cs="Times New Roman"/>
          <w:sz w:val="24"/>
          <w:lang w:bidi="ar"/>
        </w:rPr>
        <w:t>for</w:t>
      </w:r>
      <w:r>
        <w:rPr>
          <w:rFonts w:ascii="Times New Roman" w:hAnsi="Times New Roman" w:eastAsia="宋体" w:cs="Times New Roman"/>
          <w:sz w:val="24"/>
          <w:lang w:bidi="ar"/>
        </w:rPr>
        <w:t xml:space="preserve"> both groups; participants responded more slowly to inconsistent than consistent trials (LL group: difference = 36 ms, </w:t>
      </w:r>
      <w:r>
        <w:rPr>
          <w:rFonts w:ascii="Times New Roman" w:hAnsi="Times New Roman" w:eastAsia="宋体" w:cs="Times New Roman"/>
          <w:i/>
          <w:iCs/>
          <w:sz w:val="24"/>
          <w:lang w:bidi="ar"/>
        </w:rPr>
        <w:t>p</w:t>
      </w:r>
      <w:r>
        <w:rPr>
          <w:rFonts w:ascii="Times New Roman" w:hAnsi="Times New Roman" w:eastAsia="宋体" w:cs="Times New Roman"/>
          <w:sz w:val="24"/>
          <w:lang w:bidi="ar"/>
        </w:rPr>
        <w:t xml:space="preserve"> &lt; .001; HL group: difference = 67 ms, </w:t>
      </w:r>
      <w:r>
        <w:rPr>
          <w:rFonts w:ascii="Times New Roman" w:hAnsi="Times New Roman" w:eastAsia="宋体" w:cs="Times New Roman"/>
          <w:i/>
          <w:iCs/>
          <w:sz w:val="24"/>
          <w:lang w:bidi="ar"/>
        </w:rPr>
        <w:t>p</w:t>
      </w:r>
      <w:r>
        <w:rPr>
          <w:rFonts w:ascii="Times New Roman" w:hAnsi="Times New Roman" w:eastAsia="宋体" w:cs="Times New Roman"/>
          <w:sz w:val="24"/>
          <w:lang w:bidi="ar"/>
        </w:rPr>
        <w:t xml:space="preserve"> &lt; .001).</w:t>
      </w:r>
      <w:r>
        <w:rPr>
          <w:rFonts w:hint="eastAsia" w:ascii="Times New Roman" w:hAnsi="Times New Roman" w:eastAsia="宋体" w:cs="Times New Roman"/>
          <w:sz w:val="24"/>
          <w:lang w:bidi="ar"/>
        </w:rPr>
        <w:t xml:space="preserve"> </w:t>
      </w:r>
      <w:r>
        <w:rPr>
          <w:rFonts w:ascii="Times New Roman" w:hAnsi="Times New Roman" w:eastAsia="宋体" w:cs="Times New Roman"/>
          <w:sz w:val="24"/>
          <w:lang w:bidi="ar"/>
        </w:rPr>
        <w:t>No other main effects or interactions were significant in the 2 × 2 × 2 ANCOVA (</w:t>
      </w:r>
      <w:r>
        <w:rPr>
          <w:rFonts w:ascii="Times New Roman" w:hAnsi="Times New Roman" w:eastAsia="宋体" w:cs="Times New Roman"/>
          <w:i/>
          <w:iCs/>
          <w:sz w:val="24"/>
          <w:lang w:bidi="ar"/>
        </w:rPr>
        <w:t>p</w:t>
      </w:r>
      <w:r>
        <w:rPr>
          <w:rFonts w:ascii="Times New Roman" w:hAnsi="Times New Roman" w:eastAsia="宋体" w:cs="Times New Roman"/>
          <w:sz w:val="24"/>
          <w:lang w:bidi="ar"/>
        </w:rPr>
        <w:t>s &gt; .10).</w:t>
      </w:r>
    </w:p>
    <w:p w14:paraId="36716F60">
      <w:pPr>
        <w:keepNext w:val="0"/>
        <w:keepLines w:val="0"/>
        <w:pageBreakBefore w:val="0"/>
        <w:wordWrap/>
        <w:overflowPunct/>
        <w:topLinePunct w:val="0"/>
        <w:autoSpaceDE/>
        <w:autoSpaceDN/>
        <w:bidi w:val="0"/>
        <w:snapToGrid/>
        <w:spacing w:line="480" w:lineRule="auto"/>
        <w:ind w:firstLine="480" w:firstLineChars="200"/>
        <w:rPr>
          <w:rFonts w:ascii="Times New Roman" w:hAnsi="Times New Roman" w:eastAsia="宋体" w:cs="Times New Roman"/>
          <w:sz w:val="24"/>
          <w:lang w:bidi="ar"/>
        </w:rPr>
      </w:pPr>
      <w:r>
        <w:rPr>
          <w:rFonts w:ascii="Times New Roman" w:hAnsi="Times New Roman" w:eastAsia="宋体" w:cs="Times New Roman"/>
          <w:sz w:val="24"/>
          <w:lang w:bidi="ar"/>
        </w:rPr>
        <w:t>For percentage errors</w:t>
      </w:r>
      <w:r>
        <w:rPr>
          <w:rFonts w:hint="eastAsia" w:ascii="Times New Roman" w:hAnsi="Times New Roman" w:eastAsia="宋体" w:cs="Times New Roman"/>
          <w:sz w:val="24"/>
          <w:lang w:bidi="ar"/>
        </w:rPr>
        <w:t xml:space="preserve"> (see Fig. 1B)</w:t>
      </w:r>
      <w:r>
        <w:rPr>
          <w:rFonts w:ascii="Times New Roman" w:hAnsi="Times New Roman" w:eastAsia="宋体" w:cs="Times New Roman"/>
          <w:sz w:val="24"/>
          <w:lang w:bidi="ar"/>
        </w:rPr>
        <w:t xml:space="preserve">, the 2 × 2 × 2 ANCOVA revealed a significant main effect of consistency, F(1, 128) = 16.55, </w:t>
      </w:r>
      <w:r>
        <w:rPr>
          <w:rFonts w:ascii="Times New Roman" w:hAnsi="Times New Roman" w:eastAsia="宋体" w:cs="Times New Roman"/>
          <w:i/>
          <w:iCs/>
          <w:sz w:val="24"/>
          <w:lang w:bidi="ar"/>
        </w:rPr>
        <w:t>p</w:t>
      </w:r>
      <w:r>
        <w:rPr>
          <w:rFonts w:ascii="Times New Roman" w:hAnsi="Times New Roman" w:eastAsia="宋体" w:cs="Times New Roman"/>
          <w:sz w:val="24"/>
          <w:lang w:bidi="ar"/>
        </w:rPr>
        <w:t xml:space="preserve"> &lt; .001, η</w:t>
      </w:r>
      <w:r>
        <w:rPr>
          <w:rFonts w:ascii="Times New Roman" w:hAnsi="Times New Roman" w:eastAsia="宋体" w:cs="Times New Roman"/>
          <w:sz w:val="24"/>
          <w:vertAlign w:val="subscript"/>
          <w:lang w:bidi="ar"/>
        </w:rPr>
        <w:t>p</w:t>
      </w:r>
      <w:r>
        <w:rPr>
          <w:rFonts w:ascii="Times New Roman" w:hAnsi="Times New Roman" w:eastAsia="宋体" w:cs="Times New Roman"/>
          <w:sz w:val="24"/>
          <w:vertAlign w:val="superscript"/>
          <w:lang w:bidi="ar"/>
        </w:rPr>
        <w:t>2</w:t>
      </w:r>
      <w:r>
        <w:rPr>
          <w:rFonts w:ascii="Times New Roman" w:hAnsi="Times New Roman" w:eastAsia="宋体" w:cs="Times New Roman"/>
          <w:sz w:val="24"/>
          <w:lang w:bidi="ar"/>
        </w:rPr>
        <w:t xml:space="preserve"> = .11, with more errors on inconsistent trials (EMM = 10.14%) than on consistent trials (EMM = 4.10%). </w:t>
      </w:r>
      <w:r>
        <w:rPr>
          <w:rFonts w:hint="eastAsia" w:ascii="Times New Roman" w:hAnsi="Times New Roman" w:eastAsia="宋体" w:cs="Times New Roman"/>
          <w:sz w:val="24"/>
          <w:lang w:val="en-US" w:eastAsia="zh-CN" w:bidi="ar"/>
        </w:rPr>
        <w:t>A</w:t>
      </w:r>
      <w:r>
        <w:rPr>
          <w:rFonts w:ascii="Times New Roman" w:hAnsi="Times New Roman" w:eastAsia="宋体" w:cs="Times New Roman"/>
          <w:sz w:val="24"/>
          <w:lang w:bidi="ar"/>
        </w:rPr>
        <w:t xml:space="preserve"> significant consistency × perspective interaction was observed, F(1, 128) = 9.27, </w:t>
      </w:r>
      <w:r>
        <w:rPr>
          <w:rFonts w:ascii="Times New Roman" w:hAnsi="Times New Roman" w:eastAsia="宋体" w:cs="Times New Roman"/>
          <w:i/>
          <w:iCs/>
          <w:sz w:val="24"/>
          <w:lang w:bidi="ar"/>
        </w:rPr>
        <w:t>p</w:t>
      </w:r>
      <w:r>
        <w:rPr>
          <w:rFonts w:ascii="Times New Roman" w:hAnsi="Times New Roman" w:eastAsia="宋体" w:cs="Times New Roman"/>
          <w:sz w:val="24"/>
          <w:lang w:bidi="ar"/>
        </w:rPr>
        <w:t xml:space="preserve"> = .003, η</w:t>
      </w:r>
      <w:r>
        <w:rPr>
          <w:rFonts w:ascii="Times New Roman" w:hAnsi="Times New Roman" w:eastAsia="宋体" w:cs="Times New Roman"/>
          <w:sz w:val="24"/>
          <w:vertAlign w:val="subscript"/>
          <w:lang w:bidi="ar"/>
        </w:rPr>
        <w:t>p</w:t>
      </w:r>
      <w:r>
        <w:rPr>
          <w:rFonts w:ascii="Times New Roman" w:hAnsi="Times New Roman" w:eastAsia="宋体" w:cs="Times New Roman"/>
          <w:sz w:val="24"/>
          <w:vertAlign w:val="superscript"/>
          <w:lang w:bidi="ar"/>
        </w:rPr>
        <w:t>2</w:t>
      </w:r>
      <w:r>
        <w:rPr>
          <w:rFonts w:ascii="Times New Roman" w:hAnsi="Times New Roman" w:eastAsia="宋体" w:cs="Times New Roman"/>
          <w:sz w:val="24"/>
          <w:lang w:bidi="ar"/>
        </w:rPr>
        <w:t xml:space="preserve"> = .07. Follow-up comparisons revealed significant consistency effects for both perspectives. Participants made more errors in inconsistent than consistent trials (self: difference</w:t>
      </w:r>
      <w:r>
        <w:rPr>
          <w:rFonts w:hint="eastAsia" w:ascii="Times New Roman" w:hAnsi="Times New Roman" w:eastAsia="宋体" w:cs="Times New Roman"/>
          <w:sz w:val="24"/>
          <w:lang w:bidi="ar"/>
        </w:rPr>
        <w:t xml:space="preserve"> = </w:t>
      </w:r>
      <w:r>
        <w:rPr>
          <w:rFonts w:ascii="Times New Roman" w:hAnsi="Times New Roman" w:eastAsia="宋体" w:cs="Times New Roman"/>
          <w:sz w:val="24"/>
          <w:lang w:bidi="ar"/>
        </w:rPr>
        <w:t xml:space="preserve">3.60%, </w:t>
      </w:r>
      <w:r>
        <w:rPr>
          <w:rFonts w:ascii="Times New Roman" w:hAnsi="Times New Roman" w:eastAsia="宋体" w:cs="Times New Roman"/>
          <w:i/>
          <w:iCs/>
          <w:sz w:val="24"/>
          <w:lang w:bidi="ar"/>
        </w:rPr>
        <w:t>p</w:t>
      </w:r>
      <w:r>
        <w:rPr>
          <w:rFonts w:ascii="Times New Roman" w:hAnsi="Times New Roman" w:eastAsia="宋体" w:cs="Times New Roman"/>
          <w:sz w:val="24"/>
          <w:lang w:bidi="ar"/>
        </w:rPr>
        <w:t xml:space="preserve"> &lt; .001; other: difference</w:t>
      </w:r>
      <w:r>
        <w:rPr>
          <w:rFonts w:hint="eastAsia" w:ascii="Times New Roman" w:hAnsi="Times New Roman" w:eastAsia="宋体" w:cs="Times New Roman"/>
          <w:sz w:val="24"/>
          <w:lang w:bidi="ar"/>
        </w:rPr>
        <w:t xml:space="preserve"> = </w:t>
      </w:r>
      <w:r>
        <w:rPr>
          <w:rFonts w:ascii="Times New Roman" w:hAnsi="Times New Roman" w:eastAsia="宋体" w:cs="Times New Roman"/>
          <w:sz w:val="24"/>
          <w:lang w:bidi="ar"/>
        </w:rPr>
        <w:t xml:space="preserve">8.47%, </w:t>
      </w:r>
      <w:r>
        <w:rPr>
          <w:rFonts w:ascii="Times New Roman" w:hAnsi="Times New Roman" w:eastAsia="宋体" w:cs="Times New Roman"/>
          <w:i/>
          <w:iCs/>
          <w:sz w:val="24"/>
          <w:lang w:bidi="ar"/>
        </w:rPr>
        <w:t>p</w:t>
      </w:r>
      <w:r>
        <w:rPr>
          <w:rFonts w:ascii="Times New Roman" w:hAnsi="Times New Roman" w:eastAsia="宋体" w:cs="Times New Roman"/>
          <w:sz w:val="24"/>
          <w:lang w:bidi="ar"/>
        </w:rPr>
        <w:t xml:space="preserve"> &lt; .001). </w:t>
      </w:r>
      <w:r>
        <w:rPr>
          <w:rFonts w:hint="eastAsia" w:ascii="Times New Roman" w:hAnsi="Times New Roman" w:eastAsia="宋体" w:cs="Times New Roman"/>
          <w:sz w:val="24"/>
          <w:lang w:bidi="ar"/>
        </w:rPr>
        <w:t xml:space="preserve">Furthermore, the effect of perspective was </w:t>
      </w:r>
      <w:r>
        <w:rPr>
          <w:rFonts w:ascii="Times New Roman" w:hAnsi="Times New Roman" w:eastAsia="宋体" w:cs="Times New Roman"/>
          <w:sz w:val="24"/>
          <w:lang w:bidi="ar"/>
        </w:rPr>
        <w:t>also significant in consistent trials, with more errors in the self-perspective</w:t>
      </w:r>
      <w:r>
        <w:rPr>
          <w:rFonts w:ascii="Times New Roman" w:hAnsi="Times New Roman" w:eastAsia="宋体" w:cs="Times New Roman"/>
          <w:sz w:val="24"/>
        </w:rPr>
        <w:t xml:space="preserve"> than the other</w:t>
      </w:r>
      <w:r>
        <w:rPr>
          <w:rFonts w:ascii="Times New Roman" w:hAnsi="Times New Roman" w:eastAsia="宋体" w:cs="Times New Roman"/>
          <w:sz w:val="24"/>
          <w:lang w:bidi="ar"/>
        </w:rPr>
        <w:t>-perspective (difference</w:t>
      </w:r>
      <w:r>
        <w:rPr>
          <w:rFonts w:hint="eastAsia" w:ascii="Times New Roman" w:hAnsi="Times New Roman" w:eastAsia="宋体" w:cs="Times New Roman"/>
          <w:sz w:val="24"/>
          <w:lang w:bidi="ar"/>
        </w:rPr>
        <w:t xml:space="preserve"> = </w:t>
      </w:r>
      <w:r>
        <w:rPr>
          <w:rFonts w:ascii="Times New Roman" w:hAnsi="Times New Roman" w:eastAsia="宋体" w:cs="Times New Roman"/>
          <w:sz w:val="24"/>
          <w:lang w:bidi="ar"/>
        </w:rPr>
        <w:t xml:space="preserve">1.60%, </w:t>
      </w:r>
      <w:r>
        <w:rPr>
          <w:rFonts w:ascii="Times New Roman" w:hAnsi="Times New Roman" w:eastAsia="宋体" w:cs="Times New Roman"/>
          <w:i/>
          <w:iCs/>
          <w:sz w:val="24"/>
          <w:lang w:bidi="ar"/>
        </w:rPr>
        <w:t>p</w:t>
      </w:r>
      <w:r>
        <w:rPr>
          <w:rFonts w:ascii="Times New Roman" w:hAnsi="Times New Roman" w:eastAsia="宋体" w:cs="Times New Roman"/>
          <w:sz w:val="24"/>
          <w:lang w:bidi="ar"/>
        </w:rPr>
        <w:t xml:space="preserve"> = .019). In inconsistent trials, this pattern was </w:t>
      </w:r>
      <w:r>
        <w:rPr>
          <w:rFonts w:ascii="Times New Roman" w:hAnsi="Times New Roman" w:eastAsia="宋体" w:cs="Times New Roman"/>
          <w:sz w:val="24"/>
        </w:rPr>
        <w:t>reversed</w:t>
      </w:r>
      <w:r>
        <w:rPr>
          <w:rFonts w:hint="eastAsia" w:ascii="Times New Roman" w:hAnsi="Times New Roman" w:eastAsia="宋体" w:cs="Times New Roman"/>
          <w:sz w:val="24"/>
          <w:lang w:bidi="ar"/>
        </w:rPr>
        <w:t xml:space="preserve"> </w:t>
      </w:r>
      <w:r>
        <w:rPr>
          <w:rFonts w:ascii="Times New Roman" w:hAnsi="Times New Roman" w:eastAsia="宋体" w:cs="Times New Roman"/>
          <w:sz w:val="24"/>
          <w:lang w:bidi="ar"/>
        </w:rPr>
        <w:t>(difference</w:t>
      </w:r>
      <w:r>
        <w:rPr>
          <w:rFonts w:hint="eastAsia" w:ascii="Times New Roman" w:hAnsi="Times New Roman" w:eastAsia="宋体" w:cs="Times New Roman"/>
          <w:sz w:val="24"/>
          <w:lang w:bidi="ar"/>
        </w:rPr>
        <w:t xml:space="preserve"> = -</w:t>
      </w:r>
      <w:r>
        <w:rPr>
          <w:rFonts w:ascii="Times New Roman" w:hAnsi="Times New Roman" w:eastAsia="宋体" w:cs="Times New Roman"/>
          <w:sz w:val="24"/>
          <w:lang w:bidi="ar"/>
        </w:rPr>
        <w:t xml:space="preserve">3.27%, </w:t>
      </w:r>
      <w:r>
        <w:rPr>
          <w:rFonts w:ascii="Times New Roman" w:hAnsi="Times New Roman" w:eastAsia="宋体" w:cs="Times New Roman"/>
          <w:i/>
          <w:iCs/>
          <w:sz w:val="24"/>
          <w:lang w:bidi="ar"/>
        </w:rPr>
        <w:t>p</w:t>
      </w:r>
      <w:r>
        <w:rPr>
          <w:rFonts w:ascii="Times New Roman" w:hAnsi="Times New Roman" w:eastAsia="宋体" w:cs="Times New Roman"/>
          <w:sz w:val="24"/>
          <w:lang w:bidi="ar"/>
        </w:rPr>
        <w:t xml:space="preserve"> = .004), with more errors from the other-perspective than from the self-perspective. No other main effects or interactions were significant in the 2 × 2 × 2 ANCOVA (</w:t>
      </w:r>
      <w:r>
        <w:rPr>
          <w:rFonts w:ascii="Times New Roman" w:hAnsi="Times New Roman" w:eastAsia="宋体" w:cs="Times New Roman"/>
          <w:i/>
          <w:iCs/>
          <w:sz w:val="24"/>
          <w:lang w:bidi="ar"/>
        </w:rPr>
        <w:t>p</w:t>
      </w:r>
      <w:r>
        <w:rPr>
          <w:rFonts w:ascii="Times New Roman" w:hAnsi="Times New Roman" w:eastAsia="宋体" w:cs="Times New Roman"/>
          <w:sz w:val="24"/>
          <w:lang w:bidi="ar"/>
        </w:rPr>
        <w:t>s &gt; .10).</w:t>
      </w:r>
    </w:p>
    <w:tbl>
      <w:tblPr>
        <w:tblStyle w:val="2"/>
        <w:tblpPr w:leftFromText="180" w:rightFromText="180" w:vertAnchor="text" w:horzAnchor="page" w:tblpXSpec="center" w:tblpY="616"/>
        <w:tblOverlap w:val="never"/>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062"/>
        <w:gridCol w:w="3346"/>
        <w:gridCol w:w="610"/>
        <w:gridCol w:w="907"/>
        <w:gridCol w:w="804"/>
        <w:gridCol w:w="793"/>
      </w:tblGrid>
      <w:tr w14:paraId="377817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5000" w:type="pct"/>
            <w:gridSpan w:val="6"/>
            <w:tcBorders>
              <w:top w:val="nil"/>
              <w:left w:val="nil"/>
              <w:bottom w:val="single" w:color="000000" w:sz="8" w:space="0"/>
              <w:right w:val="nil"/>
            </w:tcBorders>
            <w:shd w:val="clear" w:color="auto" w:fill="auto"/>
            <w:noWrap/>
            <w:vAlign w:val="center"/>
          </w:tcPr>
          <w:p w14:paraId="0B80E4FC">
            <w:pPr>
              <w:keepNext w:val="0"/>
              <w:keepLines w:val="0"/>
              <w:widowControl/>
              <w:suppressLineNumbers w:val="0"/>
              <w:jc w:val="lef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Supplementary Table 1: ANCOVAs of Behavioral Data in Experiment 1</w:t>
            </w:r>
          </w:p>
        </w:tc>
      </w:tr>
      <w:tr w14:paraId="34EFB3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jc w:val="center"/>
        </w:trPr>
        <w:tc>
          <w:tcPr>
            <w:tcW w:w="1210" w:type="pct"/>
            <w:tcBorders>
              <w:top w:val="nil"/>
              <w:left w:val="nil"/>
              <w:bottom w:val="single" w:color="000000" w:sz="8" w:space="0"/>
              <w:right w:val="nil"/>
            </w:tcBorders>
            <w:shd w:val="clear" w:color="auto" w:fill="auto"/>
            <w:noWrap/>
            <w:vAlign w:val="center"/>
          </w:tcPr>
          <w:p w14:paraId="15209258">
            <w:pPr>
              <w:rPr>
                <w:rFonts w:hint="eastAsia" w:ascii="宋体" w:hAnsi="宋体" w:eastAsia="宋体" w:cs="宋体"/>
                <w:i w:val="0"/>
                <w:iCs w:val="0"/>
                <w:color w:val="000000"/>
                <w:sz w:val="20"/>
                <w:szCs w:val="20"/>
                <w:u w:val="none"/>
              </w:rPr>
            </w:pPr>
          </w:p>
        </w:tc>
        <w:tc>
          <w:tcPr>
            <w:tcW w:w="1963" w:type="pct"/>
            <w:tcBorders>
              <w:top w:val="nil"/>
              <w:left w:val="nil"/>
              <w:bottom w:val="single" w:color="000000" w:sz="8" w:space="0"/>
              <w:right w:val="nil"/>
            </w:tcBorders>
            <w:shd w:val="clear" w:color="auto" w:fill="auto"/>
            <w:noWrap/>
            <w:vAlign w:val="center"/>
          </w:tcPr>
          <w:p w14:paraId="769A46D5">
            <w:pPr>
              <w:rPr>
                <w:rFonts w:hint="eastAsia" w:ascii="宋体" w:hAnsi="宋体" w:eastAsia="宋体" w:cs="宋体"/>
                <w:i w:val="0"/>
                <w:iCs w:val="0"/>
                <w:color w:val="000000"/>
                <w:sz w:val="20"/>
                <w:szCs w:val="20"/>
                <w:u w:val="none"/>
              </w:rPr>
            </w:pPr>
          </w:p>
        </w:tc>
        <w:tc>
          <w:tcPr>
            <w:tcW w:w="358" w:type="pct"/>
            <w:tcBorders>
              <w:top w:val="nil"/>
              <w:left w:val="nil"/>
              <w:bottom w:val="single" w:color="000000" w:sz="8" w:space="0"/>
              <w:right w:val="nil"/>
            </w:tcBorders>
            <w:shd w:val="clear" w:color="auto" w:fill="auto"/>
            <w:noWrap/>
            <w:vAlign w:val="center"/>
          </w:tcPr>
          <w:p w14:paraId="59B119C8">
            <w:pPr>
              <w:keepNext w:val="0"/>
              <w:keepLines w:val="0"/>
              <w:widowControl/>
              <w:suppressLineNumbers w:val="0"/>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df</w:t>
            </w:r>
          </w:p>
        </w:tc>
        <w:tc>
          <w:tcPr>
            <w:tcW w:w="532" w:type="pct"/>
            <w:tcBorders>
              <w:top w:val="nil"/>
              <w:left w:val="nil"/>
              <w:bottom w:val="single" w:color="000000" w:sz="8" w:space="0"/>
              <w:right w:val="nil"/>
            </w:tcBorders>
            <w:shd w:val="clear" w:color="auto" w:fill="auto"/>
            <w:noWrap/>
            <w:vAlign w:val="center"/>
          </w:tcPr>
          <w:p w14:paraId="333AC23A">
            <w:pPr>
              <w:keepNext w:val="0"/>
              <w:keepLines w:val="0"/>
              <w:widowControl/>
              <w:suppressLineNumbers w:val="0"/>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F</w:t>
            </w:r>
          </w:p>
        </w:tc>
        <w:tc>
          <w:tcPr>
            <w:tcW w:w="472" w:type="pct"/>
            <w:tcBorders>
              <w:top w:val="nil"/>
              <w:left w:val="nil"/>
              <w:bottom w:val="single" w:color="000000" w:sz="8" w:space="0"/>
              <w:right w:val="nil"/>
            </w:tcBorders>
            <w:shd w:val="clear" w:color="auto" w:fill="auto"/>
            <w:noWrap/>
            <w:vAlign w:val="center"/>
          </w:tcPr>
          <w:p w14:paraId="1D338CDB">
            <w:pPr>
              <w:keepNext w:val="0"/>
              <w:keepLines w:val="0"/>
              <w:widowControl/>
              <w:suppressLineNumbers w:val="0"/>
              <w:jc w:val="right"/>
              <w:textAlignment w:val="center"/>
              <w:rPr>
                <w:rFonts w:hint="default" w:ascii="Times New Roman" w:hAnsi="Times New Roman" w:eastAsia="宋体" w:cs="Times New Roman"/>
                <w:b/>
                <w:bCs/>
                <w:i/>
                <w:iCs/>
                <w:color w:val="000000"/>
                <w:sz w:val="20"/>
                <w:szCs w:val="20"/>
                <w:u w:val="none"/>
              </w:rPr>
            </w:pPr>
            <w:r>
              <w:rPr>
                <w:rFonts w:hint="default" w:ascii="Times New Roman" w:hAnsi="Times New Roman" w:eastAsia="宋体" w:cs="Times New Roman"/>
                <w:b/>
                <w:bCs/>
                <w:i/>
                <w:iCs/>
                <w:color w:val="000000"/>
                <w:kern w:val="0"/>
                <w:sz w:val="20"/>
                <w:szCs w:val="20"/>
                <w:u w:val="none"/>
                <w:lang w:val="en-US" w:eastAsia="zh-CN" w:bidi="ar"/>
              </w:rPr>
              <w:t>p</w:t>
            </w:r>
          </w:p>
        </w:tc>
        <w:tc>
          <w:tcPr>
            <w:tcW w:w="463" w:type="pct"/>
            <w:tcBorders>
              <w:top w:val="nil"/>
              <w:left w:val="nil"/>
              <w:bottom w:val="single" w:color="000000" w:sz="8" w:space="0"/>
              <w:right w:val="nil"/>
            </w:tcBorders>
            <w:shd w:val="clear" w:color="auto" w:fill="auto"/>
            <w:noWrap/>
            <w:vAlign w:val="center"/>
          </w:tcPr>
          <w:p w14:paraId="73D1ACB4">
            <w:pPr>
              <w:keepNext w:val="0"/>
              <w:keepLines w:val="0"/>
              <w:widowControl/>
              <w:suppressLineNumbers w:val="0"/>
              <w:jc w:val="right"/>
              <w:textAlignment w:val="center"/>
              <w:rPr>
                <w:rFonts w:hint="default" w:ascii="Times New Roman" w:hAnsi="Times New Roman" w:eastAsia="宋体" w:cs="Times New Roman"/>
                <w:b/>
                <w:bCs/>
                <w:i w:val="0"/>
                <w:iCs w:val="0"/>
                <w:color w:val="000000"/>
                <w:sz w:val="20"/>
                <w:szCs w:val="20"/>
                <w:u w:val="none"/>
              </w:rPr>
            </w:pPr>
            <w:r>
              <w:rPr>
                <w:rStyle w:val="6"/>
                <w:rFonts w:eastAsia="宋体"/>
                <w:lang w:val="en-US" w:eastAsia="zh-CN" w:bidi="ar"/>
              </w:rPr>
              <w:t>η</w:t>
            </w:r>
            <w:r>
              <w:rPr>
                <w:rStyle w:val="7"/>
                <w:rFonts w:eastAsia="宋体"/>
                <w:lang w:val="en-US" w:eastAsia="zh-CN" w:bidi="ar"/>
              </w:rPr>
              <w:t>p</w:t>
            </w:r>
            <w:r>
              <w:rPr>
                <w:rStyle w:val="8"/>
                <w:rFonts w:eastAsia="宋体"/>
                <w:lang w:val="en-US" w:eastAsia="zh-CN" w:bidi="ar"/>
              </w:rPr>
              <w:t>2</w:t>
            </w:r>
          </w:p>
        </w:tc>
      </w:tr>
      <w:tr w14:paraId="518067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210" w:type="pct"/>
            <w:tcBorders>
              <w:top w:val="nil"/>
              <w:left w:val="nil"/>
              <w:bottom w:val="nil"/>
              <w:right w:val="nil"/>
            </w:tcBorders>
            <w:shd w:val="clear" w:color="auto" w:fill="auto"/>
            <w:noWrap/>
            <w:vAlign w:val="center"/>
          </w:tcPr>
          <w:p w14:paraId="35458700">
            <w:pPr>
              <w:keepNext w:val="0"/>
              <w:keepLines w:val="0"/>
              <w:widowControl/>
              <w:suppressLineNumbers w:val="0"/>
              <w:jc w:val="lef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RT</w:t>
            </w:r>
          </w:p>
        </w:tc>
        <w:tc>
          <w:tcPr>
            <w:tcW w:w="1963" w:type="pct"/>
            <w:tcBorders>
              <w:top w:val="nil"/>
              <w:left w:val="nil"/>
              <w:bottom w:val="nil"/>
              <w:right w:val="nil"/>
            </w:tcBorders>
            <w:shd w:val="clear" w:color="auto" w:fill="auto"/>
            <w:noWrap/>
            <w:vAlign w:val="center"/>
          </w:tcPr>
          <w:p w14:paraId="4BFFA4E1">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Consistency</w:t>
            </w:r>
          </w:p>
        </w:tc>
        <w:tc>
          <w:tcPr>
            <w:tcW w:w="358" w:type="pct"/>
            <w:tcBorders>
              <w:top w:val="nil"/>
              <w:left w:val="nil"/>
              <w:bottom w:val="nil"/>
              <w:right w:val="nil"/>
            </w:tcBorders>
            <w:shd w:val="clear" w:color="auto" w:fill="auto"/>
            <w:noWrap/>
            <w:vAlign w:val="center"/>
          </w:tcPr>
          <w:p w14:paraId="5BA71372">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532" w:type="pct"/>
            <w:tcBorders>
              <w:top w:val="nil"/>
              <w:left w:val="nil"/>
              <w:bottom w:val="nil"/>
              <w:right w:val="nil"/>
            </w:tcBorders>
            <w:shd w:val="clear" w:color="auto" w:fill="auto"/>
            <w:noWrap/>
            <w:vAlign w:val="center"/>
          </w:tcPr>
          <w:p w14:paraId="28DDF9B3">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55.013</w:t>
            </w:r>
          </w:p>
        </w:tc>
        <w:tc>
          <w:tcPr>
            <w:tcW w:w="472" w:type="pct"/>
            <w:tcBorders>
              <w:top w:val="nil"/>
              <w:left w:val="nil"/>
              <w:bottom w:val="nil"/>
              <w:right w:val="nil"/>
            </w:tcBorders>
            <w:shd w:val="clear" w:color="auto" w:fill="auto"/>
            <w:noWrap/>
            <w:vAlign w:val="center"/>
          </w:tcPr>
          <w:p w14:paraId="71890727">
            <w:pPr>
              <w:keepNext w:val="0"/>
              <w:keepLines w:val="0"/>
              <w:widowControl/>
              <w:suppressLineNumbers w:val="0"/>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&lt;.001</w:t>
            </w:r>
          </w:p>
        </w:tc>
        <w:tc>
          <w:tcPr>
            <w:tcW w:w="463" w:type="pct"/>
            <w:tcBorders>
              <w:top w:val="nil"/>
              <w:left w:val="nil"/>
              <w:bottom w:val="nil"/>
              <w:right w:val="nil"/>
            </w:tcBorders>
            <w:shd w:val="clear" w:color="auto" w:fill="auto"/>
            <w:noWrap/>
            <w:vAlign w:val="center"/>
          </w:tcPr>
          <w:p w14:paraId="690F1649">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0.301</w:t>
            </w:r>
          </w:p>
        </w:tc>
      </w:tr>
      <w:tr w14:paraId="59FC5B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210" w:type="pct"/>
            <w:tcBorders>
              <w:top w:val="nil"/>
              <w:left w:val="nil"/>
              <w:bottom w:val="nil"/>
              <w:right w:val="nil"/>
            </w:tcBorders>
            <w:shd w:val="clear" w:color="auto" w:fill="auto"/>
            <w:noWrap/>
            <w:vAlign w:val="center"/>
          </w:tcPr>
          <w:p w14:paraId="6D291696">
            <w:pPr>
              <w:rPr>
                <w:rFonts w:hint="eastAsia" w:ascii="宋体" w:hAnsi="宋体" w:eastAsia="宋体" w:cs="宋体"/>
                <w:i w:val="0"/>
                <w:iCs w:val="0"/>
                <w:color w:val="000000"/>
                <w:sz w:val="20"/>
                <w:szCs w:val="20"/>
                <w:u w:val="none"/>
              </w:rPr>
            </w:pPr>
          </w:p>
        </w:tc>
        <w:tc>
          <w:tcPr>
            <w:tcW w:w="1963" w:type="pct"/>
            <w:tcBorders>
              <w:top w:val="nil"/>
              <w:left w:val="nil"/>
              <w:bottom w:val="nil"/>
              <w:right w:val="nil"/>
            </w:tcBorders>
            <w:shd w:val="clear" w:color="auto" w:fill="auto"/>
            <w:noWrap/>
            <w:vAlign w:val="center"/>
          </w:tcPr>
          <w:p w14:paraId="66B2F2C8">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Perspective</w:t>
            </w:r>
          </w:p>
        </w:tc>
        <w:tc>
          <w:tcPr>
            <w:tcW w:w="358" w:type="pct"/>
            <w:tcBorders>
              <w:top w:val="nil"/>
              <w:left w:val="nil"/>
              <w:bottom w:val="nil"/>
              <w:right w:val="nil"/>
            </w:tcBorders>
            <w:shd w:val="clear" w:color="auto" w:fill="auto"/>
            <w:noWrap/>
            <w:vAlign w:val="center"/>
          </w:tcPr>
          <w:p w14:paraId="7405CAFE">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532" w:type="pct"/>
            <w:tcBorders>
              <w:top w:val="nil"/>
              <w:left w:val="nil"/>
              <w:bottom w:val="nil"/>
              <w:right w:val="nil"/>
            </w:tcBorders>
            <w:shd w:val="clear" w:color="auto" w:fill="auto"/>
            <w:noWrap/>
            <w:vAlign w:val="center"/>
          </w:tcPr>
          <w:p w14:paraId="0EDD7655">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0.283</w:t>
            </w:r>
          </w:p>
        </w:tc>
        <w:tc>
          <w:tcPr>
            <w:tcW w:w="472" w:type="pct"/>
            <w:tcBorders>
              <w:top w:val="nil"/>
              <w:left w:val="nil"/>
              <w:bottom w:val="nil"/>
              <w:right w:val="nil"/>
            </w:tcBorders>
            <w:shd w:val="clear" w:color="auto" w:fill="auto"/>
            <w:noWrap/>
            <w:vAlign w:val="center"/>
          </w:tcPr>
          <w:p w14:paraId="39F4A57E">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0.596</w:t>
            </w:r>
          </w:p>
        </w:tc>
        <w:tc>
          <w:tcPr>
            <w:tcW w:w="463" w:type="pct"/>
            <w:tcBorders>
              <w:top w:val="nil"/>
              <w:left w:val="nil"/>
              <w:bottom w:val="nil"/>
              <w:right w:val="nil"/>
            </w:tcBorders>
            <w:shd w:val="clear" w:color="auto" w:fill="auto"/>
            <w:noWrap/>
            <w:vAlign w:val="center"/>
          </w:tcPr>
          <w:p w14:paraId="797E1CE9">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0.002</w:t>
            </w:r>
          </w:p>
        </w:tc>
      </w:tr>
      <w:tr w14:paraId="6C987A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210" w:type="pct"/>
            <w:tcBorders>
              <w:top w:val="nil"/>
              <w:left w:val="nil"/>
              <w:bottom w:val="nil"/>
              <w:right w:val="nil"/>
            </w:tcBorders>
            <w:shd w:val="clear" w:color="auto" w:fill="auto"/>
            <w:noWrap/>
            <w:vAlign w:val="center"/>
          </w:tcPr>
          <w:p w14:paraId="33AF329A">
            <w:pPr>
              <w:rPr>
                <w:rFonts w:hint="eastAsia" w:ascii="宋体" w:hAnsi="宋体" w:eastAsia="宋体" w:cs="宋体"/>
                <w:i w:val="0"/>
                <w:iCs w:val="0"/>
                <w:color w:val="000000"/>
                <w:sz w:val="20"/>
                <w:szCs w:val="20"/>
                <w:u w:val="none"/>
              </w:rPr>
            </w:pPr>
          </w:p>
        </w:tc>
        <w:tc>
          <w:tcPr>
            <w:tcW w:w="1963" w:type="pct"/>
            <w:tcBorders>
              <w:top w:val="nil"/>
              <w:left w:val="nil"/>
              <w:bottom w:val="nil"/>
              <w:right w:val="nil"/>
            </w:tcBorders>
            <w:shd w:val="clear" w:color="auto" w:fill="auto"/>
            <w:noWrap/>
            <w:vAlign w:val="center"/>
          </w:tcPr>
          <w:p w14:paraId="42E51839">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Group</w:t>
            </w:r>
          </w:p>
        </w:tc>
        <w:tc>
          <w:tcPr>
            <w:tcW w:w="358" w:type="pct"/>
            <w:tcBorders>
              <w:top w:val="nil"/>
              <w:left w:val="nil"/>
              <w:bottom w:val="nil"/>
              <w:right w:val="nil"/>
            </w:tcBorders>
            <w:shd w:val="clear" w:color="auto" w:fill="auto"/>
            <w:noWrap/>
            <w:vAlign w:val="center"/>
          </w:tcPr>
          <w:p w14:paraId="7AC2FF0C">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532" w:type="pct"/>
            <w:tcBorders>
              <w:top w:val="nil"/>
              <w:left w:val="nil"/>
              <w:bottom w:val="nil"/>
              <w:right w:val="nil"/>
            </w:tcBorders>
            <w:shd w:val="clear" w:color="auto" w:fill="auto"/>
            <w:noWrap/>
            <w:vAlign w:val="center"/>
          </w:tcPr>
          <w:p w14:paraId="53A337EF">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0.926</w:t>
            </w:r>
          </w:p>
        </w:tc>
        <w:tc>
          <w:tcPr>
            <w:tcW w:w="472" w:type="pct"/>
            <w:tcBorders>
              <w:top w:val="nil"/>
              <w:left w:val="nil"/>
              <w:bottom w:val="nil"/>
              <w:right w:val="nil"/>
            </w:tcBorders>
            <w:shd w:val="clear" w:color="auto" w:fill="auto"/>
            <w:noWrap/>
            <w:vAlign w:val="center"/>
          </w:tcPr>
          <w:p w14:paraId="030C71C6">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0.338</w:t>
            </w:r>
          </w:p>
        </w:tc>
        <w:tc>
          <w:tcPr>
            <w:tcW w:w="463" w:type="pct"/>
            <w:tcBorders>
              <w:top w:val="nil"/>
              <w:left w:val="nil"/>
              <w:bottom w:val="nil"/>
              <w:right w:val="nil"/>
            </w:tcBorders>
            <w:shd w:val="clear" w:color="auto" w:fill="auto"/>
            <w:noWrap/>
            <w:vAlign w:val="center"/>
          </w:tcPr>
          <w:p w14:paraId="4D4B1146">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0.007</w:t>
            </w:r>
          </w:p>
        </w:tc>
      </w:tr>
      <w:tr w14:paraId="4C0F98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210" w:type="pct"/>
            <w:tcBorders>
              <w:top w:val="nil"/>
              <w:left w:val="nil"/>
              <w:bottom w:val="nil"/>
              <w:right w:val="nil"/>
            </w:tcBorders>
            <w:shd w:val="clear" w:color="auto" w:fill="auto"/>
            <w:noWrap/>
            <w:vAlign w:val="center"/>
          </w:tcPr>
          <w:p w14:paraId="31E78F5F">
            <w:pPr>
              <w:rPr>
                <w:rFonts w:hint="eastAsia" w:ascii="宋体" w:hAnsi="宋体" w:eastAsia="宋体" w:cs="宋体"/>
                <w:i w:val="0"/>
                <w:iCs w:val="0"/>
                <w:color w:val="000000"/>
                <w:sz w:val="20"/>
                <w:szCs w:val="20"/>
                <w:u w:val="none"/>
              </w:rPr>
            </w:pPr>
          </w:p>
        </w:tc>
        <w:tc>
          <w:tcPr>
            <w:tcW w:w="1963" w:type="pct"/>
            <w:tcBorders>
              <w:top w:val="nil"/>
              <w:left w:val="nil"/>
              <w:bottom w:val="nil"/>
              <w:right w:val="nil"/>
            </w:tcBorders>
            <w:shd w:val="clear" w:color="auto" w:fill="auto"/>
            <w:noWrap/>
            <w:vAlign w:val="center"/>
          </w:tcPr>
          <w:p w14:paraId="0247DC7B">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Consistency*Perspective</w:t>
            </w:r>
          </w:p>
        </w:tc>
        <w:tc>
          <w:tcPr>
            <w:tcW w:w="358" w:type="pct"/>
            <w:tcBorders>
              <w:top w:val="nil"/>
              <w:left w:val="nil"/>
              <w:bottom w:val="nil"/>
              <w:right w:val="nil"/>
            </w:tcBorders>
            <w:shd w:val="clear" w:color="auto" w:fill="auto"/>
            <w:noWrap/>
            <w:vAlign w:val="center"/>
          </w:tcPr>
          <w:p w14:paraId="134FDF53">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532" w:type="pct"/>
            <w:tcBorders>
              <w:top w:val="nil"/>
              <w:left w:val="nil"/>
              <w:bottom w:val="nil"/>
              <w:right w:val="nil"/>
            </w:tcBorders>
            <w:shd w:val="clear" w:color="auto" w:fill="auto"/>
            <w:noWrap/>
            <w:vAlign w:val="center"/>
          </w:tcPr>
          <w:p w14:paraId="616D367A">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8.851</w:t>
            </w:r>
          </w:p>
        </w:tc>
        <w:tc>
          <w:tcPr>
            <w:tcW w:w="472" w:type="pct"/>
            <w:tcBorders>
              <w:top w:val="nil"/>
              <w:left w:val="nil"/>
              <w:bottom w:val="nil"/>
              <w:right w:val="nil"/>
            </w:tcBorders>
            <w:shd w:val="clear" w:color="auto" w:fill="auto"/>
            <w:noWrap/>
            <w:vAlign w:val="center"/>
          </w:tcPr>
          <w:p w14:paraId="2C322816">
            <w:pPr>
              <w:keepNext w:val="0"/>
              <w:keepLines w:val="0"/>
              <w:widowControl/>
              <w:suppressLineNumbers w:val="0"/>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0.004</w:t>
            </w:r>
          </w:p>
        </w:tc>
        <w:tc>
          <w:tcPr>
            <w:tcW w:w="463" w:type="pct"/>
            <w:tcBorders>
              <w:top w:val="nil"/>
              <w:left w:val="nil"/>
              <w:bottom w:val="nil"/>
              <w:right w:val="nil"/>
            </w:tcBorders>
            <w:shd w:val="clear" w:color="auto" w:fill="auto"/>
            <w:noWrap/>
            <w:vAlign w:val="center"/>
          </w:tcPr>
          <w:p w14:paraId="3809364A">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0.065</w:t>
            </w:r>
          </w:p>
        </w:tc>
      </w:tr>
      <w:tr w14:paraId="5FF24C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210" w:type="pct"/>
            <w:tcBorders>
              <w:top w:val="nil"/>
              <w:left w:val="nil"/>
              <w:bottom w:val="nil"/>
              <w:right w:val="nil"/>
            </w:tcBorders>
            <w:shd w:val="clear" w:color="auto" w:fill="auto"/>
            <w:noWrap/>
            <w:vAlign w:val="center"/>
          </w:tcPr>
          <w:p w14:paraId="5C40F5E8">
            <w:pPr>
              <w:rPr>
                <w:rFonts w:hint="eastAsia" w:ascii="宋体" w:hAnsi="宋体" w:eastAsia="宋体" w:cs="宋体"/>
                <w:i w:val="0"/>
                <w:iCs w:val="0"/>
                <w:color w:val="000000"/>
                <w:sz w:val="20"/>
                <w:szCs w:val="20"/>
                <w:u w:val="none"/>
              </w:rPr>
            </w:pPr>
          </w:p>
        </w:tc>
        <w:tc>
          <w:tcPr>
            <w:tcW w:w="1963" w:type="pct"/>
            <w:tcBorders>
              <w:top w:val="nil"/>
              <w:left w:val="nil"/>
              <w:bottom w:val="nil"/>
              <w:right w:val="nil"/>
            </w:tcBorders>
            <w:shd w:val="clear" w:color="auto" w:fill="auto"/>
            <w:noWrap/>
            <w:vAlign w:val="center"/>
          </w:tcPr>
          <w:p w14:paraId="53C5C514">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Consistency*Group</w:t>
            </w:r>
          </w:p>
        </w:tc>
        <w:tc>
          <w:tcPr>
            <w:tcW w:w="358" w:type="pct"/>
            <w:tcBorders>
              <w:top w:val="nil"/>
              <w:left w:val="nil"/>
              <w:bottom w:val="nil"/>
              <w:right w:val="nil"/>
            </w:tcBorders>
            <w:shd w:val="clear" w:color="auto" w:fill="auto"/>
            <w:noWrap/>
            <w:vAlign w:val="center"/>
          </w:tcPr>
          <w:p w14:paraId="4CC31AB9">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532" w:type="pct"/>
            <w:tcBorders>
              <w:top w:val="nil"/>
              <w:left w:val="nil"/>
              <w:bottom w:val="nil"/>
              <w:right w:val="nil"/>
            </w:tcBorders>
            <w:shd w:val="clear" w:color="auto" w:fill="auto"/>
            <w:noWrap/>
            <w:vAlign w:val="center"/>
          </w:tcPr>
          <w:p w14:paraId="1F63C1A5">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8.972</w:t>
            </w:r>
          </w:p>
        </w:tc>
        <w:tc>
          <w:tcPr>
            <w:tcW w:w="472" w:type="pct"/>
            <w:tcBorders>
              <w:top w:val="nil"/>
              <w:left w:val="nil"/>
              <w:bottom w:val="nil"/>
              <w:right w:val="nil"/>
            </w:tcBorders>
            <w:shd w:val="clear" w:color="auto" w:fill="auto"/>
            <w:noWrap/>
            <w:vAlign w:val="center"/>
          </w:tcPr>
          <w:p w14:paraId="72582B91">
            <w:pPr>
              <w:keepNext w:val="0"/>
              <w:keepLines w:val="0"/>
              <w:widowControl/>
              <w:suppressLineNumbers w:val="0"/>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0.003</w:t>
            </w:r>
          </w:p>
        </w:tc>
        <w:tc>
          <w:tcPr>
            <w:tcW w:w="463" w:type="pct"/>
            <w:tcBorders>
              <w:top w:val="nil"/>
              <w:left w:val="nil"/>
              <w:bottom w:val="nil"/>
              <w:right w:val="nil"/>
            </w:tcBorders>
            <w:shd w:val="clear" w:color="auto" w:fill="auto"/>
            <w:noWrap/>
            <w:vAlign w:val="center"/>
          </w:tcPr>
          <w:p w14:paraId="67BFB015">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0.066</w:t>
            </w:r>
          </w:p>
        </w:tc>
      </w:tr>
      <w:tr w14:paraId="4342A3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210" w:type="pct"/>
            <w:tcBorders>
              <w:top w:val="nil"/>
              <w:left w:val="nil"/>
              <w:bottom w:val="nil"/>
              <w:right w:val="nil"/>
            </w:tcBorders>
            <w:shd w:val="clear" w:color="auto" w:fill="auto"/>
            <w:noWrap/>
            <w:vAlign w:val="center"/>
          </w:tcPr>
          <w:p w14:paraId="7408A75A">
            <w:pPr>
              <w:rPr>
                <w:rFonts w:hint="eastAsia" w:ascii="宋体" w:hAnsi="宋体" w:eastAsia="宋体" w:cs="宋体"/>
                <w:i w:val="0"/>
                <w:iCs w:val="0"/>
                <w:color w:val="000000"/>
                <w:sz w:val="20"/>
                <w:szCs w:val="20"/>
                <w:u w:val="none"/>
              </w:rPr>
            </w:pPr>
          </w:p>
        </w:tc>
        <w:tc>
          <w:tcPr>
            <w:tcW w:w="1963" w:type="pct"/>
            <w:tcBorders>
              <w:top w:val="nil"/>
              <w:left w:val="nil"/>
              <w:bottom w:val="nil"/>
              <w:right w:val="nil"/>
            </w:tcBorders>
            <w:shd w:val="clear" w:color="auto" w:fill="auto"/>
            <w:noWrap/>
            <w:vAlign w:val="center"/>
          </w:tcPr>
          <w:p w14:paraId="35645950">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Perspective*Group</w:t>
            </w:r>
          </w:p>
        </w:tc>
        <w:tc>
          <w:tcPr>
            <w:tcW w:w="358" w:type="pct"/>
            <w:tcBorders>
              <w:top w:val="nil"/>
              <w:left w:val="nil"/>
              <w:bottom w:val="nil"/>
              <w:right w:val="nil"/>
            </w:tcBorders>
            <w:shd w:val="clear" w:color="auto" w:fill="auto"/>
            <w:noWrap/>
            <w:vAlign w:val="center"/>
          </w:tcPr>
          <w:p w14:paraId="4655F690">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532" w:type="pct"/>
            <w:tcBorders>
              <w:top w:val="nil"/>
              <w:left w:val="nil"/>
              <w:bottom w:val="nil"/>
              <w:right w:val="nil"/>
            </w:tcBorders>
            <w:shd w:val="clear" w:color="auto" w:fill="auto"/>
            <w:noWrap/>
            <w:vAlign w:val="center"/>
          </w:tcPr>
          <w:p w14:paraId="02BA9A9D">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1.366</w:t>
            </w:r>
          </w:p>
        </w:tc>
        <w:tc>
          <w:tcPr>
            <w:tcW w:w="472" w:type="pct"/>
            <w:tcBorders>
              <w:top w:val="nil"/>
              <w:left w:val="nil"/>
              <w:bottom w:val="nil"/>
              <w:right w:val="nil"/>
            </w:tcBorders>
            <w:shd w:val="clear" w:color="auto" w:fill="auto"/>
            <w:noWrap/>
            <w:vAlign w:val="center"/>
          </w:tcPr>
          <w:p w14:paraId="5BA2E495">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0.245</w:t>
            </w:r>
          </w:p>
        </w:tc>
        <w:tc>
          <w:tcPr>
            <w:tcW w:w="463" w:type="pct"/>
            <w:tcBorders>
              <w:top w:val="nil"/>
              <w:left w:val="nil"/>
              <w:bottom w:val="nil"/>
              <w:right w:val="nil"/>
            </w:tcBorders>
            <w:shd w:val="clear" w:color="auto" w:fill="auto"/>
            <w:noWrap/>
            <w:vAlign w:val="center"/>
          </w:tcPr>
          <w:p w14:paraId="611D2DEF">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0.011</w:t>
            </w:r>
          </w:p>
        </w:tc>
      </w:tr>
      <w:tr w14:paraId="5130DE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210" w:type="pct"/>
            <w:tcBorders>
              <w:top w:val="nil"/>
              <w:left w:val="nil"/>
              <w:bottom w:val="nil"/>
              <w:right w:val="nil"/>
            </w:tcBorders>
            <w:shd w:val="clear" w:color="auto" w:fill="auto"/>
            <w:noWrap/>
            <w:vAlign w:val="center"/>
          </w:tcPr>
          <w:p w14:paraId="281CAD4F">
            <w:pPr>
              <w:rPr>
                <w:rFonts w:hint="eastAsia" w:ascii="宋体" w:hAnsi="宋体" w:eastAsia="宋体" w:cs="宋体"/>
                <w:i w:val="0"/>
                <w:iCs w:val="0"/>
                <w:color w:val="000000"/>
                <w:sz w:val="20"/>
                <w:szCs w:val="20"/>
                <w:u w:val="none"/>
              </w:rPr>
            </w:pPr>
          </w:p>
        </w:tc>
        <w:tc>
          <w:tcPr>
            <w:tcW w:w="1963" w:type="pct"/>
            <w:tcBorders>
              <w:top w:val="nil"/>
              <w:left w:val="nil"/>
              <w:bottom w:val="nil"/>
              <w:right w:val="nil"/>
            </w:tcBorders>
            <w:shd w:val="clear" w:color="auto" w:fill="auto"/>
            <w:noWrap/>
            <w:vAlign w:val="center"/>
          </w:tcPr>
          <w:p w14:paraId="42D15C98">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Consistency*Perspective*Group</w:t>
            </w:r>
          </w:p>
        </w:tc>
        <w:tc>
          <w:tcPr>
            <w:tcW w:w="358" w:type="pct"/>
            <w:tcBorders>
              <w:top w:val="nil"/>
              <w:left w:val="nil"/>
              <w:bottom w:val="nil"/>
              <w:right w:val="nil"/>
            </w:tcBorders>
            <w:shd w:val="clear" w:color="auto" w:fill="auto"/>
            <w:noWrap/>
            <w:vAlign w:val="center"/>
          </w:tcPr>
          <w:p w14:paraId="4653AC4E">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532" w:type="pct"/>
            <w:tcBorders>
              <w:top w:val="nil"/>
              <w:left w:val="nil"/>
              <w:bottom w:val="nil"/>
              <w:right w:val="nil"/>
            </w:tcBorders>
            <w:shd w:val="clear" w:color="auto" w:fill="auto"/>
            <w:noWrap/>
            <w:vAlign w:val="center"/>
          </w:tcPr>
          <w:p w14:paraId="0D2C98EE">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0.479</w:t>
            </w:r>
          </w:p>
        </w:tc>
        <w:tc>
          <w:tcPr>
            <w:tcW w:w="472" w:type="pct"/>
            <w:tcBorders>
              <w:top w:val="nil"/>
              <w:left w:val="nil"/>
              <w:bottom w:val="nil"/>
              <w:right w:val="nil"/>
            </w:tcBorders>
            <w:shd w:val="clear" w:color="auto" w:fill="auto"/>
            <w:noWrap/>
            <w:vAlign w:val="center"/>
          </w:tcPr>
          <w:p w14:paraId="28E615D5">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0.490</w:t>
            </w:r>
          </w:p>
        </w:tc>
        <w:tc>
          <w:tcPr>
            <w:tcW w:w="463" w:type="pct"/>
            <w:tcBorders>
              <w:top w:val="nil"/>
              <w:left w:val="nil"/>
              <w:bottom w:val="nil"/>
              <w:right w:val="nil"/>
            </w:tcBorders>
            <w:shd w:val="clear" w:color="auto" w:fill="auto"/>
            <w:noWrap/>
            <w:vAlign w:val="center"/>
          </w:tcPr>
          <w:p w14:paraId="44333FB3">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0.004</w:t>
            </w:r>
          </w:p>
        </w:tc>
      </w:tr>
      <w:tr w14:paraId="1F77B8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210" w:type="pct"/>
            <w:tcBorders>
              <w:top w:val="nil"/>
              <w:left w:val="nil"/>
              <w:bottom w:val="nil"/>
              <w:right w:val="nil"/>
            </w:tcBorders>
            <w:shd w:val="clear" w:color="auto" w:fill="auto"/>
            <w:noWrap/>
            <w:vAlign w:val="center"/>
          </w:tcPr>
          <w:p w14:paraId="70CFCEFA">
            <w:pPr>
              <w:rPr>
                <w:rFonts w:hint="eastAsia" w:ascii="宋体" w:hAnsi="宋体" w:eastAsia="宋体" w:cs="宋体"/>
                <w:i w:val="0"/>
                <w:iCs w:val="0"/>
                <w:color w:val="000000"/>
                <w:sz w:val="20"/>
                <w:szCs w:val="20"/>
                <w:u w:val="none"/>
              </w:rPr>
            </w:pPr>
          </w:p>
        </w:tc>
        <w:tc>
          <w:tcPr>
            <w:tcW w:w="1963" w:type="pct"/>
            <w:tcBorders>
              <w:top w:val="nil"/>
              <w:left w:val="nil"/>
              <w:bottom w:val="nil"/>
              <w:right w:val="nil"/>
            </w:tcBorders>
            <w:shd w:val="clear" w:color="auto" w:fill="auto"/>
            <w:noWrap/>
            <w:vAlign w:val="center"/>
          </w:tcPr>
          <w:p w14:paraId="1FC458C6">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Residuals</w:t>
            </w:r>
          </w:p>
        </w:tc>
        <w:tc>
          <w:tcPr>
            <w:tcW w:w="358" w:type="pct"/>
            <w:tcBorders>
              <w:top w:val="nil"/>
              <w:left w:val="nil"/>
              <w:bottom w:val="nil"/>
              <w:right w:val="nil"/>
            </w:tcBorders>
            <w:shd w:val="clear" w:color="auto" w:fill="auto"/>
            <w:noWrap/>
            <w:vAlign w:val="center"/>
          </w:tcPr>
          <w:p w14:paraId="2ADF1C01">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128</w:t>
            </w:r>
          </w:p>
        </w:tc>
        <w:tc>
          <w:tcPr>
            <w:tcW w:w="532" w:type="pct"/>
            <w:tcBorders>
              <w:top w:val="nil"/>
              <w:left w:val="nil"/>
              <w:bottom w:val="nil"/>
              <w:right w:val="nil"/>
            </w:tcBorders>
            <w:shd w:val="clear" w:color="auto" w:fill="auto"/>
            <w:noWrap/>
            <w:vAlign w:val="center"/>
          </w:tcPr>
          <w:p w14:paraId="71D2DBDD">
            <w:pPr>
              <w:rPr>
                <w:rFonts w:hint="default" w:ascii="Times New Roman" w:hAnsi="Times New Roman" w:eastAsia="宋体" w:cs="Times New Roman"/>
                <w:i w:val="0"/>
                <w:iCs w:val="0"/>
                <w:color w:val="000000"/>
                <w:sz w:val="20"/>
                <w:szCs w:val="20"/>
                <w:u w:val="none"/>
              </w:rPr>
            </w:pPr>
          </w:p>
        </w:tc>
        <w:tc>
          <w:tcPr>
            <w:tcW w:w="472" w:type="pct"/>
            <w:tcBorders>
              <w:top w:val="nil"/>
              <w:left w:val="nil"/>
              <w:bottom w:val="nil"/>
              <w:right w:val="nil"/>
            </w:tcBorders>
            <w:shd w:val="clear" w:color="auto" w:fill="auto"/>
            <w:noWrap/>
            <w:vAlign w:val="center"/>
          </w:tcPr>
          <w:p w14:paraId="065D39EE">
            <w:pPr>
              <w:rPr>
                <w:rFonts w:hint="default" w:ascii="Times New Roman" w:hAnsi="Times New Roman" w:eastAsia="宋体" w:cs="Times New Roman"/>
                <w:i w:val="0"/>
                <w:iCs w:val="0"/>
                <w:color w:val="000000"/>
                <w:sz w:val="20"/>
                <w:szCs w:val="20"/>
                <w:u w:val="none"/>
              </w:rPr>
            </w:pPr>
          </w:p>
        </w:tc>
        <w:tc>
          <w:tcPr>
            <w:tcW w:w="463" w:type="pct"/>
            <w:tcBorders>
              <w:top w:val="nil"/>
              <w:left w:val="nil"/>
              <w:bottom w:val="nil"/>
              <w:right w:val="nil"/>
            </w:tcBorders>
            <w:shd w:val="clear" w:color="auto" w:fill="auto"/>
            <w:noWrap/>
            <w:vAlign w:val="center"/>
          </w:tcPr>
          <w:p w14:paraId="49A265B7">
            <w:pPr>
              <w:rPr>
                <w:rFonts w:hint="default" w:ascii="Times New Roman" w:hAnsi="Times New Roman" w:eastAsia="宋体" w:cs="Times New Roman"/>
                <w:i w:val="0"/>
                <w:iCs w:val="0"/>
                <w:color w:val="000000"/>
                <w:sz w:val="20"/>
                <w:szCs w:val="20"/>
                <w:u w:val="none"/>
              </w:rPr>
            </w:pPr>
          </w:p>
        </w:tc>
      </w:tr>
      <w:tr w14:paraId="6B0173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210" w:type="pct"/>
            <w:tcBorders>
              <w:top w:val="nil"/>
              <w:left w:val="nil"/>
              <w:bottom w:val="nil"/>
              <w:right w:val="nil"/>
            </w:tcBorders>
            <w:shd w:val="clear" w:color="auto" w:fill="auto"/>
            <w:noWrap/>
            <w:vAlign w:val="center"/>
          </w:tcPr>
          <w:p w14:paraId="1A399FFA">
            <w:pPr>
              <w:rPr>
                <w:rFonts w:hint="eastAsia" w:ascii="宋体" w:hAnsi="宋体" w:eastAsia="宋体" w:cs="宋体"/>
                <w:i w:val="0"/>
                <w:iCs w:val="0"/>
                <w:color w:val="000000"/>
                <w:sz w:val="20"/>
                <w:szCs w:val="20"/>
                <w:u w:val="none"/>
              </w:rPr>
            </w:pPr>
          </w:p>
        </w:tc>
        <w:tc>
          <w:tcPr>
            <w:tcW w:w="1963" w:type="pct"/>
            <w:tcBorders>
              <w:top w:val="nil"/>
              <w:left w:val="nil"/>
              <w:bottom w:val="nil"/>
              <w:right w:val="nil"/>
            </w:tcBorders>
            <w:shd w:val="clear" w:color="auto" w:fill="auto"/>
            <w:noWrap/>
            <w:vAlign w:val="center"/>
          </w:tcPr>
          <w:p w14:paraId="2FE07918">
            <w:pPr>
              <w:rPr>
                <w:rFonts w:hint="eastAsia" w:ascii="宋体" w:hAnsi="宋体" w:eastAsia="宋体" w:cs="宋体"/>
                <w:i w:val="0"/>
                <w:iCs w:val="0"/>
                <w:color w:val="000000"/>
                <w:sz w:val="20"/>
                <w:szCs w:val="20"/>
                <w:u w:val="none"/>
              </w:rPr>
            </w:pPr>
          </w:p>
        </w:tc>
        <w:tc>
          <w:tcPr>
            <w:tcW w:w="358" w:type="pct"/>
            <w:tcBorders>
              <w:top w:val="nil"/>
              <w:left w:val="nil"/>
              <w:bottom w:val="nil"/>
              <w:right w:val="nil"/>
            </w:tcBorders>
            <w:shd w:val="clear" w:color="auto" w:fill="auto"/>
            <w:noWrap/>
            <w:vAlign w:val="center"/>
          </w:tcPr>
          <w:p w14:paraId="1E998A24">
            <w:pPr>
              <w:jc w:val="right"/>
              <w:rPr>
                <w:rFonts w:hint="default" w:ascii="Times New Roman" w:hAnsi="Times New Roman" w:eastAsia="宋体" w:cs="Times New Roman"/>
                <w:b/>
                <w:bCs/>
                <w:i w:val="0"/>
                <w:iCs w:val="0"/>
                <w:color w:val="000000"/>
                <w:sz w:val="20"/>
                <w:szCs w:val="20"/>
                <w:u w:val="none"/>
              </w:rPr>
            </w:pPr>
          </w:p>
        </w:tc>
        <w:tc>
          <w:tcPr>
            <w:tcW w:w="532" w:type="pct"/>
            <w:tcBorders>
              <w:top w:val="nil"/>
              <w:left w:val="nil"/>
              <w:bottom w:val="nil"/>
              <w:right w:val="nil"/>
            </w:tcBorders>
            <w:shd w:val="clear" w:color="auto" w:fill="auto"/>
            <w:noWrap/>
            <w:vAlign w:val="center"/>
          </w:tcPr>
          <w:p w14:paraId="25ECF82A">
            <w:pPr>
              <w:jc w:val="right"/>
              <w:rPr>
                <w:rFonts w:hint="default" w:ascii="Times New Roman" w:hAnsi="Times New Roman" w:eastAsia="宋体" w:cs="Times New Roman"/>
                <w:b/>
                <w:bCs/>
                <w:i w:val="0"/>
                <w:iCs w:val="0"/>
                <w:color w:val="000000"/>
                <w:sz w:val="20"/>
                <w:szCs w:val="20"/>
                <w:u w:val="none"/>
              </w:rPr>
            </w:pPr>
          </w:p>
        </w:tc>
        <w:tc>
          <w:tcPr>
            <w:tcW w:w="472" w:type="pct"/>
            <w:tcBorders>
              <w:top w:val="nil"/>
              <w:left w:val="nil"/>
              <w:bottom w:val="nil"/>
              <w:right w:val="nil"/>
            </w:tcBorders>
            <w:shd w:val="clear" w:color="auto" w:fill="auto"/>
            <w:noWrap/>
            <w:vAlign w:val="center"/>
          </w:tcPr>
          <w:p w14:paraId="18E030C7">
            <w:pPr>
              <w:jc w:val="right"/>
              <w:rPr>
                <w:rFonts w:hint="default" w:ascii="Times New Roman" w:hAnsi="Times New Roman" w:eastAsia="宋体" w:cs="Times New Roman"/>
                <w:b/>
                <w:bCs/>
                <w:i/>
                <w:iCs/>
                <w:color w:val="000000"/>
                <w:sz w:val="20"/>
                <w:szCs w:val="20"/>
                <w:u w:val="none"/>
              </w:rPr>
            </w:pPr>
          </w:p>
        </w:tc>
        <w:tc>
          <w:tcPr>
            <w:tcW w:w="463" w:type="pct"/>
            <w:tcBorders>
              <w:top w:val="nil"/>
              <w:left w:val="nil"/>
              <w:bottom w:val="nil"/>
              <w:right w:val="nil"/>
            </w:tcBorders>
            <w:shd w:val="clear" w:color="auto" w:fill="auto"/>
            <w:noWrap/>
            <w:vAlign w:val="center"/>
          </w:tcPr>
          <w:p w14:paraId="66E91D0E">
            <w:pPr>
              <w:jc w:val="right"/>
              <w:rPr>
                <w:rFonts w:hint="default" w:ascii="Times New Roman" w:hAnsi="Times New Roman" w:eastAsia="宋体" w:cs="Times New Roman"/>
                <w:b/>
                <w:bCs/>
                <w:i w:val="0"/>
                <w:iCs w:val="0"/>
                <w:color w:val="000000"/>
                <w:sz w:val="20"/>
                <w:szCs w:val="20"/>
                <w:u w:val="none"/>
              </w:rPr>
            </w:pPr>
          </w:p>
        </w:tc>
      </w:tr>
      <w:tr w14:paraId="11225B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210" w:type="pct"/>
            <w:tcBorders>
              <w:top w:val="nil"/>
              <w:left w:val="nil"/>
              <w:bottom w:val="nil"/>
              <w:right w:val="nil"/>
            </w:tcBorders>
            <w:shd w:val="clear" w:color="auto" w:fill="auto"/>
            <w:noWrap/>
            <w:vAlign w:val="center"/>
          </w:tcPr>
          <w:p w14:paraId="792BEBEF">
            <w:pPr>
              <w:keepNext w:val="0"/>
              <w:keepLines w:val="0"/>
              <w:widowControl/>
              <w:suppressLineNumbers w:val="0"/>
              <w:jc w:val="lef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Percentage errors</w:t>
            </w:r>
          </w:p>
        </w:tc>
        <w:tc>
          <w:tcPr>
            <w:tcW w:w="1963" w:type="pct"/>
            <w:tcBorders>
              <w:top w:val="nil"/>
              <w:left w:val="nil"/>
              <w:bottom w:val="nil"/>
              <w:right w:val="nil"/>
            </w:tcBorders>
            <w:shd w:val="clear" w:color="auto" w:fill="auto"/>
            <w:noWrap/>
            <w:vAlign w:val="center"/>
          </w:tcPr>
          <w:p w14:paraId="334DB7A1">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Consistency</w:t>
            </w:r>
          </w:p>
        </w:tc>
        <w:tc>
          <w:tcPr>
            <w:tcW w:w="358" w:type="pct"/>
            <w:tcBorders>
              <w:top w:val="nil"/>
              <w:left w:val="nil"/>
              <w:bottom w:val="nil"/>
              <w:right w:val="nil"/>
            </w:tcBorders>
            <w:shd w:val="clear" w:color="auto" w:fill="auto"/>
            <w:noWrap/>
            <w:vAlign w:val="center"/>
          </w:tcPr>
          <w:p w14:paraId="05CA74C3">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532" w:type="pct"/>
            <w:tcBorders>
              <w:top w:val="nil"/>
              <w:left w:val="nil"/>
              <w:bottom w:val="nil"/>
              <w:right w:val="nil"/>
            </w:tcBorders>
            <w:shd w:val="clear" w:color="auto" w:fill="auto"/>
            <w:noWrap/>
            <w:vAlign w:val="center"/>
          </w:tcPr>
          <w:p w14:paraId="179E8DAC">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16.548</w:t>
            </w:r>
          </w:p>
        </w:tc>
        <w:tc>
          <w:tcPr>
            <w:tcW w:w="472" w:type="pct"/>
            <w:tcBorders>
              <w:top w:val="nil"/>
              <w:left w:val="nil"/>
              <w:bottom w:val="nil"/>
              <w:right w:val="nil"/>
            </w:tcBorders>
            <w:shd w:val="clear" w:color="auto" w:fill="auto"/>
            <w:noWrap/>
            <w:vAlign w:val="center"/>
          </w:tcPr>
          <w:p w14:paraId="2190E549">
            <w:pPr>
              <w:keepNext w:val="0"/>
              <w:keepLines w:val="0"/>
              <w:widowControl/>
              <w:suppressLineNumbers w:val="0"/>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&lt;.001</w:t>
            </w:r>
          </w:p>
        </w:tc>
        <w:tc>
          <w:tcPr>
            <w:tcW w:w="463" w:type="pct"/>
            <w:tcBorders>
              <w:top w:val="nil"/>
              <w:left w:val="nil"/>
              <w:bottom w:val="nil"/>
              <w:right w:val="nil"/>
            </w:tcBorders>
            <w:shd w:val="clear" w:color="auto" w:fill="auto"/>
            <w:noWrap/>
            <w:vAlign w:val="center"/>
          </w:tcPr>
          <w:p w14:paraId="533941F5">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0.114</w:t>
            </w:r>
          </w:p>
        </w:tc>
      </w:tr>
      <w:tr w14:paraId="31E7CC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210" w:type="pct"/>
            <w:tcBorders>
              <w:top w:val="nil"/>
              <w:left w:val="nil"/>
              <w:bottom w:val="nil"/>
              <w:right w:val="nil"/>
            </w:tcBorders>
            <w:shd w:val="clear" w:color="auto" w:fill="auto"/>
            <w:noWrap/>
            <w:vAlign w:val="center"/>
          </w:tcPr>
          <w:p w14:paraId="69BF8348">
            <w:pPr>
              <w:rPr>
                <w:rFonts w:hint="eastAsia" w:ascii="宋体" w:hAnsi="宋体" w:eastAsia="宋体" w:cs="宋体"/>
                <w:i w:val="0"/>
                <w:iCs w:val="0"/>
                <w:color w:val="000000"/>
                <w:sz w:val="20"/>
                <w:szCs w:val="20"/>
                <w:u w:val="none"/>
              </w:rPr>
            </w:pPr>
          </w:p>
        </w:tc>
        <w:tc>
          <w:tcPr>
            <w:tcW w:w="1963" w:type="pct"/>
            <w:tcBorders>
              <w:top w:val="nil"/>
              <w:left w:val="nil"/>
              <w:bottom w:val="nil"/>
              <w:right w:val="nil"/>
            </w:tcBorders>
            <w:shd w:val="clear" w:color="auto" w:fill="auto"/>
            <w:noWrap/>
            <w:vAlign w:val="center"/>
          </w:tcPr>
          <w:p w14:paraId="6FC3C98C">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Perspective</w:t>
            </w:r>
          </w:p>
        </w:tc>
        <w:tc>
          <w:tcPr>
            <w:tcW w:w="358" w:type="pct"/>
            <w:tcBorders>
              <w:top w:val="nil"/>
              <w:left w:val="nil"/>
              <w:bottom w:val="nil"/>
              <w:right w:val="nil"/>
            </w:tcBorders>
            <w:shd w:val="clear" w:color="auto" w:fill="auto"/>
            <w:noWrap/>
            <w:vAlign w:val="center"/>
          </w:tcPr>
          <w:p w14:paraId="5952D577">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532" w:type="pct"/>
            <w:tcBorders>
              <w:top w:val="nil"/>
              <w:left w:val="nil"/>
              <w:bottom w:val="nil"/>
              <w:right w:val="nil"/>
            </w:tcBorders>
            <w:shd w:val="clear" w:color="auto" w:fill="auto"/>
            <w:noWrap/>
            <w:vAlign w:val="center"/>
          </w:tcPr>
          <w:p w14:paraId="645ED228">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0.029</w:t>
            </w:r>
          </w:p>
        </w:tc>
        <w:tc>
          <w:tcPr>
            <w:tcW w:w="472" w:type="pct"/>
            <w:tcBorders>
              <w:top w:val="nil"/>
              <w:left w:val="nil"/>
              <w:bottom w:val="nil"/>
              <w:right w:val="nil"/>
            </w:tcBorders>
            <w:shd w:val="clear" w:color="auto" w:fill="auto"/>
            <w:noWrap/>
            <w:vAlign w:val="center"/>
          </w:tcPr>
          <w:p w14:paraId="0C6839BA">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0.865</w:t>
            </w:r>
          </w:p>
        </w:tc>
        <w:tc>
          <w:tcPr>
            <w:tcW w:w="463" w:type="pct"/>
            <w:tcBorders>
              <w:top w:val="nil"/>
              <w:left w:val="nil"/>
              <w:bottom w:val="nil"/>
              <w:right w:val="nil"/>
            </w:tcBorders>
            <w:shd w:val="clear" w:color="auto" w:fill="auto"/>
            <w:noWrap/>
            <w:vAlign w:val="center"/>
          </w:tcPr>
          <w:p w14:paraId="77890139">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0.000</w:t>
            </w:r>
          </w:p>
        </w:tc>
      </w:tr>
      <w:tr w14:paraId="307E42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210" w:type="pct"/>
            <w:tcBorders>
              <w:top w:val="nil"/>
              <w:left w:val="nil"/>
              <w:bottom w:val="nil"/>
              <w:right w:val="nil"/>
            </w:tcBorders>
            <w:shd w:val="clear" w:color="auto" w:fill="auto"/>
            <w:noWrap/>
            <w:vAlign w:val="center"/>
          </w:tcPr>
          <w:p w14:paraId="59FC5BAF">
            <w:pPr>
              <w:rPr>
                <w:rFonts w:hint="eastAsia" w:ascii="宋体" w:hAnsi="宋体" w:eastAsia="宋体" w:cs="宋体"/>
                <w:i w:val="0"/>
                <w:iCs w:val="0"/>
                <w:color w:val="000000"/>
                <w:sz w:val="20"/>
                <w:szCs w:val="20"/>
                <w:u w:val="none"/>
              </w:rPr>
            </w:pPr>
          </w:p>
        </w:tc>
        <w:tc>
          <w:tcPr>
            <w:tcW w:w="1963" w:type="pct"/>
            <w:tcBorders>
              <w:top w:val="nil"/>
              <w:left w:val="nil"/>
              <w:bottom w:val="nil"/>
              <w:right w:val="nil"/>
            </w:tcBorders>
            <w:shd w:val="clear" w:color="auto" w:fill="auto"/>
            <w:noWrap/>
            <w:vAlign w:val="center"/>
          </w:tcPr>
          <w:p w14:paraId="66C6A197">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Group</w:t>
            </w:r>
          </w:p>
        </w:tc>
        <w:tc>
          <w:tcPr>
            <w:tcW w:w="358" w:type="pct"/>
            <w:tcBorders>
              <w:top w:val="nil"/>
              <w:left w:val="nil"/>
              <w:bottom w:val="nil"/>
              <w:right w:val="nil"/>
            </w:tcBorders>
            <w:shd w:val="clear" w:color="auto" w:fill="auto"/>
            <w:noWrap/>
            <w:vAlign w:val="center"/>
          </w:tcPr>
          <w:p w14:paraId="0D36E9A1">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532" w:type="pct"/>
            <w:tcBorders>
              <w:top w:val="nil"/>
              <w:left w:val="nil"/>
              <w:bottom w:val="nil"/>
              <w:right w:val="nil"/>
            </w:tcBorders>
            <w:shd w:val="clear" w:color="auto" w:fill="auto"/>
            <w:noWrap/>
            <w:vAlign w:val="center"/>
          </w:tcPr>
          <w:p w14:paraId="09170435">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0.0002</w:t>
            </w:r>
          </w:p>
        </w:tc>
        <w:tc>
          <w:tcPr>
            <w:tcW w:w="472" w:type="pct"/>
            <w:tcBorders>
              <w:top w:val="nil"/>
              <w:left w:val="nil"/>
              <w:bottom w:val="nil"/>
              <w:right w:val="nil"/>
            </w:tcBorders>
            <w:shd w:val="clear" w:color="auto" w:fill="auto"/>
            <w:noWrap/>
            <w:vAlign w:val="center"/>
          </w:tcPr>
          <w:p w14:paraId="298C77E5">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0.989</w:t>
            </w:r>
          </w:p>
        </w:tc>
        <w:tc>
          <w:tcPr>
            <w:tcW w:w="463" w:type="pct"/>
            <w:tcBorders>
              <w:top w:val="nil"/>
              <w:left w:val="nil"/>
              <w:bottom w:val="nil"/>
              <w:right w:val="nil"/>
            </w:tcBorders>
            <w:shd w:val="clear" w:color="auto" w:fill="auto"/>
            <w:noWrap/>
            <w:vAlign w:val="center"/>
          </w:tcPr>
          <w:p w14:paraId="4645D79E">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0.000</w:t>
            </w:r>
          </w:p>
        </w:tc>
      </w:tr>
      <w:tr w14:paraId="5D5B37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210" w:type="pct"/>
            <w:tcBorders>
              <w:top w:val="nil"/>
              <w:left w:val="nil"/>
              <w:bottom w:val="nil"/>
              <w:right w:val="nil"/>
            </w:tcBorders>
            <w:shd w:val="clear" w:color="auto" w:fill="auto"/>
            <w:noWrap/>
            <w:vAlign w:val="center"/>
          </w:tcPr>
          <w:p w14:paraId="6F56A3DC">
            <w:pPr>
              <w:rPr>
                <w:rFonts w:hint="eastAsia" w:ascii="宋体" w:hAnsi="宋体" w:eastAsia="宋体" w:cs="宋体"/>
                <w:i w:val="0"/>
                <w:iCs w:val="0"/>
                <w:color w:val="000000"/>
                <w:sz w:val="20"/>
                <w:szCs w:val="20"/>
                <w:u w:val="none"/>
              </w:rPr>
            </w:pPr>
          </w:p>
        </w:tc>
        <w:tc>
          <w:tcPr>
            <w:tcW w:w="1963" w:type="pct"/>
            <w:tcBorders>
              <w:top w:val="nil"/>
              <w:left w:val="nil"/>
              <w:bottom w:val="nil"/>
              <w:right w:val="nil"/>
            </w:tcBorders>
            <w:shd w:val="clear" w:color="auto" w:fill="auto"/>
            <w:noWrap/>
            <w:vAlign w:val="center"/>
          </w:tcPr>
          <w:p w14:paraId="64DBBC28">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Consistency*Perspective</w:t>
            </w:r>
          </w:p>
        </w:tc>
        <w:tc>
          <w:tcPr>
            <w:tcW w:w="358" w:type="pct"/>
            <w:tcBorders>
              <w:top w:val="nil"/>
              <w:left w:val="nil"/>
              <w:bottom w:val="nil"/>
              <w:right w:val="nil"/>
            </w:tcBorders>
            <w:shd w:val="clear" w:color="auto" w:fill="auto"/>
            <w:noWrap/>
            <w:vAlign w:val="center"/>
          </w:tcPr>
          <w:p w14:paraId="07C6C590">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532" w:type="pct"/>
            <w:tcBorders>
              <w:top w:val="nil"/>
              <w:left w:val="nil"/>
              <w:bottom w:val="nil"/>
              <w:right w:val="nil"/>
            </w:tcBorders>
            <w:shd w:val="clear" w:color="auto" w:fill="auto"/>
            <w:noWrap/>
            <w:vAlign w:val="center"/>
          </w:tcPr>
          <w:p w14:paraId="4F354A76">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9.270</w:t>
            </w:r>
          </w:p>
        </w:tc>
        <w:tc>
          <w:tcPr>
            <w:tcW w:w="472" w:type="pct"/>
            <w:tcBorders>
              <w:top w:val="nil"/>
              <w:left w:val="nil"/>
              <w:bottom w:val="nil"/>
              <w:right w:val="nil"/>
            </w:tcBorders>
            <w:shd w:val="clear" w:color="auto" w:fill="auto"/>
            <w:noWrap/>
            <w:vAlign w:val="center"/>
          </w:tcPr>
          <w:p w14:paraId="143A17DD">
            <w:pPr>
              <w:keepNext w:val="0"/>
              <w:keepLines w:val="0"/>
              <w:widowControl/>
              <w:suppressLineNumbers w:val="0"/>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0.003</w:t>
            </w:r>
          </w:p>
        </w:tc>
        <w:tc>
          <w:tcPr>
            <w:tcW w:w="463" w:type="pct"/>
            <w:tcBorders>
              <w:top w:val="nil"/>
              <w:left w:val="nil"/>
              <w:bottom w:val="nil"/>
              <w:right w:val="nil"/>
            </w:tcBorders>
            <w:shd w:val="clear" w:color="auto" w:fill="auto"/>
            <w:noWrap/>
            <w:vAlign w:val="center"/>
          </w:tcPr>
          <w:p w14:paraId="0A758C23">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0.068</w:t>
            </w:r>
          </w:p>
        </w:tc>
      </w:tr>
      <w:tr w14:paraId="1A311F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210" w:type="pct"/>
            <w:tcBorders>
              <w:top w:val="nil"/>
              <w:left w:val="nil"/>
              <w:bottom w:val="nil"/>
              <w:right w:val="nil"/>
            </w:tcBorders>
            <w:shd w:val="clear" w:color="auto" w:fill="auto"/>
            <w:noWrap/>
            <w:vAlign w:val="center"/>
          </w:tcPr>
          <w:p w14:paraId="78C3AADF">
            <w:pPr>
              <w:rPr>
                <w:rFonts w:hint="eastAsia" w:ascii="宋体" w:hAnsi="宋体" w:eastAsia="宋体" w:cs="宋体"/>
                <w:i w:val="0"/>
                <w:iCs w:val="0"/>
                <w:color w:val="000000"/>
                <w:sz w:val="20"/>
                <w:szCs w:val="20"/>
                <w:u w:val="none"/>
              </w:rPr>
            </w:pPr>
          </w:p>
        </w:tc>
        <w:tc>
          <w:tcPr>
            <w:tcW w:w="1963" w:type="pct"/>
            <w:tcBorders>
              <w:top w:val="nil"/>
              <w:left w:val="nil"/>
              <w:bottom w:val="nil"/>
              <w:right w:val="nil"/>
            </w:tcBorders>
            <w:shd w:val="clear" w:color="auto" w:fill="auto"/>
            <w:noWrap/>
            <w:vAlign w:val="center"/>
          </w:tcPr>
          <w:p w14:paraId="4C208BA9">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Consistency*Group</w:t>
            </w:r>
          </w:p>
        </w:tc>
        <w:tc>
          <w:tcPr>
            <w:tcW w:w="358" w:type="pct"/>
            <w:tcBorders>
              <w:top w:val="nil"/>
              <w:left w:val="nil"/>
              <w:bottom w:val="nil"/>
              <w:right w:val="nil"/>
            </w:tcBorders>
            <w:shd w:val="clear" w:color="auto" w:fill="auto"/>
            <w:noWrap/>
            <w:vAlign w:val="center"/>
          </w:tcPr>
          <w:p w14:paraId="137DBE8B">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532" w:type="pct"/>
            <w:tcBorders>
              <w:top w:val="nil"/>
              <w:left w:val="nil"/>
              <w:bottom w:val="nil"/>
              <w:right w:val="nil"/>
            </w:tcBorders>
            <w:shd w:val="clear" w:color="auto" w:fill="auto"/>
            <w:noWrap/>
            <w:vAlign w:val="center"/>
          </w:tcPr>
          <w:p w14:paraId="5670EE6C">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0.815</w:t>
            </w:r>
          </w:p>
        </w:tc>
        <w:tc>
          <w:tcPr>
            <w:tcW w:w="472" w:type="pct"/>
            <w:tcBorders>
              <w:top w:val="nil"/>
              <w:left w:val="nil"/>
              <w:bottom w:val="nil"/>
              <w:right w:val="nil"/>
            </w:tcBorders>
            <w:shd w:val="clear" w:color="auto" w:fill="auto"/>
            <w:noWrap/>
            <w:vAlign w:val="center"/>
          </w:tcPr>
          <w:p w14:paraId="366702A4">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0.368</w:t>
            </w:r>
          </w:p>
        </w:tc>
        <w:tc>
          <w:tcPr>
            <w:tcW w:w="463" w:type="pct"/>
            <w:tcBorders>
              <w:top w:val="nil"/>
              <w:left w:val="nil"/>
              <w:bottom w:val="nil"/>
              <w:right w:val="nil"/>
            </w:tcBorders>
            <w:shd w:val="clear" w:color="auto" w:fill="auto"/>
            <w:noWrap/>
            <w:vAlign w:val="center"/>
          </w:tcPr>
          <w:p w14:paraId="3EE0D024">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0.006</w:t>
            </w:r>
          </w:p>
        </w:tc>
      </w:tr>
      <w:tr w14:paraId="0015DB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210" w:type="pct"/>
            <w:tcBorders>
              <w:top w:val="nil"/>
              <w:left w:val="nil"/>
              <w:bottom w:val="nil"/>
              <w:right w:val="nil"/>
            </w:tcBorders>
            <w:shd w:val="clear" w:color="auto" w:fill="auto"/>
            <w:noWrap/>
            <w:vAlign w:val="center"/>
          </w:tcPr>
          <w:p w14:paraId="3990B7F4">
            <w:pPr>
              <w:rPr>
                <w:rFonts w:hint="eastAsia" w:ascii="宋体" w:hAnsi="宋体" w:eastAsia="宋体" w:cs="宋体"/>
                <w:i w:val="0"/>
                <w:iCs w:val="0"/>
                <w:color w:val="000000"/>
                <w:sz w:val="20"/>
                <w:szCs w:val="20"/>
                <w:u w:val="none"/>
              </w:rPr>
            </w:pPr>
          </w:p>
        </w:tc>
        <w:tc>
          <w:tcPr>
            <w:tcW w:w="1963" w:type="pct"/>
            <w:tcBorders>
              <w:top w:val="nil"/>
              <w:left w:val="nil"/>
              <w:bottom w:val="nil"/>
              <w:right w:val="nil"/>
            </w:tcBorders>
            <w:shd w:val="clear" w:color="auto" w:fill="auto"/>
            <w:noWrap/>
            <w:vAlign w:val="center"/>
          </w:tcPr>
          <w:p w14:paraId="75BB4234">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Perspective*Group</w:t>
            </w:r>
          </w:p>
        </w:tc>
        <w:tc>
          <w:tcPr>
            <w:tcW w:w="358" w:type="pct"/>
            <w:tcBorders>
              <w:top w:val="nil"/>
              <w:left w:val="nil"/>
              <w:bottom w:val="nil"/>
              <w:right w:val="nil"/>
            </w:tcBorders>
            <w:shd w:val="clear" w:color="auto" w:fill="auto"/>
            <w:noWrap/>
            <w:vAlign w:val="center"/>
          </w:tcPr>
          <w:p w14:paraId="61B87F7F">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532" w:type="pct"/>
            <w:tcBorders>
              <w:top w:val="nil"/>
              <w:left w:val="nil"/>
              <w:bottom w:val="nil"/>
              <w:right w:val="nil"/>
            </w:tcBorders>
            <w:shd w:val="clear" w:color="auto" w:fill="auto"/>
            <w:noWrap/>
            <w:vAlign w:val="center"/>
          </w:tcPr>
          <w:p w14:paraId="5A81A242">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0.475</w:t>
            </w:r>
          </w:p>
        </w:tc>
        <w:tc>
          <w:tcPr>
            <w:tcW w:w="472" w:type="pct"/>
            <w:tcBorders>
              <w:top w:val="nil"/>
              <w:left w:val="nil"/>
              <w:bottom w:val="nil"/>
              <w:right w:val="nil"/>
            </w:tcBorders>
            <w:shd w:val="clear" w:color="auto" w:fill="auto"/>
            <w:noWrap/>
            <w:vAlign w:val="center"/>
          </w:tcPr>
          <w:p w14:paraId="32E2BAD9">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0.492</w:t>
            </w:r>
          </w:p>
        </w:tc>
        <w:tc>
          <w:tcPr>
            <w:tcW w:w="463" w:type="pct"/>
            <w:tcBorders>
              <w:top w:val="nil"/>
              <w:left w:val="nil"/>
              <w:bottom w:val="nil"/>
              <w:right w:val="nil"/>
            </w:tcBorders>
            <w:shd w:val="clear" w:color="auto" w:fill="auto"/>
            <w:noWrap/>
            <w:vAlign w:val="center"/>
          </w:tcPr>
          <w:p w14:paraId="1C8824DF">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0.004</w:t>
            </w:r>
          </w:p>
        </w:tc>
      </w:tr>
      <w:tr w14:paraId="7153D2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210" w:type="pct"/>
            <w:tcBorders>
              <w:top w:val="nil"/>
              <w:left w:val="nil"/>
              <w:bottom w:val="nil"/>
              <w:right w:val="nil"/>
            </w:tcBorders>
            <w:shd w:val="clear" w:color="auto" w:fill="auto"/>
            <w:noWrap/>
            <w:vAlign w:val="center"/>
          </w:tcPr>
          <w:p w14:paraId="2A91930D">
            <w:pPr>
              <w:rPr>
                <w:rFonts w:hint="eastAsia" w:ascii="宋体" w:hAnsi="宋体" w:eastAsia="宋体" w:cs="宋体"/>
                <w:i w:val="0"/>
                <w:iCs w:val="0"/>
                <w:color w:val="000000"/>
                <w:sz w:val="20"/>
                <w:szCs w:val="20"/>
                <w:u w:val="none"/>
              </w:rPr>
            </w:pPr>
          </w:p>
        </w:tc>
        <w:tc>
          <w:tcPr>
            <w:tcW w:w="1963" w:type="pct"/>
            <w:tcBorders>
              <w:top w:val="nil"/>
              <w:left w:val="nil"/>
              <w:bottom w:val="nil"/>
              <w:right w:val="nil"/>
            </w:tcBorders>
            <w:shd w:val="clear" w:color="auto" w:fill="auto"/>
            <w:noWrap/>
            <w:vAlign w:val="center"/>
          </w:tcPr>
          <w:p w14:paraId="1A721055">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Consistency*Perspective*Group</w:t>
            </w:r>
          </w:p>
        </w:tc>
        <w:tc>
          <w:tcPr>
            <w:tcW w:w="358" w:type="pct"/>
            <w:tcBorders>
              <w:top w:val="nil"/>
              <w:left w:val="nil"/>
              <w:bottom w:val="nil"/>
              <w:right w:val="nil"/>
            </w:tcBorders>
            <w:shd w:val="clear" w:color="auto" w:fill="auto"/>
            <w:noWrap/>
            <w:vAlign w:val="center"/>
          </w:tcPr>
          <w:p w14:paraId="4C5A9DE4">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532" w:type="pct"/>
            <w:tcBorders>
              <w:top w:val="nil"/>
              <w:left w:val="nil"/>
              <w:bottom w:val="nil"/>
              <w:right w:val="nil"/>
            </w:tcBorders>
            <w:shd w:val="clear" w:color="auto" w:fill="auto"/>
            <w:noWrap/>
            <w:vAlign w:val="center"/>
          </w:tcPr>
          <w:p w14:paraId="7D237368">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1.140</w:t>
            </w:r>
          </w:p>
        </w:tc>
        <w:tc>
          <w:tcPr>
            <w:tcW w:w="472" w:type="pct"/>
            <w:tcBorders>
              <w:top w:val="nil"/>
              <w:left w:val="nil"/>
              <w:bottom w:val="nil"/>
              <w:right w:val="nil"/>
            </w:tcBorders>
            <w:shd w:val="clear" w:color="auto" w:fill="auto"/>
            <w:noWrap/>
            <w:vAlign w:val="center"/>
          </w:tcPr>
          <w:p w14:paraId="50CE9925">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0.288</w:t>
            </w:r>
          </w:p>
        </w:tc>
        <w:tc>
          <w:tcPr>
            <w:tcW w:w="463" w:type="pct"/>
            <w:tcBorders>
              <w:top w:val="nil"/>
              <w:left w:val="nil"/>
              <w:bottom w:val="nil"/>
              <w:right w:val="nil"/>
            </w:tcBorders>
            <w:shd w:val="clear" w:color="auto" w:fill="auto"/>
            <w:noWrap/>
            <w:vAlign w:val="center"/>
          </w:tcPr>
          <w:p w14:paraId="0226FDBB">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0.009</w:t>
            </w:r>
          </w:p>
        </w:tc>
      </w:tr>
      <w:tr w14:paraId="58D7EF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210" w:type="pct"/>
            <w:tcBorders>
              <w:top w:val="nil"/>
              <w:left w:val="nil"/>
              <w:bottom w:val="single" w:color="000000" w:sz="8" w:space="0"/>
              <w:right w:val="nil"/>
            </w:tcBorders>
            <w:shd w:val="clear" w:color="auto" w:fill="auto"/>
            <w:noWrap/>
            <w:vAlign w:val="center"/>
          </w:tcPr>
          <w:p w14:paraId="0209C22C">
            <w:pPr>
              <w:rPr>
                <w:rFonts w:hint="eastAsia" w:ascii="宋体" w:hAnsi="宋体" w:eastAsia="宋体" w:cs="宋体"/>
                <w:i w:val="0"/>
                <w:iCs w:val="0"/>
                <w:color w:val="000000"/>
                <w:sz w:val="20"/>
                <w:szCs w:val="20"/>
                <w:u w:val="none"/>
              </w:rPr>
            </w:pPr>
          </w:p>
        </w:tc>
        <w:tc>
          <w:tcPr>
            <w:tcW w:w="1963" w:type="pct"/>
            <w:tcBorders>
              <w:top w:val="nil"/>
              <w:left w:val="nil"/>
              <w:bottom w:val="single" w:color="000000" w:sz="8" w:space="0"/>
              <w:right w:val="nil"/>
            </w:tcBorders>
            <w:shd w:val="clear" w:color="auto" w:fill="auto"/>
            <w:noWrap/>
            <w:vAlign w:val="center"/>
          </w:tcPr>
          <w:p w14:paraId="3FA96B58">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Residuals</w:t>
            </w:r>
          </w:p>
        </w:tc>
        <w:tc>
          <w:tcPr>
            <w:tcW w:w="358" w:type="pct"/>
            <w:tcBorders>
              <w:top w:val="nil"/>
              <w:left w:val="nil"/>
              <w:bottom w:val="single" w:color="000000" w:sz="8" w:space="0"/>
              <w:right w:val="nil"/>
            </w:tcBorders>
            <w:shd w:val="clear" w:color="auto" w:fill="auto"/>
            <w:noWrap/>
            <w:vAlign w:val="center"/>
          </w:tcPr>
          <w:p w14:paraId="19D27BE9">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128</w:t>
            </w:r>
          </w:p>
        </w:tc>
        <w:tc>
          <w:tcPr>
            <w:tcW w:w="532" w:type="pct"/>
            <w:tcBorders>
              <w:top w:val="nil"/>
              <w:left w:val="nil"/>
              <w:bottom w:val="single" w:color="000000" w:sz="8" w:space="0"/>
              <w:right w:val="nil"/>
            </w:tcBorders>
            <w:shd w:val="clear" w:color="auto" w:fill="auto"/>
            <w:noWrap/>
            <w:vAlign w:val="center"/>
          </w:tcPr>
          <w:p w14:paraId="40F78B32">
            <w:pPr>
              <w:jc w:val="right"/>
              <w:rPr>
                <w:rFonts w:hint="default" w:ascii="Times New Roman" w:hAnsi="Times New Roman" w:eastAsia="宋体" w:cs="Times New Roman"/>
                <w:i w:val="0"/>
                <w:iCs w:val="0"/>
                <w:color w:val="000000"/>
                <w:sz w:val="20"/>
                <w:szCs w:val="20"/>
                <w:u w:val="none"/>
              </w:rPr>
            </w:pPr>
          </w:p>
        </w:tc>
        <w:tc>
          <w:tcPr>
            <w:tcW w:w="472" w:type="pct"/>
            <w:tcBorders>
              <w:top w:val="nil"/>
              <w:left w:val="nil"/>
              <w:bottom w:val="single" w:color="000000" w:sz="8" w:space="0"/>
              <w:right w:val="nil"/>
            </w:tcBorders>
            <w:shd w:val="clear" w:color="auto" w:fill="auto"/>
            <w:noWrap/>
            <w:vAlign w:val="center"/>
          </w:tcPr>
          <w:p w14:paraId="7047D942">
            <w:pPr>
              <w:rPr>
                <w:rFonts w:hint="default" w:ascii="Times New Roman" w:hAnsi="Times New Roman" w:eastAsia="宋体" w:cs="Times New Roman"/>
                <w:i w:val="0"/>
                <w:iCs w:val="0"/>
                <w:color w:val="000000"/>
                <w:sz w:val="20"/>
                <w:szCs w:val="20"/>
                <w:u w:val="none"/>
              </w:rPr>
            </w:pPr>
          </w:p>
        </w:tc>
        <w:tc>
          <w:tcPr>
            <w:tcW w:w="463" w:type="pct"/>
            <w:tcBorders>
              <w:top w:val="nil"/>
              <w:left w:val="nil"/>
              <w:bottom w:val="single" w:color="000000" w:sz="8" w:space="0"/>
              <w:right w:val="nil"/>
            </w:tcBorders>
            <w:shd w:val="clear" w:color="auto" w:fill="auto"/>
            <w:noWrap/>
            <w:vAlign w:val="center"/>
          </w:tcPr>
          <w:p w14:paraId="6301BABF">
            <w:pPr>
              <w:rPr>
                <w:rFonts w:hint="default" w:ascii="Times New Roman" w:hAnsi="Times New Roman" w:eastAsia="宋体" w:cs="Times New Roman"/>
                <w:i w:val="0"/>
                <w:iCs w:val="0"/>
                <w:color w:val="000000"/>
                <w:sz w:val="20"/>
                <w:szCs w:val="20"/>
                <w:u w:val="none"/>
              </w:rPr>
            </w:pPr>
          </w:p>
        </w:tc>
      </w:tr>
    </w:tbl>
    <w:p w14:paraId="6904FF4D">
      <w:pPr>
        <w:keepNext w:val="0"/>
        <w:keepLines w:val="0"/>
        <w:pageBreakBefore w:val="0"/>
        <w:wordWrap/>
        <w:overflowPunct/>
        <w:topLinePunct w:val="0"/>
        <w:autoSpaceDE/>
        <w:autoSpaceDN/>
        <w:bidi w:val="0"/>
        <w:snapToGrid/>
        <w:spacing w:line="480" w:lineRule="auto"/>
        <w:ind w:firstLine="480" w:firstLineChars="200"/>
        <w:rPr>
          <w:rFonts w:ascii="Times New Roman" w:hAnsi="Times New Roman" w:eastAsia="宋体" w:cs="Times New Roman"/>
          <w:sz w:val="24"/>
          <w:lang w:bidi="ar"/>
        </w:rPr>
      </w:pPr>
    </w:p>
    <w:p w14:paraId="5CA367CB">
      <w:pPr>
        <w:keepNext w:val="0"/>
        <w:keepLines w:val="0"/>
        <w:pageBreakBefore w:val="0"/>
        <w:wordWrap/>
        <w:overflowPunct/>
        <w:topLinePunct w:val="0"/>
        <w:autoSpaceDE/>
        <w:autoSpaceDN/>
        <w:bidi w:val="0"/>
        <w:snapToGrid/>
        <w:spacing w:line="480" w:lineRule="auto"/>
        <w:ind w:firstLine="480" w:firstLineChars="200"/>
        <w:rPr>
          <w:rFonts w:ascii="Times New Roman" w:hAnsi="Times New Roman" w:eastAsia="宋体" w:cs="Times New Roman"/>
          <w:sz w:val="24"/>
          <w:lang w:bidi="ar"/>
        </w:rPr>
      </w:pPr>
    </w:p>
    <w:p w14:paraId="3FB0D7E2">
      <w:pPr>
        <w:keepNext w:val="0"/>
        <w:keepLines w:val="0"/>
        <w:pageBreakBefore w:val="0"/>
        <w:wordWrap/>
        <w:overflowPunct/>
        <w:topLinePunct w:val="0"/>
        <w:autoSpaceDE/>
        <w:autoSpaceDN/>
        <w:bidi w:val="0"/>
        <w:snapToGrid/>
        <w:spacing w:line="480" w:lineRule="auto"/>
        <w:ind w:firstLine="480" w:firstLineChars="200"/>
        <w:rPr>
          <w:rFonts w:ascii="Times New Roman" w:hAnsi="Times New Roman" w:eastAsia="宋体" w:cs="Times New Roman"/>
          <w:sz w:val="24"/>
          <w:lang w:bidi="ar"/>
        </w:rPr>
      </w:pPr>
    </w:p>
    <w:tbl>
      <w:tblPr>
        <w:tblStyle w:val="2"/>
        <w:tblW w:w="830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531"/>
        <w:gridCol w:w="1926"/>
        <w:gridCol w:w="1064"/>
        <w:gridCol w:w="896"/>
        <w:gridCol w:w="732"/>
        <w:gridCol w:w="1160"/>
      </w:tblGrid>
      <w:tr w14:paraId="524102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8309" w:type="dxa"/>
            <w:gridSpan w:val="6"/>
            <w:tcBorders>
              <w:top w:val="nil"/>
              <w:left w:val="nil"/>
              <w:bottom w:val="nil"/>
              <w:right w:val="nil"/>
            </w:tcBorders>
            <w:shd w:val="clear" w:color="auto" w:fill="auto"/>
            <w:noWrap/>
            <w:vAlign w:val="center"/>
          </w:tcPr>
          <w:p w14:paraId="626F87BE">
            <w:pPr>
              <w:keepNext w:val="0"/>
              <w:keepLines w:val="0"/>
              <w:widowControl/>
              <w:suppressLineNumbers w:val="0"/>
              <w:jc w:val="lef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Supplementary Table 2: Follow-up Analyses of Behavioral Data in Experiment 1</w:t>
            </w:r>
          </w:p>
        </w:tc>
      </w:tr>
      <w:tr w14:paraId="2C747B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2531" w:type="dxa"/>
            <w:tcBorders>
              <w:top w:val="single" w:color="000000" w:sz="8" w:space="0"/>
              <w:left w:val="nil"/>
              <w:bottom w:val="single" w:color="000000" w:sz="8" w:space="0"/>
              <w:right w:val="nil"/>
            </w:tcBorders>
            <w:shd w:val="clear" w:color="auto" w:fill="auto"/>
            <w:noWrap/>
            <w:vAlign w:val="center"/>
          </w:tcPr>
          <w:p w14:paraId="3CD387C8">
            <w:pPr>
              <w:rPr>
                <w:rFonts w:hint="default" w:ascii="Times New Roman" w:hAnsi="Times New Roman" w:eastAsia="宋体" w:cs="Times New Roman"/>
                <w:i w:val="0"/>
                <w:iCs w:val="0"/>
                <w:color w:val="000000"/>
                <w:sz w:val="20"/>
                <w:szCs w:val="20"/>
                <w:u w:val="none"/>
              </w:rPr>
            </w:pPr>
          </w:p>
        </w:tc>
        <w:tc>
          <w:tcPr>
            <w:tcW w:w="1926" w:type="dxa"/>
            <w:tcBorders>
              <w:top w:val="single" w:color="000000" w:sz="8" w:space="0"/>
              <w:left w:val="nil"/>
              <w:bottom w:val="single" w:color="000000" w:sz="8" w:space="0"/>
              <w:right w:val="nil"/>
            </w:tcBorders>
            <w:shd w:val="clear" w:color="auto" w:fill="auto"/>
            <w:noWrap/>
            <w:vAlign w:val="center"/>
          </w:tcPr>
          <w:p w14:paraId="486B3464">
            <w:pPr>
              <w:keepNext w:val="0"/>
              <w:keepLines w:val="0"/>
              <w:widowControl/>
              <w:suppressLineNumbers w:val="0"/>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Comparisons</w:t>
            </w:r>
          </w:p>
        </w:tc>
        <w:tc>
          <w:tcPr>
            <w:tcW w:w="1064" w:type="dxa"/>
            <w:tcBorders>
              <w:top w:val="single" w:color="000000" w:sz="8" w:space="0"/>
              <w:left w:val="nil"/>
              <w:bottom w:val="single" w:color="000000" w:sz="8" w:space="0"/>
              <w:right w:val="nil"/>
            </w:tcBorders>
            <w:shd w:val="clear" w:color="auto" w:fill="auto"/>
            <w:noWrap/>
            <w:vAlign w:val="center"/>
          </w:tcPr>
          <w:p w14:paraId="31CD8229">
            <w:pPr>
              <w:keepNext w:val="0"/>
              <w:keepLines w:val="0"/>
              <w:widowControl/>
              <w:suppressLineNumbers w:val="0"/>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Mean dif</w:t>
            </w:r>
          </w:p>
        </w:tc>
        <w:tc>
          <w:tcPr>
            <w:tcW w:w="896" w:type="dxa"/>
            <w:tcBorders>
              <w:top w:val="single" w:color="000000" w:sz="8" w:space="0"/>
              <w:left w:val="nil"/>
              <w:bottom w:val="single" w:color="000000" w:sz="8" w:space="0"/>
              <w:right w:val="nil"/>
            </w:tcBorders>
            <w:shd w:val="clear" w:color="auto" w:fill="auto"/>
            <w:noWrap/>
            <w:vAlign w:val="center"/>
          </w:tcPr>
          <w:p w14:paraId="17CF622A">
            <w:pPr>
              <w:keepNext w:val="0"/>
              <w:keepLines w:val="0"/>
              <w:widowControl/>
              <w:suppressLineNumbers w:val="0"/>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t</w:t>
            </w:r>
          </w:p>
        </w:tc>
        <w:tc>
          <w:tcPr>
            <w:tcW w:w="732" w:type="dxa"/>
            <w:tcBorders>
              <w:top w:val="single" w:color="000000" w:sz="8" w:space="0"/>
              <w:left w:val="nil"/>
              <w:bottom w:val="single" w:color="000000" w:sz="8" w:space="0"/>
              <w:right w:val="nil"/>
            </w:tcBorders>
            <w:shd w:val="clear" w:color="auto" w:fill="auto"/>
            <w:noWrap/>
            <w:vAlign w:val="center"/>
          </w:tcPr>
          <w:p w14:paraId="20C36703">
            <w:pPr>
              <w:keepNext w:val="0"/>
              <w:keepLines w:val="0"/>
              <w:widowControl/>
              <w:suppressLineNumbers w:val="0"/>
              <w:jc w:val="right"/>
              <w:textAlignment w:val="center"/>
              <w:rPr>
                <w:rFonts w:hint="default" w:ascii="Times New Roman" w:hAnsi="Times New Roman" w:eastAsia="宋体" w:cs="Times New Roman"/>
                <w:b/>
                <w:bCs/>
                <w:i/>
                <w:iCs/>
                <w:color w:val="000000"/>
                <w:sz w:val="20"/>
                <w:szCs w:val="20"/>
                <w:u w:val="none"/>
              </w:rPr>
            </w:pPr>
            <w:r>
              <w:rPr>
                <w:rFonts w:hint="default" w:ascii="Times New Roman" w:hAnsi="Times New Roman" w:eastAsia="宋体" w:cs="Times New Roman"/>
                <w:b/>
                <w:bCs/>
                <w:i/>
                <w:iCs/>
                <w:color w:val="000000"/>
                <w:kern w:val="0"/>
                <w:sz w:val="20"/>
                <w:szCs w:val="20"/>
                <w:u w:val="none"/>
                <w:lang w:val="en-US" w:eastAsia="zh-CN" w:bidi="ar"/>
              </w:rPr>
              <w:t>p</w:t>
            </w:r>
          </w:p>
        </w:tc>
        <w:tc>
          <w:tcPr>
            <w:tcW w:w="1160" w:type="dxa"/>
            <w:tcBorders>
              <w:top w:val="single" w:color="000000" w:sz="8" w:space="0"/>
              <w:left w:val="nil"/>
              <w:bottom w:val="single" w:color="000000" w:sz="8" w:space="0"/>
              <w:right w:val="nil"/>
            </w:tcBorders>
            <w:shd w:val="clear" w:color="auto" w:fill="auto"/>
            <w:noWrap/>
            <w:vAlign w:val="center"/>
          </w:tcPr>
          <w:p w14:paraId="2B6C598D">
            <w:pPr>
              <w:keepNext w:val="0"/>
              <w:keepLines w:val="0"/>
              <w:widowControl/>
              <w:suppressLineNumbers w:val="0"/>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Cohen’s d</w:t>
            </w:r>
          </w:p>
        </w:tc>
      </w:tr>
      <w:tr w14:paraId="27421E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2531" w:type="dxa"/>
            <w:tcBorders>
              <w:top w:val="nil"/>
              <w:left w:val="nil"/>
              <w:bottom w:val="nil"/>
              <w:right w:val="nil"/>
            </w:tcBorders>
            <w:shd w:val="clear" w:color="auto" w:fill="auto"/>
            <w:noWrap/>
            <w:vAlign w:val="center"/>
          </w:tcPr>
          <w:p w14:paraId="06A18971">
            <w:pPr>
              <w:keepNext w:val="0"/>
              <w:keepLines w:val="0"/>
              <w:widowControl/>
              <w:suppressLineNumbers w:val="0"/>
              <w:jc w:val="lef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RT (Consistency*Perspective)</w:t>
            </w:r>
          </w:p>
        </w:tc>
        <w:tc>
          <w:tcPr>
            <w:tcW w:w="1926" w:type="dxa"/>
            <w:tcBorders>
              <w:top w:val="nil"/>
              <w:left w:val="nil"/>
              <w:bottom w:val="nil"/>
              <w:right w:val="nil"/>
            </w:tcBorders>
            <w:shd w:val="clear" w:color="auto" w:fill="auto"/>
            <w:vAlign w:val="center"/>
          </w:tcPr>
          <w:p w14:paraId="1EB6155E">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Self-Consistent vs.</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Self-Inconsistent</w:t>
            </w:r>
          </w:p>
        </w:tc>
        <w:tc>
          <w:tcPr>
            <w:tcW w:w="1064" w:type="dxa"/>
            <w:tcBorders>
              <w:top w:val="nil"/>
              <w:left w:val="nil"/>
              <w:bottom w:val="nil"/>
              <w:right w:val="nil"/>
            </w:tcBorders>
            <w:shd w:val="clear" w:color="auto" w:fill="auto"/>
            <w:noWrap/>
            <w:vAlign w:val="center"/>
          </w:tcPr>
          <w:p w14:paraId="239E640F">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-27.038</w:t>
            </w:r>
          </w:p>
        </w:tc>
        <w:tc>
          <w:tcPr>
            <w:tcW w:w="896" w:type="dxa"/>
            <w:tcBorders>
              <w:top w:val="nil"/>
              <w:left w:val="nil"/>
              <w:bottom w:val="nil"/>
              <w:right w:val="nil"/>
            </w:tcBorders>
            <w:shd w:val="clear" w:color="auto" w:fill="auto"/>
            <w:noWrap/>
            <w:vAlign w:val="center"/>
          </w:tcPr>
          <w:p w14:paraId="341ACA2C">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-3.698</w:t>
            </w:r>
          </w:p>
        </w:tc>
        <w:tc>
          <w:tcPr>
            <w:tcW w:w="732" w:type="dxa"/>
            <w:tcBorders>
              <w:top w:val="nil"/>
              <w:left w:val="nil"/>
              <w:bottom w:val="nil"/>
              <w:right w:val="nil"/>
            </w:tcBorders>
            <w:shd w:val="clear" w:color="auto" w:fill="auto"/>
            <w:noWrap/>
            <w:vAlign w:val="center"/>
          </w:tcPr>
          <w:p w14:paraId="4E2B0B67">
            <w:pPr>
              <w:keepNext w:val="0"/>
              <w:keepLines w:val="0"/>
              <w:widowControl/>
              <w:suppressLineNumbers w:val="0"/>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&lt;.001</w:t>
            </w:r>
          </w:p>
        </w:tc>
        <w:tc>
          <w:tcPr>
            <w:tcW w:w="1160" w:type="dxa"/>
            <w:tcBorders>
              <w:top w:val="nil"/>
              <w:left w:val="nil"/>
              <w:bottom w:val="nil"/>
              <w:right w:val="nil"/>
            </w:tcBorders>
            <w:shd w:val="clear" w:color="auto" w:fill="auto"/>
            <w:noWrap/>
            <w:vAlign w:val="center"/>
          </w:tcPr>
          <w:p w14:paraId="7B027C8D">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0.194</w:t>
            </w:r>
          </w:p>
        </w:tc>
      </w:tr>
      <w:tr w14:paraId="209860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2531" w:type="dxa"/>
            <w:tcBorders>
              <w:top w:val="nil"/>
              <w:left w:val="nil"/>
              <w:bottom w:val="nil"/>
              <w:right w:val="nil"/>
            </w:tcBorders>
            <w:shd w:val="clear" w:color="auto" w:fill="auto"/>
            <w:noWrap/>
            <w:vAlign w:val="center"/>
          </w:tcPr>
          <w:p w14:paraId="120F5549">
            <w:pPr>
              <w:rPr>
                <w:rFonts w:hint="default" w:ascii="Times New Roman" w:hAnsi="Times New Roman" w:eastAsia="宋体" w:cs="Times New Roman"/>
                <w:i w:val="0"/>
                <w:iCs w:val="0"/>
                <w:color w:val="000000"/>
                <w:sz w:val="20"/>
                <w:szCs w:val="20"/>
                <w:u w:val="none"/>
              </w:rPr>
            </w:pPr>
          </w:p>
        </w:tc>
        <w:tc>
          <w:tcPr>
            <w:tcW w:w="1926" w:type="dxa"/>
            <w:tcBorders>
              <w:top w:val="nil"/>
              <w:left w:val="nil"/>
              <w:bottom w:val="nil"/>
              <w:right w:val="nil"/>
            </w:tcBorders>
            <w:shd w:val="clear" w:color="auto" w:fill="auto"/>
            <w:vAlign w:val="center"/>
          </w:tcPr>
          <w:p w14:paraId="5FED3369">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Other-Consistent vs.</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Other-Inconsistent</w:t>
            </w:r>
          </w:p>
        </w:tc>
        <w:tc>
          <w:tcPr>
            <w:tcW w:w="1064" w:type="dxa"/>
            <w:tcBorders>
              <w:top w:val="nil"/>
              <w:left w:val="nil"/>
              <w:bottom w:val="nil"/>
              <w:right w:val="nil"/>
            </w:tcBorders>
            <w:shd w:val="clear" w:color="auto" w:fill="auto"/>
            <w:noWrap/>
            <w:vAlign w:val="center"/>
          </w:tcPr>
          <w:p w14:paraId="7915CE9B">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-75.959</w:t>
            </w:r>
          </w:p>
        </w:tc>
        <w:tc>
          <w:tcPr>
            <w:tcW w:w="896" w:type="dxa"/>
            <w:tcBorders>
              <w:top w:val="nil"/>
              <w:left w:val="nil"/>
              <w:bottom w:val="nil"/>
              <w:right w:val="nil"/>
            </w:tcBorders>
            <w:shd w:val="clear" w:color="auto" w:fill="auto"/>
            <w:noWrap/>
            <w:vAlign w:val="center"/>
          </w:tcPr>
          <w:p w14:paraId="4E193126">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-11.119</w:t>
            </w:r>
          </w:p>
        </w:tc>
        <w:tc>
          <w:tcPr>
            <w:tcW w:w="732" w:type="dxa"/>
            <w:tcBorders>
              <w:top w:val="nil"/>
              <w:left w:val="nil"/>
              <w:bottom w:val="nil"/>
              <w:right w:val="nil"/>
            </w:tcBorders>
            <w:shd w:val="clear" w:color="auto" w:fill="auto"/>
            <w:noWrap/>
            <w:vAlign w:val="center"/>
          </w:tcPr>
          <w:p w14:paraId="5FB5FEA8">
            <w:pPr>
              <w:keepNext w:val="0"/>
              <w:keepLines w:val="0"/>
              <w:widowControl/>
              <w:suppressLineNumbers w:val="0"/>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&lt;.001</w:t>
            </w:r>
          </w:p>
        </w:tc>
        <w:tc>
          <w:tcPr>
            <w:tcW w:w="1160" w:type="dxa"/>
            <w:tcBorders>
              <w:top w:val="nil"/>
              <w:left w:val="nil"/>
              <w:bottom w:val="nil"/>
              <w:right w:val="nil"/>
            </w:tcBorders>
            <w:shd w:val="clear" w:color="auto" w:fill="auto"/>
            <w:noWrap/>
            <w:vAlign w:val="center"/>
          </w:tcPr>
          <w:p w14:paraId="7DCA1017">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0.546</w:t>
            </w:r>
          </w:p>
        </w:tc>
      </w:tr>
      <w:tr w14:paraId="34823D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2531" w:type="dxa"/>
            <w:tcBorders>
              <w:top w:val="nil"/>
              <w:left w:val="nil"/>
              <w:bottom w:val="nil"/>
              <w:right w:val="nil"/>
            </w:tcBorders>
            <w:shd w:val="clear" w:color="auto" w:fill="auto"/>
            <w:noWrap/>
            <w:vAlign w:val="center"/>
          </w:tcPr>
          <w:p w14:paraId="4400DB52">
            <w:pPr>
              <w:rPr>
                <w:rFonts w:hint="default" w:ascii="Times New Roman" w:hAnsi="Times New Roman" w:eastAsia="宋体" w:cs="Times New Roman"/>
                <w:i w:val="0"/>
                <w:iCs w:val="0"/>
                <w:color w:val="000000"/>
                <w:sz w:val="20"/>
                <w:szCs w:val="20"/>
                <w:u w:val="none"/>
              </w:rPr>
            </w:pPr>
          </w:p>
        </w:tc>
        <w:tc>
          <w:tcPr>
            <w:tcW w:w="1926" w:type="dxa"/>
            <w:tcBorders>
              <w:top w:val="nil"/>
              <w:left w:val="nil"/>
              <w:bottom w:val="nil"/>
              <w:right w:val="nil"/>
            </w:tcBorders>
            <w:shd w:val="clear" w:color="auto" w:fill="auto"/>
            <w:vAlign w:val="center"/>
          </w:tcPr>
          <w:p w14:paraId="12FC1404">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Self-Consistent vs.</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Other-Consistent</w:t>
            </w:r>
          </w:p>
        </w:tc>
        <w:tc>
          <w:tcPr>
            <w:tcW w:w="1064" w:type="dxa"/>
            <w:tcBorders>
              <w:top w:val="nil"/>
              <w:left w:val="nil"/>
              <w:bottom w:val="nil"/>
              <w:right w:val="nil"/>
            </w:tcBorders>
            <w:shd w:val="clear" w:color="auto" w:fill="auto"/>
            <w:noWrap/>
            <w:vAlign w:val="center"/>
          </w:tcPr>
          <w:p w14:paraId="7799F353">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33.348</w:t>
            </w:r>
          </w:p>
        </w:tc>
        <w:tc>
          <w:tcPr>
            <w:tcW w:w="896" w:type="dxa"/>
            <w:tcBorders>
              <w:top w:val="nil"/>
              <w:left w:val="nil"/>
              <w:bottom w:val="nil"/>
              <w:right w:val="nil"/>
            </w:tcBorders>
            <w:shd w:val="clear" w:color="auto" w:fill="auto"/>
            <w:noWrap/>
            <w:vAlign w:val="center"/>
          </w:tcPr>
          <w:p w14:paraId="7FD15593">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4.846</w:t>
            </w:r>
          </w:p>
        </w:tc>
        <w:tc>
          <w:tcPr>
            <w:tcW w:w="732" w:type="dxa"/>
            <w:tcBorders>
              <w:top w:val="nil"/>
              <w:left w:val="nil"/>
              <w:bottom w:val="nil"/>
              <w:right w:val="nil"/>
            </w:tcBorders>
            <w:shd w:val="clear" w:color="auto" w:fill="auto"/>
            <w:noWrap/>
            <w:vAlign w:val="center"/>
          </w:tcPr>
          <w:p w14:paraId="39B7BDF6">
            <w:pPr>
              <w:keepNext w:val="0"/>
              <w:keepLines w:val="0"/>
              <w:widowControl/>
              <w:suppressLineNumbers w:val="0"/>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&lt;.001</w:t>
            </w:r>
          </w:p>
        </w:tc>
        <w:tc>
          <w:tcPr>
            <w:tcW w:w="1160" w:type="dxa"/>
            <w:tcBorders>
              <w:top w:val="nil"/>
              <w:left w:val="nil"/>
              <w:bottom w:val="nil"/>
              <w:right w:val="nil"/>
            </w:tcBorders>
            <w:shd w:val="clear" w:color="auto" w:fill="auto"/>
            <w:noWrap/>
            <w:vAlign w:val="center"/>
          </w:tcPr>
          <w:p w14:paraId="79D8B810">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0.240</w:t>
            </w:r>
          </w:p>
        </w:tc>
      </w:tr>
      <w:tr w14:paraId="4082D5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2531" w:type="dxa"/>
            <w:tcBorders>
              <w:top w:val="nil"/>
              <w:left w:val="nil"/>
              <w:bottom w:val="nil"/>
              <w:right w:val="nil"/>
            </w:tcBorders>
            <w:shd w:val="clear" w:color="auto" w:fill="auto"/>
            <w:noWrap/>
            <w:vAlign w:val="center"/>
          </w:tcPr>
          <w:p w14:paraId="5540FCFB">
            <w:pPr>
              <w:rPr>
                <w:rFonts w:hint="default" w:ascii="Times New Roman" w:hAnsi="Times New Roman" w:eastAsia="宋体" w:cs="Times New Roman"/>
                <w:i w:val="0"/>
                <w:iCs w:val="0"/>
                <w:color w:val="000000"/>
                <w:sz w:val="20"/>
                <w:szCs w:val="20"/>
                <w:u w:val="none"/>
              </w:rPr>
            </w:pPr>
          </w:p>
        </w:tc>
        <w:tc>
          <w:tcPr>
            <w:tcW w:w="1926" w:type="dxa"/>
            <w:tcBorders>
              <w:top w:val="nil"/>
              <w:left w:val="nil"/>
              <w:bottom w:val="nil"/>
              <w:right w:val="nil"/>
            </w:tcBorders>
            <w:shd w:val="clear" w:color="auto" w:fill="auto"/>
            <w:vAlign w:val="center"/>
          </w:tcPr>
          <w:p w14:paraId="5C40EADF">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Self-Inconsistent vs.</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Other-Inconsistent</w:t>
            </w:r>
          </w:p>
        </w:tc>
        <w:tc>
          <w:tcPr>
            <w:tcW w:w="1064" w:type="dxa"/>
            <w:tcBorders>
              <w:top w:val="nil"/>
              <w:left w:val="nil"/>
              <w:bottom w:val="nil"/>
              <w:right w:val="nil"/>
            </w:tcBorders>
            <w:shd w:val="clear" w:color="auto" w:fill="auto"/>
            <w:noWrap/>
            <w:vAlign w:val="center"/>
          </w:tcPr>
          <w:p w14:paraId="411CA358">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-15.573</w:t>
            </w:r>
          </w:p>
        </w:tc>
        <w:tc>
          <w:tcPr>
            <w:tcW w:w="896" w:type="dxa"/>
            <w:tcBorders>
              <w:top w:val="nil"/>
              <w:left w:val="nil"/>
              <w:bottom w:val="nil"/>
              <w:right w:val="nil"/>
            </w:tcBorders>
            <w:shd w:val="clear" w:color="auto" w:fill="auto"/>
            <w:noWrap/>
            <w:vAlign w:val="center"/>
          </w:tcPr>
          <w:p w14:paraId="36A86351">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-1.713</w:t>
            </w:r>
          </w:p>
        </w:tc>
        <w:tc>
          <w:tcPr>
            <w:tcW w:w="732" w:type="dxa"/>
            <w:tcBorders>
              <w:top w:val="nil"/>
              <w:left w:val="nil"/>
              <w:bottom w:val="nil"/>
              <w:right w:val="nil"/>
            </w:tcBorders>
            <w:shd w:val="clear" w:color="auto" w:fill="auto"/>
            <w:noWrap/>
            <w:vAlign w:val="center"/>
          </w:tcPr>
          <w:p w14:paraId="72609369">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0.089</w:t>
            </w:r>
          </w:p>
        </w:tc>
        <w:tc>
          <w:tcPr>
            <w:tcW w:w="1160" w:type="dxa"/>
            <w:tcBorders>
              <w:top w:val="nil"/>
              <w:left w:val="nil"/>
              <w:bottom w:val="nil"/>
              <w:right w:val="nil"/>
            </w:tcBorders>
            <w:shd w:val="clear" w:color="auto" w:fill="auto"/>
            <w:noWrap/>
            <w:vAlign w:val="center"/>
          </w:tcPr>
          <w:p w14:paraId="41731A6F">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0.112</w:t>
            </w:r>
          </w:p>
        </w:tc>
      </w:tr>
      <w:tr w14:paraId="5DF990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2531" w:type="dxa"/>
            <w:tcBorders>
              <w:top w:val="nil"/>
              <w:left w:val="nil"/>
              <w:bottom w:val="nil"/>
              <w:right w:val="nil"/>
            </w:tcBorders>
            <w:shd w:val="clear" w:color="auto" w:fill="auto"/>
            <w:noWrap/>
            <w:vAlign w:val="center"/>
          </w:tcPr>
          <w:p w14:paraId="43C4FE8F">
            <w:pPr>
              <w:rPr>
                <w:rFonts w:hint="default" w:ascii="Times New Roman" w:hAnsi="Times New Roman" w:eastAsia="宋体" w:cs="Times New Roman"/>
                <w:i w:val="0"/>
                <w:iCs w:val="0"/>
                <w:color w:val="000000"/>
                <w:sz w:val="20"/>
                <w:szCs w:val="20"/>
                <w:u w:val="none"/>
              </w:rPr>
            </w:pPr>
          </w:p>
        </w:tc>
        <w:tc>
          <w:tcPr>
            <w:tcW w:w="1926" w:type="dxa"/>
            <w:tcBorders>
              <w:top w:val="nil"/>
              <w:left w:val="nil"/>
              <w:bottom w:val="nil"/>
              <w:right w:val="nil"/>
            </w:tcBorders>
            <w:shd w:val="clear" w:color="auto" w:fill="auto"/>
            <w:vAlign w:val="center"/>
          </w:tcPr>
          <w:p w14:paraId="2EF7F130">
            <w:pPr>
              <w:rPr>
                <w:rFonts w:hint="default" w:ascii="Times New Roman" w:hAnsi="Times New Roman" w:eastAsia="宋体" w:cs="Times New Roman"/>
                <w:i w:val="0"/>
                <w:iCs w:val="0"/>
                <w:color w:val="000000"/>
                <w:sz w:val="20"/>
                <w:szCs w:val="20"/>
                <w:u w:val="none"/>
              </w:rPr>
            </w:pPr>
          </w:p>
        </w:tc>
        <w:tc>
          <w:tcPr>
            <w:tcW w:w="1064" w:type="dxa"/>
            <w:tcBorders>
              <w:top w:val="nil"/>
              <w:left w:val="nil"/>
              <w:bottom w:val="nil"/>
              <w:right w:val="nil"/>
            </w:tcBorders>
            <w:shd w:val="clear" w:color="auto" w:fill="auto"/>
            <w:noWrap/>
            <w:vAlign w:val="center"/>
          </w:tcPr>
          <w:p w14:paraId="1241A322">
            <w:pPr>
              <w:rPr>
                <w:rFonts w:hint="default" w:ascii="Times New Roman" w:hAnsi="Times New Roman" w:eastAsia="宋体" w:cs="Times New Roman"/>
                <w:i w:val="0"/>
                <w:iCs w:val="0"/>
                <w:color w:val="000000"/>
                <w:sz w:val="20"/>
                <w:szCs w:val="20"/>
                <w:u w:val="none"/>
              </w:rPr>
            </w:pPr>
          </w:p>
        </w:tc>
        <w:tc>
          <w:tcPr>
            <w:tcW w:w="896" w:type="dxa"/>
            <w:tcBorders>
              <w:top w:val="nil"/>
              <w:left w:val="nil"/>
              <w:bottom w:val="nil"/>
              <w:right w:val="nil"/>
            </w:tcBorders>
            <w:shd w:val="clear" w:color="auto" w:fill="auto"/>
            <w:noWrap/>
            <w:vAlign w:val="center"/>
          </w:tcPr>
          <w:p w14:paraId="1AE962B4">
            <w:pPr>
              <w:rPr>
                <w:rFonts w:hint="default" w:ascii="Times New Roman" w:hAnsi="Times New Roman" w:eastAsia="宋体" w:cs="Times New Roman"/>
                <w:i w:val="0"/>
                <w:iCs w:val="0"/>
                <w:color w:val="000000"/>
                <w:sz w:val="20"/>
                <w:szCs w:val="20"/>
                <w:u w:val="none"/>
              </w:rPr>
            </w:pPr>
          </w:p>
        </w:tc>
        <w:tc>
          <w:tcPr>
            <w:tcW w:w="732" w:type="dxa"/>
            <w:tcBorders>
              <w:top w:val="nil"/>
              <w:left w:val="nil"/>
              <w:bottom w:val="nil"/>
              <w:right w:val="nil"/>
            </w:tcBorders>
            <w:shd w:val="clear" w:color="auto" w:fill="auto"/>
            <w:noWrap/>
            <w:vAlign w:val="center"/>
          </w:tcPr>
          <w:p w14:paraId="6007BC68">
            <w:pPr>
              <w:rPr>
                <w:rFonts w:hint="default" w:ascii="Times New Roman" w:hAnsi="Times New Roman" w:eastAsia="宋体" w:cs="Times New Roman"/>
                <w:i w:val="0"/>
                <w:iCs w:val="0"/>
                <w:color w:val="000000"/>
                <w:sz w:val="20"/>
                <w:szCs w:val="20"/>
                <w:u w:val="none"/>
              </w:rPr>
            </w:pPr>
          </w:p>
        </w:tc>
        <w:tc>
          <w:tcPr>
            <w:tcW w:w="1160" w:type="dxa"/>
            <w:tcBorders>
              <w:top w:val="nil"/>
              <w:left w:val="nil"/>
              <w:bottom w:val="nil"/>
              <w:right w:val="nil"/>
            </w:tcBorders>
            <w:shd w:val="clear" w:color="auto" w:fill="auto"/>
            <w:noWrap/>
            <w:vAlign w:val="center"/>
          </w:tcPr>
          <w:p w14:paraId="0FF2E0E9">
            <w:pPr>
              <w:rPr>
                <w:rFonts w:hint="default" w:ascii="Times New Roman" w:hAnsi="Times New Roman" w:eastAsia="宋体" w:cs="Times New Roman"/>
                <w:i w:val="0"/>
                <w:iCs w:val="0"/>
                <w:color w:val="000000"/>
                <w:sz w:val="20"/>
                <w:szCs w:val="20"/>
                <w:u w:val="none"/>
              </w:rPr>
            </w:pPr>
          </w:p>
        </w:tc>
      </w:tr>
      <w:tr w14:paraId="3A3526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2531" w:type="dxa"/>
            <w:tcBorders>
              <w:top w:val="nil"/>
              <w:left w:val="nil"/>
              <w:bottom w:val="nil"/>
              <w:right w:val="nil"/>
            </w:tcBorders>
            <w:shd w:val="clear" w:color="auto" w:fill="auto"/>
            <w:noWrap/>
            <w:vAlign w:val="center"/>
          </w:tcPr>
          <w:p w14:paraId="47884ED8">
            <w:pPr>
              <w:keepNext w:val="0"/>
              <w:keepLines w:val="0"/>
              <w:widowControl/>
              <w:suppressLineNumbers w:val="0"/>
              <w:jc w:val="lef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RT (Consistency*Group)</w:t>
            </w:r>
          </w:p>
        </w:tc>
        <w:tc>
          <w:tcPr>
            <w:tcW w:w="1926" w:type="dxa"/>
            <w:tcBorders>
              <w:top w:val="nil"/>
              <w:left w:val="nil"/>
              <w:bottom w:val="nil"/>
              <w:right w:val="nil"/>
            </w:tcBorders>
            <w:shd w:val="clear" w:color="auto" w:fill="auto"/>
            <w:vAlign w:val="center"/>
          </w:tcPr>
          <w:p w14:paraId="7E52C555">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LL-Consistent vs.</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HL-Consistent</w:t>
            </w:r>
          </w:p>
        </w:tc>
        <w:tc>
          <w:tcPr>
            <w:tcW w:w="1064" w:type="dxa"/>
            <w:tcBorders>
              <w:top w:val="nil"/>
              <w:left w:val="nil"/>
              <w:bottom w:val="nil"/>
              <w:right w:val="nil"/>
            </w:tcBorders>
            <w:shd w:val="clear" w:color="auto" w:fill="auto"/>
            <w:noWrap/>
            <w:vAlign w:val="center"/>
          </w:tcPr>
          <w:p w14:paraId="27966C82">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-11.931</w:t>
            </w:r>
          </w:p>
        </w:tc>
        <w:tc>
          <w:tcPr>
            <w:tcW w:w="896" w:type="dxa"/>
            <w:tcBorders>
              <w:top w:val="nil"/>
              <w:left w:val="nil"/>
              <w:bottom w:val="nil"/>
              <w:right w:val="nil"/>
            </w:tcBorders>
            <w:shd w:val="clear" w:color="auto" w:fill="auto"/>
            <w:noWrap/>
            <w:vAlign w:val="center"/>
          </w:tcPr>
          <w:p w14:paraId="5233C370">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-0.434</w:t>
            </w:r>
          </w:p>
        </w:tc>
        <w:tc>
          <w:tcPr>
            <w:tcW w:w="732" w:type="dxa"/>
            <w:tcBorders>
              <w:top w:val="nil"/>
              <w:left w:val="nil"/>
              <w:bottom w:val="nil"/>
              <w:right w:val="nil"/>
            </w:tcBorders>
            <w:shd w:val="clear" w:color="auto" w:fill="auto"/>
            <w:noWrap/>
            <w:vAlign w:val="center"/>
          </w:tcPr>
          <w:p w14:paraId="08A77C27">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0.830</w:t>
            </w:r>
          </w:p>
        </w:tc>
        <w:tc>
          <w:tcPr>
            <w:tcW w:w="1160" w:type="dxa"/>
            <w:tcBorders>
              <w:top w:val="nil"/>
              <w:left w:val="nil"/>
              <w:bottom w:val="nil"/>
              <w:right w:val="nil"/>
            </w:tcBorders>
            <w:shd w:val="clear" w:color="auto" w:fill="auto"/>
            <w:noWrap/>
            <w:vAlign w:val="center"/>
          </w:tcPr>
          <w:p w14:paraId="00F7F54E">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0.086</w:t>
            </w:r>
          </w:p>
        </w:tc>
      </w:tr>
      <w:tr w14:paraId="638808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2531" w:type="dxa"/>
            <w:tcBorders>
              <w:top w:val="nil"/>
              <w:left w:val="nil"/>
              <w:bottom w:val="nil"/>
              <w:right w:val="nil"/>
            </w:tcBorders>
            <w:shd w:val="clear" w:color="auto" w:fill="auto"/>
            <w:noWrap/>
            <w:vAlign w:val="center"/>
          </w:tcPr>
          <w:p w14:paraId="48C781A6">
            <w:pPr>
              <w:rPr>
                <w:rFonts w:hint="default" w:ascii="Times New Roman" w:hAnsi="Times New Roman" w:eastAsia="宋体" w:cs="Times New Roman"/>
                <w:i w:val="0"/>
                <w:iCs w:val="0"/>
                <w:color w:val="000000"/>
                <w:sz w:val="20"/>
                <w:szCs w:val="20"/>
                <w:u w:val="none"/>
              </w:rPr>
            </w:pPr>
          </w:p>
        </w:tc>
        <w:tc>
          <w:tcPr>
            <w:tcW w:w="1926" w:type="dxa"/>
            <w:tcBorders>
              <w:top w:val="nil"/>
              <w:left w:val="nil"/>
              <w:bottom w:val="nil"/>
              <w:right w:val="nil"/>
            </w:tcBorders>
            <w:shd w:val="clear" w:color="auto" w:fill="auto"/>
            <w:vAlign w:val="center"/>
          </w:tcPr>
          <w:p w14:paraId="22B933EA">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LL-Inconsistent vs.</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HL-Inconsistent</w:t>
            </w:r>
          </w:p>
        </w:tc>
        <w:tc>
          <w:tcPr>
            <w:tcW w:w="1064" w:type="dxa"/>
            <w:tcBorders>
              <w:top w:val="nil"/>
              <w:left w:val="nil"/>
              <w:bottom w:val="nil"/>
              <w:right w:val="nil"/>
            </w:tcBorders>
            <w:shd w:val="clear" w:color="auto" w:fill="auto"/>
            <w:noWrap/>
            <w:vAlign w:val="center"/>
          </w:tcPr>
          <w:p w14:paraId="1A92EA0C">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-43.524</w:t>
            </w:r>
          </w:p>
        </w:tc>
        <w:tc>
          <w:tcPr>
            <w:tcW w:w="896" w:type="dxa"/>
            <w:tcBorders>
              <w:top w:val="nil"/>
              <w:left w:val="nil"/>
              <w:bottom w:val="nil"/>
              <w:right w:val="nil"/>
            </w:tcBorders>
            <w:shd w:val="clear" w:color="auto" w:fill="auto"/>
            <w:noWrap/>
            <w:vAlign w:val="center"/>
          </w:tcPr>
          <w:p w14:paraId="26FBA1F4">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-1.406</w:t>
            </w:r>
          </w:p>
        </w:tc>
        <w:tc>
          <w:tcPr>
            <w:tcW w:w="732" w:type="dxa"/>
            <w:tcBorders>
              <w:top w:val="nil"/>
              <w:left w:val="nil"/>
              <w:bottom w:val="nil"/>
              <w:right w:val="nil"/>
            </w:tcBorders>
            <w:shd w:val="clear" w:color="auto" w:fill="auto"/>
            <w:noWrap/>
            <w:vAlign w:val="center"/>
          </w:tcPr>
          <w:p w14:paraId="2F301BE8">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0.487</w:t>
            </w:r>
          </w:p>
        </w:tc>
        <w:tc>
          <w:tcPr>
            <w:tcW w:w="1160" w:type="dxa"/>
            <w:tcBorders>
              <w:top w:val="nil"/>
              <w:left w:val="nil"/>
              <w:bottom w:val="nil"/>
              <w:right w:val="nil"/>
            </w:tcBorders>
            <w:shd w:val="clear" w:color="auto" w:fill="auto"/>
            <w:noWrap/>
            <w:vAlign w:val="center"/>
          </w:tcPr>
          <w:p w14:paraId="38C7AE56">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0.313</w:t>
            </w:r>
          </w:p>
        </w:tc>
      </w:tr>
      <w:tr w14:paraId="555091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2531" w:type="dxa"/>
            <w:tcBorders>
              <w:top w:val="nil"/>
              <w:left w:val="nil"/>
              <w:bottom w:val="nil"/>
              <w:right w:val="nil"/>
            </w:tcBorders>
            <w:shd w:val="clear" w:color="auto" w:fill="auto"/>
            <w:noWrap/>
            <w:vAlign w:val="center"/>
          </w:tcPr>
          <w:p w14:paraId="6A132FBE">
            <w:pPr>
              <w:rPr>
                <w:rFonts w:hint="default" w:ascii="Times New Roman" w:hAnsi="Times New Roman" w:eastAsia="宋体" w:cs="Times New Roman"/>
                <w:i w:val="0"/>
                <w:iCs w:val="0"/>
                <w:color w:val="000000"/>
                <w:sz w:val="20"/>
                <w:szCs w:val="20"/>
                <w:u w:val="none"/>
              </w:rPr>
            </w:pPr>
          </w:p>
        </w:tc>
        <w:tc>
          <w:tcPr>
            <w:tcW w:w="1926" w:type="dxa"/>
            <w:tcBorders>
              <w:top w:val="nil"/>
              <w:left w:val="nil"/>
              <w:bottom w:val="nil"/>
              <w:right w:val="nil"/>
            </w:tcBorders>
            <w:shd w:val="clear" w:color="auto" w:fill="auto"/>
            <w:vAlign w:val="center"/>
          </w:tcPr>
          <w:p w14:paraId="3F799E3A">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LL-Consistent vs.</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LL-Inconsistent</w:t>
            </w:r>
          </w:p>
        </w:tc>
        <w:tc>
          <w:tcPr>
            <w:tcW w:w="1064" w:type="dxa"/>
            <w:tcBorders>
              <w:top w:val="nil"/>
              <w:left w:val="nil"/>
              <w:bottom w:val="nil"/>
              <w:right w:val="nil"/>
            </w:tcBorders>
            <w:shd w:val="clear" w:color="auto" w:fill="auto"/>
            <w:noWrap/>
            <w:vAlign w:val="center"/>
          </w:tcPr>
          <w:p w14:paraId="7C0ABED5">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-35.702</w:t>
            </w:r>
          </w:p>
        </w:tc>
        <w:tc>
          <w:tcPr>
            <w:tcW w:w="896" w:type="dxa"/>
            <w:tcBorders>
              <w:top w:val="nil"/>
              <w:left w:val="nil"/>
              <w:bottom w:val="nil"/>
              <w:right w:val="nil"/>
            </w:tcBorders>
            <w:shd w:val="clear" w:color="auto" w:fill="auto"/>
            <w:noWrap/>
            <w:vAlign w:val="center"/>
          </w:tcPr>
          <w:p w14:paraId="21C94DE1">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-5.163</w:t>
            </w:r>
          </w:p>
        </w:tc>
        <w:tc>
          <w:tcPr>
            <w:tcW w:w="732" w:type="dxa"/>
            <w:tcBorders>
              <w:top w:val="nil"/>
              <w:left w:val="nil"/>
              <w:bottom w:val="nil"/>
              <w:right w:val="nil"/>
            </w:tcBorders>
            <w:shd w:val="clear" w:color="auto" w:fill="auto"/>
            <w:noWrap/>
            <w:vAlign w:val="center"/>
          </w:tcPr>
          <w:p w14:paraId="3FCD5875">
            <w:pPr>
              <w:keepNext w:val="0"/>
              <w:keepLines w:val="0"/>
              <w:widowControl/>
              <w:suppressLineNumbers w:val="0"/>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&lt;.001</w:t>
            </w:r>
          </w:p>
        </w:tc>
        <w:tc>
          <w:tcPr>
            <w:tcW w:w="1160" w:type="dxa"/>
            <w:tcBorders>
              <w:top w:val="nil"/>
              <w:left w:val="nil"/>
              <w:bottom w:val="nil"/>
              <w:right w:val="nil"/>
            </w:tcBorders>
            <w:shd w:val="clear" w:color="auto" w:fill="auto"/>
            <w:noWrap/>
            <w:vAlign w:val="center"/>
          </w:tcPr>
          <w:p w14:paraId="41C434DF">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0.257</w:t>
            </w:r>
          </w:p>
        </w:tc>
      </w:tr>
      <w:tr w14:paraId="1AF4D0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2531" w:type="dxa"/>
            <w:tcBorders>
              <w:top w:val="nil"/>
              <w:left w:val="nil"/>
              <w:bottom w:val="nil"/>
              <w:right w:val="nil"/>
            </w:tcBorders>
            <w:shd w:val="clear" w:color="auto" w:fill="auto"/>
            <w:noWrap/>
            <w:vAlign w:val="center"/>
          </w:tcPr>
          <w:p w14:paraId="33388C41">
            <w:pPr>
              <w:jc w:val="left"/>
              <w:rPr>
                <w:rFonts w:hint="default" w:ascii="Times New Roman" w:hAnsi="Times New Roman" w:eastAsia="宋体" w:cs="Times New Roman"/>
                <w:b/>
                <w:bCs/>
                <w:i w:val="0"/>
                <w:iCs w:val="0"/>
                <w:color w:val="000000"/>
                <w:sz w:val="20"/>
                <w:szCs w:val="20"/>
                <w:u w:val="none"/>
              </w:rPr>
            </w:pPr>
          </w:p>
        </w:tc>
        <w:tc>
          <w:tcPr>
            <w:tcW w:w="1926" w:type="dxa"/>
            <w:tcBorders>
              <w:top w:val="nil"/>
              <w:left w:val="nil"/>
              <w:bottom w:val="nil"/>
              <w:right w:val="nil"/>
            </w:tcBorders>
            <w:shd w:val="clear" w:color="auto" w:fill="auto"/>
            <w:vAlign w:val="center"/>
          </w:tcPr>
          <w:p w14:paraId="30787C92">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HL-Consistent vs.</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HL-Inconsistent</w:t>
            </w:r>
          </w:p>
        </w:tc>
        <w:tc>
          <w:tcPr>
            <w:tcW w:w="1064" w:type="dxa"/>
            <w:tcBorders>
              <w:top w:val="nil"/>
              <w:left w:val="nil"/>
              <w:bottom w:val="nil"/>
              <w:right w:val="nil"/>
            </w:tcBorders>
            <w:shd w:val="clear" w:color="auto" w:fill="auto"/>
            <w:noWrap/>
            <w:vAlign w:val="center"/>
          </w:tcPr>
          <w:p w14:paraId="6A367ED6">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-67.295</w:t>
            </w:r>
          </w:p>
        </w:tc>
        <w:tc>
          <w:tcPr>
            <w:tcW w:w="896" w:type="dxa"/>
            <w:tcBorders>
              <w:top w:val="nil"/>
              <w:left w:val="nil"/>
              <w:bottom w:val="nil"/>
              <w:right w:val="nil"/>
            </w:tcBorders>
            <w:shd w:val="clear" w:color="auto" w:fill="auto"/>
            <w:noWrap/>
            <w:vAlign w:val="center"/>
          </w:tcPr>
          <w:p w14:paraId="21B99A08">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-8.815</w:t>
            </w:r>
          </w:p>
        </w:tc>
        <w:tc>
          <w:tcPr>
            <w:tcW w:w="732" w:type="dxa"/>
            <w:tcBorders>
              <w:top w:val="nil"/>
              <w:left w:val="nil"/>
              <w:bottom w:val="nil"/>
              <w:right w:val="nil"/>
            </w:tcBorders>
            <w:shd w:val="clear" w:color="auto" w:fill="auto"/>
            <w:noWrap/>
            <w:vAlign w:val="center"/>
          </w:tcPr>
          <w:p w14:paraId="6720D5F4">
            <w:pPr>
              <w:keepNext w:val="0"/>
              <w:keepLines w:val="0"/>
              <w:widowControl/>
              <w:suppressLineNumbers w:val="0"/>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&lt;.001</w:t>
            </w:r>
          </w:p>
        </w:tc>
        <w:tc>
          <w:tcPr>
            <w:tcW w:w="1160" w:type="dxa"/>
            <w:tcBorders>
              <w:top w:val="nil"/>
              <w:left w:val="nil"/>
              <w:bottom w:val="nil"/>
              <w:right w:val="nil"/>
            </w:tcBorders>
            <w:shd w:val="clear" w:color="auto" w:fill="auto"/>
            <w:noWrap/>
            <w:vAlign w:val="center"/>
          </w:tcPr>
          <w:p w14:paraId="481DCBD0">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0.484</w:t>
            </w:r>
          </w:p>
        </w:tc>
      </w:tr>
      <w:tr w14:paraId="6AFAEF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2531" w:type="dxa"/>
            <w:tcBorders>
              <w:top w:val="nil"/>
              <w:left w:val="nil"/>
              <w:bottom w:val="nil"/>
              <w:right w:val="nil"/>
            </w:tcBorders>
            <w:shd w:val="clear" w:color="auto" w:fill="auto"/>
            <w:noWrap/>
            <w:vAlign w:val="center"/>
          </w:tcPr>
          <w:p w14:paraId="6568E51E">
            <w:pPr>
              <w:jc w:val="left"/>
              <w:rPr>
                <w:rFonts w:hint="default" w:ascii="Times New Roman" w:hAnsi="Times New Roman" w:eastAsia="宋体" w:cs="Times New Roman"/>
                <w:b/>
                <w:bCs/>
                <w:i w:val="0"/>
                <w:iCs w:val="0"/>
                <w:color w:val="000000"/>
                <w:sz w:val="20"/>
                <w:szCs w:val="20"/>
                <w:u w:val="none"/>
              </w:rPr>
            </w:pPr>
          </w:p>
        </w:tc>
        <w:tc>
          <w:tcPr>
            <w:tcW w:w="1926" w:type="dxa"/>
            <w:tcBorders>
              <w:top w:val="nil"/>
              <w:left w:val="nil"/>
              <w:bottom w:val="nil"/>
              <w:right w:val="nil"/>
            </w:tcBorders>
            <w:shd w:val="clear" w:color="auto" w:fill="auto"/>
            <w:noWrap/>
            <w:vAlign w:val="center"/>
          </w:tcPr>
          <w:p w14:paraId="55D13BBF">
            <w:pPr>
              <w:rPr>
                <w:rFonts w:hint="default" w:ascii="Times New Roman" w:hAnsi="Times New Roman" w:eastAsia="宋体" w:cs="Times New Roman"/>
                <w:i w:val="0"/>
                <w:iCs w:val="0"/>
                <w:color w:val="000000"/>
                <w:sz w:val="20"/>
                <w:szCs w:val="20"/>
                <w:u w:val="none"/>
              </w:rPr>
            </w:pPr>
          </w:p>
        </w:tc>
        <w:tc>
          <w:tcPr>
            <w:tcW w:w="1064" w:type="dxa"/>
            <w:tcBorders>
              <w:top w:val="nil"/>
              <w:left w:val="nil"/>
              <w:bottom w:val="nil"/>
              <w:right w:val="nil"/>
            </w:tcBorders>
            <w:shd w:val="clear" w:color="auto" w:fill="auto"/>
            <w:noWrap/>
            <w:vAlign w:val="center"/>
          </w:tcPr>
          <w:p w14:paraId="2B58290E">
            <w:pPr>
              <w:rPr>
                <w:rFonts w:hint="default" w:ascii="Times New Roman" w:hAnsi="Times New Roman" w:eastAsia="宋体" w:cs="Times New Roman"/>
                <w:i w:val="0"/>
                <w:iCs w:val="0"/>
                <w:color w:val="000000"/>
                <w:sz w:val="20"/>
                <w:szCs w:val="20"/>
                <w:u w:val="none"/>
              </w:rPr>
            </w:pPr>
          </w:p>
        </w:tc>
        <w:tc>
          <w:tcPr>
            <w:tcW w:w="896" w:type="dxa"/>
            <w:tcBorders>
              <w:top w:val="nil"/>
              <w:left w:val="nil"/>
              <w:bottom w:val="nil"/>
              <w:right w:val="nil"/>
            </w:tcBorders>
            <w:shd w:val="clear" w:color="auto" w:fill="auto"/>
            <w:noWrap/>
            <w:vAlign w:val="center"/>
          </w:tcPr>
          <w:p w14:paraId="77C2A04C">
            <w:pPr>
              <w:rPr>
                <w:rFonts w:hint="default" w:ascii="Times New Roman" w:hAnsi="Times New Roman" w:eastAsia="宋体" w:cs="Times New Roman"/>
                <w:i w:val="0"/>
                <w:iCs w:val="0"/>
                <w:color w:val="000000"/>
                <w:sz w:val="20"/>
                <w:szCs w:val="20"/>
                <w:u w:val="none"/>
              </w:rPr>
            </w:pPr>
          </w:p>
        </w:tc>
        <w:tc>
          <w:tcPr>
            <w:tcW w:w="732" w:type="dxa"/>
            <w:tcBorders>
              <w:top w:val="nil"/>
              <w:left w:val="nil"/>
              <w:bottom w:val="nil"/>
              <w:right w:val="nil"/>
            </w:tcBorders>
            <w:shd w:val="clear" w:color="auto" w:fill="auto"/>
            <w:noWrap/>
            <w:vAlign w:val="center"/>
          </w:tcPr>
          <w:p w14:paraId="1F1BFEEA">
            <w:pPr>
              <w:rPr>
                <w:rFonts w:hint="default" w:ascii="Times New Roman" w:hAnsi="Times New Roman" w:eastAsia="宋体" w:cs="Times New Roman"/>
                <w:i w:val="0"/>
                <w:iCs w:val="0"/>
                <w:color w:val="000000"/>
                <w:sz w:val="20"/>
                <w:szCs w:val="20"/>
                <w:u w:val="none"/>
              </w:rPr>
            </w:pPr>
          </w:p>
        </w:tc>
        <w:tc>
          <w:tcPr>
            <w:tcW w:w="1160" w:type="dxa"/>
            <w:tcBorders>
              <w:top w:val="nil"/>
              <w:left w:val="nil"/>
              <w:bottom w:val="nil"/>
              <w:right w:val="nil"/>
            </w:tcBorders>
            <w:shd w:val="clear" w:color="auto" w:fill="auto"/>
            <w:noWrap/>
            <w:vAlign w:val="center"/>
          </w:tcPr>
          <w:p w14:paraId="79504C19">
            <w:pPr>
              <w:rPr>
                <w:rFonts w:hint="default" w:ascii="Times New Roman" w:hAnsi="Times New Roman" w:eastAsia="宋体" w:cs="Times New Roman"/>
                <w:i w:val="0"/>
                <w:iCs w:val="0"/>
                <w:color w:val="000000"/>
                <w:sz w:val="20"/>
                <w:szCs w:val="20"/>
                <w:u w:val="none"/>
              </w:rPr>
            </w:pPr>
          </w:p>
        </w:tc>
      </w:tr>
      <w:tr w14:paraId="776CB7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2531" w:type="dxa"/>
            <w:tcBorders>
              <w:top w:val="nil"/>
              <w:left w:val="nil"/>
              <w:bottom w:val="nil"/>
              <w:right w:val="nil"/>
            </w:tcBorders>
            <w:shd w:val="clear" w:color="auto" w:fill="auto"/>
            <w:noWrap/>
            <w:vAlign w:val="center"/>
          </w:tcPr>
          <w:p w14:paraId="3D256475">
            <w:pPr>
              <w:keepNext w:val="0"/>
              <w:keepLines w:val="0"/>
              <w:widowControl/>
              <w:suppressLineNumbers w:val="0"/>
              <w:jc w:val="lef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Percentage errors (Consistency*Perspective)</w:t>
            </w:r>
          </w:p>
        </w:tc>
        <w:tc>
          <w:tcPr>
            <w:tcW w:w="1926" w:type="dxa"/>
            <w:tcBorders>
              <w:top w:val="nil"/>
              <w:left w:val="nil"/>
              <w:bottom w:val="nil"/>
              <w:right w:val="nil"/>
            </w:tcBorders>
            <w:shd w:val="clear" w:color="auto" w:fill="auto"/>
            <w:vAlign w:val="center"/>
          </w:tcPr>
          <w:p w14:paraId="08FCB90C">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Self-Consistent vs.</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Self-Inconsistent</w:t>
            </w:r>
          </w:p>
        </w:tc>
        <w:tc>
          <w:tcPr>
            <w:tcW w:w="1064" w:type="dxa"/>
            <w:tcBorders>
              <w:top w:val="nil"/>
              <w:left w:val="nil"/>
              <w:bottom w:val="nil"/>
              <w:right w:val="nil"/>
            </w:tcBorders>
            <w:shd w:val="clear" w:color="auto" w:fill="auto"/>
            <w:noWrap/>
            <w:vAlign w:val="center"/>
          </w:tcPr>
          <w:p w14:paraId="5C77BB8D">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-3.596</w:t>
            </w:r>
          </w:p>
        </w:tc>
        <w:tc>
          <w:tcPr>
            <w:tcW w:w="896" w:type="dxa"/>
            <w:tcBorders>
              <w:top w:val="nil"/>
              <w:left w:val="nil"/>
              <w:bottom w:val="nil"/>
              <w:right w:val="nil"/>
            </w:tcBorders>
            <w:shd w:val="clear" w:color="auto" w:fill="auto"/>
            <w:noWrap/>
            <w:vAlign w:val="center"/>
          </w:tcPr>
          <w:p w14:paraId="1DD003F1">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-4.154</w:t>
            </w:r>
          </w:p>
        </w:tc>
        <w:tc>
          <w:tcPr>
            <w:tcW w:w="732" w:type="dxa"/>
            <w:tcBorders>
              <w:top w:val="nil"/>
              <w:left w:val="nil"/>
              <w:bottom w:val="nil"/>
              <w:right w:val="nil"/>
            </w:tcBorders>
            <w:shd w:val="clear" w:color="auto" w:fill="auto"/>
            <w:noWrap/>
            <w:vAlign w:val="center"/>
          </w:tcPr>
          <w:p w14:paraId="1BE7F20E">
            <w:pPr>
              <w:keepNext w:val="0"/>
              <w:keepLines w:val="0"/>
              <w:widowControl/>
              <w:suppressLineNumbers w:val="0"/>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&lt;.001</w:t>
            </w:r>
          </w:p>
        </w:tc>
        <w:tc>
          <w:tcPr>
            <w:tcW w:w="1160" w:type="dxa"/>
            <w:tcBorders>
              <w:top w:val="nil"/>
              <w:left w:val="nil"/>
              <w:bottom w:val="nil"/>
              <w:right w:val="nil"/>
            </w:tcBorders>
            <w:shd w:val="clear" w:color="auto" w:fill="auto"/>
            <w:noWrap/>
            <w:vAlign w:val="center"/>
          </w:tcPr>
          <w:p w14:paraId="1A793E2B">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0.509</w:t>
            </w:r>
          </w:p>
        </w:tc>
      </w:tr>
      <w:tr w14:paraId="01F1A7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2531" w:type="dxa"/>
            <w:tcBorders>
              <w:top w:val="nil"/>
              <w:left w:val="nil"/>
              <w:bottom w:val="nil"/>
              <w:right w:val="nil"/>
            </w:tcBorders>
            <w:shd w:val="clear" w:color="auto" w:fill="auto"/>
            <w:noWrap/>
            <w:vAlign w:val="center"/>
          </w:tcPr>
          <w:p w14:paraId="597751F2">
            <w:pPr>
              <w:rPr>
                <w:rFonts w:hint="default" w:ascii="Times New Roman" w:hAnsi="Times New Roman" w:eastAsia="宋体" w:cs="Times New Roman"/>
                <w:i w:val="0"/>
                <w:iCs w:val="0"/>
                <w:color w:val="000000"/>
                <w:sz w:val="20"/>
                <w:szCs w:val="20"/>
                <w:u w:val="none"/>
              </w:rPr>
            </w:pPr>
          </w:p>
        </w:tc>
        <w:tc>
          <w:tcPr>
            <w:tcW w:w="1926" w:type="dxa"/>
            <w:tcBorders>
              <w:top w:val="nil"/>
              <w:left w:val="nil"/>
              <w:bottom w:val="nil"/>
              <w:right w:val="nil"/>
            </w:tcBorders>
            <w:shd w:val="clear" w:color="auto" w:fill="auto"/>
            <w:vAlign w:val="center"/>
          </w:tcPr>
          <w:p w14:paraId="7CD6FE90">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Other-Consistent vs.</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Other-Inconsistent</w:t>
            </w:r>
          </w:p>
        </w:tc>
        <w:tc>
          <w:tcPr>
            <w:tcW w:w="1064" w:type="dxa"/>
            <w:tcBorders>
              <w:top w:val="nil"/>
              <w:left w:val="nil"/>
              <w:bottom w:val="nil"/>
              <w:right w:val="nil"/>
            </w:tcBorders>
            <w:shd w:val="clear" w:color="auto" w:fill="auto"/>
            <w:noWrap/>
            <w:vAlign w:val="center"/>
          </w:tcPr>
          <w:p w14:paraId="6A431B9E">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-8.469</w:t>
            </w:r>
          </w:p>
        </w:tc>
        <w:tc>
          <w:tcPr>
            <w:tcW w:w="896" w:type="dxa"/>
            <w:tcBorders>
              <w:top w:val="nil"/>
              <w:left w:val="nil"/>
              <w:bottom w:val="nil"/>
              <w:right w:val="nil"/>
            </w:tcBorders>
            <w:shd w:val="clear" w:color="auto" w:fill="auto"/>
            <w:noWrap/>
            <w:vAlign w:val="center"/>
          </w:tcPr>
          <w:p w14:paraId="0CC9C879">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-10.093</w:t>
            </w:r>
          </w:p>
        </w:tc>
        <w:tc>
          <w:tcPr>
            <w:tcW w:w="732" w:type="dxa"/>
            <w:tcBorders>
              <w:top w:val="nil"/>
              <w:left w:val="nil"/>
              <w:bottom w:val="nil"/>
              <w:right w:val="nil"/>
            </w:tcBorders>
            <w:shd w:val="clear" w:color="auto" w:fill="auto"/>
            <w:noWrap/>
            <w:vAlign w:val="center"/>
          </w:tcPr>
          <w:p w14:paraId="137C1D37">
            <w:pPr>
              <w:keepNext w:val="0"/>
              <w:keepLines w:val="0"/>
              <w:widowControl/>
              <w:suppressLineNumbers w:val="0"/>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&lt;.001</w:t>
            </w:r>
          </w:p>
        </w:tc>
        <w:tc>
          <w:tcPr>
            <w:tcW w:w="1160" w:type="dxa"/>
            <w:tcBorders>
              <w:top w:val="nil"/>
              <w:left w:val="nil"/>
              <w:bottom w:val="nil"/>
              <w:right w:val="nil"/>
            </w:tcBorders>
            <w:shd w:val="clear" w:color="auto" w:fill="auto"/>
            <w:noWrap/>
            <w:vAlign w:val="center"/>
          </w:tcPr>
          <w:p w14:paraId="25B04396">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1.198</w:t>
            </w:r>
          </w:p>
        </w:tc>
      </w:tr>
      <w:tr w14:paraId="31A13F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2531" w:type="dxa"/>
            <w:tcBorders>
              <w:top w:val="nil"/>
              <w:left w:val="nil"/>
              <w:bottom w:val="nil"/>
              <w:right w:val="nil"/>
            </w:tcBorders>
            <w:shd w:val="clear" w:color="auto" w:fill="auto"/>
            <w:noWrap/>
            <w:vAlign w:val="center"/>
          </w:tcPr>
          <w:p w14:paraId="25B001D0">
            <w:pPr>
              <w:rPr>
                <w:rFonts w:hint="default" w:ascii="Times New Roman" w:hAnsi="Times New Roman" w:eastAsia="宋体" w:cs="Times New Roman"/>
                <w:i w:val="0"/>
                <w:iCs w:val="0"/>
                <w:color w:val="000000"/>
                <w:sz w:val="20"/>
                <w:szCs w:val="20"/>
                <w:u w:val="none"/>
              </w:rPr>
            </w:pPr>
          </w:p>
        </w:tc>
        <w:tc>
          <w:tcPr>
            <w:tcW w:w="1926" w:type="dxa"/>
            <w:tcBorders>
              <w:top w:val="nil"/>
              <w:left w:val="nil"/>
              <w:bottom w:val="nil"/>
              <w:right w:val="nil"/>
            </w:tcBorders>
            <w:shd w:val="clear" w:color="auto" w:fill="auto"/>
            <w:vAlign w:val="center"/>
          </w:tcPr>
          <w:p w14:paraId="741813CB">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Self-Consistent vs.</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Other-Consistent</w:t>
            </w:r>
          </w:p>
        </w:tc>
        <w:tc>
          <w:tcPr>
            <w:tcW w:w="1064" w:type="dxa"/>
            <w:tcBorders>
              <w:top w:val="nil"/>
              <w:left w:val="nil"/>
              <w:bottom w:val="nil"/>
              <w:right w:val="nil"/>
            </w:tcBorders>
            <w:shd w:val="clear" w:color="auto" w:fill="auto"/>
            <w:noWrap/>
            <w:vAlign w:val="center"/>
          </w:tcPr>
          <w:p w14:paraId="1BD77DEF">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1.600</w:t>
            </w:r>
          </w:p>
        </w:tc>
        <w:tc>
          <w:tcPr>
            <w:tcW w:w="896" w:type="dxa"/>
            <w:tcBorders>
              <w:top w:val="nil"/>
              <w:left w:val="nil"/>
              <w:bottom w:val="nil"/>
              <w:right w:val="nil"/>
            </w:tcBorders>
            <w:shd w:val="clear" w:color="auto" w:fill="auto"/>
            <w:noWrap/>
            <w:vAlign w:val="center"/>
          </w:tcPr>
          <w:p w14:paraId="4BC41076">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2.383</w:t>
            </w:r>
          </w:p>
        </w:tc>
        <w:tc>
          <w:tcPr>
            <w:tcW w:w="732" w:type="dxa"/>
            <w:tcBorders>
              <w:top w:val="nil"/>
              <w:left w:val="nil"/>
              <w:bottom w:val="nil"/>
              <w:right w:val="nil"/>
            </w:tcBorders>
            <w:shd w:val="clear" w:color="auto" w:fill="auto"/>
            <w:noWrap/>
            <w:vAlign w:val="center"/>
          </w:tcPr>
          <w:p w14:paraId="5EF869D5">
            <w:pPr>
              <w:keepNext w:val="0"/>
              <w:keepLines w:val="0"/>
              <w:widowControl/>
              <w:suppressLineNumbers w:val="0"/>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0.019</w:t>
            </w:r>
          </w:p>
        </w:tc>
        <w:tc>
          <w:tcPr>
            <w:tcW w:w="1160" w:type="dxa"/>
            <w:tcBorders>
              <w:top w:val="nil"/>
              <w:left w:val="nil"/>
              <w:bottom w:val="nil"/>
              <w:right w:val="nil"/>
            </w:tcBorders>
            <w:shd w:val="clear" w:color="auto" w:fill="auto"/>
            <w:noWrap/>
            <w:vAlign w:val="center"/>
          </w:tcPr>
          <w:p w14:paraId="3C7B1DEA">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0.226</w:t>
            </w:r>
          </w:p>
        </w:tc>
      </w:tr>
      <w:tr w14:paraId="79447B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5" w:hRule="atLeast"/>
          <w:jc w:val="center"/>
        </w:trPr>
        <w:tc>
          <w:tcPr>
            <w:tcW w:w="2531" w:type="dxa"/>
            <w:tcBorders>
              <w:top w:val="nil"/>
              <w:left w:val="nil"/>
              <w:bottom w:val="single" w:color="000000" w:sz="8" w:space="0"/>
              <w:right w:val="nil"/>
            </w:tcBorders>
            <w:shd w:val="clear" w:color="auto" w:fill="auto"/>
            <w:noWrap/>
            <w:vAlign w:val="center"/>
          </w:tcPr>
          <w:p w14:paraId="35CF2F06">
            <w:pPr>
              <w:rPr>
                <w:rFonts w:hint="default" w:ascii="Times New Roman" w:hAnsi="Times New Roman" w:eastAsia="宋体" w:cs="Times New Roman"/>
                <w:i w:val="0"/>
                <w:iCs w:val="0"/>
                <w:color w:val="000000"/>
                <w:sz w:val="20"/>
                <w:szCs w:val="20"/>
                <w:u w:val="none"/>
              </w:rPr>
            </w:pPr>
          </w:p>
        </w:tc>
        <w:tc>
          <w:tcPr>
            <w:tcW w:w="1926" w:type="dxa"/>
            <w:tcBorders>
              <w:top w:val="nil"/>
              <w:left w:val="nil"/>
              <w:bottom w:val="single" w:color="000000" w:sz="8" w:space="0"/>
              <w:right w:val="nil"/>
            </w:tcBorders>
            <w:shd w:val="clear" w:color="auto" w:fill="auto"/>
            <w:vAlign w:val="center"/>
          </w:tcPr>
          <w:p w14:paraId="22DF8BD8">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Self-Inconsistent vs.</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Other-Inconsistent</w:t>
            </w:r>
          </w:p>
        </w:tc>
        <w:tc>
          <w:tcPr>
            <w:tcW w:w="1064" w:type="dxa"/>
            <w:tcBorders>
              <w:top w:val="nil"/>
              <w:left w:val="nil"/>
              <w:bottom w:val="single" w:color="000000" w:sz="8" w:space="0"/>
              <w:right w:val="nil"/>
            </w:tcBorders>
            <w:shd w:val="clear" w:color="auto" w:fill="auto"/>
            <w:noWrap/>
            <w:vAlign w:val="center"/>
          </w:tcPr>
          <w:p w14:paraId="5EA4A660">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-3.273</w:t>
            </w:r>
          </w:p>
        </w:tc>
        <w:tc>
          <w:tcPr>
            <w:tcW w:w="896" w:type="dxa"/>
            <w:tcBorders>
              <w:top w:val="nil"/>
              <w:left w:val="nil"/>
              <w:bottom w:val="single" w:color="000000" w:sz="8" w:space="0"/>
              <w:right w:val="nil"/>
            </w:tcBorders>
            <w:shd w:val="clear" w:color="auto" w:fill="auto"/>
            <w:noWrap/>
            <w:vAlign w:val="center"/>
          </w:tcPr>
          <w:p w14:paraId="1A5E359D">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-3.152</w:t>
            </w:r>
          </w:p>
        </w:tc>
        <w:tc>
          <w:tcPr>
            <w:tcW w:w="732" w:type="dxa"/>
            <w:tcBorders>
              <w:top w:val="nil"/>
              <w:left w:val="nil"/>
              <w:bottom w:val="single" w:color="000000" w:sz="8" w:space="0"/>
              <w:right w:val="nil"/>
            </w:tcBorders>
            <w:shd w:val="clear" w:color="auto" w:fill="auto"/>
            <w:noWrap/>
            <w:vAlign w:val="center"/>
          </w:tcPr>
          <w:p w14:paraId="7CD8238F">
            <w:pPr>
              <w:keepNext w:val="0"/>
              <w:keepLines w:val="0"/>
              <w:widowControl/>
              <w:suppressLineNumbers w:val="0"/>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0.004</w:t>
            </w:r>
          </w:p>
        </w:tc>
        <w:tc>
          <w:tcPr>
            <w:tcW w:w="1160" w:type="dxa"/>
            <w:tcBorders>
              <w:top w:val="nil"/>
              <w:left w:val="nil"/>
              <w:bottom w:val="single" w:color="000000" w:sz="8" w:space="0"/>
              <w:right w:val="nil"/>
            </w:tcBorders>
            <w:shd w:val="clear" w:color="auto" w:fill="auto"/>
            <w:noWrap/>
            <w:vAlign w:val="center"/>
          </w:tcPr>
          <w:p w14:paraId="6A4F776A">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0.463</w:t>
            </w:r>
          </w:p>
        </w:tc>
      </w:tr>
    </w:tbl>
    <w:p w14:paraId="0348DE32">
      <w:pPr>
        <w:rPr>
          <w:rFonts w:hint="default" w:ascii="Times New Roman" w:hAnsi="Times New Roman" w:cs="Times New Roman" w:eastAsiaTheme="minorEastAsia"/>
          <w:b w:val="0"/>
          <w:bCs w:val="0"/>
          <w:lang w:val="en-US" w:eastAsia="zh-CN"/>
        </w:rPr>
      </w:pPr>
      <w:r>
        <w:rPr>
          <w:rFonts w:hint="default" w:ascii="Times New Roman" w:hAnsi="Times New Roman" w:cs="Times New Roman"/>
          <w:i/>
          <w:iCs/>
          <w:lang w:val="en-US" w:eastAsia="zh-CN"/>
        </w:rPr>
        <w:t>Note.</w:t>
      </w:r>
      <w:r>
        <w:rPr>
          <w:rFonts w:hint="eastAsia" w:ascii="Times New Roman" w:hAnsi="Times New Roman" w:cs="Times New Roman"/>
          <w:b w:val="0"/>
          <w:bCs w:val="0"/>
          <w:lang w:val="en-US" w:eastAsia="zh-CN"/>
        </w:rPr>
        <w:t xml:space="preserve"> </w:t>
      </w:r>
      <w:r>
        <w:rPr>
          <w:rFonts w:hint="default" w:ascii="Times New Roman" w:hAnsi="Times New Roman" w:cs="Times New Roman"/>
          <w:b w:val="0"/>
          <w:bCs w:val="0"/>
          <w:lang w:val="en-US" w:eastAsia="zh-CN"/>
        </w:rPr>
        <w:t>“</w:t>
      </w:r>
      <w:r>
        <w:rPr>
          <w:rFonts w:hint="eastAsia" w:ascii="Times New Roman" w:hAnsi="Times New Roman" w:cs="Times New Roman"/>
          <w:b w:val="0"/>
          <w:bCs w:val="0"/>
          <w:lang w:val="en-US" w:eastAsia="zh-CN"/>
        </w:rPr>
        <w:t>HL</w:t>
      </w:r>
      <w:r>
        <w:rPr>
          <w:rFonts w:hint="default" w:ascii="Times New Roman" w:hAnsi="Times New Roman" w:cs="Times New Roman"/>
          <w:b w:val="0"/>
          <w:bCs w:val="0"/>
          <w:lang w:val="en-US" w:eastAsia="zh-CN"/>
        </w:rPr>
        <w:t>”</w:t>
      </w:r>
      <w:r>
        <w:rPr>
          <w:rFonts w:hint="eastAsia" w:ascii="Times New Roman" w:hAnsi="Times New Roman" w:cs="Times New Roman"/>
          <w:b w:val="0"/>
          <w:bCs w:val="0"/>
          <w:lang w:val="en-US" w:eastAsia="zh-CN"/>
        </w:rPr>
        <w:t xml:space="preserve">=high loneliness; </w:t>
      </w:r>
      <w:r>
        <w:rPr>
          <w:rFonts w:hint="default" w:ascii="Times New Roman" w:hAnsi="Times New Roman" w:cs="Times New Roman"/>
          <w:b w:val="0"/>
          <w:bCs w:val="0"/>
          <w:lang w:val="en-US" w:eastAsia="zh-CN"/>
        </w:rPr>
        <w:t>“</w:t>
      </w:r>
      <w:r>
        <w:rPr>
          <w:rFonts w:hint="eastAsia" w:ascii="Times New Roman" w:hAnsi="Times New Roman" w:cs="Times New Roman"/>
          <w:b w:val="0"/>
          <w:bCs w:val="0"/>
          <w:lang w:val="en-US" w:eastAsia="zh-CN"/>
        </w:rPr>
        <w:t>LL</w:t>
      </w:r>
      <w:r>
        <w:rPr>
          <w:rFonts w:hint="default" w:ascii="Times New Roman" w:hAnsi="Times New Roman" w:cs="Times New Roman"/>
          <w:b w:val="0"/>
          <w:bCs w:val="0"/>
          <w:lang w:val="en-US" w:eastAsia="zh-CN"/>
        </w:rPr>
        <w:t>”</w:t>
      </w:r>
      <w:r>
        <w:rPr>
          <w:rFonts w:hint="eastAsia" w:ascii="Times New Roman" w:hAnsi="Times New Roman" w:cs="Times New Roman"/>
          <w:b w:val="0"/>
          <w:bCs w:val="0"/>
          <w:lang w:val="en-US" w:eastAsia="zh-CN"/>
        </w:rPr>
        <w:t xml:space="preserve">=low loneliness; </w:t>
      </w:r>
      <w:r>
        <w:rPr>
          <w:rFonts w:hint="default" w:ascii="Times New Roman" w:hAnsi="Times New Roman" w:cs="Times New Roman"/>
          <w:b w:val="0"/>
          <w:bCs w:val="0"/>
          <w:lang w:val="en-US" w:eastAsia="zh-CN"/>
        </w:rPr>
        <w:t>“</w:t>
      </w:r>
      <w:r>
        <w:rPr>
          <w:rFonts w:hint="default" w:ascii="Times New Roman" w:hAnsi="Times New Roman" w:eastAsia="宋体" w:cs="Times New Roman"/>
          <w:b w:val="0"/>
          <w:bCs w:val="0"/>
          <w:i w:val="0"/>
          <w:iCs w:val="0"/>
          <w:color w:val="000000"/>
          <w:kern w:val="0"/>
          <w:sz w:val="20"/>
          <w:szCs w:val="20"/>
          <w:u w:val="none"/>
          <w:lang w:val="en-US" w:eastAsia="zh-CN" w:bidi="ar"/>
        </w:rPr>
        <w:t>Mean dif</w:t>
      </w:r>
      <w:r>
        <w:rPr>
          <w:rFonts w:hint="eastAsia" w:ascii="Times New Roman" w:hAnsi="Times New Roman" w:eastAsia="宋体" w:cs="Times New Roman"/>
          <w:b w:val="0"/>
          <w:bCs w:val="0"/>
          <w:i w:val="0"/>
          <w:iCs w:val="0"/>
          <w:color w:val="000000"/>
          <w:kern w:val="0"/>
          <w:sz w:val="20"/>
          <w:szCs w:val="20"/>
          <w:u w:val="none"/>
          <w:lang w:val="en-US" w:eastAsia="zh-CN" w:bidi="ar"/>
        </w:rPr>
        <w:t xml:space="preserve"> </w:t>
      </w:r>
      <w:r>
        <w:rPr>
          <w:rFonts w:hint="default" w:ascii="Times New Roman" w:hAnsi="Times New Roman" w:eastAsia="宋体" w:cs="Times New Roman"/>
          <w:b w:val="0"/>
          <w:bCs w:val="0"/>
          <w:i w:val="0"/>
          <w:iCs w:val="0"/>
          <w:color w:val="000000"/>
          <w:kern w:val="0"/>
          <w:sz w:val="20"/>
          <w:szCs w:val="20"/>
          <w:u w:val="none"/>
          <w:lang w:val="en-US" w:eastAsia="zh-CN" w:bidi="ar"/>
        </w:rPr>
        <w:t>”</w:t>
      </w:r>
      <w:r>
        <w:rPr>
          <w:rFonts w:hint="eastAsia" w:ascii="Times New Roman" w:hAnsi="Times New Roman" w:eastAsia="宋体" w:cs="Times New Roman"/>
          <w:b w:val="0"/>
          <w:bCs w:val="0"/>
          <w:i w:val="0"/>
          <w:iCs w:val="0"/>
          <w:color w:val="000000"/>
          <w:kern w:val="0"/>
          <w:sz w:val="20"/>
          <w:szCs w:val="20"/>
          <w:u w:val="none"/>
          <w:lang w:val="en-US" w:eastAsia="zh-CN" w:bidi="ar"/>
        </w:rPr>
        <w:t>=mean difference.</w:t>
      </w:r>
    </w:p>
    <w:p w14:paraId="3CE82A90">
      <w:pPr>
        <w:keepNext w:val="0"/>
        <w:keepLines w:val="0"/>
        <w:pageBreakBefore w:val="0"/>
        <w:wordWrap/>
        <w:overflowPunct/>
        <w:topLinePunct w:val="0"/>
        <w:autoSpaceDE/>
        <w:autoSpaceDN/>
        <w:bidi w:val="0"/>
        <w:snapToGrid/>
        <w:spacing w:line="480" w:lineRule="auto"/>
        <w:rPr>
          <w:rFonts w:ascii="Times New Roman" w:hAnsi="Times New Roman" w:eastAsia="宋体" w:cs="Times New Roman"/>
          <w:sz w:val="24"/>
          <w:lang w:bidi="ar"/>
        </w:rPr>
      </w:pPr>
    </w:p>
    <w:p w14:paraId="2646BBB7">
      <w:pPr>
        <w:jc w:val="center"/>
        <w:rPr>
          <w:rFonts w:hint="eastAsia" w:ascii="Times New Roman" w:hAnsi="Times New Roman" w:eastAsia="宋体" w:cs="Times New Roman"/>
          <w:b/>
          <w:bCs/>
          <w:sz w:val="28"/>
          <w:szCs w:val="28"/>
          <w:lang w:val="en-US" w:eastAsia="zh-CN" w:bidi="ar"/>
        </w:rPr>
      </w:pPr>
    </w:p>
    <w:p w14:paraId="687DD225">
      <w:pPr>
        <w:rPr>
          <w:rFonts w:hint="eastAsia" w:ascii="Times New Roman" w:hAnsi="Times New Roman" w:eastAsia="宋体" w:cs="Times New Roman"/>
          <w:b/>
          <w:bCs/>
          <w:sz w:val="24"/>
          <w:lang w:bidi="ar"/>
        </w:rPr>
      </w:pPr>
      <w:r>
        <w:rPr>
          <w:rFonts w:hint="eastAsia" w:ascii="Times New Roman" w:hAnsi="Times New Roman" w:eastAsia="宋体" w:cs="Times New Roman"/>
          <w:b/>
          <w:bCs/>
          <w:sz w:val="24"/>
          <w:lang w:bidi="ar"/>
        </w:rPr>
        <w:br w:type="page"/>
      </w:r>
    </w:p>
    <w:p w14:paraId="64ABAB4D">
      <w:pPr>
        <w:keepNext w:val="0"/>
        <w:keepLines w:val="0"/>
        <w:pageBreakBefore w:val="0"/>
        <w:wordWrap/>
        <w:overflowPunct/>
        <w:topLinePunct w:val="0"/>
        <w:autoSpaceDE/>
        <w:autoSpaceDN/>
        <w:bidi w:val="0"/>
        <w:snapToGrid/>
        <w:spacing w:line="480" w:lineRule="auto"/>
        <w:jc w:val="center"/>
        <w:rPr>
          <w:rFonts w:ascii="Times New Roman" w:hAnsi="Times New Roman" w:eastAsia="宋体" w:cs="Times New Roman"/>
          <w:sz w:val="24"/>
          <w:lang w:bidi="ar"/>
        </w:rPr>
      </w:pPr>
      <w:r>
        <w:rPr>
          <w:rFonts w:hint="eastAsia" w:ascii="Times New Roman" w:hAnsi="Times New Roman" w:eastAsia="宋体" w:cs="Times New Roman"/>
          <w:b/>
          <w:bCs/>
          <w:sz w:val="24"/>
          <w:lang w:bidi="ar"/>
        </w:rPr>
        <w:t>Supplementary Material</w:t>
      </w:r>
      <w:r>
        <w:rPr>
          <w:rFonts w:hint="eastAsia" w:ascii="Times New Roman" w:hAnsi="Times New Roman" w:eastAsia="宋体" w:cs="Times New Roman"/>
          <w:b/>
          <w:bCs/>
          <w:sz w:val="24"/>
          <w:lang w:val="en-US" w:eastAsia="zh-CN" w:bidi="ar"/>
        </w:rPr>
        <w:t xml:space="preserve"> [2.1]</w:t>
      </w:r>
      <w:r>
        <w:rPr>
          <w:rFonts w:hint="eastAsia" w:ascii="Times New Roman" w:hAnsi="Times New Roman" w:eastAsia="宋体" w:cs="Times New Roman"/>
          <w:b/>
          <w:bCs/>
          <w:sz w:val="24"/>
          <w:lang w:bidi="ar"/>
        </w:rPr>
        <w:t>:</w:t>
      </w:r>
      <w:r>
        <w:rPr>
          <w:rFonts w:hint="eastAsia" w:ascii="Times New Roman" w:hAnsi="Times New Roman" w:eastAsia="宋体" w:cs="Times New Roman"/>
          <w:b/>
          <w:bCs/>
          <w:sz w:val="24"/>
          <w:lang w:val="en-US" w:eastAsia="zh-CN" w:bidi="ar"/>
        </w:rPr>
        <w:t xml:space="preserve"> </w:t>
      </w:r>
      <w:r>
        <w:rPr>
          <w:rFonts w:hint="eastAsia" w:ascii="Times New Roman" w:hAnsi="Times New Roman" w:eastAsia="宋体" w:cs="Times New Roman"/>
          <w:b/>
          <w:bCs/>
          <w:sz w:val="24"/>
          <w:lang w:bidi="ar"/>
        </w:rPr>
        <w:t>Participant Screening and Selection</w:t>
      </w:r>
      <w:r>
        <w:rPr>
          <w:rFonts w:hint="eastAsia" w:ascii="Times New Roman" w:hAnsi="Times New Roman" w:eastAsia="宋体" w:cs="Times New Roman"/>
          <w:b/>
          <w:bCs/>
          <w:sz w:val="24"/>
          <w:lang w:val="en-US" w:eastAsia="zh-CN" w:bidi="ar"/>
        </w:rPr>
        <w:t xml:space="preserve"> for Experiment 2</w:t>
      </w:r>
    </w:p>
    <w:p w14:paraId="75227A73">
      <w:pPr>
        <w:keepNext w:val="0"/>
        <w:keepLines w:val="0"/>
        <w:pageBreakBefore w:val="0"/>
        <w:wordWrap/>
        <w:overflowPunct/>
        <w:topLinePunct w:val="0"/>
        <w:autoSpaceDE/>
        <w:autoSpaceDN/>
        <w:bidi w:val="0"/>
        <w:snapToGrid/>
        <w:spacing w:line="480" w:lineRule="auto"/>
        <w:ind w:firstLine="480" w:firstLineChars="200"/>
        <w:rPr>
          <w:rFonts w:ascii="Times New Roman" w:hAnsi="Times New Roman" w:cs="Times New Roman"/>
          <w:sz w:val="24"/>
        </w:rPr>
      </w:pPr>
      <w:r>
        <w:rPr>
          <w:rFonts w:ascii="Times New Roman" w:hAnsi="Times New Roman" w:eastAsia="宋体" w:cs="Times New Roman"/>
          <w:sz w:val="24"/>
          <w:lang w:bidi="ar"/>
        </w:rPr>
        <w:t>We applied the same G*Power procedure and estimation parameters as in Experiment 1 and recruited a larger sample to ensure adequate statistical power. A total of 394 participants (102 male individuals</w:t>
      </w:r>
      <w:r>
        <w:rPr>
          <w:rFonts w:hint="eastAsia" w:ascii="Times New Roman" w:hAnsi="Times New Roman" w:eastAsia="宋体" w:cs="Times New Roman"/>
          <w:sz w:val="24"/>
          <w:lang w:val="en-US" w:eastAsia="zh-CN" w:bidi="ar"/>
        </w:rPr>
        <w:t>,</w:t>
      </w:r>
      <w:r>
        <w:rPr>
          <w:rFonts w:ascii="Times New Roman" w:hAnsi="Times New Roman" w:eastAsia="宋体" w:cs="Times New Roman"/>
          <w:sz w:val="24"/>
          <w:lang w:bidi="ar"/>
        </w:rPr>
        <w:t xml:space="preserve"> </w:t>
      </w:r>
      <w:r>
        <w:rPr>
          <w:rFonts w:hint="eastAsia" w:ascii="Times New Roman" w:hAnsi="Times New Roman" w:eastAsia="宋体" w:cs="Times New Roman"/>
          <w:sz w:val="24"/>
          <w:lang w:bidi="ar"/>
        </w:rPr>
        <w:t>mean age =</w:t>
      </w:r>
      <w:r>
        <w:rPr>
          <w:rFonts w:ascii="Times New Roman" w:hAnsi="Times New Roman" w:eastAsia="宋体" w:cs="Times New Roman"/>
          <w:sz w:val="24"/>
          <w:lang w:bidi="ar"/>
        </w:rPr>
        <w:t xml:space="preserve"> 19.75</w:t>
      </w:r>
      <w:r>
        <w:rPr>
          <w:rFonts w:hint="eastAsia" w:ascii="Times New Roman" w:hAnsi="Times New Roman" w:eastAsia="宋体" w:cs="Times New Roman"/>
          <w:sz w:val="24"/>
          <w:lang w:bidi="ar"/>
        </w:rPr>
        <w:t xml:space="preserve"> </w:t>
      </w:r>
      <w:r>
        <w:rPr>
          <w:rFonts w:ascii="Times New Roman" w:hAnsi="Times New Roman" w:eastAsia="宋体" w:cs="Times New Roman"/>
          <w:sz w:val="24"/>
          <w:lang w:bidi="ar"/>
        </w:rPr>
        <w:t>±</w:t>
      </w:r>
      <w:r>
        <w:rPr>
          <w:rFonts w:hint="eastAsia" w:ascii="Times New Roman" w:hAnsi="Times New Roman" w:eastAsia="宋体" w:cs="Times New Roman"/>
          <w:sz w:val="24"/>
          <w:lang w:bidi="ar"/>
        </w:rPr>
        <w:t xml:space="preserve"> </w:t>
      </w:r>
      <w:r>
        <w:rPr>
          <w:rFonts w:ascii="Times New Roman" w:hAnsi="Times New Roman" w:eastAsia="宋体" w:cs="Times New Roman"/>
          <w:sz w:val="24"/>
          <w:lang w:bidi="ar"/>
        </w:rPr>
        <w:t xml:space="preserve">1.64) completed the ULS-8. To ensure methodological continuity with Experiment 1, we adopted the same cut-off scores previously established from a larger screening sample (N = 770), in which ± 0.8 </w:t>
      </w:r>
      <w:r>
        <w:rPr>
          <w:rFonts w:hint="eastAsia" w:ascii="Times New Roman" w:hAnsi="Times New Roman" w:eastAsia="宋体" w:cs="Times New Roman"/>
          <w:sz w:val="24"/>
          <w:lang w:bidi="ar"/>
        </w:rPr>
        <w:t>SD</w:t>
      </w:r>
      <w:r>
        <w:rPr>
          <w:rFonts w:ascii="Times New Roman" w:hAnsi="Times New Roman" w:eastAsia="宋体" w:cs="Times New Roman"/>
          <w:sz w:val="24"/>
          <w:lang w:bidi="ar"/>
        </w:rPr>
        <w:t xml:space="preserve"> corresponded to loneliness scores of</w:t>
      </w:r>
      <w:r>
        <w:rPr>
          <w:rFonts w:hint="eastAsia" w:ascii="Times New Roman" w:hAnsi="Times New Roman" w:eastAsia="宋体" w:cs="Times New Roman"/>
          <w:sz w:val="24"/>
          <w:lang w:val="en-US" w:eastAsia="zh-CN" w:bidi="ar"/>
        </w:rPr>
        <w:t xml:space="preserve"> </w:t>
      </w:r>
      <w:r>
        <w:rPr>
          <w:rFonts w:ascii="Times New Roman" w:hAnsi="Times New Roman" w:eastAsia="宋体" w:cs="Times New Roman"/>
          <w:sz w:val="24"/>
          <w:lang w:bidi="ar"/>
        </w:rPr>
        <w:t>≥</w:t>
      </w:r>
      <w:r>
        <w:rPr>
          <w:rFonts w:hint="eastAsia" w:ascii="Times New Roman" w:hAnsi="Times New Roman" w:eastAsia="宋体" w:cs="Times New Roman"/>
          <w:sz w:val="24"/>
          <w:lang w:val="en-US" w:eastAsia="zh-CN" w:bidi="ar"/>
        </w:rPr>
        <w:t xml:space="preserve"> </w:t>
      </w:r>
      <w:r>
        <w:rPr>
          <w:rFonts w:ascii="Times New Roman" w:hAnsi="Times New Roman" w:eastAsia="宋体" w:cs="Times New Roman"/>
          <w:sz w:val="24"/>
          <w:lang w:bidi="ar"/>
        </w:rPr>
        <w:t>21 and ≤</w:t>
      </w:r>
      <w:r>
        <w:rPr>
          <w:rFonts w:hint="eastAsia" w:ascii="Times New Roman" w:hAnsi="Times New Roman" w:eastAsia="宋体" w:cs="Times New Roman"/>
          <w:sz w:val="24"/>
          <w:lang w:val="en-US" w:eastAsia="zh-CN" w:bidi="ar"/>
        </w:rPr>
        <w:t xml:space="preserve"> </w:t>
      </w:r>
      <w:r>
        <w:rPr>
          <w:rFonts w:ascii="Times New Roman" w:hAnsi="Times New Roman" w:eastAsia="宋体" w:cs="Times New Roman"/>
          <w:sz w:val="24"/>
          <w:lang w:bidi="ar"/>
        </w:rPr>
        <w:t>15 points for the HL and LL groups, respectively.</w:t>
      </w:r>
      <w:bookmarkStart w:id="0" w:name="OLE_LINK13"/>
      <w:r>
        <w:rPr>
          <w:rFonts w:ascii="Times New Roman" w:hAnsi="Times New Roman" w:eastAsia="宋体" w:cs="Times New Roman"/>
          <w:sz w:val="24"/>
          <w:lang w:bidi="ar"/>
        </w:rPr>
        <w:t xml:space="preserve"> Accordingly, 71 healthy participants (no reported history of neurological or psychiatric disorders) were recruited. Of these, 7 were excluded owing to excessive EEG artifacts (&gt;25% trials;</w:t>
      </w:r>
      <w:r>
        <w:rPr>
          <w:rFonts w:ascii="Times New Roman" w:hAnsi="Times New Roman" w:eastAsia="宋体" w:cs="Times New Roman"/>
          <w:sz w:val="24"/>
          <w:lang w:bidi="ar"/>
        </w:rPr>
        <w:fldChar w:fldCharType="begin"/>
      </w:r>
      <w:r>
        <w:rPr>
          <w:rFonts w:ascii="Times New Roman" w:hAnsi="Times New Roman" w:eastAsia="宋体" w:cs="Times New Roman"/>
          <w:sz w:val="24"/>
          <w:lang w:bidi="ar"/>
        </w:rPr>
        <w:instrText xml:space="preserve"> ADDIN ZOTERO_ITEM CSL_CITATION {"citationID":"b1p9IaDc","properties":{"formattedCitation":"(Luck, 2014)","plainCitation":"(Luck, 2014)","dontUpdate":true,"noteIndex":0},"citationItems":[{"id":253,"uris":["http://zotero.org/users/17131070/items/TLAMSG56"],"itemData":{"id":253,"type":"book","call-number":"QP376.5 .L83 2014","edition":"Second edition","event-place":"Cambridge, Massachusetts","ISBN":"978-0-262-52585-5","number-of-pages":"406","publisher":"The MIT Press","publisher-place":"Cambridge, Massachusetts","source":"Library of Congress ISBN","title":"An introduction to the event-related potential technique","author":[{"family":"Luck","given":"Steven J."}],"issued":{"date-parts":[["2014"]]}}}],"schema":"https://github.com/citation-style-language/schema/raw/master/csl-citation.json"} </w:instrText>
      </w:r>
      <w:r>
        <w:rPr>
          <w:rFonts w:ascii="Times New Roman" w:hAnsi="Times New Roman" w:eastAsia="宋体" w:cs="Times New Roman"/>
          <w:sz w:val="24"/>
          <w:lang w:bidi="ar"/>
        </w:rPr>
        <w:fldChar w:fldCharType="separate"/>
      </w:r>
      <w:r>
        <w:rPr>
          <w:rFonts w:ascii="Times New Roman" w:hAnsi="Times New Roman" w:cs="Times New Roman"/>
          <w:sz w:val="24"/>
        </w:rPr>
        <w:t xml:space="preserve"> </w:t>
      </w:r>
      <w:r>
        <w:rPr>
          <w:rFonts w:ascii="Times New Roman" w:hAnsi="Times New Roman" w:cs="Times New Roman"/>
          <w:sz w:val="24"/>
          <w:highlight w:val="none"/>
        </w:rPr>
        <w:t>Luck, 2014</w:t>
      </w:r>
      <w:r>
        <w:rPr>
          <w:rFonts w:ascii="Times New Roman" w:hAnsi="Times New Roman" w:cs="Times New Roman"/>
          <w:sz w:val="24"/>
        </w:rPr>
        <w:t>)</w:t>
      </w:r>
      <w:r>
        <w:rPr>
          <w:rFonts w:ascii="Times New Roman" w:hAnsi="Times New Roman" w:eastAsia="宋体" w:cs="Times New Roman"/>
          <w:sz w:val="24"/>
          <w:lang w:bidi="ar"/>
        </w:rPr>
        <w:fldChar w:fldCharType="end"/>
      </w:r>
      <w:r>
        <w:rPr>
          <w:rFonts w:ascii="Times New Roman" w:hAnsi="Times New Roman" w:eastAsia="宋体" w:cs="Times New Roman"/>
          <w:sz w:val="24"/>
          <w:lang w:bidi="ar"/>
        </w:rPr>
        <w:t>,</w:t>
      </w:r>
      <w:bookmarkEnd w:id="0"/>
      <w:r>
        <w:rPr>
          <w:rFonts w:hint="eastAsia" w:ascii="Times New Roman" w:hAnsi="Times New Roman" w:eastAsia="宋体" w:cs="Times New Roman"/>
          <w:sz w:val="24"/>
          <w:lang w:bidi="ar"/>
        </w:rPr>
        <w:t xml:space="preserve"> </w:t>
      </w:r>
      <w:r>
        <w:rPr>
          <w:rFonts w:ascii="Times New Roman" w:hAnsi="Times New Roman" w:eastAsia="宋体" w:cs="Times New Roman"/>
          <w:sz w:val="24"/>
          <w:lang w:bidi="ar"/>
        </w:rPr>
        <w:t>which yielded 64 participants divided into 2 loneliness groups: HL (n = 33, 8 male individuals, mean age = 19.42 ± 1.25, mean U</w:t>
      </w:r>
      <w:r>
        <w:rPr>
          <w:rFonts w:hint="eastAsia" w:ascii="Times New Roman" w:hAnsi="Times New Roman" w:eastAsia="宋体" w:cs="Times New Roman"/>
          <w:sz w:val="24"/>
          <w:lang w:bidi="ar"/>
        </w:rPr>
        <w:t xml:space="preserve">LS-8 </w:t>
      </w:r>
      <w:r>
        <w:rPr>
          <w:rFonts w:ascii="Times New Roman" w:hAnsi="Times New Roman" w:eastAsia="宋体" w:cs="Times New Roman"/>
          <w:sz w:val="24"/>
          <w:lang w:bidi="ar"/>
        </w:rPr>
        <w:t>score = 22.70 ± 1.51) and LL group (n = 31, 11 male individuals</w:t>
      </w:r>
      <w:r>
        <w:rPr>
          <w:rFonts w:hint="eastAsia" w:ascii="Times New Roman" w:hAnsi="Times New Roman" w:eastAsia="宋体" w:cs="Times New Roman"/>
          <w:sz w:val="24"/>
          <w:lang w:val="en-US" w:eastAsia="zh-CN" w:bidi="ar"/>
        </w:rPr>
        <w:t xml:space="preserve">, </w:t>
      </w:r>
      <w:r>
        <w:rPr>
          <w:rFonts w:ascii="Times New Roman" w:hAnsi="Times New Roman" w:eastAsia="宋体" w:cs="Times New Roman"/>
          <w:sz w:val="24"/>
          <w:lang w:bidi="ar"/>
        </w:rPr>
        <w:t>mean age = 19.61 ± 1.36</w:t>
      </w:r>
      <w:r>
        <w:rPr>
          <w:rFonts w:hint="eastAsia" w:ascii="Times New Roman" w:hAnsi="Times New Roman" w:eastAsia="宋体" w:cs="Times New Roman"/>
          <w:sz w:val="24"/>
          <w:lang w:val="en-US" w:eastAsia="zh-CN" w:bidi="ar"/>
        </w:rPr>
        <w:t xml:space="preserve">, </w:t>
      </w:r>
      <w:r>
        <w:rPr>
          <w:rFonts w:ascii="Times New Roman" w:hAnsi="Times New Roman" w:eastAsia="宋体" w:cs="Times New Roman"/>
          <w:sz w:val="24"/>
          <w:lang w:bidi="ar"/>
        </w:rPr>
        <w:t>mean U</w:t>
      </w:r>
      <w:r>
        <w:rPr>
          <w:rFonts w:hint="eastAsia" w:ascii="Times New Roman" w:hAnsi="Times New Roman" w:eastAsia="宋体" w:cs="Times New Roman"/>
          <w:sz w:val="24"/>
          <w:lang w:bidi="ar"/>
        </w:rPr>
        <w:t xml:space="preserve">LS-8 </w:t>
      </w:r>
      <w:r>
        <w:rPr>
          <w:rFonts w:ascii="Times New Roman" w:hAnsi="Times New Roman" w:eastAsia="宋体" w:cs="Times New Roman"/>
          <w:sz w:val="24"/>
          <w:lang w:bidi="ar"/>
        </w:rPr>
        <w:t xml:space="preserve">score = 13.52 ± 2.35). Similar to Experiment 1, </w:t>
      </w:r>
      <w:r>
        <w:rPr>
          <w:rFonts w:hint="eastAsia" w:ascii="Times New Roman" w:hAnsi="Times New Roman" w:eastAsia="宋体" w:cs="Times New Roman"/>
          <w:sz w:val="24"/>
          <w:lang w:bidi="ar"/>
        </w:rPr>
        <w:t>a</w:t>
      </w:r>
      <w:r>
        <w:rPr>
          <w:rFonts w:ascii="Times New Roman" w:hAnsi="Times New Roman" w:eastAsia="宋体" w:cs="Times New Roman"/>
          <w:sz w:val="24"/>
          <w:lang w:bidi="ar"/>
        </w:rPr>
        <w:t xml:space="preserve">ll </w:t>
      </w:r>
      <w:r>
        <w:rPr>
          <w:rFonts w:ascii="Times New Roman" w:hAnsi="Times New Roman" w:eastAsia="宋体" w:cs="Times New Roman"/>
          <w:sz w:val="24"/>
        </w:rPr>
        <w:t>the participants also completed the DASS-8 (Cronbach</w:t>
      </w:r>
      <w:r>
        <w:rPr>
          <w:rFonts w:ascii="Times New Roman" w:hAnsi="Times New Roman" w:eastAsia="宋体" w:cs="Times New Roman"/>
          <w:sz w:val="24"/>
          <w:lang w:bidi="ar"/>
        </w:rPr>
        <w:t xml:space="preserve">’s α = .86). </w:t>
      </w:r>
    </w:p>
    <w:p w14:paraId="11FF6910"/>
    <w:p w14:paraId="698B8B4B">
      <w:pPr>
        <w:jc w:val="center"/>
        <w:rPr>
          <w:rFonts w:hint="eastAsia" w:ascii="Times New Roman" w:hAnsi="Times New Roman" w:eastAsia="宋体" w:cs="Times New Roman"/>
          <w:b/>
          <w:bCs/>
          <w:sz w:val="28"/>
          <w:szCs w:val="28"/>
          <w:lang w:val="en-US" w:eastAsia="zh-CN" w:bidi="ar"/>
        </w:rPr>
      </w:pPr>
    </w:p>
    <w:p w14:paraId="458747F8">
      <w:pPr>
        <w:rPr>
          <w:rFonts w:hint="eastAsia" w:ascii="Times New Roman" w:hAnsi="Times New Roman" w:eastAsia="宋体" w:cs="Times New Roman"/>
          <w:b/>
          <w:bCs/>
          <w:color w:val="auto"/>
          <w:sz w:val="24"/>
          <w:lang w:bidi="ar"/>
        </w:rPr>
      </w:pPr>
      <w:r>
        <w:rPr>
          <w:rFonts w:hint="eastAsia" w:ascii="Times New Roman" w:hAnsi="Times New Roman" w:eastAsia="宋体" w:cs="Times New Roman"/>
          <w:b/>
          <w:bCs/>
          <w:color w:val="auto"/>
          <w:sz w:val="24"/>
          <w:lang w:bidi="ar"/>
        </w:rPr>
        <w:br w:type="page"/>
      </w:r>
    </w:p>
    <w:p w14:paraId="50108294">
      <w:pPr>
        <w:keepNext w:val="0"/>
        <w:keepLines w:val="0"/>
        <w:pageBreakBefore w:val="0"/>
        <w:wordWrap/>
        <w:overflowPunct/>
        <w:topLinePunct w:val="0"/>
        <w:autoSpaceDE/>
        <w:autoSpaceDN/>
        <w:bidi w:val="0"/>
        <w:snapToGrid/>
        <w:spacing w:line="480" w:lineRule="auto"/>
        <w:jc w:val="center"/>
        <w:rPr>
          <w:rFonts w:hint="eastAsia" w:ascii="Times New Roman" w:hAnsi="Times New Roman" w:eastAsia="宋体" w:cs="Times New Roman"/>
          <w:b/>
          <w:bCs/>
          <w:color w:val="auto"/>
          <w:sz w:val="24"/>
          <w:lang w:val="en-US" w:eastAsia="zh-CN" w:bidi="ar"/>
        </w:rPr>
      </w:pPr>
      <w:r>
        <w:rPr>
          <w:rFonts w:hint="eastAsia" w:ascii="Times New Roman" w:hAnsi="Times New Roman" w:eastAsia="宋体" w:cs="Times New Roman"/>
          <w:b/>
          <w:bCs/>
          <w:color w:val="auto"/>
          <w:sz w:val="24"/>
          <w:lang w:bidi="ar"/>
        </w:rPr>
        <w:t>Supplementary Material</w:t>
      </w:r>
      <w:r>
        <w:rPr>
          <w:rFonts w:hint="eastAsia" w:ascii="Times New Roman" w:hAnsi="Times New Roman" w:eastAsia="宋体" w:cs="Times New Roman"/>
          <w:b/>
          <w:bCs/>
          <w:color w:val="auto"/>
          <w:sz w:val="24"/>
          <w:lang w:val="en-US" w:eastAsia="zh-CN" w:bidi="ar"/>
        </w:rPr>
        <w:t xml:space="preserve"> [2.2]</w:t>
      </w:r>
      <w:r>
        <w:rPr>
          <w:rFonts w:hint="eastAsia" w:ascii="Times New Roman" w:hAnsi="Times New Roman" w:eastAsia="宋体" w:cs="Times New Roman"/>
          <w:b/>
          <w:bCs/>
          <w:color w:val="auto"/>
          <w:sz w:val="24"/>
          <w:lang w:bidi="ar"/>
        </w:rPr>
        <w:t>:</w:t>
      </w:r>
      <w:r>
        <w:rPr>
          <w:rFonts w:hint="eastAsia" w:ascii="Times New Roman" w:hAnsi="Times New Roman" w:eastAsia="宋体" w:cs="Times New Roman"/>
          <w:b/>
          <w:bCs/>
          <w:color w:val="auto"/>
          <w:sz w:val="24"/>
          <w:lang w:val="en-US" w:eastAsia="zh-CN" w:bidi="ar"/>
        </w:rPr>
        <w:t xml:space="preserve"> Full EEG Recording and Preprocessing Details</w:t>
      </w:r>
    </w:p>
    <w:p w14:paraId="2346DD8F">
      <w:pPr>
        <w:keepNext w:val="0"/>
        <w:keepLines w:val="0"/>
        <w:pageBreakBefore w:val="0"/>
        <w:wordWrap/>
        <w:overflowPunct/>
        <w:topLinePunct w:val="0"/>
        <w:autoSpaceDE/>
        <w:autoSpaceDN/>
        <w:bidi w:val="0"/>
        <w:snapToGrid/>
        <w:spacing w:line="480" w:lineRule="auto"/>
        <w:ind w:firstLine="480" w:firstLineChars="200"/>
      </w:pPr>
      <w:r>
        <w:rPr>
          <w:rFonts w:ascii="Times New Roman" w:hAnsi="Times New Roman" w:eastAsia="宋体" w:cs="Times New Roman"/>
          <w:sz w:val="24"/>
          <w:lang w:bidi="ar"/>
        </w:rPr>
        <w:t>EEG signals were recorded via 64 Ag/AgCl electrodes mounted on an elastic cap (Brain Products GmbH, Gilching, Germany) and arranged according to the extended international 10</w:t>
      </w:r>
      <w:r>
        <w:rPr>
          <w:rFonts w:hint="eastAsia" w:ascii="Times New Roman" w:hAnsi="Times New Roman" w:eastAsia="宋体" w:cs="Times New Roman"/>
          <w:sz w:val="24"/>
          <w:lang w:bidi="ar"/>
        </w:rPr>
        <w:t>-</w:t>
      </w:r>
      <w:r>
        <w:rPr>
          <w:rFonts w:ascii="Times New Roman" w:hAnsi="Times New Roman" w:eastAsia="宋体" w:cs="Times New Roman"/>
          <w:sz w:val="24"/>
          <w:lang w:bidi="ar"/>
        </w:rPr>
        <w:t>20 system. The ground electrode was placed at AFz, while Cz served as the online reference according to the amplifier’s default configuration</w:t>
      </w:r>
      <w:r>
        <w:rPr>
          <w:rFonts w:ascii="Times New Roman" w:hAnsi="Times New Roman" w:eastAsia="宋体" w:cs="Times New Roman"/>
          <w:sz w:val="24"/>
        </w:rPr>
        <w:t>. Vertical and horizontal electrooculography activit</w:t>
      </w:r>
      <w:r>
        <w:rPr>
          <w:rFonts w:ascii="Times New Roman" w:hAnsi="Times New Roman" w:eastAsia="宋体" w:cs="Times New Roman"/>
          <w:sz w:val="24"/>
          <w:lang w:bidi="ar"/>
        </w:rPr>
        <w:t>y was recorded via auxiliary electrodes placed below the right eye and at the left outer canthus, respectively.</w:t>
      </w:r>
      <w:r>
        <w:rPr>
          <w:rFonts w:hint="eastAsia" w:ascii="Times New Roman" w:hAnsi="Times New Roman" w:eastAsia="宋体" w:cs="Times New Roman"/>
          <w:sz w:val="24"/>
          <w:lang w:bidi="ar"/>
        </w:rPr>
        <w:t xml:space="preserve"> </w:t>
      </w:r>
      <w:r>
        <w:rPr>
          <w:rFonts w:ascii="Times New Roman" w:hAnsi="Times New Roman" w:eastAsia="宋体" w:cs="Times New Roman"/>
          <w:sz w:val="24"/>
          <w:lang w:bidi="ar"/>
        </w:rPr>
        <w:t>Electrode impedances were verified prior to recording and maintained below 5 kΩ to ensure optimal signal quality. Offline EEG preprocessing was conducted using EEGLAB (version 2024.0;</w:t>
      </w:r>
      <w:r>
        <w:rPr>
          <w:rFonts w:hint="eastAsia" w:ascii="Times New Roman" w:hAnsi="Times New Roman" w:eastAsia="宋体" w:cs="Times New Roman"/>
          <w:sz w:val="24"/>
          <w:lang w:bidi="ar"/>
        </w:rPr>
        <w:t xml:space="preserve"> </w:t>
      </w:r>
      <w:r>
        <w:rPr>
          <w:rFonts w:ascii="Times New Roman" w:hAnsi="Times New Roman" w:eastAsia="宋体" w:cs="Times New Roman"/>
          <w:sz w:val="24"/>
          <w:lang w:bidi="ar"/>
        </w:rPr>
        <w:fldChar w:fldCharType="begin"/>
      </w:r>
      <w:r>
        <w:rPr>
          <w:rFonts w:ascii="Times New Roman" w:hAnsi="Times New Roman" w:eastAsia="宋体" w:cs="Times New Roman"/>
          <w:sz w:val="24"/>
          <w:lang w:bidi="ar"/>
        </w:rPr>
        <w:instrText xml:space="preserve"> ADDIN ZOTERO_ITEM CSL_CITATION {"citationID":"9wykadtk","properties":{"formattedCitation":"(Delorme &amp; Makeig, 2004)","plainCitation":"(Delorme &amp; Makeig, 2004)","dontUpdate":true,"noteIndex":0},"citationItems":[{"id":189,"uris":["http://zotero.org/users/17131070/items/HLBNYA4X"],"itemData":{"id":189,"type":"article-journal","container-title":"Journal of Neuroscience Methods","DOI":"10.1016/j.jneumeth.2003.10.009","ISSN":"01650270","issue":"1","journalAbbreviation":"Journal of Neuroscience Methods","language":"en","license":"https://www.elsevier.com/tdm/userlicense/1.0/","page":"9-21","source":"DOI.org (Crossref)","title":"EEGLAB: an open source toolbox for analysis of single-trial EEG dynamics including independent component analysis","title-short":"EEGLAB","volume":"134","author":[{"family":"Delorme","given":"Arnaud"},{"family":"Makeig","given":"Scott"}],"issued":{"date-parts":[["2004",3]]}}}],"schema":"https://github.com/citation-style-language/schema/raw/master/csl-citation.json"} </w:instrText>
      </w:r>
      <w:r>
        <w:rPr>
          <w:rFonts w:ascii="Times New Roman" w:hAnsi="Times New Roman" w:eastAsia="宋体" w:cs="Times New Roman"/>
          <w:sz w:val="24"/>
          <w:lang w:bidi="ar"/>
        </w:rPr>
        <w:fldChar w:fldCharType="separate"/>
      </w:r>
      <w:r>
        <w:rPr>
          <w:rFonts w:ascii="Times New Roman" w:hAnsi="Times New Roman" w:eastAsia="宋体" w:cs="Times New Roman"/>
          <w:sz w:val="24"/>
          <w:lang w:bidi="ar"/>
        </w:rPr>
        <w:t>Delorme &amp; Makeig, 2004)</w:t>
      </w:r>
      <w:r>
        <w:rPr>
          <w:rFonts w:ascii="Times New Roman" w:hAnsi="Times New Roman" w:eastAsia="宋体" w:cs="Times New Roman"/>
          <w:sz w:val="24"/>
          <w:lang w:bidi="ar"/>
        </w:rPr>
        <w:fldChar w:fldCharType="end"/>
      </w:r>
      <w:r>
        <w:rPr>
          <w:rFonts w:ascii="Times New Roman" w:hAnsi="Times New Roman" w:eastAsia="宋体" w:cs="Times New Roman"/>
          <w:sz w:val="24"/>
          <w:lang w:bidi="ar"/>
        </w:rPr>
        <w:t xml:space="preserve"> and ERPLAB (version 8.30; </w:t>
      </w:r>
      <w:r>
        <w:rPr>
          <w:rFonts w:ascii="Times New Roman" w:hAnsi="Times New Roman" w:eastAsia="宋体" w:cs="Times New Roman"/>
          <w:sz w:val="24"/>
          <w:lang w:bidi="ar"/>
        </w:rPr>
        <w:fldChar w:fldCharType="begin"/>
      </w:r>
      <w:r>
        <w:rPr>
          <w:rFonts w:ascii="Times New Roman" w:hAnsi="Times New Roman" w:eastAsia="宋体" w:cs="Times New Roman"/>
          <w:sz w:val="24"/>
          <w:lang w:bidi="ar"/>
        </w:rPr>
        <w:instrText xml:space="preserve"> ADDIN ZOTERO_ITEM CSL_CITATION {"citationID":"jkoLw7yW","properties":{"formattedCitation":"(Lopez-Calderon &amp; Luck, 2014)","plainCitation":"(Lopez-Calderon &amp; Luck, 2014)","dontUpdate":true,"noteIndex":0},"citationItems":[{"id":191,"uris":["http://zotero.org/users/17131070/items/EBCC3YTN"],"itemData":{"id":191,"type":"article-journal","container-title":"Frontiers in Human Neuroscience","DOI":"10.3389/fnhum.2014.00213","ISSN":"1662-5161","journalAbbreviation":"Front. Hum. Neurosci.","source":"DOI.org (Crossref)","title":"ERPLAB: an open-source toolbox for the analysis of event-related potentials","title-short":"ERPLAB","URL":"http://journal.frontiersin.org/article/10.3389/fnhum.2014.00213/abstract","volume":"8","author":[{"family":"Lopez-Calderon","given":"Javier"},{"family":"Luck","given":"Steven J."}],"accessed":{"date-parts":[["2025",6,3]]},"issued":{"date-parts":[["2014",4,14]]}}}],"schema":"https://github.com/citation-style-language/schema/raw/master/csl-citation.json"} </w:instrText>
      </w:r>
      <w:r>
        <w:rPr>
          <w:rFonts w:ascii="Times New Roman" w:hAnsi="Times New Roman" w:eastAsia="宋体" w:cs="Times New Roman"/>
          <w:sz w:val="24"/>
          <w:lang w:bidi="ar"/>
        </w:rPr>
        <w:fldChar w:fldCharType="separate"/>
      </w:r>
      <w:r>
        <w:rPr>
          <w:rFonts w:ascii="Times New Roman" w:hAnsi="Times New Roman" w:eastAsia="宋体" w:cs="Times New Roman"/>
          <w:sz w:val="24"/>
          <w:lang w:bidi="ar"/>
        </w:rPr>
        <w:t>Lopez-Calderon &amp; Luck, 2014)</w:t>
      </w:r>
      <w:r>
        <w:rPr>
          <w:rFonts w:ascii="Times New Roman" w:hAnsi="Times New Roman" w:eastAsia="宋体" w:cs="Times New Roman"/>
          <w:sz w:val="24"/>
          <w:lang w:bidi="ar"/>
        </w:rPr>
        <w:fldChar w:fldCharType="end"/>
      </w:r>
      <w:r>
        <w:rPr>
          <w:rFonts w:ascii="Times New Roman" w:hAnsi="Times New Roman" w:eastAsia="宋体" w:cs="Times New Roman"/>
          <w:sz w:val="24"/>
          <w:lang w:bidi="ar"/>
        </w:rPr>
        <w:t xml:space="preserve"> implemented in the MATLAB R2022b environment (MathWorks Inc., Natick, MA, USA). To enhance processing speed, continuous EEG data were downsampled to 500 Hz. </w:t>
      </w:r>
      <w:r>
        <w:rPr>
          <w:rFonts w:ascii="Times New Roman" w:hAnsi="Times New Roman" w:eastAsia="宋体" w:cs="Times New Roman"/>
          <w:sz w:val="24"/>
        </w:rPr>
        <w:t>Direct current bias was removed, and a second-order Butterworth Infinite Impulse Response bandpass filter (0.1</w:t>
      </w:r>
      <w:r>
        <w:rPr>
          <w:rFonts w:ascii="Times New Roman" w:hAnsi="Times New Roman" w:eastAsia="宋体" w:cs="Times New Roman"/>
          <w:sz w:val="24"/>
          <w:lang w:bidi="ar"/>
        </w:rPr>
        <w:t>–30 Hz, 12 dB/octave) was applied. Artifacts were removed via an independent component analysis, with the extended info</w:t>
      </w:r>
      <w:r>
        <w:rPr>
          <w:rFonts w:ascii="Times New Roman" w:hAnsi="Times New Roman" w:eastAsia="宋体" w:cs="Times New Roman"/>
          <w:sz w:val="24"/>
        </w:rPr>
        <w:t>max algorithm. Subsequently, components related to blink</w:t>
      </w:r>
      <w:r>
        <w:rPr>
          <w:rFonts w:ascii="Times New Roman" w:hAnsi="Times New Roman" w:eastAsia="宋体" w:cs="Times New Roman"/>
          <w:sz w:val="24"/>
          <w:lang w:bidi="ar"/>
        </w:rPr>
        <w:t xml:space="preserve">s and eye movements were excluded. Cleaned data were re-referenced to the average reference. For event-related analyses, EEG data were epoched from </w:t>
      </w:r>
      <w:r>
        <w:rPr>
          <w:rFonts w:hint="eastAsia" w:ascii="Times New Roman" w:hAnsi="Times New Roman" w:eastAsia="宋体" w:cs="Times New Roman"/>
          <w:sz w:val="24"/>
          <w:lang w:bidi="ar"/>
        </w:rPr>
        <w:t>-</w:t>
      </w:r>
      <w:r>
        <w:rPr>
          <w:rFonts w:ascii="Times New Roman" w:hAnsi="Times New Roman" w:eastAsia="宋体" w:cs="Times New Roman"/>
          <w:sz w:val="24"/>
          <w:lang w:bidi="ar"/>
        </w:rPr>
        <w:t xml:space="preserve">200 to 1000 ms relative to </w:t>
      </w:r>
      <w:r>
        <w:rPr>
          <w:rFonts w:ascii="Times New Roman" w:hAnsi="Times New Roman" w:eastAsia="宋体" w:cs="Times New Roman"/>
          <w:sz w:val="24"/>
        </w:rPr>
        <w:t xml:space="preserve">the stimulus onset. Baseline correction was performed using </w:t>
      </w:r>
      <w:r>
        <w:rPr>
          <w:rFonts w:ascii="Times New Roman" w:hAnsi="Times New Roman" w:eastAsia="宋体" w:cs="Times New Roman"/>
          <w:sz w:val="24"/>
          <w:lang w:bidi="ar"/>
        </w:rPr>
        <w:t xml:space="preserve">a </w:t>
      </w:r>
      <w:r>
        <w:rPr>
          <w:rFonts w:hint="eastAsia" w:ascii="Times New Roman" w:hAnsi="Times New Roman" w:eastAsia="宋体" w:cs="Times New Roman"/>
          <w:sz w:val="24"/>
          <w:lang w:bidi="ar"/>
        </w:rPr>
        <w:t>-</w:t>
      </w:r>
      <w:r>
        <w:rPr>
          <w:rFonts w:ascii="Times New Roman" w:hAnsi="Times New Roman" w:eastAsia="宋体" w:cs="Times New Roman"/>
          <w:sz w:val="24"/>
          <w:lang w:bidi="ar"/>
        </w:rPr>
        <w:t xml:space="preserve">200 to 0 ms pre-stimulus interval. Trials with high-amplitude artifacts were excluded via automated rejection, defined as peak-to-peak voltages that exceeded 65 μV within any 200 ms sliding window (assessed every 100 ms). Only artifact-free trials were retained for </w:t>
      </w:r>
      <w:r>
        <w:rPr>
          <w:rFonts w:ascii="Times New Roman" w:hAnsi="Times New Roman" w:eastAsia="宋体" w:cs="Times New Roman"/>
          <w:sz w:val="24"/>
        </w:rPr>
        <w:t>the ERP analysis.</w:t>
      </w:r>
    </w:p>
    <w:p w14:paraId="28845D9E">
      <w:pPr>
        <w:keepNext w:val="0"/>
        <w:keepLines w:val="0"/>
        <w:pageBreakBefore w:val="0"/>
        <w:wordWrap/>
        <w:overflowPunct/>
        <w:topLinePunct w:val="0"/>
        <w:autoSpaceDE/>
        <w:autoSpaceDN/>
        <w:bidi w:val="0"/>
        <w:snapToGrid/>
        <w:spacing w:line="480" w:lineRule="auto"/>
        <w:jc w:val="center"/>
        <w:rPr>
          <w:rFonts w:hint="default" w:ascii="Times New Roman" w:hAnsi="Times New Roman" w:eastAsia="宋体" w:cs="Times New Roman"/>
          <w:b/>
          <w:bCs/>
          <w:sz w:val="24"/>
          <w:lang w:bidi="ar"/>
        </w:rPr>
      </w:pPr>
      <w:r>
        <w:rPr>
          <w:rFonts w:hint="default" w:ascii="Times New Roman" w:hAnsi="Times New Roman" w:eastAsia="宋体" w:cs="Times New Roman"/>
          <w:b/>
          <w:bCs/>
          <w:sz w:val="24"/>
          <w:lang w:bidi="ar"/>
        </w:rPr>
        <w:t>Supplementary Materials [2.</w:t>
      </w:r>
      <w:r>
        <w:rPr>
          <w:rFonts w:hint="eastAsia" w:ascii="Times New Roman" w:hAnsi="Times New Roman" w:eastAsia="宋体" w:cs="Times New Roman"/>
          <w:b/>
          <w:bCs/>
          <w:sz w:val="24"/>
          <w:lang w:val="en-US" w:eastAsia="zh-CN" w:bidi="ar"/>
        </w:rPr>
        <w:t>3</w:t>
      </w:r>
      <w:r>
        <w:rPr>
          <w:rFonts w:hint="default" w:ascii="Times New Roman" w:hAnsi="Times New Roman" w:eastAsia="宋体" w:cs="Times New Roman"/>
          <w:b/>
          <w:bCs/>
          <w:sz w:val="24"/>
          <w:lang w:bidi="ar"/>
        </w:rPr>
        <w:t>]: Full Time</w:t>
      </w:r>
      <w:r>
        <w:rPr>
          <w:rFonts w:hint="eastAsia" w:ascii="Times New Roman" w:hAnsi="Times New Roman" w:eastAsia="宋体" w:cs="Times New Roman"/>
          <w:b/>
          <w:bCs/>
          <w:sz w:val="24"/>
          <w:lang w:val="en-US" w:eastAsia="zh-CN" w:bidi="ar"/>
        </w:rPr>
        <w:t>-</w:t>
      </w:r>
      <w:r>
        <w:rPr>
          <w:rFonts w:hint="default" w:ascii="Times New Roman" w:hAnsi="Times New Roman" w:eastAsia="宋体" w:cs="Times New Roman"/>
          <w:b/>
          <w:bCs/>
          <w:sz w:val="24"/>
          <w:lang w:bidi="ar"/>
        </w:rPr>
        <w:t>Frequency Analysis Parameters</w:t>
      </w:r>
    </w:p>
    <w:p w14:paraId="75227A7F">
      <w:pPr>
        <w:keepNext w:val="0"/>
        <w:keepLines w:val="0"/>
        <w:pageBreakBefore w:val="0"/>
        <w:wordWrap/>
        <w:overflowPunct/>
        <w:topLinePunct w:val="0"/>
        <w:autoSpaceDE/>
        <w:autoSpaceDN/>
        <w:bidi w:val="0"/>
        <w:snapToGrid/>
        <w:spacing w:line="480" w:lineRule="auto"/>
        <w:ind w:firstLine="480" w:firstLineChars="200"/>
        <w:rPr>
          <w:rFonts w:hint="default" w:ascii="Times New Roman" w:hAnsi="Times New Roman" w:cs="Times New Roman"/>
          <w:sz w:val="24"/>
        </w:rPr>
      </w:pPr>
      <w:r>
        <w:rPr>
          <w:rFonts w:hint="default" w:ascii="Times New Roman" w:hAnsi="Times New Roman" w:eastAsia="宋体" w:cs="Times New Roman"/>
          <w:sz w:val="24"/>
          <w:lang w:bidi="ar"/>
        </w:rPr>
        <w:t xml:space="preserve">Time-frequency analysis was conducted to examine </w:t>
      </w:r>
      <w:r>
        <w:rPr>
          <w:rFonts w:hint="default" w:ascii="Times New Roman" w:hAnsi="Times New Roman" w:eastAsia="宋体" w:cs="Times New Roman"/>
          <w:sz w:val="24"/>
        </w:rPr>
        <w:t xml:space="preserve">the oscillatory neural activity associated with SOD processing. To minimize edge artifacts, single-trial EEG data were re-segmented into epochs that ranged from </w:t>
      </w:r>
      <w:r>
        <w:rPr>
          <w:rFonts w:hint="default" w:ascii="Times New Roman" w:hAnsi="Times New Roman" w:eastAsia="宋体" w:cs="Times New Roman"/>
          <w:sz w:val="24"/>
          <w:lang w:bidi="ar"/>
        </w:rPr>
        <w:t xml:space="preserve">-1000 to 1500 ms relative to stimulus onset. Time-frequency representations were computed via a complex Morlet wavelet convolution </w:t>
      </w:r>
      <w:r>
        <w:rPr>
          <w:rFonts w:hint="default" w:ascii="Times New Roman" w:hAnsi="Times New Roman" w:eastAsia="宋体" w:cs="Times New Roman"/>
          <w:sz w:val="24"/>
          <w:lang w:bidi="ar"/>
        </w:rPr>
        <w:fldChar w:fldCharType="begin"/>
      </w:r>
      <w:r>
        <w:rPr>
          <w:rFonts w:hint="default" w:ascii="Times New Roman" w:hAnsi="Times New Roman" w:eastAsia="宋体" w:cs="Times New Roman"/>
          <w:sz w:val="24"/>
          <w:lang w:bidi="ar"/>
        </w:rPr>
        <w:instrText xml:space="preserve"> ADDIN ZOTERO_ITEM CSL_CITATION {"citationID":"58B8xuU2","properties":{"formattedCitation":"(Cohen, 2014)","plainCitation":"(Cohen, 2014)","noteIndex":0},"citationItems":[{"id":193,"uris":["http://zotero.org/users/17131070/items/36A9HMD5"],"itemData":{"id":193,"type":"book","abstract":"A comprehensive guide to the conceptual, mathematical, and implementational aspects of analyzing electrical brain signals, including data from MEG, EEG, and LFP recordings.\n            This book offers a comprehensive guide to the theory and practice of analyzing electrical brain signals. It explains the conceptual, mathematical, and implementational (via Matlab programming) aspects of time-, time-frequency- and synchronization-based analyses of magnetoencephalography (MEG), electroencephalography (EEG), and local field potential (LFP) recordings from humans and nonhuman animals. It is the only book on the topic that covers both the theoretical background and the implementation in language that can be understood by readers without extensive formal training in mathematics, including cognitive scientists, neuroscientists, and psychologists.\n            Readers who go through the book chapter by chapter and implement the examples in Matlab will develop an understanding of why and how analyses are performed, how to interpret results, what the methodological issues are, and how to perform single-subject-level and group-level analyses. Researchers who are familiar with using automated programs to perform advanced analyses will learn what happens when they click the “analyze now” button.\n            The book provides sample data and downloadable Matlab code. Each of the 38 chapters covers one analysis topic, and these topics progress from simple to advanced. Most chapters conclude with exercises that further develop the material covered in the chapter. Many of the methods presented (including convolution, the Fourier transform, and Euler's formula) are fundamental and form the groundwork for other advanced data analysis methods. Readers who master the methods in the book will be well prepared to learn other approaches.","ISBN":"978-0-262-31955-3","language":"en","note":"DOI: 10.7551/mitpress/9609.001.0001","publisher":"The MIT Press","source":"DOI.org (Crossref)","title":"Analyzing Neural Time Series Data: Theory and Practice","title-short":"Analyzing Neural Time Series Data","URL":"https://direct.mit.edu/books/book/4013/Analyzing-Neural-Time-Series-DataTheory-and","author":[{"family":"Cohen","given":"Mike X"}],"accessed":{"date-parts":[["2025",6,3]]},"issued":{"date-parts":[["2014",1,17]]}}}],"schema":"https://github.com/citation-style-language/schema/raw/master/csl-citation.json"} </w:instrText>
      </w:r>
      <w:r>
        <w:rPr>
          <w:rFonts w:hint="default" w:ascii="Times New Roman" w:hAnsi="Times New Roman" w:eastAsia="宋体" w:cs="Times New Roman"/>
          <w:sz w:val="24"/>
          <w:lang w:bidi="ar"/>
        </w:rPr>
        <w:fldChar w:fldCharType="separate"/>
      </w:r>
      <w:r>
        <w:rPr>
          <w:rFonts w:hint="default" w:ascii="Times New Roman" w:hAnsi="Times New Roman" w:eastAsia="宋体" w:cs="Times New Roman"/>
          <w:sz w:val="24"/>
          <w:lang w:bidi="ar"/>
        </w:rPr>
        <w:t>(Cohen, 2014)</w:t>
      </w:r>
      <w:r>
        <w:rPr>
          <w:rFonts w:hint="default" w:ascii="Times New Roman" w:hAnsi="Times New Roman" w:eastAsia="宋体" w:cs="Times New Roman"/>
          <w:sz w:val="24"/>
          <w:lang w:bidi="ar"/>
        </w:rPr>
        <w:fldChar w:fldCharType="end"/>
      </w:r>
      <w:r>
        <w:rPr>
          <w:rFonts w:hint="default" w:ascii="Times New Roman" w:hAnsi="Times New Roman" w:eastAsia="宋体" w:cs="Times New Roman"/>
          <w:sz w:val="24"/>
          <w:lang w:bidi="ar"/>
        </w:rPr>
        <w:t xml:space="preserve">, implemented in MATLAB R2022b (MathWorks Inc., Natick, MA, USA). Each single-trial time series was transformed into the frequency domain via a fast Fourier transform (FFT), multiplied by the FFT of </w:t>
      </w:r>
      <w:r>
        <w:rPr>
          <w:rFonts w:hint="default" w:ascii="Times New Roman" w:hAnsi="Times New Roman" w:eastAsia="宋体" w:cs="Times New Roman"/>
          <w:sz w:val="24"/>
        </w:rPr>
        <w:t>the Morlet wavelets, and inversely transformed to obtain power estimates.</w:t>
      </w:r>
    </w:p>
    <w:p w14:paraId="75227A80">
      <w:pPr>
        <w:keepNext w:val="0"/>
        <w:keepLines w:val="0"/>
        <w:pageBreakBefore w:val="0"/>
        <w:wordWrap/>
        <w:overflowPunct/>
        <w:topLinePunct w:val="0"/>
        <w:autoSpaceDE/>
        <w:autoSpaceDN/>
        <w:bidi w:val="0"/>
        <w:snapToGrid/>
        <w:spacing w:line="480" w:lineRule="auto"/>
        <w:ind w:firstLine="480" w:firstLineChars="200"/>
        <w:rPr>
          <w:rFonts w:hint="default" w:ascii="Times New Roman" w:hAnsi="Times New Roman" w:cs="Times New Roman"/>
          <w:sz w:val="24"/>
        </w:rPr>
      </w:pPr>
      <w:r>
        <w:rPr>
          <w:rFonts w:hint="default" w:ascii="Times New Roman" w:hAnsi="Times New Roman" w:eastAsia="宋体" w:cs="Times New Roman"/>
          <w:sz w:val="24"/>
          <w:lang w:bidi="ar"/>
        </w:rPr>
        <w:t xml:space="preserve">A total of 30 frequencies (1-30 Hz) were </w:t>
      </w:r>
      <w:r>
        <w:rPr>
          <w:rFonts w:hint="default" w:ascii="Times New Roman" w:hAnsi="Times New Roman" w:eastAsia="宋体" w:cs="Times New Roman"/>
          <w:sz w:val="24"/>
        </w:rPr>
        <w:t>logarithmically</w:t>
      </w:r>
      <w:r>
        <w:rPr>
          <w:rFonts w:hint="default" w:ascii="Times New Roman" w:hAnsi="Times New Roman" w:eastAsia="宋体" w:cs="Times New Roman"/>
          <w:sz w:val="24"/>
          <w:lang w:bidi="ar"/>
        </w:rPr>
        <w:t xml:space="preserve"> spaced. For each frequency, wavelets were constructed via the following formula:</w:t>
      </w:r>
    </w:p>
    <w:p w14:paraId="75227A81">
      <w:pPr>
        <w:keepNext w:val="0"/>
        <w:keepLines w:val="0"/>
        <w:pageBreakBefore w:val="0"/>
        <w:wordWrap/>
        <w:overflowPunct/>
        <w:topLinePunct w:val="0"/>
        <w:autoSpaceDE/>
        <w:autoSpaceDN/>
        <w:bidi w:val="0"/>
        <w:snapToGrid/>
        <w:spacing w:line="480" w:lineRule="auto"/>
        <w:ind w:firstLine="420" w:firstLineChars="200"/>
        <w:rPr>
          <w:rFonts w:hint="default" w:ascii="Times New Roman" w:hAnsi="Times New Roman" w:cs="Times New Roman"/>
        </w:rPr>
      </w:pPr>
      <m:oMathPara>
        <m:oMath>
          <m:sSub>
            <m:sSubPr>
              <m:ctrlPr>
                <w:rPr>
                  <w:rFonts w:hint="default" w:ascii="Cambria Math" w:hAnsi="Cambria Math" w:cs="Times New Roman"/>
                </w:rPr>
              </m:ctrlPr>
            </m:sSubPr>
            <m:e>
              <m:r>
                <m:rPr>
                  <m:nor/>
                </m:rPr>
                <w:rPr>
                  <w:rFonts w:hint="default" w:ascii="Times New Roman" w:hAnsi="Times New Roman" w:cs="Times New Roman"/>
                  <w:i/>
                </w:rPr>
                <m:t>ψ</m:t>
              </m:r>
              <m:ctrlPr>
                <w:rPr>
                  <w:rFonts w:hint="default" w:ascii="Cambria Math" w:hAnsi="Cambria Math" w:cs="Times New Roman"/>
                </w:rPr>
              </m:ctrlPr>
            </m:e>
            <m:sub>
              <m:r>
                <m:rPr>
                  <m:nor/>
                  <m:sty m:val="p"/>
                </m:rPr>
                <w:rPr>
                  <w:rFonts w:hint="default" w:ascii="Times New Roman" w:hAnsi="Times New Roman" w:cs="Times New Roman"/>
                  <w:b w:val="0"/>
                  <w:i w:val="0"/>
                </w:rPr>
                <m:t>(</m:t>
              </m:r>
              <m:r>
                <m:rPr>
                  <m:nor/>
                </m:rPr>
                <w:rPr>
                  <w:rFonts w:hint="default" w:ascii="Times New Roman" w:hAnsi="Times New Roman" w:cs="Times New Roman"/>
                  <w:i/>
                </w:rPr>
                <m:t>f</m:t>
              </m:r>
              <m:r>
                <m:rPr>
                  <m:nor/>
                  <m:sty m:val="p"/>
                </m:rPr>
                <w:rPr>
                  <w:rFonts w:hint="default" w:ascii="Times New Roman" w:hAnsi="Times New Roman" w:cs="Times New Roman"/>
                  <w:b w:val="0"/>
                  <w:i w:val="0"/>
                </w:rPr>
                <m:t>)</m:t>
              </m:r>
              <m:ctrlPr>
                <w:rPr>
                  <w:rFonts w:hint="default" w:ascii="Cambria Math" w:hAnsi="Cambria Math" w:cs="Times New Roman"/>
                </w:rPr>
              </m:ctrlPr>
            </m:sub>
          </m:sSub>
          <m:r>
            <m:rPr>
              <m:nor/>
              <m:sty m:val="p"/>
            </m:rPr>
            <w:rPr>
              <w:rFonts w:hint="default" w:ascii="Times New Roman" w:hAnsi="Times New Roman" w:cs="Times New Roman"/>
              <w:b w:val="0"/>
              <w:i w:val="0"/>
            </w:rPr>
            <m:t>=</m:t>
          </m:r>
          <m:sSup>
            <m:sSupPr>
              <m:ctrlPr>
                <w:rPr>
                  <w:rFonts w:hint="default" w:ascii="Cambria Math" w:hAnsi="Cambria Math" w:cs="Times New Roman"/>
                </w:rPr>
              </m:ctrlPr>
            </m:sSupPr>
            <m:e>
              <m:r>
                <m:rPr>
                  <m:nor/>
                </m:rPr>
                <w:rPr>
                  <w:rFonts w:hint="default" w:ascii="Times New Roman" w:hAnsi="Times New Roman" w:cs="Times New Roman"/>
                  <w:i/>
                </w:rPr>
                <m:t>e</m:t>
              </m:r>
              <m:ctrlPr>
                <w:rPr>
                  <w:rFonts w:hint="default" w:ascii="Cambria Math" w:hAnsi="Cambria Math" w:cs="Times New Roman"/>
                </w:rPr>
              </m:ctrlPr>
            </m:e>
            <m:sup>
              <m:r>
                <m:rPr>
                  <m:nor/>
                </m:rPr>
                <w:rPr>
                  <w:rFonts w:hint="default" w:ascii="Times New Roman" w:hAnsi="Times New Roman" w:cs="Times New Roman"/>
                  <w:i/>
                </w:rPr>
                <m:t>i</m:t>
              </m:r>
              <m:r>
                <m:rPr>
                  <m:nor/>
                  <m:sty m:val="p"/>
                </m:rPr>
                <w:rPr>
                  <w:rFonts w:hint="default" w:ascii="Times New Roman" w:hAnsi="Times New Roman" w:cs="Times New Roman"/>
                  <w:b w:val="0"/>
                  <w:i w:val="0"/>
                </w:rPr>
                <m:t>2</m:t>
              </m:r>
              <m:r>
                <m:rPr>
                  <m:nor/>
                </m:rPr>
                <w:rPr>
                  <w:rFonts w:hint="default" w:ascii="Times New Roman" w:hAnsi="Times New Roman" w:cs="Times New Roman"/>
                  <w:i/>
                </w:rPr>
                <m:t>πft</m:t>
              </m:r>
              <m:ctrlPr>
                <w:rPr>
                  <w:rFonts w:hint="default" w:ascii="Cambria Math" w:hAnsi="Cambria Math" w:cs="Times New Roman"/>
                </w:rPr>
              </m:ctrlPr>
            </m:sup>
          </m:sSup>
          <m:sSup>
            <m:sSupPr>
              <m:ctrlPr>
                <w:rPr>
                  <w:rFonts w:hint="default" w:ascii="Cambria Math" w:hAnsi="Cambria Math" w:cs="Times New Roman"/>
                </w:rPr>
              </m:ctrlPr>
            </m:sSupPr>
            <m:e>
              <m:r>
                <m:rPr>
                  <m:nor/>
                </m:rPr>
                <w:rPr>
                  <w:rFonts w:hint="default" w:ascii="Times New Roman" w:hAnsi="Times New Roman" w:cs="Times New Roman"/>
                  <w:i/>
                </w:rPr>
                <m:t>e</m:t>
              </m:r>
              <m:ctrlPr>
                <w:rPr>
                  <w:rFonts w:hint="default" w:ascii="Cambria Math" w:hAnsi="Cambria Math" w:cs="Times New Roman"/>
                </w:rPr>
              </m:ctrlPr>
            </m:e>
            <m:sup>
              <m:r>
                <m:rPr>
                  <m:nor/>
                  <m:sty m:val="p"/>
                </m:rPr>
                <w:rPr>
                  <w:rFonts w:hint="default" w:ascii="Times New Roman" w:hAnsi="Times New Roman" w:cs="Times New Roman"/>
                  <w:b w:val="0"/>
                  <w:i w:val="0"/>
                </w:rPr>
                <m:t>−</m:t>
              </m:r>
              <m:sSup>
                <m:sSupPr>
                  <m:ctrlPr>
                    <w:rPr>
                      <w:rFonts w:hint="default" w:ascii="Cambria Math" w:hAnsi="Cambria Math" w:cs="Times New Roman"/>
                    </w:rPr>
                  </m:ctrlPr>
                </m:sSupPr>
                <m:e>
                  <m:r>
                    <m:rPr>
                      <m:nor/>
                    </m:rPr>
                    <w:rPr>
                      <w:rFonts w:hint="default" w:ascii="Times New Roman" w:hAnsi="Times New Roman" w:cs="Times New Roman"/>
                      <w:i/>
                    </w:rPr>
                    <m:t>t</m:t>
                  </m:r>
                  <m:ctrlPr>
                    <w:rPr>
                      <w:rFonts w:hint="default" w:ascii="Cambria Math" w:hAnsi="Cambria Math" w:cs="Times New Roman"/>
                    </w:rPr>
                  </m:ctrlPr>
                </m:e>
                <m:sup>
                  <m:r>
                    <m:rPr>
                      <m:nor/>
                      <m:sty m:val="p"/>
                    </m:rPr>
                    <w:rPr>
                      <w:rFonts w:hint="default" w:ascii="Times New Roman" w:hAnsi="Times New Roman" w:cs="Times New Roman"/>
                      <w:b w:val="0"/>
                      <w:i w:val="0"/>
                    </w:rPr>
                    <m:t>2</m:t>
                  </m:r>
                  <m:ctrlPr>
                    <w:rPr>
                      <w:rFonts w:hint="default" w:ascii="Cambria Math" w:hAnsi="Cambria Math" w:cs="Times New Roman"/>
                    </w:rPr>
                  </m:ctrlPr>
                </m:sup>
              </m:sSup>
              <m:r>
                <m:rPr>
                  <m:nor/>
                  <m:sty m:val="p"/>
                </m:rPr>
                <w:rPr>
                  <w:rFonts w:hint="default" w:ascii="Times New Roman" w:hAnsi="Times New Roman" w:cs="Times New Roman"/>
                  <w:b w:val="0"/>
                  <w:i w:val="0"/>
                </w:rPr>
                <m:t>/2</m:t>
              </m:r>
              <m:sSup>
                <m:sSupPr>
                  <m:ctrlPr>
                    <w:rPr>
                      <w:rFonts w:hint="default" w:ascii="Cambria Math" w:hAnsi="Cambria Math" w:cs="Times New Roman"/>
                    </w:rPr>
                  </m:ctrlPr>
                </m:sSupPr>
                <m:e>
                  <m:r>
                    <m:rPr>
                      <m:nor/>
                    </m:rPr>
                    <w:rPr>
                      <w:rFonts w:hint="default" w:ascii="Times New Roman" w:hAnsi="Times New Roman" w:cs="Times New Roman"/>
                      <w:i/>
                    </w:rPr>
                    <m:t>s</m:t>
                  </m:r>
                  <m:ctrlPr>
                    <w:rPr>
                      <w:rFonts w:hint="default" w:ascii="Cambria Math" w:hAnsi="Cambria Math" w:cs="Times New Roman"/>
                    </w:rPr>
                  </m:ctrlPr>
                </m:e>
                <m:sup>
                  <m:r>
                    <m:rPr>
                      <m:nor/>
                      <m:sty m:val="p"/>
                    </m:rPr>
                    <w:rPr>
                      <w:rFonts w:hint="default" w:ascii="Times New Roman" w:hAnsi="Times New Roman" w:cs="Times New Roman"/>
                      <w:b w:val="0"/>
                      <w:i w:val="0"/>
                    </w:rPr>
                    <m:t>2</m:t>
                  </m:r>
                  <m:ctrlPr>
                    <w:rPr>
                      <w:rFonts w:hint="default" w:ascii="Cambria Math" w:hAnsi="Cambria Math" w:cs="Times New Roman"/>
                    </w:rPr>
                  </m:ctrlPr>
                </m:sup>
              </m:sSup>
              <m:ctrlPr>
                <w:rPr>
                  <w:rFonts w:hint="default" w:ascii="Cambria Math" w:hAnsi="Cambria Math" w:cs="Times New Roman"/>
                </w:rPr>
              </m:ctrlPr>
            </m:sup>
          </m:sSup>
        </m:oMath>
      </m:oMathPara>
    </w:p>
    <w:p w14:paraId="342F1843">
      <w:pPr>
        <w:keepNext w:val="0"/>
        <w:keepLines w:val="0"/>
        <w:pageBreakBefore w:val="0"/>
        <w:wordWrap/>
        <w:overflowPunct/>
        <w:topLinePunct w:val="0"/>
        <w:autoSpaceDE/>
        <w:autoSpaceDN/>
        <w:bidi w:val="0"/>
        <w:snapToGrid/>
        <w:spacing w:line="480" w:lineRule="auto"/>
        <w:ind w:firstLine="480" w:firstLineChars="200"/>
        <w:rPr>
          <w:rFonts w:hint="default" w:ascii="Times New Roman" w:hAnsi="Times New Roman" w:eastAsia="宋体" w:cs="Times New Roman"/>
          <w:sz w:val="24"/>
          <w:lang w:bidi="ar"/>
        </w:rPr>
      </w:pPr>
      <w:r>
        <w:rPr>
          <w:rFonts w:hint="default" w:ascii="Times New Roman" w:hAnsi="Times New Roman" w:eastAsia="宋体" w:cs="Times New Roman"/>
          <w:sz w:val="24"/>
          <w:lang w:bidi="ar"/>
        </w:rPr>
        <w:t xml:space="preserve">where, f denotes the wavelet frequency, t is time, and s represents the Gaussian width, defined as s = n/(2πf), where n is the number of wavelet cycles. The number of cycles </w:t>
      </w:r>
      <w:r>
        <w:rPr>
          <w:rFonts w:hint="default" w:ascii="Times New Roman" w:hAnsi="Times New Roman" w:eastAsia="宋体" w:cs="Times New Roman"/>
          <w:sz w:val="24"/>
        </w:rPr>
        <w:t xml:space="preserve">was increased logarithmically from 3 to 14 across frequencies to balance the temporal and spectral resolutions. Power was averaged separately for each experimental condition and participant and trimmed to the </w:t>
      </w:r>
      <w:r>
        <w:rPr>
          <w:rFonts w:hint="default" w:ascii="Times New Roman" w:hAnsi="Times New Roman" w:eastAsia="宋体" w:cs="Times New Roman"/>
          <w:sz w:val="24"/>
          <w:lang w:bidi="ar"/>
        </w:rPr>
        <w:t xml:space="preserve">-500 to 800 ms window to reduce edge artifacts. Z-score normalization was applied via the -400 to -200 ms pre-stimulus period as the baseline. For statistical analysis, </w:t>
      </w:r>
      <w:r>
        <w:rPr>
          <w:rFonts w:hint="default" w:ascii="Times New Roman" w:hAnsi="Times New Roman" w:eastAsia="宋体" w:cs="Times New Roman"/>
          <w:sz w:val="24"/>
        </w:rPr>
        <w:t>beta power was averaged within a 400</w:t>
      </w:r>
      <w:r>
        <w:rPr>
          <w:rFonts w:hint="default" w:ascii="Times New Roman" w:hAnsi="Times New Roman" w:eastAsia="宋体" w:cs="Times New Roman"/>
          <w:sz w:val="24"/>
          <w:lang w:bidi="ar"/>
        </w:rPr>
        <w:t>–600 ms, 12–16 Hz time-frequency window. We conducted a 2 (consistency: consistent vs. inconsistent) × 2 (perspective: self vs. other) × 2 (group: high vs. low loneliness) mixed-design ANCOVA on beta-band power, with gender and the DASS-8 scores as covariates in all the models.</w:t>
      </w:r>
    </w:p>
    <w:p w14:paraId="75227A82">
      <w:pPr>
        <w:rPr>
          <w:rFonts w:hint="default" w:ascii="Times New Roman" w:hAnsi="Times New Roman" w:eastAsia="宋体" w:cs="Times New Roman"/>
          <w:sz w:val="24"/>
          <w:lang w:bidi="ar"/>
        </w:rPr>
      </w:pPr>
      <w:r>
        <w:rPr>
          <w:rFonts w:hint="default" w:ascii="Times New Roman" w:hAnsi="Times New Roman" w:eastAsia="宋体" w:cs="Times New Roman"/>
          <w:sz w:val="24"/>
          <w:lang w:bidi="ar"/>
        </w:rPr>
        <w:br w:type="page"/>
      </w:r>
    </w:p>
    <w:p w14:paraId="4B6D8030">
      <w:pPr>
        <w:keepNext w:val="0"/>
        <w:keepLines w:val="0"/>
        <w:pageBreakBefore w:val="0"/>
        <w:wordWrap/>
        <w:overflowPunct/>
        <w:topLinePunct w:val="0"/>
        <w:autoSpaceDE/>
        <w:autoSpaceDN/>
        <w:bidi w:val="0"/>
        <w:snapToGrid/>
        <w:spacing w:line="480" w:lineRule="auto"/>
        <w:jc w:val="center"/>
        <w:rPr>
          <w:rFonts w:hint="eastAsia" w:ascii="Times New Roman" w:hAnsi="Times New Roman" w:eastAsia="宋体" w:cs="Times New Roman"/>
          <w:b/>
          <w:bCs/>
          <w:sz w:val="24"/>
          <w:lang w:val="en-US" w:eastAsia="zh-CN" w:bidi="ar"/>
        </w:rPr>
      </w:pPr>
      <w:r>
        <w:rPr>
          <w:rFonts w:hint="default" w:ascii="Times New Roman" w:hAnsi="Times New Roman" w:eastAsia="宋体" w:cs="Times New Roman"/>
          <w:b/>
          <w:bCs/>
          <w:color w:val="auto"/>
          <w:sz w:val="24"/>
          <w:lang w:bidi="ar"/>
        </w:rPr>
        <w:t>Supplementary Material</w:t>
      </w:r>
      <w:r>
        <w:rPr>
          <w:rFonts w:hint="eastAsia" w:ascii="Times New Roman" w:hAnsi="Times New Roman" w:eastAsia="宋体" w:cs="Times New Roman"/>
          <w:b/>
          <w:bCs/>
          <w:color w:val="auto"/>
          <w:sz w:val="24"/>
          <w:lang w:val="en-US" w:eastAsia="zh-CN" w:bidi="ar"/>
        </w:rPr>
        <w:t xml:space="preserve"> </w:t>
      </w:r>
      <w:r>
        <w:rPr>
          <w:rFonts w:hint="default" w:ascii="Times New Roman" w:hAnsi="Times New Roman" w:eastAsia="宋体" w:cs="Times New Roman"/>
          <w:b/>
          <w:bCs/>
          <w:color w:val="auto"/>
          <w:sz w:val="24"/>
          <w:lang w:val="en-US" w:eastAsia="zh-CN" w:bidi="ar"/>
        </w:rPr>
        <w:t>[</w:t>
      </w:r>
      <w:r>
        <w:rPr>
          <w:rFonts w:hint="eastAsia" w:ascii="Times New Roman" w:hAnsi="Times New Roman" w:eastAsia="宋体" w:cs="Times New Roman"/>
          <w:b/>
          <w:bCs/>
          <w:color w:val="auto"/>
          <w:sz w:val="24"/>
          <w:lang w:val="en-US" w:eastAsia="zh-CN" w:bidi="ar"/>
        </w:rPr>
        <w:t>2.4</w:t>
      </w:r>
      <w:r>
        <w:rPr>
          <w:rFonts w:hint="default" w:ascii="Times New Roman" w:hAnsi="Times New Roman" w:eastAsia="宋体" w:cs="Times New Roman"/>
          <w:b/>
          <w:bCs/>
          <w:color w:val="auto"/>
          <w:sz w:val="24"/>
          <w:lang w:val="en-US" w:eastAsia="zh-CN" w:bidi="ar"/>
        </w:rPr>
        <w:t>]</w:t>
      </w:r>
      <w:r>
        <w:rPr>
          <w:rFonts w:hint="default" w:ascii="Times New Roman" w:hAnsi="Times New Roman" w:eastAsia="宋体" w:cs="Times New Roman"/>
          <w:b/>
          <w:bCs/>
          <w:color w:val="auto"/>
          <w:sz w:val="24"/>
          <w:lang w:bidi="ar"/>
        </w:rPr>
        <w:t>:</w:t>
      </w:r>
      <w:r>
        <w:rPr>
          <w:rFonts w:hint="eastAsia" w:ascii="Times New Roman" w:hAnsi="Times New Roman" w:eastAsia="宋体" w:cs="Times New Roman"/>
          <w:b/>
          <w:bCs/>
          <w:color w:val="auto"/>
          <w:sz w:val="24"/>
          <w:lang w:val="en-US" w:eastAsia="zh-CN" w:bidi="ar"/>
        </w:rPr>
        <w:t xml:space="preserve"> </w:t>
      </w:r>
      <w:r>
        <w:rPr>
          <w:rFonts w:hint="default" w:ascii="Times New Roman" w:hAnsi="Times New Roman" w:eastAsia="宋体" w:cs="Times New Roman"/>
          <w:b/>
          <w:bCs/>
          <w:color w:val="auto"/>
          <w:sz w:val="24"/>
          <w:lang w:bidi="ar"/>
        </w:rPr>
        <w:t xml:space="preserve">Full 2 × 2 × 2 ANCOVA Results for Experiment </w:t>
      </w:r>
      <w:r>
        <w:rPr>
          <w:rFonts w:hint="eastAsia" w:ascii="Times New Roman" w:hAnsi="Times New Roman" w:eastAsia="宋体" w:cs="Times New Roman"/>
          <w:b/>
          <w:bCs/>
          <w:color w:val="auto"/>
          <w:sz w:val="24"/>
          <w:lang w:val="en-US" w:eastAsia="zh-CN" w:bidi="ar"/>
        </w:rPr>
        <w:t xml:space="preserve">2 </w:t>
      </w:r>
      <w:r>
        <w:rPr>
          <w:rFonts w:hint="default" w:ascii="Times New Roman" w:hAnsi="Times New Roman" w:eastAsia="宋体" w:cs="Times New Roman"/>
          <w:b/>
          <w:bCs/>
          <w:color w:val="auto"/>
          <w:sz w:val="24"/>
          <w:lang w:bidi="ar"/>
        </w:rPr>
        <w:t>Behavioral Data</w:t>
      </w:r>
    </w:p>
    <w:p w14:paraId="284AABFF">
      <w:pPr>
        <w:keepNext w:val="0"/>
        <w:keepLines w:val="0"/>
        <w:pageBreakBefore w:val="0"/>
        <w:wordWrap/>
        <w:overflowPunct/>
        <w:topLinePunct w:val="0"/>
        <w:autoSpaceDE/>
        <w:autoSpaceDN/>
        <w:bidi w:val="0"/>
        <w:snapToGrid/>
        <w:spacing w:line="480" w:lineRule="auto"/>
        <w:ind w:firstLine="480" w:firstLineChars="200"/>
        <w:rPr>
          <w:rFonts w:hint="default" w:ascii="Times New Roman" w:hAnsi="Times New Roman" w:eastAsia="宋体" w:cs="Times New Roman"/>
          <w:sz w:val="24"/>
          <w:lang w:bidi="ar"/>
        </w:rPr>
      </w:pPr>
      <w:r>
        <w:rPr>
          <w:rFonts w:hint="default" w:ascii="Times New Roman" w:hAnsi="Times New Roman" w:eastAsia="宋体" w:cs="Times New Roman"/>
          <w:sz w:val="24"/>
          <w:lang w:bidi="ar"/>
        </w:rPr>
        <w:t xml:space="preserve">For RT (see Fig. 3A), the 2 × 2 × 2 ANCOVA revealed a significant main effect of consistency, F(1, 60) = 5.53, </w:t>
      </w:r>
      <w:r>
        <w:rPr>
          <w:rFonts w:hint="default" w:ascii="Times New Roman" w:hAnsi="Times New Roman" w:eastAsia="宋体" w:cs="Times New Roman"/>
          <w:i/>
          <w:iCs/>
          <w:sz w:val="24"/>
          <w:lang w:bidi="ar"/>
        </w:rPr>
        <w:t>p</w:t>
      </w:r>
      <w:r>
        <w:rPr>
          <w:rFonts w:hint="default" w:ascii="Times New Roman" w:hAnsi="Times New Roman" w:eastAsia="宋体" w:cs="Times New Roman"/>
          <w:sz w:val="24"/>
          <w:lang w:bidi="ar"/>
        </w:rPr>
        <w:t xml:space="preserve"> = .022, η</w:t>
      </w:r>
      <w:r>
        <w:rPr>
          <w:rFonts w:hint="default" w:ascii="Times New Roman" w:hAnsi="Times New Roman" w:eastAsia="宋体" w:cs="Times New Roman"/>
          <w:sz w:val="24"/>
          <w:vertAlign w:val="subscript"/>
          <w:lang w:bidi="ar"/>
        </w:rPr>
        <w:t>p</w:t>
      </w:r>
      <w:r>
        <w:rPr>
          <w:rFonts w:hint="default" w:ascii="Times New Roman" w:hAnsi="Times New Roman" w:eastAsia="宋体" w:cs="Times New Roman"/>
          <w:sz w:val="24"/>
          <w:vertAlign w:val="superscript"/>
          <w:lang w:bidi="ar"/>
        </w:rPr>
        <w:t>2</w:t>
      </w:r>
      <w:r>
        <w:rPr>
          <w:rFonts w:hint="default" w:ascii="Times New Roman" w:hAnsi="Times New Roman" w:eastAsia="宋体" w:cs="Times New Roman"/>
          <w:sz w:val="24"/>
          <w:lang w:bidi="ar"/>
        </w:rPr>
        <w:t xml:space="preserve"> = .08, with slower responses in inconsistent trials (EMM = 699 ms) than consistent trials (EMM = 655 ms). A significant main effect of perspective was also observed, F(1, 60) = 6.94, </w:t>
      </w:r>
      <w:r>
        <w:rPr>
          <w:rFonts w:hint="default" w:ascii="Times New Roman" w:hAnsi="Times New Roman" w:eastAsia="宋体" w:cs="Times New Roman"/>
          <w:i/>
          <w:iCs/>
          <w:sz w:val="24"/>
          <w:lang w:bidi="ar"/>
        </w:rPr>
        <w:t>p</w:t>
      </w:r>
      <w:r>
        <w:rPr>
          <w:rFonts w:hint="default" w:ascii="Times New Roman" w:hAnsi="Times New Roman" w:eastAsia="宋体" w:cs="Times New Roman"/>
          <w:sz w:val="24"/>
          <w:lang w:bidi="ar"/>
        </w:rPr>
        <w:t xml:space="preserve"> = .011, η</w:t>
      </w:r>
      <w:r>
        <w:rPr>
          <w:rFonts w:hint="default" w:ascii="Times New Roman" w:hAnsi="Times New Roman" w:eastAsia="宋体" w:cs="Times New Roman"/>
          <w:sz w:val="24"/>
          <w:vertAlign w:val="subscript"/>
          <w:lang w:bidi="ar"/>
        </w:rPr>
        <w:t>p</w:t>
      </w:r>
      <w:r>
        <w:rPr>
          <w:rFonts w:hint="default" w:ascii="Times New Roman" w:hAnsi="Times New Roman" w:eastAsia="宋体" w:cs="Times New Roman"/>
          <w:sz w:val="24"/>
          <w:vertAlign w:val="superscript"/>
          <w:lang w:bidi="ar"/>
        </w:rPr>
        <w:t>2</w:t>
      </w:r>
      <w:r>
        <w:rPr>
          <w:rFonts w:hint="default" w:ascii="Times New Roman" w:hAnsi="Times New Roman" w:eastAsia="宋体" w:cs="Times New Roman"/>
          <w:sz w:val="24"/>
          <w:vertAlign w:val="superscript"/>
          <w:lang w:val="en-US" w:eastAsia="zh-CN" w:bidi="ar"/>
        </w:rPr>
        <w:t xml:space="preserve"> </w:t>
      </w:r>
      <w:r>
        <w:rPr>
          <w:rFonts w:hint="default" w:ascii="Times New Roman" w:hAnsi="Times New Roman" w:eastAsia="宋体" w:cs="Times New Roman"/>
          <w:sz w:val="24"/>
          <w:lang w:bidi="ar"/>
        </w:rPr>
        <w:t xml:space="preserve">= .10, with slower responses under the self-perspective (EMM = 684 ms) than other-perspective (EMM = 671 ms). The consistency × perspective interaction was significant, F(1, 60) = 13.75, </w:t>
      </w:r>
      <w:r>
        <w:rPr>
          <w:rFonts w:hint="default" w:ascii="Times New Roman" w:hAnsi="Times New Roman" w:eastAsia="宋体" w:cs="Times New Roman"/>
          <w:i/>
          <w:iCs/>
          <w:sz w:val="24"/>
          <w:lang w:bidi="ar"/>
        </w:rPr>
        <w:t>p</w:t>
      </w:r>
      <w:r>
        <w:rPr>
          <w:rFonts w:hint="default" w:ascii="Times New Roman" w:hAnsi="Times New Roman" w:eastAsia="宋体" w:cs="Times New Roman"/>
          <w:sz w:val="24"/>
          <w:lang w:bidi="ar"/>
        </w:rPr>
        <w:t xml:space="preserve"> &lt; .001, η</w:t>
      </w:r>
      <w:r>
        <w:rPr>
          <w:rFonts w:hint="default" w:ascii="Times New Roman" w:hAnsi="Times New Roman" w:eastAsia="宋体" w:cs="Times New Roman"/>
          <w:sz w:val="24"/>
          <w:vertAlign w:val="subscript"/>
          <w:lang w:bidi="ar"/>
        </w:rPr>
        <w:t>p</w:t>
      </w:r>
      <w:r>
        <w:rPr>
          <w:rFonts w:hint="default" w:ascii="Times New Roman" w:hAnsi="Times New Roman" w:eastAsia="宋体" w:cs="Times New Roman"/>
          <w:sz w:val="24"/>
          <w:vertAlign w:val="superscript"/>
          <w:lang w:bidi="ar"/>
        </w:rPr>
        <w:t>2</w:t>
      </w:r>
      <w:r>
        <w:rPr>
          <w:rFonts w:hint="default" w:ascii="Times New Roman" w:hAnsi="Times New Roman" w:eastAsia="宋体" w:cs="Times New Roman"/>
          <w:sz w:val="24"/>
          <w:lang w:bidi="ar"/>
        </w:rPr>
        <w:t xml:space="preserve"> = .19. Follow-up comparisons replicated the pattern observed in Experiment 1. Participants responded more slowly to inconsistent than </w:t>
      </w:r>
      <w:r>
        <w:rPr>
          <w:rFonts w:hint="default" w:ascii="Times New Roman" w:hAnsi="Times New Roman" w:eastAsia="宋体" w:cs="Times New Roman"/>
          <w:sz w:val="24"/>
        </w:rPr>
        <w:t xml:space="preserve">consistent trials for both perspectives (self: difference = 23 ms, </w:t>
      </w:r>
      <w:r>
        <w:rPr>
          <w:rFonts w:hint="default" w:ascii="Times New Roman" w:hAnsi="Times New Roman" w:eastAsia="宋体" w:cs="Times New Roman"/>
          <w:i/>
          <w:iCs/>
          <w:sz w:val="24"/>
          <w:lang w:bidi="ar"/>
        </w:rPr>
        <w:t>p</w:t>
      </w:r>
      <w:r>
        <w:rPr>
          <w:rFonts w:hint="default" w:ascii="Times New Roman" w:hAnsi="Times New Roman" w:eastAsia="宋体" w:cs="Times New Roman"/>
          <w:sz w:val="24"/>
          <w:lang w:bidi="ar"/>
        </w:rPr>
        <w:t xml:space="preserve"> &lt; .001; other: difference = 64 ms, </w:t>
      </w:r>
      <w:r>
        <w:rPr>
          <w:rFonts w:hint="default" w:ascii="Times New Roman" w:hAnsi="Times New Roman" w:eastAsia="宋体" w:cs="Times New Roman"/>
          <w:i/>
          <w:iCs/>
          <w:sz w:val="24"/>
          <w:lang w:bidi="ar"/>
        </w:rPr>
        <w:t>p</w:t>
      </w:r>
      <w:r>
        <w:rPr>
          <w:rFonts w:hint="default" w:ascii="Times New Roman" w:hAnsi="Times New Roman" w:eastAsia="宋体" w:cs="Times New Roman"/>
          <w:sz w:val="24"/>
          <w:lang w:bidi="ar"/>
        </w:rPr>
        <w:t xml:space="preserve"> &lt; .001). In consistent trials, responses were slower from the self-perspective than other-perspective</w:t>
      </w:r>
      <w:r>
        <w:rPr>
          <w:rFonts w:hint="default" w:ascii="Times New Roman" w:hAnsi="Times New Roman" w:eastAsia="宋体" w:cs="Times New Roman"/>
          <w:sz w:val="24"/>
        </w:rPr>
        <w:t xml:space="preserve"> (difference = 34 ms, </w:t>
      </w:r>
      <w:r>
        <w:rPr>
          <w:rFonts w:hint="default" w:ascii="Times New Roman" w:hAnsi="Times New Roman" w:eastAsia="宋体" w:cs="Times New Roman"/>
          <w:i/>
          <w:iCs/>
          <w:sz w:val="24"/>
          <w:lang w:bidi="ar"/>
        </w:rPr>
        <w:t>p</w:t>
      </w:r>
      <w:r>
        <w:rPr>
          <w:rFonts w:hint="default" w:ascii="Times New Roman" w:hAnsi="Times New Roman" w:eastAsia="宋体" w:cs="Times New Roman"/>
          <w:sz w:val="24"/>
          <w:lang w:bidi="ar"/>
        </w:rPr>
        <w:t xml:space="preserve"> &lt; .001). In inconsistent trials, this pattern was reversed (difference = -7 ms ); however, the difference did not achieve significance (</w:t>
      </w:r>
      <w:r>
        <w:rPr>
          <w:rFonts w:hint="default" w:ascii="Times New Roman" w:hAnsi="Times New Roman" w:eastAsia="宋体" w:cs="Times New Roman"/>
          <w:i/>
          <w:iCs/>
          <w:sz w:val="24"/>
          <w:lang w:bidi="ar"/>
        </w:rPr>
        <w:t>p</w:t>
      </w:r>
      <w:r>
        <w:rPr>
          <w:rFonts w:hint="default" w:ascii="Times New Roman" w:hAnsi="Times New Roman" w:eastAsia="宋体" w:cs="Times New Roman"/>
          <w:sz w:val="24"/>
          <w:lang w:bidi="ar"/>
        </w:rPr>
        <w:t xml:space="preserve"> = .228). No other main effects or interactions were significant in the 2 × 2 × 2 ANCOVA (</w:t>
      </w:r>
      <w:r>
        <w:rPr>
          <w:rFonts w:hint="default" w:ascii="Times New Roman" w:hAnsi="Times New Roman" w:eastAsia="宋体" w:cs="Times New Roman"/>
          <w:i/>
          <w:iCs/>
          <w:sz w:val="24"/>
          <w:lang w:bidi="ar"/>
        </w:rPr>
        <w:t>p</w:t>
      </w:r>
      <w:r>
        <w:rPr>
          <w:rFonts w:hint="default" w:ascii="Times New Roman" w:hAnsi="Times New Roman" w:eastAsia="宋体" w:cs="Times New Roman"/>
          <w:sz w:val="24"/>
          <w:lang w:bidi="ar"/>
        </w:rPr>
        <w:t xml:space="preserve">s &gt; .10) </w:t>
      </w:r>
    </w:p>
    <w:p w14:paraId="2D1C22BA">
      <w:pPr>
        <w:keepNext w:val="0"/>
        <w:keepLines w:val="0"/>
        <w:pageBreakBefore w:val="0"/>
        <w:wordWrap/>
        <w:overflowPunct/>
        <w:topLinePunct w:val="0"/>
        <w:autoSpaceDE/>
        <w:autoSpaceDN/>
        <w:bidi w:val="0"/>
        <w:snapToGrid/>
        <w:spacing w:line="480" w:lineRule="auto"/>
        <w:ind w:firstLine="480" w:firstLineChars="200"/>
        <w:rPr>
          <w:rFonts w:hint="default" w:ascii="Times New Roman" w:hAnsi="Times New Roman" w:eastAsia="宋体" w:cs="Times New Roman"/>
          <w:color w:val="auto"/>
          <w:sz w:val="24"/>
          <w:lang w:bidi="ar"/>
        </w:rPr>
      </w:pPr>
      <w:r>
        <w:rPr>
          <w:rFonts w:hint="default" w:ascii="Times New Roman" w:hAnsi="Times New Roman" w:eastAsia="宋体" w:cs="Times New Roman"/>
          <w:sz w:val="24"/>
          <w:lang w:bidi="ar"/>
        </w:rPr>
        <w:t xml:space="preserve">For percentage errors, the 2 × 2 × 2 ANCOVA revealed a significant main effect of consistency, F(1, 60) = 54.07, </w:t>
      </w:r>
      <w:r>
        <w:rPr>
          <w:rFonts w:hint="default" w:ascii="Times New Roman" w:hAnsi="Times New Roman" w:eastAsia="宋体" w:cs="Times New Roman"/>
          <w:i/>
          <w:iCs/>
          <w:sz w:val="24"/>
          <w:lang w:bidi="ar"/>
        </w:rPr>
        <w:t>p</w:t>
      </w:r>
      <w:r>
        <w:rPr>
          <w:rFonts w:hint="default" w:ascii="Times New Roman" w:hAnsi="Times New Roman" w:eastAsia="宋体" w:cs="Times New Roman"/>
          <w:sz w:val="24"/>
          <w:lang w:bidi="ar"/>
        </w:rPr>
        <w:t xml:space="preserve"> &lt; .001, η</w:t>
      </w:r>
      <w:r>
        <w:rPr>
          <w:rFonts w:hint="default" w:ascii="Times New Roman" w:hAnsi="Times New Roman" w:eastAsia="宋体" w:cs="Times New Roman"/>
          <w:sz w:val="24"/>
          <w:vertAlign w:val="subscript"/>
          <w:lang w:bidi="ar"/>
        </w:rPr>
        <w:t>p</w:t>
      </w:r>
      <w:r>
        <w:rPr>
          <w:rFonts w:hint="default" w:ascii="Times New Roman" w:hAnsi="Times New Roman" w:eastAsia="宋体" w:cs="Times New Roman"/>
          <w:sz w:val="24"/>
          <w:vertAlign w:val="superscript"/>
          <w:lang w:bidi="ar"/>
        </w:rPr>
        <w:t>2</w:t>
      </w:r>
      <w:r>
        <w:rPr>
          <w:rFonts w:hint="default" w:ascii="Times New Roman" w:hAnsi="Times New Roman" w:eastAsia="宋体" w:cs="Times New Roman"/>
          <w:sz w:val="24"/>
          <w:lang w:bidi="ar"/>
        </w:rPr>
        <w:t xml:space="preserve"> = .47. Participants made more errors in the inconsistent trials (EMM = 9.89%) compared with consistent trials (EMM = 4.10%)</w:t>
      </w:r>
      <w:r>
        <w:rPr>
          <w:rFonts w:hint="default" w:ascii="Times New Roman" w:hAnsi="Times New Roman" w:eastAsia="宋体" w:cs="Times New Roman"/>
          <w:color w:val="auto"/>
          <w:sz w:val="24"/>
          <w:lang w:bidi="ar"/>
        </w:rPr>
        <w:t>. No other effects reached significance</w:t>
      </w:r>
      <w:r>
        <w:rPr>
          <w:rFonts w:hint="default" w:ascii="Times New Roman" w:hAnsi="Times New Roman" w:eastAsia="宋体" w:cs="Times New Roman"/>
          <w:color w:val="auto"/>
          <w:sz w:val="24"/>
          <w:lang w:val="en-US" w:eastAsia="zh-CN" w:bidi="ar"/>
        </w:rPr>
        <w:t xml:space="preserve"> in this analysis</w:t>
      </w:r>
      <w:r>
        <w:rPr>
          <w:rFonts w:hint="default" w:ascii="Times New Roman" w:hAnsi="Times New Roman" w:eastAsia="宋体" w:cs="Times New Roman"/>
          <w:color w:val="auto"/>
          <w:sz w:val="24"/>
          <w:lang w:bidi="ar"/>
        </w:rPr>
        <w:t xml:space="preserve"> (</w:t>
      </w:r>
      <w:r>
        <w:rPr>
          <w:rFonts w:hint="default" w:ascii="Times New Roman" w:hAnsi="Times New Roman" w:eastAsia="宋体" w:cs="Times New Roman"/>
          <w:i/>
          <w:iCs/>
          <w:color w:val="auto"/>
          <w:sz w:val="24"/>
          <w:lang w:bidi="ar"/>
        </w:rPr>
        <w:t>p</w:t>
      </w:r>
      <w:r>
        <w:rPr>
          <w:rFonts w:hint="default" w:ascii="Times New Roman" w:hAnsi="Times New Roman" w:eastAsia="宋体" w:cs="Times New Roman"/>
          <w:color w:val="auto"/>
          <w:sz w:val="24"/>
          <w:lang w:bidi="ar"/>
        </w:rPr>
        <w:t>s &gt; .10).</w:t>
      </w:r>
    </w:p>
    <w:p w14:paraId="441E6D09">
      <w:pPr>
        <w:keepNext w:val="0"/>
        <w:keepLines w:val="0"/>
        <w:pageBreakBefore w:val="0"/>
        <w:wordWrap/>
        <w:overflowPunct/>
        <w:topLinePunct w:val="0"/>
        <w:autoSpaceDE/>
        <w:autoSpaceDN/>
        <w:bidi w:val="0"/>
        <w:snapToGrid/>
        <w:spacing w:line="480" w:lineRule="auto"/>
        <w:ind w:firstLine="480" w:firstLineChars="200"/>
        <w:rPr>
          <w:rFonts w:hint="default" w:ascii="Times New Roman" w:hAnsi="Times New Roman" w:eastAsia="宋体" w:cs="Times New Roman"/>
          <w:color w:val="auto"/>
          <w:sz w:val="24"/>
          <w:lang w:bidi="ar"/>
        </w:rPr>
      </w:pPr>
    </w:p>
    <w:p w14:paraId="42C49274">
      <w:pPr>
        <w:keepNext w:val="0"/>
        <w:keepLines w:val="0"/>
        <w:pageBreakBefore w:val="0"/>
        <w:wordWrap/>
        <w:overflowPunct/>
        <w:topLinePunct w:val="0"/>
        <w:autoSpaceDE/>
        <w:autoSpaceDN/>
        <w:bidi w:val="0"/>
        <w:snapToGrid/>
        <w:spacing w:line="480" w:lineRule="auto"/>
        <w:ind w:firstLine="480" w:firstLineChars="200"/>
        <w:rPr>
          <w:rFonts w:hint="default" w:ascii="Times New Roman" w:hAnsi="Times New Roman" w:eastAsia="宋体" w:cs="Times New Roman"/>
          <w:sz w:val="24"/>
          <w:lang w:bidi="ar"/>
        </w:rPr>
      </w:pPr>
    </w:p>
    <w:tbl>
      <w:tblPr>
        <w:tblStyle w:val="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091"/>
        <w:gridCol w:w="3393"/>
        <w:gridCol w:w="498"/>
        <w:gridCol w:w="919"/>
        <w:gridCol w:w="815"/>
        <w:gridCol w:w="806"/>
      </w:tblGrid>
      <w:tr w14:paraId="7E21A3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000" w:type="pct"/>
            <w:gridSpan w:val="6"/>
            <w:tcBorders>
              <w:top w:val="nil"/>
              <w:left w:val="nil"/>
              <w:bottom w:val="single" w:color="000000" w:sz="8" w:space="0"/>
              <w:right w:val="nil"/>
            </w:tcBorders>
            <w:shd w:val="clear" w:color="auto" w:fill="auto"/>
            <w:noWrap/>
            <w:vAlign w:val="center"/>
          </w:tcPr>
          <w:p w14:paraId="460F8477">
            <w:pPr>
              <w:keepNext w:val="0"/>
              <w:keepLines w:val="0"/>
              <w:widowControl/>
              <w:suppressLineNumbers w:val="0"/>
              <w:jc w:val="lef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Supplementary Table 3: ANCOVAs of Behavioral Data in Experiment 2</w:t>
            </w:r>
          </w:p>
        </w:tc>
      </w:tr>
      <w:tr w14:paraId="2E24ED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227" w:type="pct"/>
            <w:tcBorders>
              <w:top w:val="nil"/>
              <w:left w:val="nil"/>
              <w:bottom w:val="nil"/>
              <w:right w:val="nil"/>
            </w:tcBorders>
            <w:shd w:val="clear" w:color="auto" w:fill="auto"/>
            <w:noWrap/>
            <w:vAlign w:val="center"/>
          </w:tcPr>
          <w:p w14:paraId="3A489C06">
            <w:pPr>
              <w:rPr>
                <w:rFonts w:hint="eastAsia" w:ascii="宋体" w:hAnsi="宋体" w:eastAsia="宋体" w:cs="宋体"/>
                <w:i w:val="0"/>
                <w:iCs w:val="0"/>
                <w:color w:val="000000"/>
                <w:sz w:val="20"/>
                <w:szCs w:val="20"/>
                <w:u w:val="none"/>
              </w:rPr>
            </w:pPr>
          </w:p>
        </w:tc>
        <w:tc>
          <w:tcPr>
            <w:tcW w:w="1991" w:type="pct"/>
            <w:tcBorders>
              <w:top w:val="nil"/>
              <w:left w:val="nil"/>
              <w:bottom w:val="nil"/>
              <w:right w:val="nil"/>
            </w:tcBorders>
            <w:shd w:val="clear" w:color="auto" w:fill="auto"/>
            <w:noWrap/>
            <w:vAlign w:val="center"/>
          </w:tcPr>
          <w:p w14:paraId="5646244C">
            <w:pPr>
              <w:jc w:val="left"/>
              <w:rPr>
                <w:rFonts w:hint="default" w:ascii="Times New Roman" w:hAnsi="Times New Roman" w:eastAsia="宋体" w:cs="Times New Roman"/>
                <w:b/>
                <w:bCs/>
                <w:i w:val="0"/>
                <w:iCs w:val="0"/>
                <w:color w:val="000000"/>
                <w:sz w:val="20"/>
                <w:szCs w:val="20"/>
                <w:u w:val="none"/>
              </w:rPr>
            </w:pPr>
          </w:p>
        </w:tc>
        <w:tc>
          <w:tcPr>
            <w:tcW w:w="292" w:type="pct"/>
            <w:tcBorders>
              <w:top w:val="nil"/>
              <w:left w:val="nil"/>
              <w:bottom w:val="nil"/>
              <w:right w:val="nil"/>
            </w:tcBorders>
            <w:shd w:val="clear" w:color="auto" w:fill="auto"/>
            <w:noWrap/>
            <w:vAlign w:val="center"/>
          </w:tcPr>
          <w:p w14:paraId="54F78BA9">
            <w:pPr>
              <w:keepNext w:val="0"/>
              <w:keepLines w:val="0"/>
              <w:widowControl/>
              <w:suppressLineNumbers w:val="0"/>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df</w:t>
            </w:r>
          </w:p>
        </w:tc>
        <w:tc>
          <w:tcPr>
            <w:tcW w:w="539" w:type="pct"/>
            <w:tcBorders>
              <w:top w:val="nil"/>
              <w:left w:val="nil"/>
              <w:bottom w:val="nil"/>
              <w:right w:val="nil"/>
            </w:tcBorders>
            <w:shd w:val="clear" w:color="auto" w:fill="auto"/>
            <w:noWrap/>
            <w:vAlign w:val="center"/>
          </w:tcPr>
          <w:p w14:paraId="49FA2493">
            <w:pPr>
              <w:keepNext w:val="0"/>
              <w:keepLines w:val="0"/>
              <w:widowControl/>
              <w:suppressLineNumbers w:val="0"/>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F</w:t>
            </w:r>
          </w:p>
        </w:tc>
        <w:tc>
          <w:tcPr>
            <w:tcW w:w="478" w:type="pct"/>
            <w:tcBorders>
              <w:top w:val="nil"/>
              <w:left w:val="nil"/>
              <w:bottom w:val="nil"/>
              <w:right w:val="nil"/>
            </w:tcBorders>
            <w:shd w:val="clear" w:color="auto" w:fill="auto"/>
            <w:noWrap/>
            <w:vAlign w:val="center"/>
          </w:tcPr>
          <w:p w14:paraId="1A122275">
            <w:pPr>
              <w:keepNext w:val="0"/>
              <w:keepLines w:val="0"/>
              <w:widowControl/>
              <w:suppressLineNumbers w:val="0"/>
              <w:jc w:val="right"/>
              <w:textAlignment w:val="center"/>
              <w:rPr>
                <w:rFonts w:hint="default" w:ascii="Times New Roman" w:hAnsi="Times New Roman" w:eastAsia="宋体" w:cs="Times New Roman"/>
                <w:b/>
                <w:bCs/>
                <w:i/>
                <w:iCs/>
                <w:color w:val="000000"/>
                <w:sz w:val="20"/>
                <w:szCs w:val="20"/>
                <w:u w:val="none"/>
              </w:rPr>
            </w:pPr>
            <w:r>
              <w:rPr>
                <w:rFonts w:hint="default" w:ascii="Times New Roman" w:hAnsi="Times New Roman" w:eastAsia="宋体" w:cs="Times New Roman"/>
                <w:b/>
                <w:bCs/>
                <w:i/>
                <w:iCs/>
                <w:color w:val="000000"/>
                <w:kern w:val="0"/>
                <w:sz w:val="20"/>
                <w:szCs w:val="20"/>
                <w:u w:val="none"/>
                <w:lang w:val="en-US" w:eastAsia="zh-CN" w:bidi="ar"/>
              </w:rPr>
              <w:t>p</w:t>
            </w:r>
          </w:p>
        </w:tc>
        <w:tc>
          <w:tcPr>
            <w:tcW w:w="470" w:type="pct"/>
            <w:tcBorders>
              <w:top w:val="nil"/>
              <w:left w:val="nil"/>
              <w:bottom w:val="nil"/>
              <w:right w:val="nil"/>
            </w:tcBorders>
            <w:shd w:val="clear" w:color="auto" w:fill="auto"/>
            <w:noWrap/>
            <w:vAlign w:val="center"/>
          </w:tcPr>
          <w:p w14:paraId="629C1919">
            <w:pPr>
              <w:keepNext w:val="0"/>
              <w:keepLines w:val="0"/>
              <w:widowControl/>
              <w:suppressLineNumbers w:val="0"/>
              <w:jc w:val="right"/>
              <w:textAlignment w:val="center"/>
              <w:rPr>
                <w:rFonts w:hint="default" w:ascii="Times New Roman" w:hAnsi="Times New Roman" w:eastAsia="宋体" w:cs="Times New Roman"/>
                <w:b/>
                <w:bCs/>
                <w:i w:val="0"/>
                <w:iCs w:val="0"/>
                <w:color w:val="000000"/>
                <w:sz w:val="20"/>
                <w:szCs w:val="20"/>
                <w:u w:val="none"/>
              </w:rPr>
            </w:pPr>
            <w:r>
              <w:rPr>
                <w:rStyle w:val="9"/>
                <w:rFonts w:eastAsia="宋体"/>
                <w:lang w:val="en-US" w:eastAsia="zh-CN" w:bidi="ar"/>
              </w:rPr>
              <w:t>η</w:t>
            </w:r>
            <w:r>
              <w:rPr>
                <w:rStyle w:val="7"/>
                <w:rFonts w:eastAsia="宋体"/>
                <w:lang w:val="en-US" w:eastAsia="zh-CN" w:bidi="ar"/>
              </w:rPr>
              <w:t>p</w:t>
            </w:r>
            <w:r>
              <w:rPr>
                <w:rStyle w:val="8"/>
                <w:rFonts w:eastAsia="宋体"/>
                <w:lang w:val="en-US" w:eastAsia="zh-CN" w:bidi="ar"/>
              </w:rPr>
              <w:t>2</w:t>
            </w:r>
          </w:p>
        </w:tc>
      </w:tr>
      <w:tr w14:paraId="1186D2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227" w:type="pct"/>
            <w:tcBorders>
              <w:top w:val="single" w:color="000000" w:sz="8" w:space="0"/>
              <w:left w:val="nil"/>
              <w:bottom w:val="nil"/>
              <w:right w:val="nil"/>
            </w:tcBorders>
            <w:shd w:val="clear" w:color="auto" w:fill="auto"/>
            <w:noWrap/>
            <w:vAlign w:val="center"/>
          </w:tcPr>
          <w:p w14:paraId="794CD766">
            <w:pPr>
              <w:keepNext w:val="0"/>
              <w:keepLines w:val="0"/>
              <w:widowControl/>
              <w:suppressLineNumbers w:val="0"/>
              <w:jc w:val="lef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RT</w:t>
            </w:r>
          </w:p>
        </w:tc>
        <w:tc>
          <w:tcPr>
            <w:tcW w:w="1991" w:type="pct"/>
            <w:tcBorders>
              <w:top w:val="single" w:color="000000" w:sz="8" w:space="0"/>
              <w:left w:val="nil"/>
              <w:bottom w:val="nil"/>
              <w:right w:val="nil"/>
            </w:tcBorders>
            <w:shd w:val="clear" w:color="auto" w:fill="auto"/>
            <w:noWrap/>
            <w:vAlign w:val="center"/>
          </w:tcPr>
          <w:p w14:paraId="7F7AD4DF">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Consistency</w:t>
            </w:r>
          </w:p>
        </w:tc>
        <w:tc>
          <w:tcPr>
            <w:tcW w:w="292" w:type="pct"/>
            <w:tcBorders>
              <w:top w:val="single" w:color="000000" w:sz="8" w:space="0"/>
              <w:left w:val="nil"/>
              <w:bottom w:val="nil"/>
              <w:right w:val="nil"/>
            </w:tcBorders>
            <w:shd w:val="clear" w:color="auto" w:fill="auto"/>
            <w:noWrap/>
            <w:vAlign w:val="center"/>
          </w:tcPr>
          <w:p w14:paraId="6270B0D4">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539" w:type="pct"/>
            <w:tcBorders>
              <w:top w:val="single" w:color="000000" w:sz="8" w:space="0"/>
              <w:left w:val="nil"/>
              <w:bottom w:val="nil"/>
              <w:right w:val="nil"/>
            </w:tcBorders>
            <w:shd w:val="clear" w:color="auto" w:fill="auto"/>
            <w:noWrap/>
            <w:vAlign w:val="center"/>
          </w:tcPr>
          <w:p w14:paraId="680E299D">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5.530</w:t>
            </w:r>
          </w:p>
        </w:tc>
        <w:tc>
          <w:tcPr>
            <w:tcW w:w="478" w:type="pct"/>
            <w:tcBorders>
              <w:top w:val="single" w:color="000000" w:sz="8" w:space="0"/>
              <w:left w:val="nil"/>
              <w:bottom w:val="nil"/>
              <w:right w:val="nil"/>
            </w:tcBorders>
            <w:shd w:val="clear" w:color="auto" w:fill="auto"/>
            <w:noWrap/>
            <w:vAlign w:val="center"/>
          </w:tcPr>
          <w:p w14:paraId="4BBBA2B3">
            <w:pPr>
              <w:keepNext w:val="0"/>
              <w:keepLines w:val="0"/>
              <w:widowControl/>
              <w:suppressLineNumbers w:val="0"/>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0.022</w:t>
            </w:r>
          </w:p>
        </w:tc>
        <w:tc>
          <w:tcPr>
            <w:tcW w:w="470" w:type="pct"/>
            <w:tcBorders>
              <w:top w:val="single" w:color="000000" w:sz="8" w:space="0"/>
              <w:left w:val="nil"/>
              <w:bottom w:val="nil"/>
              <w:right w:val="nil"/>
            </w:tcBorders>
            <w:shd w:val="clear" w:color="auto" w:fill="auto"/>
            <w:noWrap/>
            <w:vAlign w:val="center"/>
          </w:tcPr>
          <w:p w14:paraId="3B3D555C">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0.084</w:t>
            </w:r>
          </w:p>
        </w:tc>
      </w:tr>
      <w:tr w14:paraId="664754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27" w:type="pct"/>
            <w:tcBorders>
              <w:top w:val="nil"/>
              <w:left w:val="nil"/>
              <w:bottom w:val="nil"/>
              <w:right w:val="nil"/>
            </w:tcBorders>
            <w:shd w:val="clear" w:color="auto" w:fill="auto"/>
            <w:noWrap/>
            <w:vAlign w:val="center"/>
          </w:tcPr>
          <w:p w14:paraId="5635FBDB">
            <w:pPr>
              <w:rPr>
                <w:rFonts w:hint="eastAsia" w:ascii="宋体" w:hAnsi="宋体" w:eastAsia="宋体" w:cs="宋体"/>
                <w:i w:val="0"/>
                <w:iCs w:val="0"/>
                <w:color w:val="000000"/>
                <w:sz w:val="20"/>
                <w:szCs w:val="20"/>
                <w:u w:val="none"/>
              </w:rPr>
            </w:pPr>
          </w:p>
        </w:tc>
        <w:tc>
          <w:tcPr>
            <w:tcW w:w="1991" w:type="pct"/>
            <w:tcBorders>
              <w:top w:val="nil"/>
              <w:left w:val="nil"/>
              <w:bottom w:val="nil"/>
              <w:right w:val="nil"/>
            </w:tcBorders>
            <w:shd w:val="clear" w:color="auto" w:fill="auto"/>
            <w:noWrap/>
            <w:vAlign w:val="center"/>
          </w:tcPr>
          <w:p w14:paraId="5019A363">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Perspective</w:t>
            </w:r>
          </w:p>
        </w:tc>
        <w:tc>
          <w:tcPr>
            <w:tcW w:w="292" w:type="pct"/>
            <w:tcBorders>
              <w:top w:val="nil"/>
              <w:left w:val="nil"/>
              <w:bottom w:val="nil"/>
              <w:right w:val="nil"/>
            </w:tcBorders>
            <w:shd w:val="clear" w:color="auto" w:fill="auto"/>
            <w:noWrap/>
            <w:vAlign w:val="center"/>
          </w:tcPr>
          <w:p w14:paraId="49F20085">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539" w:type="pct"/>
            <w:tcBorders>
              <w:top w:val="nil"/>
              <w:left w:val="nil"/>
              <w:bottom w:val="nil"/>
              <w:right w:val="nil"/>
            </w:tcBorders>
            <w:shd w:val="clear" w:color="auto" w:fill="auto"/>
            <w:noWrap/>
            <w:vAlign w:val="center"/>
          </w:tcPr>
          <w:p w14:paraId="3C9B2B9A">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6.935</w:t>
            </w:r>
          </w:p>
        </w:tc>
        <w:tc>
          <w:tcPr>
            <w:tcW w:w="478" w:type="pct"/>
            <w:tcBorders>
              <w:top w:val="nil"/>
              <w:left w:val="nil"/>
              <w:bottom w:val="nil"/>
              <w:right w:val="nil"/>
            </w:tcBorders>
            <w:shd w:val="clear" w:color="auto" w:fill="auto"/>
            <w:noWrap/>
            <w:vAlign w:val="center"/>
          </w:tcPr>
          <w:p w14:paraId="1DD7426A">
            <w:pPr>
              <w:keepNext w:val="0"/>
              <w:keepLines w:val="0"/>
              <w:widowControl/>
              <w:suppressLineNumbers w:val="0"/>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0.011</w:t>
            </w:r>
          </w:p>
        </w:tc>
        <w:tc>
          <w:tcPr>
            <w:tcW w:w="470" w:type="pct"/>
            <w:tcBorders>
              <w:top w:val="nil"/>
              <w:left w:val="nil"/>
              <w:bottom w:val="nil"/>
              <w:right w:val="nil"/>
            </w:tcBorders>
            <w:shd w:val="clear" w:color="auto" w:fill="auto"/>
            <w:noWrap/>
            <w:vAlign w:val="center"/>
          </w:tcPr>
          <w:p w14:paraId="4FF9C32F">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0.104</w:t>
            </w:r>
          </w:p>
        </w:tc>
      </w:tr>
      <w:tr w14:paraId="0E9923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227" w:type="pct"/>
            <w:tcBorders>
              <w:top w:val="nil"/>
              <w:left w:val="nil"/>
              <w:bottom w:val="nil"/>
              <w:right w:val="nil"/>
            </w:tcBorders>
            <w:shd w:val="clear" w:color="auto" w:fill="auto"/>
            <w:noWrap/>
            <w:vAlign w:val="center"/>
          </w:tcPr>
          <w:p w14:paraId="06289552">
            <w:pPr>
              <w:rPr>
                <w:rFonts w:hint="eastAsia" w:ascii="宋体" w:hAnsi="宋体" w:eastAsia="宋体" w:cs="宋体"/>
                <w:i w:val="0"/>
                <w:iCs w:val="0"/>
                <w:color w:val="000000"/>
                <w:sz w:val="20"/>
                <w:szCs w:val="20"/>
                <w:u w:val="none"/>
              </w:rPr>
            </w:pPr>
          </w:p>
        </w:tc>
        <w:tc>
          <w:tcPr>
            <w:tcW w:w="1991" w:type="pct"/>
            <w:tcBorders>
              <w:top w:val="nil"/>
              <w:left w:val="nil"/>
              <w:bottom w:val="nil"/>
              <w:right w:val="nil"/>
            </w:tcBorders>
            <w:shd w:val="clear" w:color="auto" w:fill="auto"/>
            <w:noWrap/>
            <w:vAlign w:val="center"/>
          </w:tcPr>
          <w:p w14:paraId="71A3D789">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Group</w:t>
            </w:r>
          </w:p>
        </w:tc>
        <w:tc>
          <w:tcPr>
            <w:tcW w:w="292" w:type="pct"/>
            <w:tcBorders>
              <w:top w:val="nil"/>
              <w:left w:val="nil"/>
              <w:bottom w:val="nil"/>
              <w:right w:val="nil"/>
            </w:tcBorders>
            <w:shd w:val="clear" w:color="auto" w:fill="auto"/>
            <w:noWrap/>
            <w:vAlign w:val="center"/>
          </w:tcPr>
          <w:p w14:paraId="5B2C1245">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539" w:type="pct"/>
            <w:tcBorders>
              <w:top w:val="nil"/>
              <w:left w:val="nil"/>
              <w:bottom w:val="nil"/>
              <w:right w:val="nil"/>
            </w:tcBorders>
            <w:shd w:val="clear" w:color="auto" w:fill="auto"/>
            <w:noWrap/>
            <w:vAlign w:val="center"/>
          </w:tcPr>
          <w:p w14:paraId="225D64EA">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0.0002</w:t>
            </w:r>
          </w:p>
        </w:tc>
        <w:tc>
          <w:tcPr>
            <w:tcW w:w="478" w:type="pct"/>
            <w:tcBorders>
              <w:top w:val="nil"/>
              <w:left w:val="nil"/>
              <w:bottom w:val="nil"/>
              <w:right w:val="nil"/>
            </w:tcBorders>
            <w:shd w:val="clear" w:color="auto" w:fill="auto"/>
            <w:noWrap/>
            <w:vAlign w:val="center"/>
          </w:tcPr>
          <w:p w14:paraId="6C5E343E">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0.988</w:t>
            </w:r>
          </w:p>
        </w:tc>
        <w:tc>
          <w:tcPr>
            <w:tcW w:w="470" w:type="pct"/>
            <w:tcBorders>
              <w:top w:val="nil"/>
              <w:left w:val="nil"/>
              <w:bottom w:val="nil"/>
              <w:right w:val="nil"/>
            </w:tcBorders>
            <w:shd w:val="clear" w:color="auto" w:fill="auto"/>
            <w:noWrap/>
            <w:vAlign w:val="center"/>
          </w:tcPr>
          <w:p w14:paraId="1018F4CB">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0.000</w:t>
            </w:r>
          </w:p>
        </w:tc>
      </w:tr>
      <w:tr w14:paraId="1FDE51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227" w:type="pct"/>
            <w:tcBorders>
              <w:top w:val="nil"/>
              <w:left w:val="nil"/>
              <w:bottom w:val="nil"/>
              <w:right w:val="nil"/>
            </w:tcBorders>
            <w:shd w:val="clear" w:color="auto" w:fill="auto"/>
            <w:noWrap/>
            <w:vAlign w:val="center"/>
          </w:tcPr>
          <w:p w14:paraId="05BF24AA">
            <w:pPr>
              <w:rPr>
                <w:rFonts w:hint="eastAsia" w:ascii="宋体" w:hAnsi="宋体" w:eastAsia="宋体" w:cs="宋体"/>
                <w:i w:val="0"/>
                <w:iCs w:val="0"/>
                <w:color w:val="000000"/>
                <w:sz w:val="20"/>
                <w:szCs w:val="20"/>
                <w:u w:val="none"/>
              </w:rPr>
            </w:pPr>
          </w:p>
        </w:tc>
        <w:tc>
          <w:tcPr>
            <w:tcW w:w="1991" w:type="pct"/>
            <w:tcBorders>
              <w:top w:val="nil"/>
              <w:left w:val="nil"/>
              <w:bottom w:val="nil"/>
              <w:right w:val="nil"/>
            </w:tcBorders>
            <w:shd w:val="clear" w:color="auto" w:fill="auto"/>
            <w:noWrap/>
            <w:vAlign w:val="center"/>
          </w:tcPr>
          <w:p w14:paraId="0AC53C60">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Consistency*Perspective</w:t>
            </w:r>
          </w:p>
        </w:tc>
        <w:tc>
          <w:tcPr>
            <w:tcW w:w="292" w:type="pct"/>
            <w:tcBorders>
              <w:top w:val="nil"/>
              <w:left w:val="nil"/>
              <w:bottom w:val="nil"/>
              <w:right w:val="nil"/>
            </w:tcBorders>
            <w:shd w:val="clear" w:color="auto" w:fill="auto"/>
            <w:noWrap/>
            <w:vAlign w:val="center"/>
          </w:tcPr>
          <w:p w14:paraId="1418346B">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539" w:type="pct"/>
            <w:tcBorders>
              <w:top w:val="nil"/>
              <w:left w:val="nil"/>
              <w:bottom w:val="nil"/>
              <w:right w:val="nil"/>
            </w:tcBorders>
            <w:shd w:val="clear" w:color="auto" w:fill="auto"/>
            <w:noWrap/>
            <w:vAlign w:val="center"/>
          </w:tcPr>
          <w:p w14:paraId="7074AC57">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13.746</w:t>
            </w:r>
          </w:p>
        </w:tc>
        <w:tc>
          <w:tcPr>
            <w:tcW w:w="478" w:type="pct"/>
            <w:tcBorders>
              <w:top w:val="nil"/>
              <w:left w:val="nil"/>
              <w:bottom w:val="nil"/>
              <w:right w:val="nil"/>
            </w:tcBorders>
            <w:shd w:val="clear" w:color="auto" w:fill="auto"/>
            <w:noWrap/>
            <w:vAlign w:val="center"/>
          </w:tcPr>
          <w:p w14:paraId="258F1EA6">
            <w:pPr>
              <w:keepNext w:val="0"/>
              <w:keepLines w:val="0"/>
              <w:widowControl/>
              <w:suppressLineNumbers w:val="0"/>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&lt;.001</w:t>
            </w:r>
          </w:p>
        </w:tc>
        <w:tc>
          <w:tcPr>
            <w:tcW w:w="470" w:type="pct"/>
            <w:tcBorders>
              <w:top w:val="nil"/>
              <w:left w:val="nil"/>
              <w:bottom w:val="nil"/>
              <w:right w:val="nil"/>
            </w:tcBorders>
            <w:shd w:val="clear" w:color="auto" w:fill="auto"/>
            <w:noWrap/>
            <w:vAlign w:val="center"/>
          </w:tcPr>
          <w:p w14:paraId="0FB11E8E">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0.186</w:t>
            </w:r>
          </w:p>
        </w:tc>
      </w:tr>
      <w:tr w14:paraId="4C8E29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27" w:type="pct"/>
            <w:tcBorders>
              <w:top w:val="nil"/>
              <w:left w:val="nil"/>
              <w:bottom w:val="nil"/>
              <w:right w:val="nil"/>
            </w:tcBorders>
            <w:shd w:val="clear" w:color="auto" w:fill="auto"/>
            <w:noWrap/>
            <w:vAlign w:val="center"/>
          </w:tcPr>
          <w:p w14:paraId="692C055D">
            <w:pPr>
              <w:rPr>
                <w:rFonts w:hint="eastAsia" w:ascii="宋体" w:hAnsi="宋体" w:eastAsia="宋体" w:cs="宋体"/>
                <w:i w:val="0"/>
                <w:iCs w:val="0"/>
                <w:color w:val="000000"/>
                <w:sz w:val="20"/>
                <w:szCs w:val="20"/>
                <w:u w:val="none"/>
              </w:rPr>
            </w:pPr>
          </w:p>
        </w:tc>
        <w:tc>
          <w:tcPr>
            <w:tcW w:w="1991" w:type="pct"/>
            <w:tcBorders>
              <w:top w:val="nil"/>
              <w:left w:val="nil"/>
              <w:bottom w:val="nil"/>
              <w:right w:val="nil"/>
            </w:tcBorders>
            <w:shd w:val="clear" w:color="auto" w:fill="auto"/>
            <w:noWrap/>
            <w:vAlign w:val="center"/>
          </w:tcPr>
          <w:p w14:paraId="35EDE008">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Consistency*Group</w:t>
            </w:r>
          </w:p>
        </w:tc>
        <w:tc>
          <w:tcPr>
            <w:tcW w:w="292" w:type="pct"/>
            <w:tcBorders>
              <w:top w:val="nil"/>
              <w:left w:val="nil"/>
              <w:bottom w:val="nil"/>
              <w:right w:val="nil"/>
            </w:tcBorders>
            <w:shd w:val="clear" w:color="auto" w:fill="auto"/>
            <w:noWrap/>
            <w:vAlign w:val="center"/>
          </w:tcPr>
          <w:p w14:paraId="29532146">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539" w:type="pct"/>
            <w:tcBorders>
              <w:top w:val="nil"/>
              <w:left w:val="nil"/>
              <w:bottom w:val="nil"/>
              <w:right w:val="nil"/>
            </w:tcBorders>
            <w:shd w:val="clear" w:color="auto" w:fill="auto"/>
            <w:noWrap/>
            <w:vAlign w:val="center"/>
          </w:tcPr>
          <w:p w14:paraId="02968C6B">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2.803</w:t>
            </w:r>
          </w:p>
        </w:tc>
        <w:tc>
          <w:tcPr>
            <w:tcW w:w="478" w:type="pct"/>
            <w:tcBorders>
              <w:top w:val="nil"/>
              <w:left w:val="nil"/>
              <w:bottom w:val="nil"/>
              <w:right w:val="nil"/>
            </w:tcBorders>
            <w:shd w:val="clear" w:color="auto" w:fill="auto"/>
            <w:noWrap/>
            <w:vAlign w:val="center"/>
          </w:tcPr>
          <w:p w14:paraId="4C6C5223">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0.099</w:t>
            </w:r>
          </w:p>
        </w:tc>
        <w:tc>
          <w:tcPr>
            <w:tcW w:w="470" w:type="pct"/>
            <w:tcBorders>
              <w:top w:val="nil"/>
              <w:left w:val="nil"/>
              <w:bottom w:val="nil"/>
              <w:right w:val="nil"/>
            </w:tcBorders>
            <w:shd w:val="clear" w:color="auto" w:fill="auto"/>
            <w:noWrap/>
            <w:vAlign w:val="center"/>
          </w:tcPr>
          <w:p w14:paraId="3C54CA3B">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0.045</w:t>
            </w:r>
          </w:p>
        </w:tc>
      </w:tr>
      <w:tr w14:paraId="3ED4B8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227" w:type="pct"/>
            <w:tcBorders>
              <w:top w:val="nil"/>
              <w:left w:val="nil"/>
              <w:bottom w:val="nil"/>
              <w:right w:val="nil"/>
            </w:tcBorders>
            <w:shd w:val="clear" w:color="auto" w:fill="auto"/>
            <w:noWrap/>
            <w:vAlign w:val="center"/>
          </w:tcPr>
          <w:p w14:paraId="58FA0AC1">
            <w:pPr>
              <w:rPr>
                <w:rFonts w:hint="eastAsia" w:ascii="宋体" w:hAnsi="宋体" w:eastAsia="宋体" w:cs="宋体"/>
                <w:i w:val="0"/>
                <w:iCs w:val="0"/>
                <w:color w:val="000000"/>
                <w:sz w:val="20"/>
                <w:szCs w:val="20"/>
                <w:u w:val="none"/>
              </w:rPr>
            </w:pPr>
          </w:p>
        </w:tc>
        <w:tc>
          <w:tcPr>
            <w:tcW w:w="1991" w:type="pct"/>
            <w:tcBorders>
              <w:top w:val="nil"/>
              <w:left w:val="nil"/>
              <w:bottom w:val="nil"/>
              <w:right w:val="nil"/>
            </w:tcBorders>
            <w:shd w:val="clear" w:color="auto" w:fill="auto"/>
            <w:noWrap/>
            <w:vAlign w:val="center"/>
          </w:tcPr>
          <w:p w14:paraId="060470F9">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Perspective*Group</w:t>
            </w:r>
          </w:p>
        </w:tc>
        <w:tc>
          <w:tcPr>
            <w:tcW w:w="292" w:type="pct"/>
            <w:tcBorders>
              <w:top w:val="nil"/>
              <w:left w:val="nil"/>
              <w:bottom w:val="nil"/>
              <w:right w:val="nil"/>
            </w:tcBorders>
            <w:shd w:val="clear" w:color="auto" w:fill="auto"/>
            <w:noWrap/>
            <w:vAlign w:val="center"/>
          </w:tcPr>
          <w:p w14:paraId="3DC2FFBC">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539" w:type="pct"/>
            <w:tcBorders>
              <w:top w:val="nil"/>
              <w:left w:val="nil"/>
              <w:bottom w:val="nil"/>
              <w:right w:val="nil"/>
            </w:tcBorders>
            <w:shd w:val="clear" w:color="auto" w:fill="auto"/>
            <w:noWrap/>
            <w:vAlign w:val="center"/>
          </w:tcPr>
          <w:p w14:paraId="3349ADAD">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0.262</w:t>
            </w:r>
          </w:p>
        </w:tc>
        <w:tc>
          <w:tcPr>
            <w:tcW w:w="478" w:type="pct"/>
            <w:tcBorders>
              <w:top w:val="nil"/>
              <w:left w:val="nil"/>
              <w:bottom w:val="nil"/>
              <w:right w:val="nil"/>
            </w:tcBorders>
            <w:shd w:val="clear" w:color="auto" w:fill="auto"/>
            <w:noWrap/>
            <w:vAlign w:val="center"/>
          </w:tcPr>
          <w:p w14:paraId="52C459AA">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0.611</w:t>
            </w:r>
          </w:p>
        </w:tc>
        <w:tc>
          <w:tcPr>
            <w:tcW w:w="470" w:type="pct"/>
            <w:tcBorders>
              <w:top w:val="nil"/>
              <w:left w:val="nil"/>
              <w:bottom w:val="nil"/>
              <w:right w:val="nil"/>
            </w:tcBorders>
            <w:shd w:val="clear" w:color="auto" w:fill="auto"/>
            <w:noWrap/>
            <w:vAlign w:val="center"/>
          </w:tcPr>
          <w:p w14:paraId="197C74A7">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0.004</w:t>
            </w:r>
          </w:p>
        </w:tc>
      </w:tr>
      <w:tr w14:paraId="1E513A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227" w:type="pct"/>
            <w:tcBorders>
              <w:top w:val="nil"/>
              <w:left w:val="nil"/>
              <w:bottom w:val="nil"/>
              <w:right w:val="nil"/>
            </w:tcBorders>
            <w:shd w:val="clear" w:color="auto" w:fill="auto"/>
            <w:noWrap/>
            <w:vAlign w:val="center"/>
          </w:tcPr>
          <w:p w14:paraId="0885B9B2">
            <w:pPr>
              <w:rPr>
                <w:rFonts w:hint="eastAsia" w:ascii="宋体" w:hAnsi="宋体" w:eastAsia="宋体" w:cs="宋体"/>
                <w:i w:val="0"/>
                <w:iCs w:val="0"/>
                <w:color w:val="000000"/>
                <w:sz w:val="20"/>
                <w:szCs w:val="20"/>
                <w:u w:val="none"/>
              </w:rPr>
            </w:pPr>
          </w:p>
        </w:tc>
        <w:tc>
          <w:tcPr>
            <w:tcW w:w="1991" w:type="pct"/>
            <w:tcBorders>
              <w:top w:val="nil"/>
              <w:left w:val="nil"/>
              <w:bottom w:val="nil"/>
              <w:right w:val="nil"/>
            </w:tcBorders>
            <w:shd w:val="clear" w:color="auto" w:fill="auto"/>
            <w:noWrap/>
            <w:vAlign w:val="center"/>
          </w:tcPr>
          <w:p w14:paraId="7C4210D4">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Consistency*Perspective*Group</w:t>
            </w:r>
          </w:p>
        </w:tc>
        <w:tc>
          <w:tcPr>
            <w:tcW w:w="292" w:type="pct"/>
            <w:tcBorders>
              <w:top w:val="nil"/>
              <w:left w:val="nil"/>
              <w:bottom w:val="nil"/>
              <w:right w:val="nil"/>
            </w:tcBorders>
            <w:shd w:val="clear" w:color="auto" w:fill="auto"/>
            <w:noWrap/>
            <w:vAlign w:val="center"/>
          </w:tcPr>
          <w:p w14:paraId="4BCF5963">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539" w:type="pct"/>
            <w:tcBorders>
              <w:top w:val="nil"/>
              <w:left w:val="nil"/>
              <w:bottom w:val="nil"/>
              <w:right w:val="nil"/>
            </w:tcBorders>
            <w:shd w:val="clear" w:color="auto" w:fill="auto"/>
            <w:noWrap/>
            <w:vAlign w:val="center"/>
          </w:tcPr>
          <w:p w14:paraId="3A4E4DD0">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3.412</w:t>
            </w:r>
          </w:p>
        </w:tc>
        <w:tc>
          <w:tcPr>
            <w:tcW w:w="478" w:type="pct"/>
            <w:tcBorders>
              <w:top w:val="nil"/>
              <w:left w:val="nil"/>
              <w:bottom w:val="nil"/>
              <w:right w:val="nil"/>
            </w:tcBorders>
            <w:shd w:val="clear" w:color="auto" w:fill="auto"/>
            <w:noWrap/>
            <w:vAlign w:val="center"/>
          </w:tcPr>
          <w:p w14:paraId="4298C114">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0.070</w:t>
            </w:r>
          </w:p>
        </w:tc>
        <w:tc>
          <w:tcPr>
            <w:tcW w:w="470" w:type="pct"/>
            <w:tcBorders>
              <w:top w:val="nil"/>
              <w:left w:val="nil"/>
              <w:bottom w:val="nil"/>
              <w:right w:val="nil"/>
            </w:tcBorders>
            <w:shd w:val="clear" w:color="auto" w:fill="auto"/>
            <w:noWrap/>
            <w:vAlign w:val="center"/>
          </w:tcPr>
          <w:p w14:paraId="6630D8A0">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0.054</w:t>
            </w:r>
          </w:p>
        </w:tc>
      </w:tr>
      <w:tr w14:paraId="5E517C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227" w:type="pct"/>
            <w:tcBorders>
              <w:top w:val="nil"/>
              <w:left w:val="nil"/>
              <w:bottom w:val="nil"/>
              <w:right w:val="nil"/>
            </w:tcBorders>
            <w:shd w:val="clear" w:color="auto" w:fill="auto"/>
            <w:noWrap/>
            <w:vAlign w:val="center"/>
          </w:tcPr>
          <w:p w14:paraId="4F550E13">
            <w:pPr>
              <w:rPr>
                <w:rFonts w:hint="eastAsia" w:ascii="宋体" w:hAnsi="宋体" w:eastAsia="宋体" w:cs="宋体"/>
                <w:i w:val="0"/>
                <w:iCs w:val="0"/>
                <w:color w:val="000000"/>
                <w:sz w:val="20"/>
                <w:szCs w:val="20"/>
                <w:u w:val="none"/>
              </w:rPr>
            </w:pPr>
          </w:p>
        </w:tc>
        <w:tc>
          <w:tcPr>
            <w:tcW w:w="1991" w:type="pct"/>
            <w:tcBorders>
              <w:top w:val="nil"/>
              <w:left w:val="nil"/>
              <w:bottom w:val="nil"/>
              <w:right w:val="nil"/>
            </w:tcBorders>
            <w:shd w:val="clear" w:color="auto" w:fill="auto"/>
            <w:noWrap/>
            <w:vAlign w:val="center"/>
          </w:tcPr>
          <w:p w14:paraId="1CF2A394">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Residuals</w:t>
            </w:r>
          </w:p>
        </w:tc>
        <w:tc>
          <w:tcPr>
            <w:tcW w:w="292" w:type="pct"/>
            <w:tcBorders>
              <w:top w:val="nil"/>
              <w:left w:val="nil"/>
              <w:bottom w:val="nil"/>
              <w:right w:val="nil"/>
            </w:tcBorders>
            <w:shd w:val="clear" w:color="auto" w:fill="auto"/>
            <w:noWrap/>
            <w:vAlign w:val="center"/>
          </w:tcPr>
          <w:p w14:paraId="5B8AEF66">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60</w:t>
            </w:r>
          </w:p>
        </w:tc>
        <w:tc>
          <w:tcPr>
            <w:tcW w:w="539" w:type="pct"/>
            <w:tcBorders>
              <w:top w:val="nil"/>
              <w:left w:val="nil"/>
              <w:bottom w:val="nil"/>
              <w:right w:val="nil"/>
            </w:tcBorders>
            <w:shd w:val="clear" w:color="auto" w:fill="auto"/>
            <w:noWrap/>
            <w:vAlign w:val="center"/>
          </w:tcPr>
          <w:p w14:paraId="29B92F48">
            <w:pPr>
              <w:rPr>
                <w:rFonts w:hint="default" w:ascii="Times New Roman" w:hAnsi="Times New Roman" w:eastAsia="宋体" w:cs="Times New Roman"/>
                <w:i w:val="0"/>
                <w:iCs w:val="0"/>
                <w:color w:val="000000"/>
                <w:sz w:val="20"/>
                <w:szCs w:val="20"/>
                <w:u w:val="none"/>
              </w:rPr>
            </w:pPr>
          </w:p>
        </w:tc>
        <w:tc>
          <w:tcPr>
            <w:tcW w:w="478" w:type="pct"/>
            <w:tcBorders>
              <w:top w:val="nil"/>
              <w:left w:val="nil"/>
              <w:bottom w:val="nil"/>
              <w:right w:val="nil"/>
            </w:tcBorders>
            <w:shd w:val="clear" w:color="auto" w:fill="auto"/>
            <w:noWrap/>
            <w:vAlign w:val="center"/>
          </w:tcPr>
          <w:p w14:paraId="78EE2CAC">
            <w:pPr>
              <w:rPr>
                <w:rFonts w:hint="default" w:ascii="Times New Roman" w:hAnsi="Times New Roman" w:eastAsia="宋体" w:cs="Times New Roman"/>
                <w:i w:val="0"/>
                <w:iCs w:val="0"/>
                <w:color w:val="000000"/>
                <w:sz w:val="20"/>
                <w:szCs w:val="20"/>
                <w:u w:val="none"/>
              </w:rPr>
            </w:pPr>
          </w:p>
        </w:tc>
        <w:tc>
          <w:tcPr>
            <w:tcW w:w="470" w:type="pct"/>
            <w:tcBorders>
              <w:top w:val="nil"/>
              <w:left w:val="nil"/>
              <w:bottom w:val="nil"/>
              <w:right w:val="nil"/>
            </w:tcBorders>
            <w:shd w:val="clear" w:color="auto" w:fill="auto"/>
            <w:noWrap/>
            <w:vAlign w:val="center"/>
          </w:tcPr>
          <w:p w14:paraId="56906A11">
            <w:pPr>
              <w:rPr>
                <w:rFonts w:hint="default" w:ascii="Times New Roman" w:hAnsi="Times New Roman" w:eastAsia="宋体" w:cs="Times New Roman"/>
                <w:i w:val="0"/>
                <w:iCs w:val="0"/>
                <w:color w:val="000000"/>
                <w:sz w:val="20"/>
                <w:szCs w:val="20"/>
                <w:u w:val="none"/>
              </w:rPr>
            </w:pPr>
          </w:p>
        </w:tc>
      </w:tr>
      <w:tr w14:paraId="33AD1D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227" w:type="pct"/>
            <w:tcBorders>
              <w:top w:val="nil"/>
              <w:left w:val="nil"/>
              <w:bottom w:val="nil"/>
              <w:right w:val="nil"/>
            </w:tcBorders>
            <w:shd w:val="clear" w:color="auto" w:fill="auto"/>
            <w:noWrap/>
            <w:vAlign w:val="center"/>
          </w:tcPr>
          <w:p w14:paraId="2E317E71">
            <w:pPr>
              <w:rPr>
                <w:rFonts w:hint="eastAsia" w:ascii="宋体" w:hAnsi="宋体" w:eastAsia="宋体" w:cs="宋体"/>
                <w:i w:val="0"/>
                <w:iCs w:val="0"/>
                <w:color w:val="000000"/>
                <w:sz w:val="20"/>
                <w:szCs w:val="20"/>
                <w:u w:val="none"/>
              </w:rPr>
            </w:pPr>
          </w:p>
        </w:tc>
        <w:tc>
          <w:tcPr>
            <w:tcW w:w="1991" w:type="pct"/>
            <w:tcBorders>
              <w:top w:val="nil"/>
              <w:left w:val="nil"/>
              <w:bottom w:val="nil"/>
              <w:right w:val="nil"/>
            </w:tcBorders>
            <w:shd w:val="clear" w:color="auto" w:fill="auto"/>
            <w:noWrap/>
            <w:vAlign w:val="center"/>
          </w:tcPr>
          <w:p w14:paraId="275993BE">
            <w:pPr>
              <w:rPr>
                <w:rFonts w:hint="eastAsia" w:ascii="宋体" w:hAnsi="宋体" w:eastAsia="宋体" w:cs="宋体"/>
                <w:i w:val="0"/>
                <w:iCs w:val="0"/>
                <w:color w:val="000000"/>
                <w:sz w:val="20"/>
                <w:szCs w:val="20"/>
                <w:u w:val="none"/>
              </w:rPr>
            </w:pPr>
          </w:p>
        </w:tc>
        <w:tc>
          <w:tcPr>
            <w:tcW w:w="292" w:type="pct"/>
            <w:tcBorders>
              <w:top w:val="nil"/>
              <w:left w:val="nil"/>
              <w:bottom w:val="nil"/>
              <w:right w:val="nil"/>
            </w:tcBorders>
            <w:shd w:val="clear" w:color="auto" w:fill="auto"/>
            <w:noWrap/>
            <w:vAlign w:val="center"/>
          </w:tcPr>
          <w:p w14:paraId="41E10E45">
            <w:pPr>
              <w:jc w:val="right"/>
              <w:rPr>
                <w:rFonts w:hint="default" w:ascii="Times New Roman" w:hAnsi="Times New Roman" w:eastAsia="宋体" w:cs="Times New Roman"/>
                <w:b/>
                <w:bCs/>
                <w:i w:val="0"/>
                <w:iCs w:val="0"/>
                <w:color w:val="000000"/>
                <w:sz w:val="20"/>
                <w:szCs w:val="20"/>
                <w:u w:val="none"/>
              </w:rPr>
            </w:pPr>
          </w:p>
        </w:tc>
        <w:tc>
          <w:tcPr>
            <w:tcW w:w="539" w:type="pct"/>
            <w:tcBorders>
              <w:top w:val="nil"/>
              <w:left w:val="nil"/>
              <w:bottom w:val="nil"/>
              <w:right w:val="nil"/>
            </w:tcBorders>
            <w:shd w:val="clear" w:color="auto" w:fill="auto"/>
            <w:noWrap/>
            <w:vAlign w:val="center"/>
          </w:tcPr>
          <w:p w14:paraId="64B4B6DC">
            <w:pPr>
              <w:jc w:val="right"/>
              <w:rPr>
                <w:rFonts w:hint="default" w:ascii="Times New Roman" w:hAnsi="Times New Roman" w:eastAsia="宋体" w:cs="Times New Roman"/>
                <w:b/>
                <w:bCs/>
                <w:i w:val="0"/>
                <w:iCs w:val="0"/>
                <w:color w:val="000000"/>
                <w:sz w:val="20"/>
                <w:szCs w:val="20"/>
                <w:u w:val="none"/>
              </w:rPr>
            </w:pPr>
          </w:p>
        </w:tc>
        <w:tc>
          <w:tcPr>
            <w:tcW w:w="478" w:type="pct"/>
            <w:tcBorders>
              <w:top w:val="nil"/>
              <w:left w:val="nil"/>
              <w:bottom w:val="nil"/>
              <w:right w:val="nil"/>
            </w:tcBorders>
            <w:shd w:val="clear" w:color="auto" w:fill="auto"/>
            <w:noWrap/>
            <w:vAlign w:val="center"/>
          </w:tcPr>
          <w:p w14:paraId="6D9D613E">
            <w:pPr>
              <w:jc w:val="right"/>
              <w:rPr>
                <w:rFonts w:hint="default" w:ascii="Times New Roman" w:hAnsi="Times New Roman" w:eastAsia="宋体" w:cs="Times New Roman"/>
                <w:b/>
                <w:bCs/>
                <w:i/>
                <w:iCs/>
                <w:color w:val="000000"/>
                <w:sz w:val="20"/>
                <w:szCs w:val="20"/>
                <w:u w:val="none"/>
              </w:rPr>
            </w:pPr>
          </w:p>
        </w:tc>
        <w:tc>
          <w:tcPr>
            <w:tcW w:w="470" w:type="pct"/>
            <w:tcBorders>
              <w:top w:val="nil"/>
              <w:left w:val="nil"/>
              <w:bottom w:val="nil"/>
              <w:right w:val="nil"/>
            </w:tcBorders>
            <w:shd w:val="clear" w:color="auto" w:fill="auto"/>
            <w:noWrap/>
            <w:vAlign w:val="center"/>
          </w:tcPr>
          <w:p w14:paraId="4998DF87">
            <w:pPr>
              <w:jc w:val="right"/>
              <w:rPr>
                <w:rFonts w:hint="default" w:ascii="Times New Roman" w:hAnsi="Times New Roman" w:eastAsia="宋体" w:cs="Times New Roman"/>
                <w:b/>
                <w:bCs/>
                <w:i w:val="0"/>
                <w:iCs w:val="0"/>
                <w:color w:val="000000"/>
                <w:sz w:val="20"/>
                <w:szCs w:val="20"/>
                <w:u w:val="none"/>
              </w:rPr>
            </w:pPr>
          </w:p>
        </w:tc>
      </w:tr>
      <w:tr w14:paraId="0B3D41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70" w:hRule="atLeast"/>
        </w:trPr>
        <w:tc>
          <w:tcPr>
            <w:tcW w:w="1227" w:type="pct"/>
            <w:tcBorders>
              <w:top w:val="nil"/>
              <w:left w:val="nil"/>
              <w:bottom w:val="nil"/>
              <w:right w:val="nil"/>
            </w:tcBorders>
            <w:shd w:val="clear" w:color="auto" w:fill="auto"/>
            <w:noWrap/>
            <w:vAlign w:val="center"/>
          </w:tcPr>
          <w:p w14:paraId="536DA068">
            <w:pPr>
              <w:keepNext w:val="0"/>
              <w:keepLines w:val="0"/>
              <w:widowControl/>
              <w:suppressLineNumbers w:val="0"/>
              <w:jc w:val="lef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Percentage errors</w:t>
            </w:r>
          </w:p>
        </w:tc>
        <w:tc>
          <w:tcPr>
            <w:tcW w:w="1991" w:type="pct"/>
            <w:tcBorders>
              <w:top w:val="nil"/>
              <w:left w:val="nil"/>
              <w:bottom w:val="nil"/>
              <w:right w:val="nil"/>
            </w:tcBorders>
            <w:shd w:val="clear" w:color="auto" w:fill="auto"/>
            <w:noWrap/>
            <w:vAlign w:val="center"/>
          </w:tcPr>
          <w:p w14:paraId="473D5BAF">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Consistency</w:t>
            </w:r>
          </w:p>
        </w:tc>
        <w:tc>
          <w:tcPr>
            <w:tcW w:w="292" w:type="pct"/>
            <w:tcBorders>
              <w:top w:val="nil"/>
              <w:left w:val="nil"/>
              <w:bottom w:val="nil"/>
              <w:right w:val="nil"/>
            </w:tcBorders>
            <w:shd w:val="clear" w:color="auto" w:fill="auto"/>
            <w:noWrap/>
            <w:vAlign w:val="center"/>
          </w:tcPr>
          <w:p w14:paraId="056F01F7">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539" w:type="pct"/>
            <w:tcBorders>
              <w:top w:val="nil"/>
              <w:left w:val="nil"/>
              <w:bottom w:val="nil"/>
              <w:right w:val="nil"/>
            </w:tcBorders>
            <w:shd w:val="clear" w:color="auto" w:fill="auto"/>
            <w:noWrap/>
            <w:vAlign w:val="center"/>
          </w:tcPr>
          <w:p w14:paraId="166B0814">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54.069</w:t>
            </w:r>
          </w:p>
        </w:tc>
        <w:tc>
          <w:tcPr>
            <w:tcW w:w="478" w:type="pct"/>
            <w:tcBorders>
              <w:top w:val="nil"/>
              <w:left w:val="nil"/>
              <w:bottom w:val="nil"/>
              <w:right w:val="nil"/>
            </w:tcBorders>
            <w:shd w:val="clear" w:color="auto" w:fill="auto"/>
            <w:noWrap/>
            <w:vAlign w:val="center"/>
          </w:tcPr>
          <w:p w14:paraId="0AE996C7">
            <w:pPr>
              <w:keepNext w:val="0"/>
              <w:keepLines w:val="0"/>
              <w:widowControl/>
              <w:suppressLineNumbers w:val="0"/>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&lt;.001</w:t>
            </w:r>
          </w:p>
        </w:tc>
        <w:tc>
          <w:tcPr>
            <w:tcW w:w="470" w:type="pct"/>
            <w:tcBorders>
              <w:top w:val="nil"/>
              <w:left w:val="nil"/>
              <w:bottom w:val="nil"/>
              <w:right w:val="nil"/>
            </w:tcBorders>
            <w:shd w:val="clear" w:color="auto" w:fill="auto"/>
            <w:noWrap/>
            <w:vAlign w:val="center"/>
          </w:tcPr>
          <w:p w14:paraId="3A4722BB">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0.474</w:t>
            </w:r>
          </w:p>
        </w:tc>
      </w:tr>
      <w:tr w14:paraId="20E0A2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227" w:type="pct"/>
            <w:tcBorders>
              <w:top w:val="nil"/>
              <w:left w:val="nil"/>
              <w:bottom w:val="nil"/>
              <w:right w:val="nil"/>
            </w:tcBorders>
            <w:shd w:val="clear" w:color="auto" w:fill="auto"/>
            <w:noWrap/>
            <w:vAlign w:val="center"/>
          </w:tcPr>
          <w:p w14:paraId="3219BB4C">
            <w:pPr>
              <w:rPr>
                <w:rFonts w:hint="eastAsia" w:ascii="宋体" w:hAnsi="宋体" w:eastAsia="宋体" w:cs="宋体"/>
                <w:i w:val="0"/>
                <w:iCs w:val="0"/>
                <w:color w:val="000000"/>
                <w:sz w:val="20"/>
                <w:szCs w:val="20"/>
                <w:u w:val="none"/>
              </w:rPr>
            </w:pPr>
          </w:p>
        </w:tc>
        <w:tc>
          <w:tcPr>
            <w:tcW w:w="1991" w:type="pct"/>
            <w:tcBorders>
              <w:top w:val="nil"/>
              <w:left w:val="nil"/>
              <w:bottom w:val="nil"/>
              <w:right w:val="nil"/>
            </w:tcBorders>
            <w:shd w:val="clear" w:color="auto" w:fill="auto"/>
            <w:noWrap/>
            <w:vAlign w:val="center"/>
          </w:tcPr>
          <w:p w14:paraId="56142CC2">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Perspective</w:t>
            </w:r>
          </w:p>
        </w:tc>
        <w:tc>
          <w:tcPr>
            <w:tcW w:w="292" w:type="pct"/>
            <w:tcBorders>
              <w:top w:val="nil"/>
              <w:left w:val="nil"/>
              <w:bottom w:val="nil"/>
              <w:right w:val="nil"/>
            </w:tcBorders>
            <w:shd w:val="clear" w:color="auto" w:fill="auto"/>
            <w:noWrap/>
            <w:vAlign w:val="center"/>
          </w:tcPr>
          <w:p w14:paraId="68E8AE44">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539" w:type="pct"/>
            <w:tcBorders>
              <w:top w:val="nil"/>
              <w:left w:val="nil"/>
              <w:bottom w:val="nil"/>
              <w:right w:val="nil"/>
            </w:tcBorders>
            <w:shd w:val="clear" w:color="auto" w:fill="auto"/>
            <w:noWrap/>
            <w:vAlign w:val="center"/>
          </w:tcPr>
          <w:p w14:paraId="694320AE">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1.729</w:t>
            </w:r>
          </w:p>
        </w:tc>
        <w:tc>
          <w:tcPr>
            <w:tcW w:w="478" w:type="pct"/>
            <w:tcBorders>
              <w:top w:val="nil"/>
              <w:left w:val="nil"/>
              <w:bottom w:val="nil"/>
              <w:right w:val="nil"/>
            </w:tcBorders>
            <w:shd w:val="clear" w:color="auto" w:fill="auto"/>
            <w:noWrap/>
            <w:vAlign w:val="center"/>
          </w:tcPr>
          <w:p w14:paraId="2787E5A1">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0.194</w:t>
            </w:r>
          </w:p>
        </w:tc>
        <w:tc>
          <w:tcPr>
            <w:tcW w:w="470" w:type="pct"/>
            <w:tcBorders>
              <w:top w:val="nil"/>
              <w:left w:val="nil"/>
              <w:bottom w:val="nil"/>
              <w:right w:val="nil"/>
            </w:tcBorders>
            <w:shd w:val="clear" w:color="auto" w:fill="auto"/>
            <w:noWrap/>
            <w:vAlign w:val="center"/>
          </w:tcPr>
          <w:p w14:paraId="745CCA1C">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0.028</w:t>
            </w:r>
          </w:p>
        </w:tc>
      </w:tr>
      <w:tr w14:paraId="7C6F02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227" w:type="pct"/>
            <w:tcBorders>
              <w:top w:val="nil"/>
              <w:left w:val="nil"/>
              <w:bottom w:val="nil"/>
              <w:right w:val="nil"/>
            </w:tcBorders>
            <w:shd w:val="clear" w:color="auto" w:fill="auto"/>
            <w:noWrap/>
            <w:vAlign w:val="center"/>
          </w:tcPr>
          <w:p w14:paraId="71C386FD">
            <w:pPr>
              <w:rPr>
                <w:rFonts w:hint="eastAsia" w:ascii="宋体" w:hAnsi="宋体" w:eastAsia="宋体" w:cs="宋体"/>
                <w:i w:val="0"/>
                <w:iCs w:val="0"/>
                <w:color w:val="000000"/>
                <w:sz w:val="20"/>
                <w:szCs w:val="20"/>
                <w:u w:val="none"/>
              </w:rPr>
            </w:pPr>
          </w:p>
        </w:tc>
        <w:tc>
          <w:tcPr>
            <w:tcW w:w="1991" w:type="pct"/>
            <w:tcBorders>
              <w:top w:val="nil"/>
              <w:left w:val="nil"/>
              <w:bottom w:val="nil"/>
              <w:right w:val="nil"/>
            </w:tcBorders>
            <w:shd w:val="clear" w:color="auto" w:fill="auto"/>
            <w:noWrap/>
            <w:vAlign w:val="center"/>
          </w:tcPr>
          <w:p w14:paraId="6D828E46">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Group</w:t>
            </w:r>
          </w:p>
        </w:tc>
        <w:tc>
          <w:tcPr>
            <w:tcW w:w="292" w:type="pct"/>
            <w:tcBorders>
              <w:top w:val="nil"/>
              <w:left w:val="nil"/>
              <w:bottom w:val="nil"/>
              <w:right w:val="nil"/>
            </w:tcBorders>
            <w:shd w:val="clear" w:color="auto" w:fill="auto"/>
            <w:noWrap/>
            <w:vAlign w:val="center"/>
          </w:tcPr>
          <w:p w14:paraId="72F71103">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539" w:type="pct"/>
            <w:tcBorders>
              <w:top w:val="nil"/>
              <w:left w:val="nil"/>
              <w:bottom w:val="nil"/>
              <w:right w:val="nil"/>
            </w:tcBorders>
            <w:shd w:val="clear" w:color="auto" w:fill="auto"/>
            <w:noWrap/>
            <w:vAlign w:val="center"/>
          </w:tcPr>
          <w:p w14:paraId="72D62AD4">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0.139</w:t>
            </w:r>
          </w:p>
        </w:tc>
        <w:tc>
          <w:tcPr>
            <w:tcW w:w="478" w:type="pct"/>
            <w:tcBorders>
              <w:top w:val="nil"/>
              <w:left w:val="nil"/>
              <w:bottom w:val="nil"/>
              <w:right w:val="nil"/>
            </w:tcBorders>
            <w:shd w:val="clear" w:color="auto" w:fill="auto"/>
            <w:noWrap/>
            <w:vAlign w:val="center"/>
          </w:tcPr>
          <w:p w14:paraId="0C857C72">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0.710</w:t>
            </w:r>
          </w:p>
        </w:tc>
        <w:tc>
          <w:tcPr>
            <w:tcW w:w="470" w:type="pct"/>
            <w:tcBorders>
              <w:top w:val="nil"/>
              <w:left w:val="nil"/>
              <w:bottom w:val="nil"/>
              <w:right w:val="nil"/>
            </w:tcBorders>
            <w:shd w:val="clear" w:color="auto" w:fill="auto"/>
            <w:noWrap/>
            <w:vAlign w:val="center"/>
          </w:tcPr>
          <w:p w14:paraId="31F4D4C3">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0.002</w:t>
            </w:r>
          </w:p>
        </w:tc>
      </w:tr>
      <w:tr w14:paraId="75AF47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227" w:type="pct"/>
            <w:tcBorders>
              <w:top w:val="nil"/>
              <w:left w:val="nil"/>
              <w:bottom w:val="nil"/>
              <w:right w:val="nil"/>
            </w:tcBorders>
            <w:shd w:val="clear" w:color="auto" w:fill="auto"/>
            <w:noWrap/>
            <w:vAlign w:val="center"/>
          </w:tcPr>
          <w:p w14:paraId="2213A7C9">
            <w:pPr>
              <w:rPr>
                <w:rFonts w:hint="eastAsia" w:ascii="宋体" w:hAnsi="宋体" w:eastAsia="宋体" w:cs="宋体"/>
                <w:i w:val="0"/>
                <w:iCs w:val="0"/>
                <w:color w:val="000000"/>
                <w:sz w:val="20"/>
                <w:szCs w:val="20"/>
                <w:u w:val="none"/>
              </w:rPr>
            </w:pPr>
          </w:p>
        </w:tc>
        <w:tc>
          <w:tcPr>
            <w:tcW w:w="1991" w:type="pct"/>
            <w:tcBorders>
              <w:top w:val="nil"/>
              <w:left w:val="nil"/>
              <w:bottom w:val="nil"/>
              <w:right w:val="nil"/>
            </w:tcBorders>
            <w:shd w:val="clear" w:color="auto" w:fill="auto"/>
            <w:noWrap/>
            <w:vAlign w:val="center"/>
          </w:tcPr>
          <w:p w14:paraId="031150B2">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Consistency*Perspective</w:t>
            </w:r>
          </w:p>
        </w:tc>
        <w:tc>
          <w:tcPr>
            <w:tcW w:w="292" w:type="pct"/>
            <w:tcBorders>
              <w:top w:val="nil"/>
              <w:left w:val="nil"/>
              <w:bottom w:val="nil"/>
              <w:right w:val="nil"/>
            </w:tcBorders>
            <w:shd w:val="clear" w:color="auto" w:fill="auto"/>
            <w:noWrap/>
            <w:vAlign w:val="center"/>
          </w:tcPr>
          <w:p w14:paraId="0364476C">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539" w:type="pct"/>
            <w:tcBorders>
              <w:top w:val="nil"/>
              <w:left w:val="nil"/>
              <w:bottom w:val="nil"/>
              <w:right w:val="nil"/>
            </w:tcBorders>
            <w:shd w:val="clear" w:color="auto" w:fill="auto"/>
            <w:noWrap/>
            <w:vAlign w:val="center"/>
          </w:tcPr>
          <w:p w14:paraId="6596585D">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1.679</w:t>
            </w:r>
          </w:p>
        </w:tc>
        <w:tc>
          <w:tcPr>
            <w:tcW w:w="478" w:type="pct"/>
            <w:tcBorders>
              <w:top w:val="nil"/>
              <w:left w:val="nil"/>
              <w:bottom w:val="nil"/>
              <w:right w:val="nil"/>
            </w:tcBorders>
            <w:shd w:val="clear" w:color="auto" w:fill="auto"/>
            <w:noWrap/>
            <w:vAlign w:val="center"/>
          </w:tcPr>
          <w:p w14:paraId="64D0B341">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0.200</w:t>
            </w:r>
          </w:p>
        </w:tc>
        <w:tc>
          <w:tcPr>
            <w:tcW w:w="470" w:type="pct"/>
            <w:tcBorders>
              <w:top w:val="nil"/>
              <w:left w:val="nil"/>
              <w:bottom w:val="nil"/>
              <w:right w:val="nil"/>
            </w:tcBorders>
            <w:shd w:val="clear" w:color="auto" w:fill="auto"/>
            <w:noWrap/>
            <w:vAlign w:val="center"/>
          </w:tcPr>
          <w:p w14:paraId="53227430">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0.027</w:t>
            </w:r>
          </w:p>
        </w:tc>
      </w:tr>
      <w:tr w14:paraId="1500C6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227" w:type="pct"/>
            <w:tcBorders>
              <w:top w:val="nil"/>
              <w:left w:val="nil"/>
              <w:bottom w:val="nil"/>
              <w:right w:val="nil"/>
            </w:tcBorders>
            <w:shd w:val="clear" w:color="auto" w:fill="auto"/>
            <w:noWrap/>
            <w:vAlign w:val="center"/>
          </w:tcPr>
          <w:p w14:paraId="440C3907">
            <w:pPr>
              <w:rPr>
                <w:rFonts w:hint="eastAsia" w:ascii="宋体" w:hAnsi="宋体" w:eastAsia="宋体" w:cs="宋体"/>
                <w:i w:val="0"/>
                <w:iCs w:val="0"/>
                <w:color w:val="000000"/>
                <w:sz w:val="20"/>
                <w:szCs w:val="20"/>
                <w:u w:val="none"/>
              </w:rPr>
            </w:pPr>
          </w:p>
        </w:tc>
        <w:tc>
          <w:tcPr>
            <w:tcW w:w="1991" w:type="pct"/>
            <w:tcBorders>
              <w:top w:val="nil"/>
              <w:left w:val="nil"/>
              <w:bottom w:val="nil"/>
              <w:right w:val="nil"/>
            </w:tcBorders>
            <w:shd w:val="clear" w:color="auto" w:fill="auto"/>
            <w:noWrap/>
            <w:vAlign w:val="center"/>
          </w:tcPr>
          <w:p w14:paraId="247D938B">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Consistency*Group</w:t>
            </w:r>
          </w:p>
        </w:tc>
        <w:tc>
          <w:tcPr>
            <w:tcW w:w="292" w:type="pct"/>
            <w:tcBorders>
              <w:top w:val="nil"/>
              <w:left w:val="nil"/>
              <w:bottom w:val="nil"/>
              <w:right w:val="nil"/>
            </w:tcBorders>
            <w:shd w:val="clear" w:color="auto" w:fill="auto"/>
            <w:noWrap/>
            <w:vAlign w:val="center"/>
          </w:tcPr>
          <w:p w14:paraId="0AEE7C22">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539" w:type="pct"/>
            <w:tcBorders>
              <w:top w:val="nil"/>
              <w:left w:val="nil"/>
              <w:bottom w:val="nil"/>
              <w:right w:val="nil"/>
            </w:tcBorders>
            <w:shd w:val="clear" w:color="auto" w:fill="auto"/>
            <w:noWrap/>
            <w:vAlign w:val="center"/>
          </w:tcPr>
          <w:p w14:paraId="12C8C269">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0.545</w:t>
            </w:r>
          </w:p>
        </w:tc>
        <w:tc>
          <w:tcPr>
            <w:tcW w:w="478" w:type="pct"/>
            <w:tcBorders>
              <w:top w:val="nil"/>
              <w:left w:val="nil"/>
              <w:bottom w:val="nil"/>
              <w:right w:val="nil"/>
            </w:tcBorders>
            <w:shd w:val="clear" w:color="auto" w:fill="auto"/>
            <w:noWrap/>
            <w:vAlign w:val="center"/>
          </w:tcPr>
          <w:p w14:paraId="1870675F">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0.463</w:t>
            </w:r>
          </w:p>
        </w:tc>
        <w:tc>
          <w:tcPr>
            <w:tcW w:w="470" w:type="pct"/>
            <w:tcBorders>
              <w:top w:val="nil"/>
              <w:left w:val="nil"/>
              <w:bottom w:val="nil"/>
              <w:right w:val="nil"/>
            </w:tcBorders>
            <w:shd w:val="clear" w:color="auto" w:fill="auto"/>
            <w:noWrap/>
            <w:vAlign w:val="center"/>
          </w:tcPr>
          <w:p w14:paraId="756C324D">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0.009</w:t>
            </w:r>
          </w:p>
        </w:tc>
      </w:tr>
      <w:tr w14:paraId="47D431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227" w:type="pct"/>
            <w:tcBorders>
              <w:top w:val="nil"/>
              <w:left w:val="nil"/>
              <w:bottom w:val="nil"/>
              <w:right w:val="nil"/>
            </w:tcBorders>
            <w:shd w:val="clear" w:color="auto" w:fill="auto"/>
            <w:noWrap/>
            <w:vAlign w:val="center"/>
          </w:tcPr>
          <w:p w14:paraId="26ACC577">
            <w:pPr>
              <w:rPr>
                <w:rFonts w:hint="eastAsia" w:ascii="宋体" w:hAnsi="宋体" w:eastAsia="宋体" w:cs="宋体"/>
                <w:i w:val="0"/>
                <w:iCs w:val="0"/>
                <w:color w:val="000000"/>
                <w:sz w:val="20"/>
                <w:szCs w:val="20"/>
                <w:u w:val="none"/>
              </w:rPr>
            </w:pPr>
          </w:p>
        </w:tc>
        <w:tc>
          <w:tcPr>
            <w:tcW w:w="1991" w:type="pct"/>
            <w:tcBorders>
              <w:top w:val="nil"/>
              <w:left w:val="nil"/>
              <w:bottom w:val="nil"/>
              <w:right w:val="nil"/>
            </w:tcBorders>
            <w:shd w:val="clear" w:color="auto" w:fill="auto"/>
            <w:noWrap/>
            <w:vAlign w:val="center"/>
          </w:tcPr>
          <w:p w14:paraId="4DD39913">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Perspective*Group</w:t>
            </w:r>
          </w:p>
        </w:tc>
        <w:tc>
          <w:tcPr>
            <w:tcW w:w="292" w:type="pct"/>
            <w:tcBorders>
              <w:top w:val="nil"/>
              <w:left w:val="nil"/>
              <w:bottom w:val="nil"/>
              <w:right w:val="nil"/>
            </w:tcBorders>
            <w:shd w:val="clear" w:color="auto" w:fill="auto"/>
            <w:noWrap/>
            <w:vAlign w:val="center"/>
          </w:tcPr>
          <w:p w14:paraId="6A3794D0">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539" w:type="pct"/>
            <w:tcBorders>
              <w:top w:val="nil"/>
              <w:left w:val="nil"/>
              <w:bottom w:val="nil"/>
              <w:right w:val="nil"/>
            </w:tcBorders>
            <w:shd w:val="clear" w:color="auto" w:fill="auto"/>
            <w:noWrap/>
            <w:vAlign w:val="center"/>
          </w:tcPr>
          <w:p w14:paraId="10F1EC65">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1.889</w:t>
            </w:r>
          </w:p>
        </w:tc>
        <w:tc>
          <w:tcPr>
            <w:tcW w:w="478" w:type="pct"/>
            <w:tcBorders>
              <w:top w:val="nil"/>
              <w:left w:val="nil"/>
              <w:bottom w:val="nil"/>
              <w:right w:val="nil"/>
            </w:tcBorders>
            <w:shd w:val="clear" w:color="auto" w:fill="auto"/>
            <w:noWrap/>
            <w:vAlign w:val="center"/>
          </w:tcPr>
          <w:p w14:paraId="3F8552E4">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0.174</w:t>
            </w:r>
          </w:p>
        </w:tc>
        <w:tc>
          <w:tcPr>
            <w:tcW w:w="470" w:type="pct"/>
            <w:tcBorders>
              <w:top w:val="nil"/>
              <w:left w:val="nil"/>
              <w:bottom w:val="nil"/>
              <w:right w:val="nil"/>
            </w:tcBorders>
            <w:shd w:val="clear" w:color="auto" w:fill="auto"/>
            <w:noWrap/>
            <w:vAlign w:val="center"/>
          </w:tcPr>
          <w:p w14:paraId="3CFBB5F2">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0.031</w:t>
            </w:r>
          </w:p>
        </w:tc>
      </w:tr>
      <w:tr w14:paraId="314983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227" w:type="pct"/>
            <w:tcBorders>
              <w:top w:val="nil"/>
              <w:left w:val="nil"/>
              <w:bottom w:val="nil"/>
              <w:right w:val="nil"/>
            </w:tcBorders>
            <w:shd w:val="clear" w:color="auto" w:fill="auto"/>
            <w:noWrap/>
            <w:vAlign w:val="center"/>
          </w:tcPr>
          <w:p w14:paraId="203AC84B">
            <w:pPr>
              <w:rPr>
                <w:rFonts w:hint="eastAsia" w:ascii="宋体" w:hAnsi="宋体" w:eastAsia="宋体" w:cs="宋体"/>
                <w:i w:val="0"/>
                <w:iCs w:val="0"/>
                <w:color w:val="000000"/>
                <w:sz w:val="20"/>
                <w:szCs w:val="20"/>
                <w:u w:val="none"/>
              </w:rPr>
            </w:pPr>
          </w:p>
        </w:tc>
        <w:tc>
          <w:tcPr>
            <w:tcW w:w="1991" w:type="pct"/>
            <w:tcBorders>
              <w:top w:val="nil"/>
              <w:left w:val="nil"/>
              <w:bottom w:val="nil"/>
              <w:right w:val="nil"/>
            </w:tcBorders>
            <w:shd w:val="clear" w:color="auto" w:fill="auto"/>
            <w:noWrap/>
            <w:vAlign w:val="center"/>
          </w:tcPr>
          <w:p w14:paraId="66078CE5">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Consistency*Perspective*Group</w:t>
            </w:r>
          </w:p>
        </w:tc>
        <w:tc>
          <w:tcPr>
            <w:tcW w:w="292" w:type="pct"/>
            <w:tcBorders>
              <w:top w:val="nil"/>
              <w:left w:val="nil"/>
              <w:bottom w:val="nil"/>
              <w:right w:val="nil"/>
            </w:tcBorders>
            <w:shd w:val="clear" w:color="auto" w:fill="auto"/>
            <w:noWrap/>
            <w:vAlign w:val="center"/>
          </w:tcPr>
          <w:p w14:paraId="7BAC42E8">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539" w:type="pct"/>
            <w:tcBorders>
              <w:top w:val="nil"/>
              <w:left w:val="nil"/>
              <w:bottom w:val="nil"/>
              <w:right w:val="nil"/>
            </w:tcBorders>
            <w:shd w:val="clear" w:color="auto" w:fill="auto"/>
            <w:noWrap/>
            <w:vAlign w:val="center"/>
          </w:tcPr>
          <w:p w14:paraId="19467AF1">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2.142</w:t>
            </w:r>
          </w:p>
        </w:tc>
        <w:tc>
          <w:tcPr>
            <w:tcW w:w="478" w:type="pct"/>
            <w:tcBorders>
              <w:top w:val="nil"/>
              <w:left w:val="nil"/>
              <w:bottom w:val="nil"/>
              <w:right w:val="nil"/>
            </w:tcBorders>
            <w:shd w:val="clear" w:color="auto" w:fill="auto"/>
            <w:noWrap/>
            <w:vAlign w:val="center"/>
          </w:tcPr>
          <w:p w14:paraId="61C4D72E">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0.149</w:t>
            </w:r>
          </w:p>
        </w:tc>
        <w:tc>
          <w:tcPr>
            <w:tcW w:w="470" w:type="pct"/>
            <w:tcBorders>
              <w:top w:val="nil"/>
              <w:left w:val="nil"/>
              <w:bottom w:val="nil"/>
              <w:right w:val="nil"/>
            </w:tcBorders>
            <w:shd w:val="clear" w:color="auto" w:fill="auto"/>
            <w:noWrap/>
            <w:vAlign w:val="center"/>
          </w:tcPr>
          <w:p w14:paraId="6FF6B6B9">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0.034</w:t>
            </w:r>
          </w:p>
        </w:tc>
      </w:tr>
      <w:tr w14:paraId="6D352B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227" w:type="pct"/>
            <w:tcBorders>
              <w:top w:val="nil"/>
              <w:left w:val="nil"/>
              <w:bottom w:val="single" w:color="000000" w:sz="8" w:space="0"/>
              <w:right w:val="nil"/>
            </w:tcBorders>
            <w:shd w:val="clear" w:color="auto" w:fill="auto"/>
            <w:noWrap/>
            <w:vAlign w:val="center"/>
          </w:tcPr>
          <w:p w14:paraId="0F9E35AF">
            <w:pPr>
              <w:rPr>
                <w:rFonts w:hint="eastAsia" w:ascii="宋体" w:hAnsi="宋体" w:eastAsia="宋体" w:cs="宋体"/>
                <w:i w:val="0"/>
                <w:iCs w:val="0"/>
                <w:color w:val="000000"/>
                <w:sz w:val="20"/>
                <w:szCs w:val="20"/>
                <w:u w:val="none"/>
              </w:rPr>
            </w:pPr>
          </w:p>
        </w:tc>
        <w:tc>
          <w:tcPr>
            <w:tcW w:w="1991" w:type="pct"/>
            <w:tcBorders>
              <w:top w:val="nil"/>
              <w:left w:val="nil"/>
              <w:bottom w:val="single" w:color="000000" w:sz="8" w:space="0"/>
              <w:right w:val="nil"/>
            </w:tcBorders>
            <w:shd w:val="clear" w:color="auto" w:fill="auto"/>
            <w:noWrap/>
            <w:vAlign w:val="center"/>
          </w:tcPr>
          <w:p w14:paraId="25B52FCF">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Residuals</w:t>
            </w:r>
          </w:p>
        </w:tc>
        <w:tc>
          <w:tcPr>
            <w:tcW w:w="292" w:type="pct"/>
            <w:tcBorders>
              <w:top w:val="nil"/>
              <w:left w:val="nil"/>
              <w:bottom w:val="single" w:color="000000" w:sz="8" w:space="0"/>
              <w:right w:val="nil"/>
            </w:tcBorders>
            <w:shd w:val="clear" w:color="auto" w:fill="auto"/>
            <w:noWrap/>
            <w:vAlign w:val="center"/>
          </w:tcPr>
          <w:p w14:paraId="2B266346">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60</w:t>
            </w:r>
          </w:p>
        </w:tc>
        <w:tc>
          <w:tcPr>
            <w:tcW w:w="539" w:type="pct"/>
            <w:tcBorders>
              <w:top w:val="nil"/>
              <w:left w:val="nil"/>
              <w:bottom w:val="single" w:color="000000" w:sz="8" w:space="0"/>
              <w:right w:val="nil"/>
            </w:tcBorders>
            <w:shd w:val="clear" w:color="auto" w:fill="auto"/>
            <w:noWrap/>
            <w:vAlign w:val="center"/>
          </w:tcPr>
          <w:p w14:paraId="257AE48C">
            <w:pPr>
              <w:jc w:val="right"/>
              <w:rPr>
                <w:rFonts w:hint="default" w:ascii="Times New Roman" w:hAnsi="Times New Roman" w:eastAsia="宋体" w:cs="Times New Roman"/>
                <w:i w:val="0"/>
                <w:iCs w:val="0"/>
                <w:color w:val="000000"/>
                <w:sz w:val="20"/>
                <w:szCs w:val="20"/>
                <w:u w:val="none"/>
              </w:rPr>
            </w:pPr>
          </w:p>
        </w:tc>
        <w:tc>
          <w:tcPr>
            <w:tcW w:w="478" w:type="pct"/>
            <w:tcBorders>
              <w:top w:val="nil"/>
              <w:left w:val="nil"/>
              <w:bottom w:val="single" w:color="000000" w:sz="8" w:space="0"/>
              <w:right w:val="nil"/>
            </w:tcBorders>
            <w:shd w:val="clear" w:color="auto" w:fill="auto"/>
            <w:noWrap/>
            <w:vAlign w:val="center"/>
          </w:tcPr>
          <w:p w14:paraId="58F1382A">
            <w:pPr>
              <w:rPr>
                <w:rFonts w:hint="default" w:ascii="Times New Roman" w:hAnsi="Times New Roman" w:eastAsia="宋体" w:cs="Times New Roman"/>
                <w:i w:val="0"/>
                <w:iCs w:val="0"/>
                <w:color w:val="000000"/>
                <w:sz w:val="20"/>
                <w:szCs w:val="20"/>
                <w:u w:val="none"/>
              </w:rPr>
            </w:pPr>
          </w:p>
        </w:tc>
        <w:tc>
          <w:tcPr>
            <w:tcW w:w="470" w:type="pct"/>
            <w:tcBorders>
              <w:top w:val="nil"/>
              <w:left w:val="nil"/>
              <w:bottom w:val="single" w:color="000000" w:sz="8" w:space="0"/>
              <w:right w:val="nil"/>
            </w:tcBorders>
            <w:shd w:val="clear" w:color="auto" w:fill="auto"/>
            <w:noWrap/>
            <w:vAlign w:val="center"/>
          </w:tcPr>
          <w:p w14:paraId="7A3CCE7F">
            <w:pPr>
              <w:rPr>
                <w:rFonts w:hint="default" w:ascii="Times New Roman" w:hAnsi="Times New Roman" w:eastAsia="宋体" w:cs="Times New Roman"/>
                <w:i w:val="0"/>
                <w:iCs w:val="0"/>
                <w:color w:val="000000"/>
                <w:sz w:val="20"/>
                <w:szCs w:val="20"/>
                <w:u w:val="none"/>
              </w:rPr>
            </w:pPr>
          </w:p>
        </w:tc>
      </w:tr>
    </w:tbl>
    <w:p w14:paraId="4549FBFB">
      <w:pPr>
        <w:keepNext w:val="0"/>
        <w:keepLines w:val="0"/>
        <w:pageBreakBefore w:val="0"/>
        <w:wordWrap/>
        <w:overflowPunct/>
        <w:topLinePunct w:val="0"/>
        <w:autoSpaceDE/>
        <w:autoSpaceDN/>
        <w:bidi w:val="0"/>
        <w:snapToGrid/>
        <w:spacing w:line="480" w:lineRule="auto"/>
        <w:ind w:firstLine="480" w:firstLineChars="200"/>
        <w:rPr>
          <w:rFonts w:hint="default" w:ascii="Times New Roman" w:hAnsi="Times New Roman" w:eastAsia="宋体" w:cs="Times New Roman"/>
          <w:sz w:val="24"/>
          <w:lang w:bidi="ar"/>
        </w:rPr>
      </w:pPr>
    </w:p>
    <w:p w14:paraId="6264FC3A"/>
    <w:p w14:paraId="2F96A8AA"/>
    <w:tbl>
      <w:tblPr>
        <w:tblStyle w:val="2"/>
        <w:tblW w:w="863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524"/>
        <w:gridCol w:w="1910"/>
        <w:gridCol w:w="1243"/>
        <w:gridCol w:w="921"/>
        <w:gridCol w:w="854"/>
        <w:gridCol w:w="1184"/>
      </w:tblGrid>
      <w:tr w14:paraId="7131ED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8636" w:type="dxa"/>
            <w:gridSpan w:val="6"/>
            <w:tcBorders>
              <w:top w:val="nil"/>
              <w:left w:val="nil"/>
              <w:bottom w:val="nil"/>
              <w:right w:val="nil"/>
            </w:tcBorders>
            <w:shd w:val="clear" w:color="auto" w:fill="auto"/>
            <w:noWrap/>
            <w:vAlign w:val="center"/>
          </w:tcPr>
          <w:p w14:paraId="0075C544">
            <w:pPr>
              <w:keepNext w:val="0"/>
              <w:keepLines w:val="0"/>
              <w:widowControl/>
              <w:suppressLineNumbers w:val="0"/>
              <w:jc w:val="lef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Supplementary Table 4: Follow-up Analyses of Behavioral Data in Experiment 2</w:t>
            </w:r>
          </w:p>
        </w:tc>
      </w:tr>
      <w:tr w14:paraId="15E607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2524" w:type="dxa"/>
            <w:tcBorders>
              <w:top w:val="single" w:color="000000" w:sz="8" w:space="0"/>
              <w:left w:val="nil"/>
              <w:bottom w:val="single" w:color="000000" w:sz="8" w:space="0"/>
              <w:right w:val="nil"/>
            </w:tcBorders>
            <w:shd w:val="clear" w:color="auto" w:fill="auto"/>
            <w:noWrap/>
            <w:vAlign w:val="center"/>
          </w:tcPr>
          <w:p w14:paraId="6C589B3A">
            <w:pPr>
              <w:rPr>
                <w:rFonts w:hint="default" w:ascii="Times New Roman" w:hAnsi="Times New Roman" w:eastAsia="宋体" w:cs="Times New Roman"/>
                <w:i w:val="0"/>
                <w:iCs w:val="0"/>
                <w:color w:val="000000"/>
                <w:sz w:val="20"/>
                <w:szCs w:val="20"/>
                <w:u w:val="none"/>
              </w:rPr>
            </w:pPr>
          </w:p>
        </w:tc>
        <w:tc>
          <w:tcPr>
            <w:tcW w:w="1910" w:type="dxa"/>
            <w:tcBorders>
              <w:top w:val="single" w:color="000000" w:sz="8" w:space="0"/>
              <w:left w:val="nil"/>
              <w:bottom w:val="single" w:color="000000" w:sz="8" w:space="0"/>
              <w:right w:val="nil"/>
            </w:tcBorders>
            <w:shd w:val="clear" w:color="auto" w:fill="auto"/>
            <w:noWrap/>
            <w:vAlign w:val="center"/>
          </w:tcPr>
          <w:p w14:paraId="210AF077">
            <w:pPr>
              <w:keepNext w:val="0"/>
              <w:keepLines w:val="0"/>
              <w:widowControl/>
              <w:suppressLineNumbers w:val="0"/>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Comparisons</w:t>
            </w:r>
          </w:p>
        </w:tc>
        <w:tc>
          <w:tcPr>
            <w:tcW w:w="1243" w:type="dxa"/>
            <w:tcBorders>
              <w:top w:val="single" w:color="000000" w:sz="8" w:space="0"/>
              <w:left w:val="nil"/>
              <w:bottom w:val="single" w:color="000000" w:sz="8" w:space="0"/>
              <w:right w:val="nil"/>
            </w:tcBorders>
            <w:shd w:val="clear" w:color="auto" w:fill="auto"/>
            <w:noWrap/>
            <w:vAlign w:val="center"/>
          </w:tcPr>
          <w:p w14:paraId="0AC66925">
            <w:pPr>
              <w:keepNext w:val="0"/>
              <w:keepLines w:val="0"/>
              <w:widowControl/>
              <w:suppressLineNumbers w:val="0"/>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Mean dif</w:t>
            </w:r>
          </w:p>
        </w:tc>
        <w:tc>
          <w:tcPr>
            <w:tcW w:w="921" w:type="dxa"/>
            <w:tcBorders>
              <w:top w:val="single" w:color="000000" w:sz="8" w:space="0"/>
              <w:left w:val="nil"/>
              <w:bottom w:val="single" w:color="000000" w:sz="8" w:space="0"/>
              <w:right w:val="nil"/>
            </w:tcBorders>
            <w:shd w:val="clear" w:color="auto" w:fill="auto"/>
            <w:noWrap/>
            <w:vAlign w:val="center"/>
          </w:tcPr>
          <w:p w14:paraId="7678F398">
            <w:pPr>
              <w:keepNext w:val="0"/>
              <w:keepLines w:val="0"/>
              <w:widowControl/>
              <w:suppressLineNumbers w:val="0"/>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t</w:t>
            </w:r>
          </w:p>
        </w:tc>
        <w:tc>
          <w:tcPr>
            <w:tcW w:w="854" w:type="dxa"/>
            <w:tcBorders>
              <w:top w:val="single" w:color="000000" w:sz="8" w:space="0"/>
              <w:left w:val="nil"/>
              <w:bottom w:val="single" w:color="000000" w:sz="8" w:space="0"/>
              <w:right w:val="nil"/>
            </w:tcBorders>
            <w:shd w:val="clear" w:color="auto" w:fill="auto"/>
            <w:noWrap/>
            <w:vAlign w:val="center"/>
          </w:tcPr>
          <w:p w14:paraId="7A2BD8CC">
            <w:pPr>
              <w:keepNext w:val="0"/>
              <w:keepLines w:val="0"/>
              <w:widowControl/>
              <w:suppressLineNumbers w:val="0"/>
              <w:jc w:val="right"/>
              <w:textAlignment w:val="center"/>
              <w:rPr>
                <w:rFonts w:hint="default" w:ascii="Times New Roman" w:hAnsi="Times New Roman" w:eastAsia="宋体" w:cs="Times New Roman"/>
                <w:b/>
                <w:bCs/>
                <w:i/>
                <w:iCs/>
                <w:color w:val="000000"/>
                <w:sz w:val="20"/>
                <w:szCs w:val="20"/>
                <w:u w:val="none"/>
              </w:rPr>
            </w:pPr>
            <w:r>
              <w:rPr>
                <w:rFonts w:hint="default" w:ascii="Times New Roman" w:hAnsi="Times New Roman" w:eastAsia="宋体" w:cs="Times New Roman"/>
                <w:b/>
                <w:bCs/>
                <w:i/>
                <w:iCs/>
                <w:color w:val="000000"/>
                <w:kern w:val="0"/>
                <w:sz w:val="20"/>
                <w:szCs w:val="20"/>
                <w:u w:val="none"/>
                <w:lang w:val="en-US" w:eastAsia="zh-CN" w:bidi="ar"/>
              </w:rPr>
              <w:t>p</w:t>
            </w:r>
          </w:p>
        </w:tc>
        <w:tc>
          <w:tcPr>
            <w:tcW w:w="1184" w:type="dxa"/>
            <w:tcBorders>
              <w:top w:val="single" w:color="000000" w:sz="8" w:space="0"/>
              <w:left w:val="nil"/>
              <w:bottom w:val="single" w:color="000000" w:sz="8" w:space="0"/>
              <w:right w:val="nil"/>
            </w:tcBorders>
            <w:shd w:val="clear" w:color="auto" w:fill="auto"/>
            <w:noWrap/>
            <w:vAlign w:val="center"/>
          </w:tcPr>
          <w:p w14:paraId="578AAA81">
            <w:pPr>
              <w:keepNext w:val="0"/>
              <w:keepLines w:val="0"/>
              <w:widowControl/>
              <w:suppressLineNumbers w:val="0"/>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Cohen’s d</w:t>
            </w:r>
          </w:p>
        </w:tc>
      </w:tr>
      <w:tr w14:paraId="251DD6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2524" w:type="dxa"/>
            <w:tcBorders>
              <w:top w:val="nil"/>
              <w:left w:val="nil"/>
              <w:bottom w:val="nil"/>
              <w:right w:val="nil"/>
            </w:tcBorders>
            <w:shd w:val="clear" w:color="auto" w:fill="auto"/>
            <w:noWrap/>
            <w:vAlign w:val="center"/>
          </w:tcPr>
          <w:p w14:paraId="2C8FE6B7">
            <w:pPr>
              <w:keepNext w:val="0"/>
              <w:keepLines w:val="0"/>
              <w:widowControl/>
              <w:suppressLineNumbers w:val="0"/>
              <w:jc w:val="lef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RT (Consistency*Perspective)</w:t>
            </w:r>
          </w:p>
        </w:tc>
        <w:tc>
          <w:tcPr>
            <w:tcW w:w="1910" w:type="dxa"/>
            <w:tcBorders>
              <w:top w:val="nil"/>
              <w:left w:val="nil"/>
              <w:bottom w:val="nil"/>
              <w:right w:val="nil"/>
            </w:tcBorders>
            <w:shd w:val="clear" w:color="auto" w:fill="auto"/>
            <w:vAlign w:val="center"/>
          </w:tcPr>
          <w:p w14:paraId="0AE7915F">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Self-Consistent vs.</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Self-Inconsistent</w:t>
            </w:r>
          </w:p>
        </w:tc>
        <w:tc>
          <w:tcPr>
            <w:tcW w:w="1243" w:type="dxa"/>
            <w:tcBorders>
              <w:top w:val="nil"/>
              <w:left w:val="nil"/>
              <w:bottom w:val="nil"/>
              <w:right w:val="nil"/>
            </w:tcBorders>
            <w:shd w:val="clear" w:color="auto" w:fill="auto"/>
            <w:noWrap/>
            <w:vAlign w:val="center"/>
          </w:tcPr>
          <w:p w14:paraId="6989B733">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-23.351</w:t>
            </w:r>
          </w:p>
        </w:tc>
        <w:tc>
          <w:tcPr>
            <w:tcW w:w="921" w:type="dxa"/>
            <w:tcBorders>
              <w:top w:val="nil"/>
              <w:left w:val="nil"/>
              <w:bottom w:val="nil"/>
              <w:right w:val="nil"/>
            </w:tcBorders>
            <w:shd w:val="clear" w:color="auto" w:fill="auto"/>
            <w:noWrap/>
            <w:vAlign w:val="center"/>
          </w:tcPr>
          <w:p w14:paraId="5C9EBAF0">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-4.416</w:t>
            </w:r>
          </w:p>
        </w:tc>
        <w:tc>
          <w:tcPr>
            <w:tcW w:w="854" w:type="dxa"/>
            <w:tcBorders>
              <w:top w:val="nil"/>
              <w:left w:val="nil"/>
              <w:bottom w:val="nil"/>
              <w:right w:val="nil"/>
            </w:tcBorders>
            <w:shd w:val="clear" w:color="auto" w:fill="auto"/>
            <w:noWrap/>
            <w:vAlign w:val="center"/>
          </w:tcPr>
          <w:p w14:paraId="1FF79A63">
            <w:pPr>
              <w:keepNext w:val="0"/>
              <w:keepLines w:val="0"/>
              <w:widowControl/>
              <w:suppressLineNumbers w:val="0"/>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&lt;.001</w:t>
            </w:r>
          </w:p>
        </w:tc>
        <w:tc>
          <w:tcPr>
            <w:tcW w:w="1184" w:type="dxa"/>
            <w:tcBorders>
              <w:top w:val="nil"/>
              <w:left w:val="nil"/>
              <w:bottom w:val="nil"/>
              <w:right w:val="nil"/>
            </w:tcBorders>
            <w:shd w:val="clear" w:color="auto" w:fill="auto"/>
            <w:noWrap/>
            <w:vAlign w:val="center"/>
          </w:tcPr>
          <w:p w14:paraId="4A2BCF96">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0.206</w:t>
            </w:r>
          </w:p>
        </w:tc>
      </w:tr>
      <w:tr w14:paraId="4FAE28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2524" w:type="dxa"/>
            <w:tcBorders>
              <w:top w:val="nil"/>
              <w:left w:val="nil"/>
              <w:bottom w:val="nil"/>
              <w:right w:val="nil"/>
            </w:tcBorders>
            <w:shd w:val="clear" w:color="auto" w:fill="auto"/>
            <w:noWrap/>
            <w:vAlign w:val="center"/>
          </w:tcPr>
          <w:p w14:paraId="28045CBA">
            <w:pPr>
              <w:rPr>
                <w:rFonts w:hint="default" w:ascii="Times New Roman" w:hAnsi="Times New Roman" w:eastAsia="宋体" w:cs="Times New Roman"/>
                <w:i w:val="0"/>
                <w:iCs w:val="0"/>
                <w:color w:val="000000"/>
                <w:sz w:val="20"/>
                <w:szCs w:val="20"/>
                <w:u w:val="none"/>
              </w:rPr>
            </w:pPr>
          </w:p>
        </w:tc>
        <w:tc>
          <w:tcPr>
            <w:tcW w:w="1910" w:type="dxa"/>
            <w:tcBorders>
              <w:top w:val="nil"/>
              <w:left w:val="nil"/>
              <w:bottom w:val="nil"/>
              <w:right w:val="nil"/>
            </w:tcBorders>
            <w:shd w:val="clear" w:color="auto" w:fill="auto"/>
            <w:vAlign w:val="center"/>
          </w:tcPr>
          <w:p w14:paraId="2F79F43D">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Other-Consistent vs.</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Other-Inconsistent</w:t>
            </w:r>
          </w:p>
        </w:tc>
        <w:tc>
          <w:tcPr>
            <w:tcW w:w="1243" w:type="dxa"/>
            <w:tcBorders>
              <w:top w:val="nil"/>
              <w:left w:val="nil"/>
              <w:bottom w:val="nil"/>
              <w:right w:val="nil"/>
            </w:tcBorders>
            <w:shd w:val="clear" w:color="auto" w:fill="auto"/>
            <w:noWrap/>
            <w:vAlign w:val="center"/>
          </w:tcPr>
          <w:p w14:paraId="07CDFB8A">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-64.038</w:t>
            </w:r>
          </w:p>
        </w:tc>
        <w:tc>
          <w:tcPr>
            <w:tcW w:w="921" w:type="dxa"/>
            <w:tcBorders>
              <w:top w:val="nil"/>
              <w:left w:val="nil"/>
              <w:bottom w:val="nil"/>
              <w:right w:val="nil"/>
            </w:tcBorders>
            <w:shd w:val="clear" w:color="auto" w:fill="auto"/>
            <w:noWrap/>
            <w:vAlign w:val="center"/>
          </w:tcPr>
          <w:p w14:paraId="680E7FDF">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-9.636</w:t>
            </w:r>
          </w:p>
        </w:tc>
        <w:tc>
          <w:tcPr>
            <w:tcW w:w="854" w:type="dxa"/>
            <w:tcBorders>
              <w:top w:val="nil"/>
              <w:left w:val="nil"/>
              <w:bottom w:val="nil"/>
              <w:right w:val="nil"/>
            </w:tcBorders>
            <w:shd w:val="clear" w:color="auto" w:fill="auto"/>
            <w:noWrap/>
            <w:vAlign w:val="center"/>
          </w:tcPr>
          <w:p w14:paraId="132105E7">
            <w:pPr>
              <w:keepNext w:val="0"/>
              <w:keepLines w:val="0"/>
              <w:widowControl/>
              <w:suppressLineNumbers w:val="0"/>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&lt;.001</w:t>
            </w:r>
          </w:p>
        </w:tc>
        <w:tc>
          <w:tcPr>
            <w:tcW w:w="1184" w:type="dxa"/>
            <w:tcBorders>
              <w:top w:val="nil"/>
              <w:left w:val="nil"/>
              <w:bottom w:val="nil"/>
              <w:right w:val="nil"/>
            </w:tcBorders>
            <w:shd w:val="clear" w:color="auto" w:fill="auto"/>
            <w:noWrap/>
            <w:vAlign w:val="center"/>
          </w:tcPr>
          <w:p w14:paraId="79611EBB">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0.566</w:t>
            </w:r>
          </w:p>
        </w:tc>
      </w:tr>
      <w:tr w14:paraId="51607B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2524" w:type="dxa"/>
            <w:tcBorders>
              <w:top w:val="nil"/>
              <w:left w:val="nil"/>
              <w:bottom w:val="nil"/>
              <w:right w:val="nil"/>
            </w:tcBorders>
            <w:shd w:val="clear" w:color="auto" w:fill="auto"/>
            <w:noWrap/>
            <w:vAlign w:val="center"/>
          </w:tcPr>
          <w:p w14:paraId="69318EC8">
            <w:pPr>
              <w:rPr>
                <w:rFonts w:hint="default" w:ascii="Times New Roman" w:hAnsi="Times New Roman" w:eastAsia="宋体" w:cs="Times New Roman"/>
                <w:i w:val="0"/>
                <w:iCs w:val="0"/>
                <w:color w:val="000000"/>
                <w:sz w:val="20"/>
                <w:szCs w:val="20"/>
                <w:u w:val="none"/>
              </w:rPr>
            </w:pPr>
          </w:p>
        </w:tc>
        <w:tc>
          <w:tcPr>
            <w:tcW w:w="1910" w:type="dxa"/>
            <w:tcBorders>
              <w:top w:val="nil"/>
              <w:left w:val="nil"/>
              <w:bottom w:val="nil"/>
              <w:right w:val="nil"/>
            </w:tcBorders>
            <w:shd w:val="clear" w:color="auto" w:fill="auto"/>
            <w:vAlign w:val="center"/>
          </w:tcPr>
          <w:p w14:paraId="68877807">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Self-Consistent vs.</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Other-Consistent</w:t>
            </w:r>
          </w:p>
        </w:tc>
        <w:tc>
          <w:tcPr>
            <w:tcW w:w="1243" w:type="dxa"/>
            <w:tcBorders>
              <w:top w:val="nil"/>
              <w:left w:val="nil"/>
              <w:bottom w:val="nil"/>
              <w:right w:val="nil"/>
            </w:tcBorders>
            <w:shd w:val="clear" w:color="auto" w:fill="auto"/>
            <w:noWrap/>
            <w:vAlign w:val="center"/>
          </w:tcPr>
          <w:p w14:paraId="11029792">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33.536</w:t>
            </w:r>
          </w:p>
        </w:tc>
        <w:tc>
          <w:tcPr>
            <w:tcW w:w="921" w:type="dxa"/>
            <w:tcBorders>
              <w:top w:val="nil"/>
              <w:left w:val="nil"/>
              <w:bottom w:val="nil"/>
              <w:right w:val="nil"/>
            </w:tcBorders>
            <w:shd w:val="clear" w:color="auto" w:fill="auto"/>
            <w:noWrap/>
            <w:vAlign w:val="center"/>
          </w:tcPr>
          <w:p w14:paraId="4457D07C">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6.487</w:t>
            </w:r>
          </w:p>
        </w:tc>
        <w:tc>
          <w:tcPr>
            <w:tcW w:w="854" w:type="dxa"/>
            <w:tcBorders>
              <w:top w:val="nil"/>
              <w:left w:val="nil"/>
              <w:bottom w:val="nil"/>
              <w:right w:val="nil"/>
            </w:tcBorders>
            <w:shd w:val="clear" w:color="auto" w:fill="auto"/>
            <w:noWrap/>
            <w:vAlign w:val="center"/>
          </w:tcPr>
          <w:p w14:paraId="333756F2">
            <w:pPr>
              <w:keepNext w:val="0"/>
              <w:keepLines w:val="0"/>
              <w:widowControl/>
              <w:suppressLineNumbers w:val="0"/>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&lt;.001</w:t>
            </w:r>
          </w:p>
        </w:tc>
        <w:tc>
          <w:tcPr>
            <w:tcW w:w="1184" w:type="dxa"/>
            <w:tcBorders>
              <w:top w:val="nil"/>
              <w:left w:val="nil"/>
              <w:bottom w:val="nil"/>
              <w:right w:val="nil"/>
            </w:tcBorders>
            <w:shd w:val="clear" w:color="auto" w:fill="auto"/>
            <w:noWrap/>
            <w:vAlign w:val="center"/>
          </w:tcPr>
          <w:p w14:paraId="7F65E34F">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0.297</w:t>
            </w:r>
          </w:p>
        </w:tc>
      </w:tr>
      <w:tr w14:paraId="15A88D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2524" w:type="dxa"/>
            <w:tcBorders>
              <w:top w:val="nil"/>
              <w:left w:val="nil"/>
              <w:bottom w:val="single" w:color="000000" w:sz="8" w:space="0"/>
              <w:right w:val="nil"/>
            </w:tcBorders>
            <w:shd w:val="clear" w:color="auto" w:fill="auto"/>
            <w:noWrap/>
            <w:vAlign w:val="center"/>
          </w:tcPr>
          <w:p w14:paraId="23D9C470">
            <w:pPr>
              <w:rPr>
                <w:rFonts w:hint="default" w:ascii="Times New Roman" w:hAnsi="Times New Roman" w:eastAsia="宋体" w:cs="Times New Roman"/>
                <w:i w:val="0"/>
                <w:iCs w:val="0"/>
                <w:color w:val="000000"/>
                <w:sz w:val="20"/>
                <w:szCs w:val="20"/>
                <w:u w:val="none"/>
              </w:rPr>
            </w:pPr>
          </w:p>
        </w:tc>
        <w:tc>
          <w:tcPr>
            <w:tcW w:w="1910" w:type="dxa"/>
            <w:tcBorders>
              <w:top w:val="nil"/>
              <w:left w:val="nil"/>
              <w:bottom w:val="single" w:color="000000" w:sz="8" w:space="0"/>
              <w:right w:val="nil"/>
            </w:tcBorders>
            <w:shd w:val="clear" w:color="auto" w:fill="auto"/>
            <w:vAlign w:val="center"/>
          </w:tcPr>
          <w:p w14:paraId="15BB3908">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Self-Inconsistent vs.</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Other-Inconsistent</w:t>
            </w:r>
          </w:p>
        </w:tc>
        <w:tc>
          <w:tcPr>
            <w:tcW w:w="1243" w:type="dxa"/>
            <w:tcBorders>
              <w:top w:val="nil"/>
              <w:left w:val="nil"/>
              <w:bottom w:val="single" w:color="000000" w:sz="8" w:space="0"/>
              <w:right w:val="nil"/>
            </w:tcBorders>
            <w:shd w:val="clear" w:color="auto" w:fill="auto"/>
            <w:noWrap/>
            <w:vAlign w:val="center"/>
          </w:tcPr>
          <w:p w14:paraId="02F30592">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-7.151</w:t>
            </w:r>
          </w:p>
        </w:tc>
        <w:tc>
          <w:tcPr>
            <w:tcW w:w="921" w:type="dxa"/>
            <w:tcBorders>
              <w:top w:val="nil"/>
              <w:left w:val="nil"/>
              <w:bottom w:val="single" w:color="000000" w:sz="8" w:space="0"/>
              <w:right w:val="nil"/>
            </w:tcBorders>
            <w:shd w:val="clear" w:color="auto" w:fill="auto"/>
            <w:noWrap/>
            <w:vAlign w:val="center"/>
          </w:tcPr>
          <w:p w14:paraId="33EF1D6E">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-1.217</w:t>
            </w:r>
          </w:p>
        </w:tc>
        <w:tc>
          <w:tcPr>
            <w:tcW w:w="854" w:type="dxa"/>
            <w:tcBorders>
              <w:top w:val="nil"/>
              <w:left w:val="nil"/>
              <w:bottom w:val="single" w:color="000000" w:sz="8" w:space="0"/>
              <w:right w:val="nil"/>
            </w:tcBorders>
            <w:shd w:val="clear" w:color="auto" w:fill="auto"/>
            <w:noWrap/>
            <w:vAlign w:val="center"/>
          </w:tcPr>
          <w:p w14:paraId="5386EEE8">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0.228</w:t>
            </w:r>
          </w:p>
        </w:tc>
        <w:tc>
          <w:tcPr>
            <w:tcW w:w="1184" w:type="dxa"/>
            <w:tcBorders>
              <w:top w:val="nil"/>
              <w:left w:val="nil"/>
              <w:bottom w:val="single" w:color="000000" w:sz="8" w:space="0"/>
              <w:right w:val="nil"/>
            </w:tcBorders>
            <w:shd w:val="clear" w:color="auto" w:fill="auto"/>
            <w:noWrap/>
            <w:vAlign w:val="center"/>
          </w:tcPr>
          <w:p w14:paraId="6C406B45">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0.063</w:t>
            </w:r>
          </w:p>
        </w:tc>
      </w:tr>
    </w:tbl>
    <w:p w14:paraId="0CA77830">
      <w:pPr>
        <w:rPr>
          <w:rFonts w:hint="default" w:ascii="Times New Roman" w:hAnsi="Times New Roman" w:cs="Times New Roman" w:eastAsiaTheme="minorEastAsia"/>
          <w:b w:val="0"/>
          <w:bCs w:val="0"/>
          <w:lang w:val="en-US" w:eastAsia="zh-CN"/>
        </w:rPr>
      </w:pPr>
      <w:r>
        <w:rPr>
          <w:rFonts w:hint="default" w:ascii="Times New Roman" w:hAnsi="Times New Roman" w:cs="Times New Roman"/>
          <w:i/>
          <w:iCs/>
          <w:lang w:val="en-US" w:eastAsia="zh-CN"/>
        </w:rPr>
        <w:t>Note.</w:t>
      </w:r>
      <w:r>
        <w:rPr>
          <w:rFonts w:hint="eastAsia" w:ascii="Times New Roman" w:hAnsi="Times New Roman" w:cs="Times New Roman"/>
          <w:b w:val="0"/>
          <w:bCs w:val="0"/>
          <w:lang w:val="en-US" w:eastAsia="zh-CN"/>
        </w:rPr>
        <w:t xml:space="preserve"> </w:t>
      </w:r>
      <w:r>
        <w:rPr>
          <w:rFonts w:hint="default" w:ascii="Times New Roman" w:hAnsi="Times New Roman" w:cs="Times New Roman"/>
          <w:b w:val="0"/>
          <w:bCs w:val="0"/>
          <w:lang w:val="en-US" w:eastAsia="zh-CN"/>
        </w:rPr>
        <w:t>“</w:t>
      </w:r>
      <w:r>
        <w:rPr>
          <w:rFonts w:hint="default" w:ascii="Times New Roman" w:hAnsi="Times New Roman" w:eastAsia="宋体" w:cs="Times New Roman"/>
          <w:b w:val="0"/>
          <w:bCs w:val="0"/>
          <w:i w:val="0"/>
          <w:iCs w:val="0"/>
          <w:color w:val="000000"/>
          <w:kern w:val="0"/>
          <w:sz w:val="20"/>
          <w:szCs w:val="20"/>
          <w:u w:val="none"/>
          <w:lang w:val="en-US" w:eastAsia="zh-CN" w:bidi="ar"/>
        </w:rPr>
        <w:t>Mean dif</w:t>
      </w:r>
      <w:r>
        <w:rPr>
          <w:rFonts w:hint="eastAsia" w:ascii="Times New Roman" w:hAnsi="Times New Roman" w:eastAsia="宋体" w:cs="Times New Roman"/>
          <w:b w:val="0"/>
          <w:bCs w:val="0"/>
          <w:i w:val="0"/>
          <w:iCs w:val="0"/>
          <w:color w:val="000000"/>
          <w:kern w:val="0"/>
          <w:sz w:val="20"/>
          <w:szCs w:val="20"/>
          <w:u w:val="none"/>
          <w:lang w:val="en-US" w:eastAsia="zh-CN" w:bidi="ar"/>
        </w:rPr>
        <w:t xml:space="preserve"> </w:t>
      </w:r>
      <w:r>
        <w:rPr>
          <w:rFonts w:hint="default" w:ascii="Times New Roman" w:hAnsi="Times New Roman" w:eastAsia="宋体" w:cs="Times New Roman"/>
          <w:b w:val="0"/>
          <w:bCs w:val="0"/>
          <w:i w:val="0"/>
          <w:iCs w:val="0"/>
          <w:color w:val="000000"/>
          <w:kern w:val="0"/>
          <w:sz w:val="20"/>
          <w:szCs w:val="20"/>
          <w:u w:val="none"/>
          <w:lang w:val="en-US" w:eastAsia="zh-CN" w:bidi="ar"/>
        </w:rPr>
        <w:t>”</w:t>
      </w:r>
      <w:r>
        <w:rPr>
          <w:rFonts w:hint="eastAsia" w:ascii="Times New Roman" w:hAnsi="Times New Roman" w:eastAsia="宋体" w:cs="Times New Roman"/>
          <w:b w:val="0"/>
          <w:bCs w:val="0"/>
          <w:i w:val="0"/>
          <w:iCs w:val="0"/>
          <w:color w:val="000000"/>
          <w:kern w:val="0"/>
          <w:sz w:val="20"/>
          <w:szCs w:val="20"/>
          <w:u w:val="none"/>
          <w:lang w:val="en-US" w:eastAsia="zh-CN" w:bidi="ar"/>
        </w:rPr>
        <w:t>=mean difference.</w:t>
      </w:r>
    </w:p>
    <w:p w14:paraId="0B53A221"/>
    <w:p w14:paraId="06418842">
      <w:pPr>
        <w:rPr>
          <w:rFonts w:hint="default" w:ascii="Times New Roman" w:hAnsi="Times New Roman" w:eastAsia="宋体" w:cs="Times New Roman"/>
          <w:sz w:val="24"/>
          <w:lang w:bidi="ar"/>
        </w:rPr>
      </w:pPr>
      <w:r>
        <w:rPr>
          <w:rFonts w:hint="default" w:ascii="Times New Roman" w:hAnsi="Times New Roman" w:eastAsia="宋体" w:cs="Times New Roman"/>
          <w:sz w:val="24"/>
          <w:lang w:bidi="ar"/>
        </w:rPr>
        <w:br w:type="page"/>
      </w:r>
    </w:p>
    <w:p w14:paraId="62AAAF18">
      <w:pPr>
        <w:keepNext w:val="0"/>
        <w:keepLines w:val="0"/>
        <w:pageBreakBefore w:val="0"/>
        <w:wordWrap/>
        <w:overflowPunct/>
        <w:topLinePunct w:val="0"/>
        <w:autoSpaceDE/>
        <w:autoSpaceDN/>
        <w:bidi w:val="0"/>
        <w:snapToGrid/>
        <w:spacing w:line="480" w:lineRule="auto"/>
        <w:jc w:val="center"/>
        <w:rPr>
          <w:rFonts w:hint="eastAsia" w:ascii="Times New Roman" w:hAnsi="Times New Roman" w:eastAsia="宋体" w:cs="Times New Roman"/>
          <w:b/>
          <w:bCs/>
          <w:sz w:val="24"/>
          <w:lang w:val="en-US" w:eastAsia="zh-CN" w:bidi="ar"/>
        </w:rPr>
      </w:pPr>
      <w:r>
        <w:rPr>
          <w:rFonts w:hint="default" w:ascii="Times New Roman" w:hAnsi="Times New Roman" w:eastAsia="宋体" w:cs="Times New Roman"/>
          <w:b/>
          <w:bCs/>
          <w:color w:val="auto"/>
          <w:sz w:val="24"/>
          <w:lang w:bidi="ar"/>
        </w:rPr>
        <w:t>Supplementary Material</w:t>
      </w:r>
      <w:r>
        <w:rPr>
          <w:rFonts w:hint="eastAsia" w:ascii="Times New Roman" w:hAnsi="Times New Roman" w:eastAsia="宋体" w:cs="Times New Roman"/>
          <w:b/>
          <w:bCs/>
          <w:color w:val="auto"/>
          <w:sz w:val="24"/>
          <w:lang w:val="en-US" w:eastAsia="zh-CN" w:bidi="ar"/>
        </w:rPr>
        <w:t xml:space="preserve"> </w:t>
      </w:r>
      <w:r>
        <w:rPr>
          <w:rFonts w:hint="default" w:ascii="Times New Roman" w:hAnsi="Times New Roman" w:eastAsia="宋体" w:cs="Times New Roman"/>
          <w:b/>
          <w:bCs/>
          <w:color w:val="auto"/>
          <w:sz w:val="24"/>
          <w:lang w:val="en-US" w:eastAsia="zh-CN" w:bidi="ar"/>
        </w:rPr>
        <w:t>[</w:t>
      </w:r>
      <w:r>
        <w:rPr>
          <w:rFonts w:hint="eastAsia" w:ascii="Times New Roman" w:hAnsi="Times New Roman" w:eastAsia="宋体" w:cs="Times New Roman"/>
          <w:b/>
          <w:bCs/>
          <w:color w:val="auto"/>
          <w:sz w:val="24"/>
          <w:lang w:val="en-US" w:eastAsia="zh-CN" w:bidi="ar"/>
        </w:rPr>
        <w:t>2.5</w:t>
      </w:r>
      <w:r>
        <w:rPr>
          <w:rFonts w:hint="default" w:ascii="Times New Roman" w:hAnsi="Times New Roman" w:eastAsia="宋体" w:cs="Times New Roman"/>
          <w:b/>
          <w:bCs/>
          <w:color w:val="auto"/>
          <w:sz w:val="24"/>
          <w:lang w:val="en-US" w:eastAsia="zh-CN" w:bidi="ar"/>
        </w:rPr>
        <w:t>]</w:t>
      </w:r>
      <w:r>
        <w:rPr>
          <w:rFonts w:hint="default" w:ascii="Times New Roman" w:hAnsi="Times New Roman" w:eastAsia="宋体" w:cs="Times New Roman"/>
          <w:b/>
          <w:bCs/>
          <w:color w:val="auto"/>
          <w:sz w:val="24"/>
          <w:lang w:bidi="ar"/>
        </w:rPr>
        <w:t>:</w:t>
      </w:r>
      <w:r>
        <w:rPr>
          <w:rFonts w:hint="eastAsia" w:ascii="Times New Roman" w:hAnsi="Times New Roman" w:eastAsia="宋体" w:cs="Times New Roman"/>
          <w:b/>
          <w:bCs/>
          <w:color w:val="auto"/>
          <w:sz w:val="24"/>
          <w:lang w:val="en-US" w:eastAsia="zh-CN" w:bidi="ar"/>
        </w:rPr>
        <w:t xml:space="preserve"> </w:t>
      </w:r>
      <w:r>
        <w:rPr>
          <w:rFonts w:hint="default" w:ascii="Times New Roman" w:hAnsi="Times New Roman" w:eastAsia="宋体" w:cs="Times New Roman"/>
          <w:b/>
          <w:bCs/>
          <w:color w:val="auto"/>
          <w:sz w:val="24"/>
          <w:lang w:bidi="ar"/>
        </w:rPr>
        <w:t xml:space="preserve">Full 2 × 2 × 2 ANCOVA Results for Experiment </w:t>
      </w:r>
      <w:r>
        <w:rPr>
          <w:rFonts w:hint="eastAsia" w:ascii="Times New Roman" w:hAnsi="Times New Roman" w:eastAsia="宋体" w:cs="Times New Roman"/>
          <w:b/>
          <w:bCs/>
          <w:color w:val="auto"/>
          <w:sz w:val="24"/>
          <w:lang w:val="en-US" w:eastAsia="zh-CN" w:bidi="ar"/>
        </w:rPr>
        <w:t>2 EEG</w:t>
      </w:r>
      <w:r>
        <w:rPr>
          <w:rFonts w:hint="default" w:ascii="Times New Roman" w:hAnsi="Times New Roman" w:eastAsia="宋体" w:cs="Times New Roman"/>
          <w:b/>
          <w:bCs/>
          <w:color w:val="auto"/>
          <w:sz w:val="24"/>
          <w:lang w:bidi="ar"/>
        </w:rPr>
        <w:t xml:space="preserve"> Data</w:t>
      </w:r>
    </w:p>
    <w:tbl>
      <w:tblPr>
        <w:tblStyle w:val="2"/>
        <w:tblW w:w="879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724"/>
        <w:gridCol w:w="3663"/>
        <w:gridCol w:w="539"/>
        <w:gridCol w:w="992"/>
        <w:gridCol w:w="881"/>
        <w:gridCol w:w="992"/>
      </w:tblGrid>
      <w:tr w14:paraId="6F54E0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8791" w:type="dxa"/>
            <w:gridSpan w:val="6"/>
            <w:tcBorders>
              <w:top w:val="nil"/>
              <w:left w:val="nil"/>
              <w:bottom w:val="single" w:color="000000" w:sz="8" w:space="0"/>
              <w:right w:val="nil"/>
            </w:tcBorders>
            <w:shd w:val="clear" w:color="auto" w:fill="auto"/>
            <w:noWrap/>
            <w:vAlign w:val="center"/>
          </w:tcPr>
          <w:p w14:paraId="0584E708">
            <w:pPr>
              <w:keepNext w:val="0"/>
              <w:keepLines w:val="0"/>
              <w:widowControl/>
              <w:suppressLineNumbers w:val="0"/>
              <w:jc w:val="lef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Supplementary Table 5: ANCOVAs of EEG Data in Experiment 2</w:t>
            </w:r>
          </w:p>
        </w:tc>
      </w:tr>
      <w:tr w14:paraId="175C81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jc w:val="center"/>
        </w:trPr>
        <w:tc>
          <w:tcPr>
            <w:tcW w:w="1724" w:type="dxa"/>
            <w:tcBorders>
              <w:top w:val="nil"/>
              <w:left w:val="nil"/>
              <w:bottom w:val="single" w:color="000000" w:sz="8" w:space="0"/>
              <w:right w:val="nil"/>
            </w:tcBorders>
            <w:shd w:val="clear" w:color="auto" w:fill="auto"/>
            <w:noWrap/>
            <w:vAlign w:val="center"/>
          </w:tcPr>
          <w:p w14:paraId="056136A8">
            <w:pPr>
              <w:rPr>
                <w:rFonts w:hint="eastAsia" w:ascii="宋体" w:hAnsi="宋体" w:eastAsia="宋体" w:cs="宋体"/>
                <w:i w:val="0"/>
                <w:iCs w:val="0"/>
                <w:color w:val="000000"/>
                <w:sz w:val="20"/>
                <w:szCs w:val="20"/>
                <w:u w:val="none"/>
              </w:rPr>
            </w:pPr>
          </w:p>
        </w:tc>
        <w:tc>
          <w:tcPr>
            <w:tcW w:w="3663" w:type="dxa"/>
            <w:tcBorders>
              <w:top w:val="nil"/>
              <w:left w:val="nil"/>
              <w:bottom w:val="single" w:color="000000" w:sz="8" w:space="0"/>
              <w:right w:val="nil"/>
            </w:tcBorders>
            <w:shd w:val="clear" w:color="auto" w:fill="auto"/>
            <w:noWrap/>
            <w:vAlign w:val="center"/>
          </w:tcPr>
          <w:p w14:paraId="0C8EC871">
            <w:pPr>
              <w:jc w:val="left"/>
              <w:rPr>
                <w:rFonts w:hint="default" w:ascii="Times New Roman" w:hAnsi="Times New Roman" w:eastAsia="宋体" w:cs="Times New Roman"/>
                <w:b/>
                <w:bCs/>
                <w:i w:val="0"/>
                <w:iCs w:val="0"/>
                <w:color w:val="000000"/>
                <w:sz w:val="20"/>
                <w:szCs w:val="20"/>
                <w:u w:val="none"/>
              </w:rPr>
            </w:pPr>
          </w:p>
        </w:tc>
        <w:tc>
          <w:tcPr>
            <w:tcW w:w="539" w:type="dxa"/>
            <w:tcBorders>
              <w:top w:val="nil"/>
              <w:left w:val="nil"/>
              <w:bottom w:val="single" w:color="000000" w:sz="8" w:space="0"/>
              <w:right w:val="nil"/>
            </w:tcBorders>
            <w:shd w:val="clear" w:color="auto" w:fill="auto"/>
            <w:noWrap/>
            <w:vAlign w:val="center"/>
          </w:tcPr>
          <w:p w14:paraId="1987A0CA">
            <w:pPr>
              <w:keepNext w:val="0"/>
              <w:keepLines w:val="0"/>
              <w:widowControl/>
              <w:suppressLineNumbers w:val="0"/>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df</w:t>
            </w:r>
          </w:p>
        </w:tc>
        <w:tc>
          <w:tcPr>
            <w:tcW w:w="992" w:type="dxa"/>
            <w:tcBorders>
              <w:top w:val="nil"/>
              <w:left w:val="nil"/>
              <w:bottom w:val="nil"/>
              <w:right w:val="nil"/>
            </w:tcBorders>
            <w:shd w:val="clear" w:color="auto" w:fill="auto"/>
            <w:noWrap/>
            <w:vAlign w:val="center"/>
          </w:tcPr>
          <w:p w14:paraId="2FB8CBA4">
            <w:pPr>
              <w:keepNext w:val="0"/>
              <w:keepLines w:val="0"/>
              <w:widowControl/>
              <w:suppressLineNumbers w:val="0"/>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F</w:t>
            </w:r>
          </w:p>
        </w:tc>
        <w:tc>
          <w:tcPr>
            <w:tcW w:w="881" w:type="dxa"/>
            <w:tcBorders>
              <w:top w:val="nil"/>
              <w:left w:val="nil"/>
              <w:bottom w:val="single" w:color="000000" w:sz="8" w:space="0"/>
              <w:right w:val="nil"/>
            </w:tcBorders>
            <w:shd w:val="clear" w:color="auto" w:fill="auto"/>
            <w:noWrap/>
            <w:vAlign w:val="center"/>
          </w:tcPr>
          <w:p w14:paraId="5A3DED8E">
            <w:pPr>
              <w:keepNext w:val="0"/>
              <w:keepLines w:val="0"/>
              <w:widowControl/>
              <w:suppressLineNumbers w:val="0"/>
              <w:jc w:val="right"/>
              <w:textAlignment w:val="center"/>
              <w:rPr>
                <w:rFonts w:hint="default" w:ascii="Times New Roman" w:hAnsi="Times New Roman" w:eastAsia="宋体" w:cs="Times New Roman"/>
                <w:b/>
                <w:bCs/>
                <w:i/>
                <w:iCs/>
                <w:color w:val="000000"/>
                <w:sz w:val="20"/>
                <w:szCs w:val="20"/>
                <w:u w:val="none"/>
              </w:rPr>
            </w:pPr>
            <w:r>
              <w:rPr>
                <w:rFonts w:hint="default" w:ascii="Times New Roman" w:hAnsi="Times New Roman" w:eastAsia="宋体" w:cs="Times New Roman"/>
                <w:b/>
                <w:bCs/>
                <w:i/>
                <w:iCs/>
                <w:color w:val="000000"/>
                <w:kern w:val="0"/>
                <w:sz w:val="20"/>
                <w:szCs w:val="20"/>
                <w:u w:val="none"/>
                <w:lang w:val="en-US" w:eastAsia="zh-CN" w:bidi="ar"/>
              </w:rPr>
              <w:t>p</w:t>
            </w:r>
          </w:p>
        </w:tc>
        <w:tc>
          <w:tcPr>
            <w:tcW w:w="992" w:type="dxa"/>
            <w:tcBorders>
              <w:top w:val="nil"/>
              <w:left w:val="nil"/>
              <w:bottom w:val="single" w:color="000000" w:sz="8" w:space="0"/>
              <w:right w:val="nil"/>
            </w:tcBorders>
            <w:shd w:val="clear" w:color="auto" w:fill="auto"/>
            <w:noWrap/>
            <w:vAlign w:val="center"/>
          </w:tcPr>
          <w:p w14:paraId="45DADAC9">
            <w:pPr>
              <w:keepNext w:val="0"/>
              <w:keepLines w:val="0"/>
              <w:widowControl/>
              <w:suppressLineNumbers w:val="0"/>
              <w:jc w:val="right"/>
              <w:textAlignment w:val="center"/>
              <w:rPr>
                <w:rFonts w:hint="default" w:ascii="Times New Roman" w:hAnsi="Times New Roman" w:eastAsia="宋体" w:cs="Times New Roman"/>
                <w:b/>
                <w:bCs/>
                <w:i w:val="0"/>
                <w:iCs w:val="0"/>
                <w:color w:val="000000"/>
                <w:sz w:val="20"/>
                <w:szCs w:val="20"/>
                <w:u w:val="none"/>
              </w:rPr>
            </w:pPr>
            <w:r>
              <w:rPr>
                <w:rStyle w:val="9"/>
                <w:rFonts w:eastAsia="宋体"/>
                <w:lang w:val="en-US" w:eastAsia="zh-CN" w:bidi="ar"/>
              </w:rPr>
              <w:t>η</w:t>
            </w:r>
            <w:r>
              <w:rPr>
                <w:rStyle w:val="7"/>
                <w:rFonts w:eastAsia="宋体"/>
                <w:lang w:val="en-US" w:eastAsia="zh-CN" w:bidi="ar"/>
              </w:rPr>
              <w:t>p</w:t>
            </w:r>
            <w:r>
              <w:rPr>
                <w:rStyle w:val="8"/>
                <w:rFonts w:eastAsia="宋体"/>
                <w:lang w:val="en-US" w:eastAsia="zh-CN" w:bidi="ar"/>
              </w:rPr>
              <w:t>2</w:t>
            </w:r>
          </w:p>
        </w:tc>
      </w:tr>
      <w:tr w14:paraId="4AA095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724" w:type="dxa"/>
            <w:tcBorders>
              <w:top w:val="nil"/>
              <w:left w:val="nil"/>
              <w:bottom w:val="nil"/>
              <w:right w:val="nil"/>
            </w:tcBorders>
            <w:shd w:val="clear" w:color="auto" w:fill="auto"/>
            <w:noWrap/>
            <w:vAlign w:val="center"/>
          </w:tcPr>
          <w:p w14:paraId="5CE69692">
            <w:pPr>
              <w:keepNext w:val="0"/>
              <w:keepLines w:val="0"/>
              <w:widowControl/>
              <w:suppressLineNumbers w:val="0"/>
              <w:jc w:val="lef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P3 amplitude</w:t>
            </w:r>
          </w:p>
        </w:tc>
        <w:tc>
          <w:tcPr>
            <w:tcW w:w="3663" w:type="dxa"/>
            <w:tcBorders>
              <w:top w:val="nil"/>
              <w:left w:val="nil"/>
              <w:bottom w:val="nil"/>
              <w:right w:val="nil"/>
            </w:tcBorders>
            <w:shd w:val="clear" w:color="auto" w:fill="auto"/>
            <w:noWrap/>
            <w:vAlign w:val="center"/>
          </w:tcPr>
          <w:p w14:paraId="4D9EB7EF">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Consistency</w:t>
            </w:r>
          </w:p>
        </w:tc>
        <w:tc>
          <w:tcPr>
            <w:tcW w:w="539" w:type="dxa"/>
            <w:tcBorders>
              <w:top w:val="nil"/>
              <w:left w:val="nil"/>
              <w:bottom w:val="nil"/>
              <w:right w:val="nil"/>
            </w:tcBorders>
            <w:shd w:val="clear" w:color="auto" w:fill="auto"/>
            <w:noWrap/>
            <w:vAlign w:val="center"/>
          </w:tcPr>
          <w:p w14:paraId="2EC715F3">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992" w:type="dxa"/>
            <w:tcBorders>
              <w:top w:val="single" w:color="000000" w:sz="8" w:space="0"/>
              <w:left w:val="nil"/>
              <w:bottom w:val="nil"/>
              <w:right w:val="nil"/>
            </w:tcBorders>
            <w:shd w:val="clear" w:color="auto" w:fill="auto"/>
            <w:noWrap/>
            <w:vAlign w:val="center"/>
          </w:tcPr>
          <w:p w14:paraId="28684303">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20.235</w:t>
            </w:r>
          </w:p>
        </w:tc>
        <w:tc>
          <w:tcPr>
            <w:tcW w:w="881" w:type="dxa"/>
            <w:tcBorders>
              <w:top w:val="nil"/>
              <w:left w:val="nil"/>
              <w:bottom w:val="nil"/>
              <w:right w:val="nil"/>
            </w:tcBorders>
            <w:shd w:val="clear" w:color="auto" w:fill="auto"/>
            <w:noWrap/>
            <w:vAlign w:val="center"/>
          </w:tcPr>
          <w:p w14:paraId="49DE1D08">
            <w:pPr>
              <w:keepNext w:val="0"/>
              <w:keepLines w:val="0"/>
              <w:widowControl/>
              <w:suppressLineNumbers w:val="0"/>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&lt;.001</w:t>
            </w:r>
          </w:p>
        </w:tc>
        <w:tc>
          <w:tcPr>
            <w:tcW w:w="992" w:type="dxa"/>
            <w:tcBorders>
              <w:top w:val="nil"/>
              <w:left w:val="nil"/>
              <w:bottom w:val="nil"/>
              <w:right w:val="nil"/>
            </w:tcBorders>
            <w:shd w:val="clear" w:color="auto" w:fill="auto"/>
            <w:noWrap/>
            <w:vAlign w:val="center"/>
          </w:tcPr>
          <w:p w14:paraId="58F7CE64">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0.252</w:t>
            </w:r>
          </w:p>
        </w:tc>
      </w:tr>
      <w:tr w14:paraId="20D499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724" w:type="dxa"/>
            <w:tcBorders>
              <w:top w:val="nil"/>
              <w:left w:val="nil"/>
              <w:bottom w:val="nil"/>
              <w:right w:val="nil"/>
            </w:tcBorders>
            <w:shd w:val="clear" w:color="auto" w:fill="auto"/>
            <w:noWrap/>
            <w:vAlign w:val="center"/>
          </w:tcPr>
          <w:p w14:paraId="139A5CA3">
            <w:pPr>
              <w:rPr>
                <w:rFonts w:hint="eastAsia" w:ascii="宋体" w:hAnsi="宋体" w:eastAsia="宋体" w:cs="宋体"/>
                <w:i w:val="0"/>
                <w:iCs w:val="0"/>
                <w:color w:val="000000"/>
                <w:sz w:val="20"/>
                <w:szCs w:val="20"/>
                <w:u w:val="none"/>
              </w:rPr>
            </w:pPr>
          </w:p>
        </w:tc>
        <w:tc>
          <w:tcPr>
            <w:tcW w:w="3663" w:type="dxa"/>
            <w:tcBorders>
              <w:top w:val="nil"/>
              <w:left w:val="nil"/>
              <w:bottom w:val="nil"/>
              <w:right w:val="nil"/>
            </w:tcBorders>
            <w:shd w:val="clear" w:color="auto" w:fill="auto"/>
            <w:noWrap/>
            <w:vAlign w:val="center"/>
          </w:tcPr>
          <w:p w14:paraId="25893C2A">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Perspective</w:t>
            </w:r>
          </w:p>
        </w:tc>
        <w:tc>
          <w:tcPr>
            <w:tcW w:w="539" w:type="dxa"/>
            <w:tcBorders>
              <w:top w:val="nil"/>
              <w:left w:val="nil"/>
              <w:bottom w:val="nil"/>
              <w:right w:val="nil"/>
            </w:tcBorders>
            <w:shd w:val="clear" w:color="auto" w:fill="auto"/>
            <w:noWrap/>
            <w:vAlign w:val="center"/>
          </w:tcPr>
          <w:p w14:paraId="0ADE7BDB">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992" w:type="dxa"/>
            <w:tcBorders>
              <w:top w:val="nil"/>
              <w:left w:val="nil"/>
              <w:bottom w:val="nil"/>
              <w:right w:val="nil"/>
            </w:tcBorders>
            <w:shd w:val="clear" w:color="auto" w:fill="auto"/>
            <w:noWrap/>
            <w:vAlign w:val="center"/>
          </w:tcPr>
          <w:p w14:paraId="7EE3A9C9">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11.707</w:t>
            </w:r>
          </w:p>
        </w:tc>
        <w:tc>
          <w:tcPr>
            <w:tcW w:w="881" w:type="dxa"/>
            <w:tcBorders>
              <w:top w:val="nil"/>
              <w:left w:val="nil"/>
              <w:bottom w:val="nil"/>
              <w:right w:val="nil"/>
            </w:tcBorders>
            <w:shd w:val="clear" w:color="auto" w:fill="auto"/>
            <w:noWrap/>
            <w:vAlign w:val="center"/>
          </w:tcPr>
          <w:p w14:paraId="3EF4D2D2">
            <w:pPr>
              <w:keepNext w:val="0"/>
              <w:keepLines w:val="0"/>
              <w:widowControl/>
              <w:suppressLineNumbers w:val="0"/>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0.001</w:t>
            </w:r>
          </w:p>
        </w:tc>
        <w:tc>
          <w:tcPr>
            <w:tcW w:w="992" w:type="dxa"/>
            <w:tcBorders>
              <w:top w:val="nil"/>
              <w:left w:val="nil"/>
              <w:bottom w:val="nil"/>
              <w:right w:val="nil"/>
            </w:tcBorders>
            <w:shd w:val="clear" w:color="auto" w:fill="auto"/>
            <w:noWrap/>
            <w:vAlign w:val="center"/>
          </w:tcPr>
          <w:p w14:paraId="698046BA">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0.163</w:t>
            </w:r>
          </w:p>
        </w:tc>
      </w:tr>
      <w:tr w14:paraId="24148C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724" w:type="dxa"/>
            <w:tcBorders>
              <w:top w:val="nil"/>
              <w:left w:val="nil"/>
              <w:bottom w:val="nil"/>
              <w:right w:val="nil"/>
            </w:tcBorders>
            <w:shd w:val="clear" w:color="auto" w:fill="auto"/>
            <w:noWrap/>
            <w:vAlign w:val="center"/>
          </w:tcPr>
          <w:p w14:paraId="3E539FBD">
            <w:pPr>
              <w:rPr>
                <w:rFonts w:hint="eastAsia" w:ascii="宋体" w:hAnsi="宋体" w:eastAsia="宋体" w:cs="宋体"/>
                <w:i w:val="0"/>
                <w:iCs w:val="0"/>
                <w:color w:val="000000"/>
                <w:sz w:val="20"/>
                <w:szCs w:val="20"/>
                <w:u w:val="none"/>
              </w:rPr>
            </w:pPr>
          </w:p>
        </w:tc>
        <w:tc>
          <w:tcPr>
            <w:tcW w:w="3663" w:type="dxa"/>
            <w:tcBorders>
              <w:top w:val="nil"/>
              <w:left w:val="nil"/>
              <w:bottom w:val="nil"/>
              <w:right w:val="nil"/>
            </w:tcBorders>
            <w:shd w:val="clear" w:color="auto" w:fill="auto"/>
            <w:noWrap/>
            <w:vAlign w:val="center"/>
          </w:tcPr>
          <w:p w14:paraId="3D920324">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Group</w:t>
            </w:r>
          </w:p>
        </w:tc>
        <w:tc>
          <w:tcPr>
            <w:tcW w:w="539" w:type="dxa"/>
            <w:tcBorders>
              <w:top w:val="nil"/>
              <w:left w:val="nil"/>
              <w:bottom w:val="nil"/>
              <w:right w:val="nil"/>
            </w:tcBorders>
            <w:shd w:val="clear" w:color="auto" w:fill="auto"/>
            <w:noWrap/>
            <w:vAlign w:val="center"/>
          </w:tcPr>
          <w:p w14:paraId="6219F239">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992" w:type="dxa"/>
            <w:tcBorders>
              <w:top w:val="nil"/>
              <w:left w:val="nil"/>
              <w:bottom w:val="nil"/>
              <w:right w:val="nil"/>
            </w:tcBorders>
            <w:shd w:val="clear" w:color="auto" w:fill="auto"/>
            <w:noWrap/>
            <w:vAlign w:val="center"/>
          </w:tcPr>
          <w:p w14:paraId="71B6B545">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6.292</w:t>
            </w:r>
          </w:p>
        </w:tc>
        <w:tc>
          <w:tcPr>
            <w:tcW w:w="881" w:type="dxa"/>
            <w:tcBorders>
              <w:top w:val="nil"/>
              <w:left w:val="nil"/>
              <w:bottom w:val="nil"/>
              <w:right w:val="nil"/>
            </w:tcBorders>
            <w:shd w:val="clear" w:color="auto" w:fill="auto"/>
            <w:noWrap/>
            <w:vAlign w:val="center"/>
          </w:tcPr>
          <w:p w14:paraId="32644CF9">
            <w:pPr>
              <w:keepNext w:val="0"/>
              <w:keepLines w:val="0"/>
              <w:widowControl/>
              <w:suppressLineNumbers w:val="0"/>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0.015</w:t>
            </w:r>
          </w:p>
        </w:tc>
        <w:tc>
          <w:tcPr>
            <w:tcW w:w="992" w:type="dxa"/>
            <w:tcBorders>
              <w:top w:val="nil"/>
              <w:left w:val="nil"/>
              <w:bottom w:val="nil"/>
              <w:right w:val="nil"/>
            </w:tcBorders>
            <w:shd w:val="clear" w:color="auto" w:fill="auto"/>
            <w:noWrap/>
            <w:vAlign w:val="center"/>
          </w:tcPr>
          <w:p w14:paraId="4844B4F2">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0.095</w:t>
            </w:r>
          </w:p>
        </w:tc>
      </w:tr>
      <w:tr w14:paraId="41BD56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724" w:type="dxa"/>
            <w:tcBorders>
              <w:top w:val="nil"/>
              <w:left w:val="nil"/>
              <w:bottom w:val="nil"/>
              <w:right w:val="nil"/>
            </w:tcBorders>
            <w:shd w:val="clear" w:color="auto" w:fill="auto"/>
            <w:noWrap/>
            <w:vAlign w:val="center"/>
          </w:tcPr>
          <w:p w14:paraId="468DAFC2">
            <w:pPr>
              <w:rPr>
                <w:rFonts w:hint="eastAsia" w:ascii="宋体" w:hAnsi="宋体" w:eastAsia="宋体" w:cs="宋体"/>
                <w:i w:val="0"/>
                <w:iCs w:val="0"/>
                <w:color w:val="000000"/>
                <w:sz w:val="20"/>
                <w:szCs w:val="20"/>
                <w:u w:val="none"/>
              </w:rPr>
            </w:pPr>
          </w:p>
        </w:tc>
        <w:tc>
          <w:tcPr>
            <w:tcW w:w="3663" w:type="dxa"/>
            <w:tcBorders>
              <w:top w:val="nil"/>
              <w:left w:val="nil"/>
              <w:bottom w:val="nil"/>
              <w:right w:val="nil"/>
            </w:tcBorders>
            <w:shd w:val="clear" w:color="auto" w:fill="auto"/>
            <w:noWrap/>
            <w:vAlign w:val="center"/>
          </w:tcPr>
          <w:p w14:paraId="62C067C7">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Consistency*Perspective</w:t>
            </w:r>
          </w:p>
        </w:tc>
        <w:tc>
          <w:tcPr>
            <w:tcW w:w="539" w:type="dxa"/>
            <w:tcBorders>
              <w:top w:val="nil"/>
              <w:left w:val="nil"/>
              <w:bottom w:val="nil"/>
              <w:right w:val="nil"/>
            </w:tcBorders>
            <w:shd w:val="clear" w:color="auto" w:fill="auto"/>
            <w:noWrap/>
            <w:vAlign w:val="center"/>
          </w:tcPr>
          <w:p w14:paraId="4EA4C5D2">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992" w:type="dxa"/>
            <w:tcBorders>
              <w:top w:val="nil"/>
              <w:left w:val="nil"/>
              <w:bottom w:val="nil"/>
              <w:right w:val="nil"/>
            </w:tcBorders>
            <w:shd w:val="clear" w:color="auto" w:fill="auto"/>
            <w:noWrap/>
            <w:vAlign w:val="center"/>
          </w:tcPr>
          <w:p w14:paraId="7F12DAFE">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9.094</w:t>
            </w:r>
          </w:p>
        </w:tc>
        <w:tc>
          <w:tcPr>
            <w:tcW w:w="881" w:type="dxa"/>
            <w:tcBorders>
              <w:top w:val="nil"/>
              <w:left w:val="nil"/>
              <w:bottom w:val="nil"/>
              <w:right w:val="nil"/>
            </w:tcBorders>
            <w:shd w:val="clear" w:color="auto" w:fill="auto"/>
            <w:noWrap/>
            <w:vAlign w:val="center"/>
          </w:tcPr>
          <w:p w14:paraId="055BB271">
            <w:pPr>
              <w:keepNext w:val="0"/>
              <w:keepLines w:val="0"/>
              <w:widowControl/>
              <w:suppressLineNumbers w:val="0"/>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0.004</w:t>
            </w:r>
          </w:p>
        </w:tc>
        <w:tc>
          <w:tcPr>
            <w:tcW w:w="992" w:type="dxa"/>
            <w:tcBorders>
              <w:top w:val="nil"/>
              <w:left w:val="nil"/>
              <w:bottom w:val="nil"/>
              <w:right w:val="nil"/>
            </w:tcBorders>
            <w:shd w:val="clear" w:color="auto" w:fill="auto"/>
            <w:noWrap/>
            <w:vAlign w:val="center"/>
          </w:tcPr>
          <w:p w14:paraId="20B5F3CD">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0.132</w:t>
            </w:r>
          </w:p>
        </w:tc>
      </w:tr>
      <w:tr w14:paraId="1F007B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724" w:type="dxa"/>
            <w:tcBorders>
              <w:top w:val="nil"/>
              <w:left w:val="nil"/>
              <w:bottom w:val="nil"/>
              <w:right w:val="nil"/>
            </w:tcBorders>
            <w:shd w:val="clear" w:color="auto" w:fill="auto"/>
            <w:noWrap/>
            <w:vAlign w:val="center"/>
          </w:tcPr>
          <w:p w14:paraId="4ED3D982">
            <w:pPr>
              <w:rPr>
                <w:rFonts w:hint="eastAsia" w:ascii="宋体" w:hAnsi="宋体" w:eastAsia="宋体" w:cs="宋体"/>
                <w:i w:val="0"/>
                <w:iCs w:val="0"/>
                <w:color w:val="000000"/>
                <w:sz w:val="20"/>
                <w:szCs w:val="20"/>
                <w:u w:val="none"/>
              </w:rPr>
            </w:pPr>
          </w:p>
        </w:tc>
        <w:tc>
          <w:tcPr>
            <w:tcW w:w="3663" w:type="dxa"/>
            <w:tcBorders>
              <w:top w:val="nil"/>
              <w:left w:val="nil"/>
              <w:bottom w:val="nil"/>
              <w:right w:val="nil"/>
            </w:tcBorders>
            <w:shd w:val="clear" w:color="auto" w:fill="auto"/>
            <w:noWrap/>
            <w:vAlign w:val="center"/>
          </w:tcPr>
          <w:p w14:paraId="58AE71CF">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Consistency*Group</w:t>
            </w:r>
          </w:p>
        </w:tc>
        <w:tc>
          <w:tcPr>
            <w:tcW w:w="539" w:type="dxa"/>
            <w:tcBorders>
              <w:top w:val="nil"/>
              <w:left w:val="nil"/>
              <w:bottom w:val="nil"/>
              <w:right w:val="nil"/>
            </w:tcBorders>
            <w:shd w:val="clear" w:color="auto" w:fill="auto"/>
            <w:noWrap/>
            <w:vAlign w:val="center"/>
          </w:tcPr>
          <w:p w14:paraId="19A2AC63">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992" w:type="dxa"/>
            <w:tcBorders>
              <w:top w:val="nil"/>
              <w:left w:val="nil"/>
              <w:bottom w:val="nil"/>
              <w:right w:val="nil"/>
            </w:tcBorders>
            <w:shd w:val="clear" w:color="auto" w:fill="auto"/>
            <w:noWrap/>
            <w:vAlign w:val="center"/>
          </w:tcPr>
          <w:p w14:paraId="1B9D98CC">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0.168</w:t>
            </w:r>
          </w:p>
        </w:tc>
        <w:tc>
          <w:tcPr>
            <w:tcW w:w="881" w:type="dxa"/>
            <w:tcBorders>
              <w:top w:val="nil"/>
              <w:left w:val="nil"/>
              <w:bottom w:val="nil"/>
              <w:right w:val="nil"/>
            </w:tcBorders>
            <w:shd w:val="clear" w:color="auto" w:fill="auto"/>
            <w:noWrap/>
            <w:vAlign w:val="center"/>
          </w:tcPr>
          <w:p w14:paraId="5C8EB7A0">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0.683</w:t>
            </w:r>
          </w:p>
        </w:tc>
        <w:tc>
          <w:tcPr>
            <w:tcW w:w="992" w:type="dxa"/>
            <w:tcBorders>
              <w:top w:val="nil"/>
              <w:left w:val="nil"/>
              <w:bottom w:val="nil"/>
              <w:right w:val="nil"/>
            </w:tcBorders>
            <w:shd w:val="clear" w:color="auto" w:fill="auto"/>
            <w:noWrap/>
            <w:vAlign w:val="center"/>
          </w:tcPr>
          <w:p w14:paraId="4FF0F45E">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0.003</w:t>
            </w:r>
          </w:p>
        </w:tc>
      </w:tr>
      <w:tr w14:paraId="6F4A0A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724" w:type="dxa"/>
            <w:tcBorders>
              <w:top w:val="nil"/>
              <w:left w:val="nil"/>
              <w:bottom w:val="nil"/>
              <w:right w:val="nil"/>
            </w:tcBorders>
            <w:shd w:val="clear" w:color="auto" w:fill="auto"/>
            <w:noWrap/>
            <w:vAlign w:val="center"/>
          </w:tcPr>
          <w:p w14:paraId="43CC2F60">
            <w:pPr>
              <w:rPr>
                <w:rFonts w:hint="eastAsia" w:ascii="宋体" w:hAnsi="宋体" w:eastAsia="宋体" w:cs="宋体"/>
                <w:i w:val="0"/>
                <w:iCs w:val="0"/>
                <w:color w:val="000000"/>
                <w:sz w:val="20"/>
                <w:szCs w:val="20"/>
                <w:u w:val="none"/>
              </w:rPr>
            </w:pPr>
          </w:p>
        </w:tc>
        <w:tc>
          <w:tcPr>
            <w:tcW w:w="3663" w:type="dxa"/>
            <w:tcBorders>
              <w:top w:val="nil"/>
              <w:left w:val="nil"/>
              <w:bottom w:val="nil"/>
              <w:right w:val="nil"/>
            </w:tcBorders>
            <w:shd w:val="clear" w:color="auto" w:fill="auto"/>
            <w:noWrap/>
            <w:vAlign w:val="center"/>
          </w:tcPr>
          <w:p w14:paraId="0D41153C">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Perspective*Group</w:t>
            </w:r>
          </w:p>
        </w:tc>
        <w:tc>
          <w:tcPr>
            <w:tcW w:w="539" w:type="dxa"/>
            <w:tcBorders>
              <w:top w:val="nil"/>
              <w:left w:val="nil"/>
              <w:bottom w:val="nil"/>
              <w:right w:val="nil"/>
            </w:tcBorders>
            <w:shd w:val="clear" w:color="auto" w:fill="auto"/>
            <w:noWrap/>
            <w:vAlign w:val="center"/>
          </w:tcPr>
          <w:p w14:paraId="40B282DC">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992" w:type="dxa"/>
            <w:tcBorders>
              <w:top w:val="nil"/>
              <w:left w:val="nil"/>
              <w:bottom w:val="nil"/>
              <w:right w:val="nil"/>
            </w:tcBorders>
            <w:shd w:val="clear" w:color="auto" w:fill="auto"/>
            <w:noWrap/>
            <w:vAlign w:val="center"/>
          </w:tcPr>
          <w:p w14:paraId="58359CAF">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0.068</w:t>
            </w:r>
          </w:p>
        </w:tc>
        <w:tc>
          <w:tcPr>
            <w:tcW w:w="881" w:type="dxa"/>
            <w:tcBorders>
              <w:top w:val="nil"/>
              <w:left w:val="nil"/>
              <w:bottom w:val="nil"/>
              <w:right w:val="nil"/>
            </w:tcBorders>
            <w:shd w:val="clear" w:color="auto" w:fill="auto"/>
            <w:noWrap/>
            <w:vAlign w:val="center"/>
          </w:tcPr>
          <w:p w14:paraId="0F3C0C50">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0.795</w:t>
            </w:r>
          </w:p>
        </w:tc>
        <w:tc>
          <w:tcPr>
            <w:tcW w:w="992" w:type="dxa"/>
            <w:tcBorders>
              <w:top w:val="nil"/>
              <w:left w:val="nil"/>
              <w:bottom w:val="nil"/>
              <w:right w:val="nil"/>
            </w:tcBorders>
            <w:shd w:val="clear" w:color="auto" w:fill="auto"/>
            <w:noWrap/>
            <w:vAlign w:val="center"/>
          </w:tcPr>
          <w:p w14:paraId="75AC553F">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0.001</w:t>
            </w:r>
          </w:p>
        </w:tc>
      </w:tr>
      <w:tr w14:paraId="45A360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724" w:type="dxa"/>
            <w:tcBorders>
              <w:top w:val="nil"/>
              <w:left w:val="nil"/>
              <w:bottom w:val="nil"/>
              <w:right w:val="nil"/>
            </w:tcBorders>
            <w:shd w:val="clear" w:color="auto" w:fill="auto"/>
            <w:noWrap/>
            <w:vAlign w:val="center"/>
          </w:tcPr>
          <w:p w14:paraId="742050EE">
            <w:pPr>
              <w:rPr>
                <w:rFonts w:hint="eastAsia" w:ascii="宋体" w:hAnsi="宋体" w:eastAsia="宋体" w:cs="宋体"/>
                <w:i w:val="0"/>
                <w:iCs w:val="0"/>
                <w:color w:val="000000"/>
                <w:sz w:val="20"/>
                <w:szCs w:val="20"/>
                <w:u w:val="none"/>
              </w:rPr>
            </w:pPr>
          </w:p>
        </w:tc>
        <w:tc>
          <w:tcPr>
            <w:tcW w:w="3663" w:type="dxa"/>
            <w:tcBorders>
              <w:top w:val="nil"/>
              <w:left w:val="nil"/>
              <w:bottom w:val="nil"/>
              <w:right w:val="nil"/>
            </w:tcBorders>
            <w:shd w:val="clear" w:color="auto" w:fill="auto"/>
            <w:noWrap/>
            <w:vAlign w:val="center"/>
          </w:tcPr>
          <w:p w14:paraId="037C7210">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Consistency*Perspective*Group</w:t>
            </w:r>
          </w:p>
        </w:tc>
        <w:tc>
          <w:tcPr>
            <w:tcW w:w="539" w:type="dxa"/>
            <w:tcBorders>
              <w:top w:val="nil"/>
              <w:left w:val="nil"/>
              <w:bottom w:val="nil"/>
              <w:right w:val="nil"/>
            </w:tcBorders>
            <w:shd w:val="clear" w:color="auto" w:fill="auto"/>
            <w:noWrap/>
            <w:vAlign w:val="center"/>
          </w:tcPr>
          <w:p w14:paraId="397FCD0A">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992" w:type="dxa"/>
            <w:tcBorders>
              <w:top w:val="nil"/>
              <w:left w:val="nil"/>
              <w:bottom w:val="nil"/>
              <w:right w:val="nil"/>
            </w:tcBorders>
            <w:shd w:val="clear" w:color="auto" w:fill="auto"/>
            <w:noWrap/>
            <w:vAlign w:val="center"/>
          </w:tcPr>
          <w:p w14:paraId="2C0252D1">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0.694</w:t>
            </w:r>
          </w:p>
        </w:tc>
        <w:tc>
          <w:tcPr>
            <w:tcW w:w="881" w:type="dxa"/>
            <w:tcBorders>
              <w:top w:val="nil"/>
              <w:left w:val="nil"/>
              <w:bottom w:val="nil"/>
              <w:right w:val="nil"/>
            </w:tcBorders>
            <w:shd w:val="clear" w:color="auto" w:fill="auto"/>
            <w:noWrap/>
            <w:vAlign w:val="center"/>
          </w:tcPr>
          <w:p w14:paraId="35B1362C">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0.408</w:t>
            </w:r>
          </w:p>
        </w:tc>
        <w:tc>
          <w:tcPr>
            <w:tcW w:w="992" w:type="dxa"/>
            <w:tcBorders>
              <w:top w:val="nil"/>
              <w:left w:val="nil"/>
              <w:bottom w:val="nil"/>
              <w:right w:val="nil"/>
            </w:tcBorders>
            <w:shd w:val="clear" w:color="auto" w:fill="auto"/>
            <w:noWrap/>
            <w:vAlign w:val="center"/>
          </w:tcPr>
          <w:p w14:paraId="6F4390D5">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0.011</w:t>
            </w:r>
          </w:p>
        </w:tc>
      </w:tr>
      <w:tr w14:paraId="54FA72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724" w:type="dxa"/>
            <w:tcBorders>
              <w:top w:val="nil"/>
              <w:left w:val="nil"/>
              <w:bottom w:val="nil"/>
              <w:right w:val="nil"/>
            </w:tcBorders>
            <w:shd w:val="clear" w:color="auto" w:fill="auto"/>
            <w:noWrap/>
            <w:vAlign w:val="center"/>
          </w:tcPr>
          <w:p w14:paraId="4A4C8F8E">
            <w:pPr>
              <w:rPr>
                <w:rFonts w:hint="eastAsia" w:ascii="宋体" w:hAnsi="宋体" w:eastAsia="宋体" w:cs="宋体"/>
                <w:i w:val="0"/>
                <w:iCs w:val="0"/>
                <w:color w:val="000000"/>
                <w:sz w:val="20"/>
                <w:szCs w:val="20"/>
                <w:u w:val="none"/>
              </w:rPr>
            </w:pPr>
          </w:p>
        </w:tc>
        <w:tc>
          <w:tcPr>
            <w:tcW w:w="3663" w:type="dxa"/>
            <w:tcBorders>
              <w:top w:val="nil"/>
              <w:left w:val="nil"/>
              <w:bottom w:val="nil"/>
              <w:right w:val="nil"/>
            </w:tcBorders>
            <w:shd w:val="clear" w:color="auto" w:fill="auto"/>
            <w:noWrap/>
            <w:vAlign w:val="center"/>
          </w:tcPr>
          <w:p w14:paraId="059C7E65">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Residuals</w:t>
            </w:r>
          </w:p>
        </w:tc>
        <w:tc>
          <w:tcPr>
            <w:tcW w:w="539" w:type="dxa"/>
            <w:tcBorders>
              <w:top w:val="nil"/>
              <w:left w:val="nil"/>
              <w:bottom w:val="nil"/>
              <w:right w:val="nil"/>
            </w:tcBorders>
            <w:shd w:val="clear" w:color="auto" w:fill="auto"/>
            <w:noWrap/>
            <w:vAlign w:val="center"/>
          </w:tcPr>
          <w:p w14:paraId="2AC00E34">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60</w:t>
            </w:r>
          </w:p>
        </w:tc>
        <w:tc>
          <w:tcPr>
            <w:tcW w:w="992" w:type="dxa"/>
            <w:tcBorders>
              <w:top w:val="nil"/>
              <w:left w:val="nil"/>
              <w:bottom w:val="nil"/>
              <w:right w:val="nil"/>
            </w:tcBorders>
            <w:shd w:val="clear" w:color="auto" w:fill="auto"/>
            <w:noWrap/>
            <w:vAlign w:val="center"/>
          </w:tcPr>
          <w:p w14:paraId="2A8F2266">
            <w:pPr>
              <w:rPr>
                <w:rFonts w:hint="default" w:ascii="Times New Roman" w:hAnsi="Times New Roman" w:eastAsia="宋体" w:cs="Times New Roman"/>
                <w:i w:val="0"/>
                <w:iCs w:val="0"/>
                <w:color w:val="000000"/>
                <w:sz w:val="20"/>
                <w:szCs w:val="20"/>
                <w:u w:val="none"/>
              </w:rPr>
            </w:pPr>
          </w:p>
        </w:tc>
        <w:tc>
          <w:tcPr>
            <w:tcW w:w="881" w:type="dxa"/>
            <w:tcBorders>
              <w:top w:val="nil"/>
              <w:left w:val="nil"/>
              <w:bottom w:val="nil"/>
              <w:right w:val="nil"/>
            </w:tcBorders>
            <w:shd w:val="clear" w:color="auto" w:fill="auto"/>
            <w:noWrap/>
            <w:vAlign w:val="center"/>
          </w:tcPr>
          <w:p w14:paraId="2A8233ED">
            <w:pPr>
              <w:rPr>
                <w:rFonts w:hint="default" w:ascii="Times New Roman" w:hAnsi="Times New Roman" w:eastAsia="宋体" w:cs="Times New Roman"/>
                <w:i w:val="0"/>
                <w:iCs w:val="0"/>
                <w:color w:val="000000"/>
                <w:sz w:val="20"/>
                <w:szCs w:val="20"/>
                <w:u w:val="none"/>
              </w:rPr>
            </w:pPr>
          </w:p>
        </w:tc>
        <w:tc>
          <w:tcPr>
            <w:tcW w:w="992" w:type="dxa"/>
            <w:tcBorders>
              <w:top w:val="nil"/>
              <w:left w:val="nil"/>
              <w:bottom w:val="nil"/>
              <w:right w:val="nil"/>
            </w:tcBorders>
            <w:shd w:val="clear" w:color="auto" w:fill="auto"/>
            <w:noWrap/>
            <w:vAlign w:val="center"/>
          </w:tcPr>
          <w:p w14:paraId="2206F7A0">
            <w:pPr>
              <w:rPr>
                <w:rFonts w:hint="default" w:ascii="Times New Roman" w:hAnsi="Times New Roman" w:eastAsia="宋体" w:cs="Times New Roman"/>
                <w:i w:val="0"/>
                <w:iCs w:val="0"/>
                <w:color w:val="000000"/>
                <w:sz w:val="20"/>
                <w:szCs w:val="20"/>
                <w:u w:val="none"/>
              </w:rPr>
            </w:pPr>
          </w:p>
        </w:tc>
      </w:tr>
      <w:tr w14:paraId="485622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724" w:type="dxa"/>
            <w:tcBorders>
              <w:top w:val="nil"/>
              <w:left w:val="nil"/>
              <w:bottom w:val="nil"/>
              <w:right w:val="nil"/>
            </w:tcBorders>
            <w:shd w:val="clear" w:color="auto" w:fill="auto"/>
            <w:noWrap/>
            <w:vAlign w:val="center"/>
          </w:tcPr>
          <w:p w14:paraId="5B77DC83">
            <w:pPr>
              <w:rPr>
                <w:rFonts w:hint="eastAsia" w:ascii="宋体" w:hAnsi="宋体" w:eastAsia="宋体" w:cs="宋体"/>
                <w:i w:val="0"/>
                <w:iCs w:val="0"/>
                <w:color w:val="000000"/>
                <w:sz w:val="20"/>
                <w:szCs w:val="20"/>
                <w:u w:val="none"/>
              </w:rPr>
            </w:pPr>
          </w:p>
        </w:tc>
        <w:tc>
          <w:tcPr>
            <w:tcW w:w="3663" w:type="dxa"/>
            <w:tcBorders>
              <w:top w:val="nil"/>
              <w:left w:val="nil"/>
              <w:bottom w:val="nil"/>
              <w:right w:val="nil"/>
            </w:tcBorders>
            <w:shd w:val="clear" w:color="auto" w:fill="auto"/>
            <w:noWrap/>
            <w:vAlign w:val="center"/>
          </w:tcPr>
          <w:p w14:paraId="68073089">
            <w:pPr>
              <w:rPr>
                <w:rFonts w:hint="eastAsia" w:ascii="宋体" w:hAnsi="宋体" w:eastAsia="宋体" w:cs="宋体"/>
                <w:i w:val="0"/>
                <w:iCs w:val="0"/>
                <w:color w:val="000000"/>
                <w:sz w:val="20"/>
                <w:szCs w:val="20"/>
                <w:u w:val="none"/>
              </w:rPr>
            </w:pPr>
          </w:p>
        </w:tc>
        <w:tc>
          <w:tcPr>
            <w:tcW w:w="539" w:type="dxa"/>
            <w:tcBorders>
              <w:top w:val="nil"/>
              <w:left w:val="nil"/>
              <w:bottom w:val="nil"/>
              <w:right w:val="nil"/>
            </w:tcBorders>
            <w:shd w:val="clear" w:color="auto" w:fill="auto"/>
            <w:noWrap/>
            <w:vAlign w:val="center"/>
          </w:tcPr>
          <w:p w14:paraId="168E3CEA">
            <w:pPr>
              <w:jc w:val="right"/>
              <w:rPr>
                <w:rFonts w:hint="default" w:ascii="Times New Roman" w:hAnsi="Times New Roman" w:eastAsia="宋体" w:cs="Times New Roman"/>
                <w:b/>
                <w:bCs/>
                <w:i w:val="0"/>
                <w:iCs w:val="0"/>
                <w:color w:val="000000"/>
                <w:sz w:val="20"/>
                <w:szCs w:val="20"/>
                <w:u w:val="none"/>
              </w:rPr>
            </w:pPr>
          </w:p>
        </w:tc>
        <w:tc>
          <w:tcPr>
            <w:tcW w:w="992" w:type="dxa"/>
            <w:tcBorders>
              <w:top w:val="nil"/>
              <w:left w:val="nil"/>
              <w:bottom w:val="nil"/>
              <w:right w:val="nil"/>
            </w:tcBorders>
            <w:shd w:val="clear" w:color="auto" w:fill="auto"/>
            <w:noWrap/>
            <w:vAlign w:val="center"/>
          </w:tcPr>
          <w:p w14:paraId="21E1F414">
            <w:pPr>
              <w:jc w:val="right"/>
              <w:rPr>
                <w:rFonts w:hint="default" w:ascii="Times New Roman" w:hAnsi="Times New Roman" w:eastAsia="宋体" w:cs="Times New Roman"/>
                <w:b/>
                <w:bCs/>
                <w:i w:val="0"/>
                <w:iCs w:val="0"/>
                <w:color w:val="000000"/>
                <w:sz w:val="20"/>
                <w:szCs w:val="20"/>
                <w:u w:val="none"/>
              </w:rPr>
            </w:pPr>
          </w:p>
        </w:tc>
        <w:tc>
          <w:tcPr>
            <w:tcW w:w="881" w:type="dxa"/>
            <w:tcBorders>
              <w:top w:val="nil"/>
              <w:left w:val="nil"/>
              <w:bottom w:val="nil"/>
              <w:right w:val="nil"/>
            </w:tcBorders>
            <w:shd w:val="clear" w:color="auto" w:fill="auto"/>
            <w:noWrap/>
            <w:vAlign w:val="center"/>
          </w:tcPr>
          <w:p w14:paraId="52444D36">
            <w:pPr>
              <w:jc w:val="right"/>
              <w:rPr>
                <w:rFonts w:hint="default" w:ascii="Times New Roman" w:hAnsi="Times New Roman" w:eastAsia="宋体" w:cs="Times New Roman"/>
                <w:b/>
                <w:bCs/>
                <w:i/>
                <w:iCs/>
                <w:color w:val="000000"/>
                <w:sz w:val="20"/>
                <w:szCs w:val="20"/>
                <w:u w:val="none"/>
              </w:rPr>
            </w:pPr>
          </w:p>
        </w:tc>
        <w:tc>
          <w:tcPr>
            <w:tcW w:w="992" w:type="dxa"/>
            <w:tcBorders>
              <w:top w:val="nil"/>
              <w:left w:val="nil"/>
              <w:bottom w:val="nil"/>
              <w:right w:val="nil"/>
            </w:tcBorders>
            <w:shd w:val="clear" w:color="auto" w:fill="auto"/>
            <w:noWrap/>
            <w:vAlign w:val="center"/>
          </w:tcPr>
          <w:p w14:paraId="238FA2AA">
            <w:pPr>
              <w:jc w:val="right"/>
              <w:rPr>
                <w:rFonts w:hint="default" w:ascii="Times New Roman" w:hAnsi="Times New Roman" w:eastAsia="宋体" w:cs="Times New Roman"/>
                <w:b/>
                <w:bCs/>
                <w:i w:val="0"/>
                <w:iCs w:val="0"/>
                <w:color w:val="000000"/>
                <w:sz w:val="20"/>
                <w:szCs w:val="20"/>
                <w:u w:val="none"/>
              </w:rPr>
            </w:pPr>
          </w:p>
        </w:tc>
      </w:tr>
      <w:tr w14:paraId="6E41F6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724" w:type="dxa"/>
            <w:tcBorders>
              <w:top w:val="nil"/>
              <w:left w:val="nil"/>
              <w:bottom w:val="nil"/>
              <w:right w:val="nil"/>
            </w:tcBorders>
            <w:shd w:val="clear" w:color="auto" w:fill="auto"/>
            <w:noWrap/>
            <w:vAlign w:val="center"/>
          </w:tcPr>
          <w:p w14:paraId="209AC0E8">
            <w:pPr>
              <w:keepNext w:val="0"/>
              <w:keepLines w:val="0"/>
              <w:widowControl/>
              <w:suppressLineNumbers w:val="0"/>
              <w:jc w:val="lef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LFSW amplitude</w:t>
            </w:r>
          </w:p>
        </w:tc>
        <w:tc>
          <w:tcPr>
            <w:tcW w:w="3663" w:type="dxa"/>
            <w:tcBorders>
              <w:top w:val="nil"/>
              <w:left w:val="nil"/>
              <w:bottom w:val="nil"/>
              <w:right w:val="nil"/>
            </w:tcBorders>
            <w:shd w:val="clear" w:color="auto" w:fill="auto"/>
            <w:noWrap/>
            <w:vAlign w:val="center"/>
          </w:tcPr>
          <w:p w14:paraId="2F16B442">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Consistency</w:t>
            </w:r>
          </w:p>
        </w:tc>
        <w:tc>
          <w:tcPr>
            <w:tcW w:w="539" w:type="dxa"/>
            <w:tcBorders>
              <w:top w:val="nil"/>
              <w:left w:val="nil"/>
              <w:bottom w:val="nil"/>
              <w:right w:val="nil"/>
            </w:tcBorders>
            <w:shd w:val="clear" w:color="auto" w:fill="auto"/>
            <w:noWrap/>
            <w:vAlign w:val="center"/>
          </w:tcPr>
          <w:p w14:paraId="5DD07A2E">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992" w:type="dxa"/>
            <w:tcBorders>
              <w:top w:val="nil"/>
              <w:left w:val="nil"/>
              <w:bottom w:val="nil"/>
              <w:right w:val="nil"/>
            </w:tcBorders>
            <w:shd w:val="clear" w:color="auto" w:fill="auto"/>
            <w:noWrap/>
            <w:vAlign w:val="center"/>
          </w:tcPr>
          <w:p w14:paraId="0DBB82BC">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17.318</w:t>
            </w:r>
          </w:p>
        </w:tc>
        <w:tc>
          <w:tcPr>
            <w:tcW w:w="881" w:type="dxa"/>
            <w:tcBorders>
              <w:top w:val="nil"/>
              <w:left w:val="nil"/>
              <w:bottom w:val="nil"/>
              <w:right w:val="nil"/>
            </w:tcBorders>
            <w:shd w:val="clear" w:color="auto" w:fill="auto"/>
            <w:noWrap/>
            <w:vAlign w:val="center"/>
          </w:tcPr>
          <w:p w14:paraId="2A3F73E0">
            <w:pPr>
              <w:keepNext w:val="0"/>
              <w:keepLines w:val="0"/>
              <w:widowControl/>
              <w:suppressLineNumbers w:val="0"/>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&lt;.001</w:t>
            </w:r>
          </w:p>
        </w:tc>
        <w:tc>
          <w:tcPr>
            <w:tcW w:w="992" w:type="dxa"/>
            <w:tcBorders>
              <w:top w:val="nil"/>
              <w:left w:val="nil"/>
              <w:bottom w:val="nil"/>
              <w:right w:val="nil"/>
            </w:tcBorders>
            <w:shd w:val="clear" w:color="auto" w:fill="auto"/>
            <w:noWrap/>
            <w:vAlign w:val="center"/>
          </w:tcPr>
          <w:p w14:paraId="4AA9B5D0">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0.224</w:t>
            </w:r>
          </w:p>
        </w:tc>
      </w:tr>
      <w:tr w14:paraId="211BF9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724" w:type="dxa"/>
            <w:tcBorders>
              <w:top w:val="nil"/>
              <w:left w:val="nil"/>
              <w:bottom w:val="nil"/>
              <w:right w:val="nil"/>
            </w:tcBorders>
            <w:shd w:val="clear" w:color="auto" w:fill="auto"/>
            <w:noWrap/>
            <w:vAlign w:val="center"/>
          </w:tcPr>
          <w:p w14:paraId="7DB3B69E">
            <w:pPr>
              <w:rPr>
                <w:rFonts w:hint="eastAsia" w:ascii="宋体" w:hAnsi="宋体" w:eastAsia="宋体" w:cs="宋体"/>
                <w:i w:val="0"/>
                <w:iCs w:val="0"/>
                <w:color w:val="000000"/>
                <w:sz w:val="20"/>
                <w:szCs w:val="20"/>
                <w:u w:val="none"/>
              </w:rPr>
            </w:pPr>
          </w:p>
        </w:tc>
        <w:tc>
          <w:tcPr>
            <w:tcW w:w="3663" w:type="dxa"/>
            <w:tcBorders>
              <w:top w:val="nil"/>
              <w:left w:val="nil"/>
              <w:bottom w:val="nil"/>
              <w:right w:val="nil"/>
            </w:tcBorders>
            <w:shd w:val="clear" w:color="auto" w:fill="auto"/>
            <w:noWrap/>
            <w:vAlign w:val="center"/>
          </w:tcPr>
          <w:p w14:paraId="74418ECE">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Perspective</w:t>
            </w:r>
          </w:p>
        </w:tc>
        <w:tc>
          <w:tcPr>
            <w:tcW w:w="539" w:type="dxa"/>
            <w:tcBorders>
              <w:top w:val="nil"/>
              <w:left w:val="nil"/>
              <w:bottom w:val="nil"/>
              <w:right w:val="nil"/>
            </w:tcBorders>
            <w:shd w:val="clear" w:color="auto" w:fill="auto"/>
            <w:noWrap/>
            <w:vAlign w:val="center"/>
          </w:tcPr>
          <w:p w14:paraId="1B098025">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992" w:type="dxa"/>
            <w:tcBorders>
              <w:top w:val="nil"/>
              <w:left w:val="nil"/>
              <w:bottom w:val="nil"/>
              <w:right w:val="nil"/>
            </w:tcBorders>
            <w:shd w:val="clear" w:color="auto" w:fill="auto"/>
            <w:noWrap/>
            <w:vAlign w:val="center"/>
          </w:tcPr>
          <w:p w14:paraId="6303E922">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4.930</w:t>
            </w:r>
          </w:p>
        </w:tc>
        <w:tc>
          <w:tcPr>
            <w:tcW w:w="881" w:type="dxa"/>
            <w:tcBorders>
              <w:top w:val="nil"/>
              <w:left w:val="nil"/>
              <w:bottom w:val="nil"/>
              <w:right w:val="nil"/>
            </w:tcBorders>
            <w:shd w:val="clear" w:color="auto" w:fill="auto"/>
            <w:noWrap/>
            <w:vAlign w:val="center"/>
          </w:tcPr>
          <w:p w14:paraId="03161D3B">
            <w:pPr>
              <w:keepNext w:val="0"/>
              <w:keepLines w:val="0"/>
              <w:widowControl/>
              <w:suppressLineNumbers w:val="0"/>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0.030</w:t>
            </w:r>
          </w:p>
        </w:tc>
        <w:tc>
          <w:tcPr>
            <w:tcW w:w="992" w:type="dxa"/>
            <w:tcBorders>
              <w:top w:val="nil"/>
              <w:left w:val="nil"/>
              <w:bottom w:val="nil"/>
              <w:right w:val="nil"/>
            </w:tcBorders>
            <w:shd w:val="clear" w:color="auto" w:fill="auto"/>
            <w:noWrap/>
            <w:vAlign w:val="center"/>
          </w:tcPr>
          <w:p w14:paraId="63BA9956">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0.076</w:t>
            </w:r>
          </w:p>
        </w:tc>
      </w:tr>
      <w:tr w14:paraId="3E6E8A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724" w:type="dxa"/>
            <w:tcBorders>
              <w:top w:val="nil"/>
              <w:left w:val="nil"/>
              <w:bottom w:val="nil"/>
              <w:right w:val="nil"/>
            </w:tcBorders>
            <w:shd w:val="clear" w:color="auto" w:fill="auto"/>
            <w:noWrap/>
            <w:vAlign w:val="center"/>
          </w:tcPr>
          <w:p w14:paraId="55760FCA">
            <w:pPr>
              <w:rPr>
                <w:rFonts w:hint="eastAsia" w:ascii="宋体" w:hAnsi="宋体" w:eastAsia="宋体" w:cs="宋体"/>
                <w:i w:val="0"/>
                <w:iCs w:val="0"/>
                <w:color w:val="000000"/>
                <w:sz w:val="20"/>
                <w:szCs w:val="20"/>
                <w:u w:val="none"/>
              </w:rPr>
            </w:pPr>
          </w:p>
        </w:tc>
        <w:tc>
          <w:tcPr>
            <w:tcW w:w="3663" w:type="dxa"/>
            <w:tcBorders>
              <w:top w:val="nil"/>
              <w:left w:val="nil"/>
              <w:bottom w:val="nil"/>
              <w:right w:val="nil"/>
            </w:tcBorders>
            <w:shd w:val="clear" w:color="auto" w:fill="auto"/>
            <w:noWrap/>
            <w:vAlign w:val="center"/>
          </w:tcPr>
          <w:p w14:paraId="7D9A863F">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Group</w:t>
            </w:r>
          </w:p>
        </w:tc>
        <w:tc>
          <w:tcPr>
            <w:tcW w:w="539" w:type="dxa"/>
            <w:tcBorders>
              <w:top w:val="nil"/>
              <w:left w:val="nil"/>
              <w:bottom w:val="nil"/>
              <w:right w:val="nil"/>
            </w:tcBorders>
            <w:shd w:val="clear" w:color="auto" w:fill="auto"/>
            <w:noWrap/>
            <w:vAlign w:val="center"/>
          </w:tcPr>
          <w:p w14:paraId="139A57B0">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992" w:type="dxa"/>
            <w:tcBorders>
              <w:top w:val="nil"/>
              <w:left w:val="nil"/>
              <w:bottom w:val="nil"/>
              <w:right w:val="nil"/>
            </w:tcBorders>
            <w:shd w:val="clear" w:color="auto" w:fill="auto"/>
            <w:noWrap/>
            <w:vAlign w:val="center"/>
          </w:tcPr>
          <w:p w14:paraId="50C29C43">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5.625</w:t>
            </w:r>
          </w:p>
        </w:tc>
        <w:tc>
          <w:tcPr>
            <w:tcW w:w="881" w:type="dxa"/>
            <w:tcBorders>
              <w:top w:val="nil"/>
              <w:left w:val="nil"/>
              <w:bottom w:val="nil"/>
              <w:right w:val="nil"/>
            </w:tcBorders>
            <w:shd w:val="clear" w:color="auto" w:fill="auto"/>
            <w:noWrap/>
            <w:vAlign w:val="center"/>
          </w:tcPr>
          <w:p w14:paraId="0BE50190">
            <w:pPr>
              <w:keepNext w:val="0"/>
              <w:keepLines w:val="0"/>
              <w:widowControl/>
              <w:suppressLineNumbers w:val="0"/>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0.021</w:t>
            </w:r>
          </w:p>
        </w:tc>
        <w:tc>
          <w:tcPr>
            <w:tcW w:w="992" w:type="dxa"/>
            <w:tcBorders>
              <w:top w:val="nil"/>
              <w:left w:val="nil"/>
              <w:bottom w:val="nil"/>
              <w:right w:val="nil"/>
            </w:tcBorders>
            <w:shd w:val="clear" w:color="auto" w:fill="auto"/>
            <w:noWrap/>
            <w:vAlign w:val="center"/>
          </w:tcPr>
          <w:p w14:paraId="31876DF5">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0.086</w:t>
            </w:r>
          </w:p>
        </w:tc>
      </w:tr>
      <w:tr w14:paraId="172F8C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724" w:type="dxa"/>
            <w:tcBorders>
              <w:top w:val="nil"/>
              <w:left w:val="nil"/>
              <w:bottom w:val="nil"/>
              <w:right w:val="nil"/>
            </w:tcBorders>
            <w:shd w:val="clear" w:color="auto" w:fill="auto"/>
            <w:noWrap/>
            <w:vAlign w:val="center"/>
          </w:tcPr>
          <w:p w14:paraId="161DFBEE">
            <w:pPr>
              <w:rPr>
                <w:rFonts w:hint="eastAsia" w:ascii="宋体" w:hAnsi="宋体" w:eastAsia="宋体" w:cs="宋体"/>
                <w:i w:val="0"/>
                <w:iCs w:val="0"/>
                <w:color w:val="000000"/>
                <w:sz w:val="20"/>
                <w:szCs w:val="20"/>
                <w:u w:val="none"/>
              </w:rPr>
            </w:pPr>
          </w:p>
        </w:tc>
        <w:tc>
          <w:tcPr>
            <w:tcW w:w="3663" w:type="dxa"/>
            <w:tcBorders>
              <w:top w:val="nil"/>
              <w:left w:val="nil"/>
              <w:bottom w:val="nil"/>
              <w:right w:val="nil"/>
            </w:tcBorders>
            <w:shd w:val="clear" w:color="auto" w:fill="auto"/>
            <w:noWrap/>
            <w:vAlign w:val="center"/>
          </w:tcPr>
          <w:p w14:paraId="6DB14EDB">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Consistency*Perspective</w:t>
            </w:r>
          </w:p>
        </w:tc>
        <w:tc>
          <w:tcPr>
            <w:tcW w:w="539" w:type="dxa"/>
            <w:tcBorders>
              <w:top w:val="nil"/>
              <w:left w:val="nil"/>
              <w:bottom w:val="nil"/>
              <w:right w:val="nil"/>
            </w:tcBorders>
            <w:shd w:val="clear" w:color="auto" w:fill="auto"/>
            <w:noWrap/>
            <w:vAlign w:val="center"/>
          </w:tcPr>
          <w:p w14:paraId="7770DE07">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992" w:type="dxa"/>
            <w:tcBorders>
              <w:top w:val="nil"/>
              <w:left w:val="nil"/>
              <w:bottom w:val="nil"/>
              <w:right w:val="nil"/>
            </w:tcBorders>
            <w:shd w:val="clear" w:color="auto" w:fill="auto"/>
            <w:noWrap/>
            <w:vAlign w:val="center"/>
          </w:tcPr>
          <w:p w14:paraId="30EC5A93">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0.796</w:t>
            </w:r>
          </w:p>
        </w:tc>
        <w:tc>
          <w:tcPr>
            <w:tcW w:w="881" w:type="dxa"/>
            <w:tcBorders>
              <w:top w:val="nil"/>
              <w:left w:val="nil"/>
              <w:bottom w:val="nil"/>
              <w:right w:val="nil"/>
            </w:tcBorders>
            <w:shd w:val="clear" w:color="auto" w:fill="auto"/>
            <w:noWrap/>
            <w:vAlign w:val="center"/>
          </w:tcPr>
          <w:p w14:paraId="600F97AF">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0.376</w:t>
            </w:r>
          </w:p>
        </w:tc>
        <w:tc>
          <w:tcPr>
            <w:tcW w:w="992" w:type="dxa"/>
            <w:tcBorders>
              <w:top w:val="nil"/>
              <w:left w:val="nil"/>
              <w:bottom w:val="nil"/>
              <w:right w:val="nil"/>
            </w:tcBorders>
            <w:shd w:val="clear" w:color="auto" w:fill="auto"/>
            <w:noWrap/>
            <w:vAlign w:val="center"/>
          </w:tcPr>
          <w:p w14:paraId="714CF0D0">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0.013</w:t>
            </w:r>
          </w:p>
        </w:tc>
      </w:tr>
      <w:tr w14:paraId="7788EE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724" w:type="dxa"/>
            <w:tcBorders>
              <w:top w:val="nil"/>
              <w:left w:val="nil"/>
              <w:bottom w:val="nil"/>
              <w:right w:val="nil"/>
            </w:tcBorders>
            <w:shd w:val="clear" w:color="auto" w:fill="auto"/>
            <w:noWrap/>
            <w:vAlign w:val="center"/>
          </w:tcPr>
          <w:p w14:paraId="2A072532">
            <w:pPr>
              <w:rPr>
                <w:rFonts w:hint="eastAsia" w:ascii="宋体" w:hAnsi="宋体" w:eastAsia="宋体" w:cs="宋体"/>
                <w:i w:val="0"/>
                <w:iCs w:val="0"/>
                <w:color w:val="000000"/>
                <w:sz w:val="20"/>
                <w:szCs w:val="20"/>
                <w:u w:val="none"/>
              </w:rPr>
            </w:pPr>
          </w:p>
        </w:tc>
        <w:tc>
          <w:tcPr>
            <w:tcW w:w="3663" w:type="dxa"/>
            <w:tcBorders>
              <w:top w:val="nil"/>
              <w:left w:val="nil"/>
              <w:bottom w:val="nil"/>
              <w:right w:val="nil"/>
            </w:tcBorders>
            <w:shd w:val="clear" w:color="auto" w:fill="auto"/>
            <w:noWrap/>
            <w:vAlign w:val="center"/>
          </w:tcPr>
          <w:p w14:paraId="6D6424A7">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Consistency*Group</w:t>
            </w:r>
          </w:p>
        </w:tc>
        <w:tc>
          <w:tcPr>
            <w:tcW w:w="539" w:type="dxa"/>
            <w:tcBorders>
              <w:top w:val="nil"/>
              <w:left w:val="nil"/>
              <w:bottom w:val="nil"/>
              <w:right w:val="nil"/>
            </w:tcBorders>
            <w:shd w:val="clear" w:color="auto" w:fill="auto"/>
            <w:noWrap/>
            <w:vAlign w:val="center"/>
          </w:tcPr>
          <w:p w14:paraId="02B711A1">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992" w:type="dxa"/>
            <w:tcBorders>
              <w:top w:val="nil"/>
              <w:left w:val="nil"/>
              <w:bottom w:val="nil"/>
              <w:right w:val="nil"/>
            </w:tcBorders>
            <w:shd w:val="clear" w:color="auto" w:fill="auto"/>
            <w:noWrap/>
            <w:vAlign w:val="center"/>
          </w:tcPr>
          <w:p w14:paraId="0A115C50">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0.365</w:t>
            </w:r>
          </w:p>
        </w:tc>
        <w:tc>
          <w:tcPr>
            <w:tcW w:w="881" w:type="dxa"/>
            <w:tcBorders>
              <w:top w:val="nil"/>
              <w:left w:val="nil"/>
              <w:bottom w:val="nil"/>
              <w:right w:val="nil"/>
            </w:tcBorders>
            <w:shd w:val="clear" w:color="auto" w:fill="auto"/>
            <w:noWrap/>
            <w:vAlign w:val="center"/>
          </w:tcPr>
          <w:p w14:paraId="6989128A">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0.548</w:t>
            </w:r>
          </w:p>
        </w:tc>
        <w:tc>
          <w:tcPr>
            <w:tcW w:w="992" w:type="dxa"/>
            <w:tcBorders>
              <w:top w:val="nil"/>
              <w:left w:val="nil"/>
              <w:bottom w:val="nil"/>
              <w:right w:val="nil"/>
            </w:tcBorders>
            <w:shd w:val="clear" w:color="auto" w:fill="auto"/>
            <w:noWrap/>
            <w:vAlign w:val="center"/>
          </w:tcPr>
          <w:p w14:paraId="0896CDE9">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0.006</w:t>
            </w:r>
          </w:p>
        </w:tc>
      </w:tr>
      <w:tr w14:paraId="795224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724" w:type="dxa"/>
            <w:tcBorders>
              <w:top w:val="nil"/>
              <w:left w:val="nil"/>
              <w:bottom w:val="nil"/>
              <w:right w:val="nil"/>
            </w:tcBorders>
            <w:shd w:val="clear" w:color="auto" w:fill="auto"/>
            <w:noWrap/>
            <w:vAlign w:val="center"/>
          </w:tcPr>
          <w:p w14:paraId="6DB8C57A">
            <w:pPr>
              <w:rPr>
                <w:rFonts w:hint="eastAsia" w:ascii="宋体" w:hAnsi="宋体" w:eastAsia="宋体" w:cs="宋体"/>
                <w:i w:val="0"/>
                <w:iCs w:val="0"/>
                <w:color w:val="000000"/>
                <w:sz w:val="20"/>
                <w:szCs w:val="20"/>
                <w:u w:val="none"/>
              </w:rPr>
            </w:pPr>
          </w:p>
        </w:tc>
        <w:tc>
          <w:tcPr>
            <w:tcW w:w="3663" w:type="dxa"/>
            <w:tcBorders>
              <w:top w:val="nil"/>
              <w:left w:val="nil"/>
              <w:bottom w:val="nil"/>
              <w:right w:val="nil"/>
            </w:tcBorders>
            <w:shd w:val="clear" w:color="auto" w:fill="auto"/>
            <w:noWrap/>
            <w:vAlign w:val="center"/>
          </w:tcPr>
          <w:p w14:paraId="59D63D9D">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Perspective*Group</w:t>
            </w:r>
          </w:p>
        </w:tc>
        <w:tc>
          <w:tcPr>
            <w:tcW w:w="539" w:type="dxa"/>
            <w:tcBorders>
              <w:top w:val="nil"/>
              <w:left w:val="nil"/>
              <w:bottom w:val="nil"/>
              <w:right w:val="nil"/>
            </w:tcBorders>
            <w:shd w:val="clear" w:color="auto" w:fill="auto"/>
            <w:noWrap/>
            <w:vAlign w:val="center"/>
          </w:tcPr>
          <w:p w14:paraId="69A3C60D">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992" w:type="dxa"/>
            <w:tcBorders>
              <w:top w:val="nil"/>
              <w:left w:val="nil"/>
              <w:bottom w:val="nil"/>
              <w:right w:val="nil"/>
            </w:tcBorders>
            <w:shd w:val="clear" w:color="auto" w:fill="auto"/>
            <w:noWrap/>
            <w:vAlign w:val="center"/>
          </w:tcPr>
          <w:p w14:paraId="550AA2B2">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1.371</w:t>
            </w:r>
          </w:p>
        </w:tc>
        <w:tc>
          <w:tcPr>
            <w:tcW w:w="881" w:type="dxa"/>
            <w:tcBorders>
              <w:top w:val="nil"/>
              <w:left w:val="nil"/>
              <w:bottom w:val="nil"/>
              <w:right w:val="nil"/>
            </w:tcBorders>
            <w:shd w:val="clear" w:color="auto" w:fill="auto"/>
            <w:noWrap/>
            <w:vAlign w:val="center"/>
          </w:tcPr>
          <w:p w14:paraId="2E654F1A">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0.246</w:t>
            </w:r>
          </w:p>
        </w:tc>
        <w:tc>
          <w:tcPr>
            <w:tcW w:w="992" w:type="dxa"/>
            <w:tcBorders>
              <w:top w:val="nil"/>
              <w:left w:val="nil"/>
              <w:bottom w:val="nil"/>
              <w:right w:val="nil"/>
            </w:tcBorders>
            <w:shd w:val="clear" w:color="auto" w:fill="auto"/>
            <w:noWrap/>
            <w:vAlign w:val="center"/>
          </w:tcPr>
          <w:p w14:paraId="3F2B5CF8">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0.022</w:t>
            </w:r>
          </w:p>
        </w:tc>
      </w:tr>
      <w:tr w14:paraId="075E6B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724" w:type="dxa"/>
            <w:tcBorders>
              <w:top w:val="nil"/>
              <w:left w:val="nil"/>
              <w:bottom w:val="nil"/>
              <w:right w:val="nil"/>
            </w:tcBorders>
            <w:shd w:val="clear" w:color="auto" w:fill="auto"/>
            <w:noWrap/>
            <w:vAlign w:val="center"/>
          </w:tcPr>
          <w:p w14:paraId="517C76E7">
            <w:pPr>
              <w:rPr>
                <w:rFonts w:hint="eastAsia" w:ascii="宋体" w:hAnsi="宋体" w:eastAsia="宋体" w:cs="宋体"/>
                <w:i w:val="0"/>
                <w:iCs w:val="0"/>
                <w:color w:val="000000"/>
                <w:sz w:val="20"/>
                <w:szCs w:val="20"/>
                <w:u w:val="none"/>
              </w:rPr>
            </w:pPr>
          </w:p>
        </w:tc>
        <w:tc>
          <w:tcPr>
            <w:tcW w:w="3663" w:type="dxa"/>
            <w:tcBorders>
              <w:top w:val="nil"/>
              <w:left w:val="nil"/>
              <w:bottom w:val="nil"/>
              <w:right w:val="nil"/>
            </w:tcBorders>
            <w:shd w:val="clear" w:color="auto" w:fill="auto"/>
            <w:noWrap/>
            <w:vAlign w:val="center"/>
          </w:tcPr>
          <w:p w14:paraId="3BB41DFC">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Consistency*Perspective*Group</w:t>
            </w:r>
          </w:p>
        </w:tc>
        <w:tc>
          <w:tcPr>
            <w:tcW w:w="539" w:type="dxa"/>
            <w:tcBorders>
              <w:top w:val="nil"/>
              <w:left w:val="nil"/>
              <w:bottom w:val="nil"/>
              <w:right w:val="nil"/>
            </w:tcBorders>
            <w:shd w:val="clear" w:color="auto" w:fill="auto"/>
            <w:noWrap/>
            <w:vAlign w:val="center"/>
          </w:tcPr>
          <w:p w14:paraId="75DC69F1">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992" w:type="dxa"/>
            <w:tcBorders>
              <w:top w:val="nil"/>
              <w:left w:val="nil"/>
              <w:bottom w:val="nil"/>
              <w:right w:val="nil"/>
            </w:tcBorders>
            <w:shd w:val="clear" w:color="auto" w:fill="auto"/>
            <w:noWrap/>
            <w:vAlign w:val="center"/>
          </w:tcPr>
          <w:p w14:paraId="10D29815">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2.327</w:t>
            </w:r>
          </w:p>
        </w:tc>
        <w:tc>
          <w:tcPr>
            <w:tcW w:w="881" w:type="dxa"/>
            <w:tcBorders>
              <w:top w:val="nil"/>
              <w:left w:val="nil"/>
              <w:bottom w:val="nil"/>
              <w:right w:val="nil"/>
            </w:tcBorders>
            <w:shd w:val="clear" w:color="auto" w:fill="auto"/>
            <w:noWrap/>
            <w:vAlign w:val="center"/>
          </w:tcPr>
          <w:p w14:paraId="4FC12274">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0.132</w:t>
            </w:r>
          </w:p>
        </w:tc>
        <w:tc>
          <w:tcPr>
            <w:tcW w:w="992" w:type="dxa"/>
            <w:tcBorders>
              <w:top w:val="nil"/>
              <w:left w:val="nil"/>
              <w:bottom w:val="nil"/>
              <w:right w:val="nil"/>
            </w:tcBorders>
            <w:shd w:val="clear" w:color="auto" w:fill="auto"/>
            <w:noWrap/>
            <w:vAlign w:val="center"/>
          </w:tcPr>
          <w:p w14:paraId="4F4FBB89">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0.037</w:t>
            </w:r>
          </w:p>
        </w:tc>
      </w:tr>
      <w:tr w14:paraId="748B4D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724" w:type="dxa"/>
            <w:tcBorders>
              <w:top w:val="nil"/>
              <w:left w:val="nil"/>
              <w:bottom w:val="nil"/>
              <w:right w:val="nil"/>
            </w:tcBorders>
            <w:shd w:val="clear" w:color="auto" w:fill="auto"/>
            <w:noWrap/>
            <w:vAlign w:val="center"/>
          </w:tcPr>
          <w:p w14:paraId="122F7539">
            <w:pPr>
              <w:rPr>
                <w:rFonts w:hint="eastAsia" w:ascii="宋体" w:hAnsi="宋体" w:eastAsia="宋体" w:cs="宋体"/>
                <w:i w:val="0"/>
                <w:iCs w:val="0"/>
                <w:color w:val="000000"/>
                <w:sz w:val="20"/>
                <w:szCs w:val="20"/>
                <w:u w:val="none"/>
              </w:rPr>
            </w:pPr>
          </w:p>
        </w:tc>
        <w:tc>
          <w:tcPr>
            <w:tcW w:w="3663" w:type="dxa"/>
            <w:tcBorders>
              <w:top w:val="nil"/>
              <w:left w:val="nil"/>
              <w:bottom w:val="nil"/>
              <w:right w:val="nil"/>
            </w:tcBorders>
            <w:shd w:val="clear" w:color="auto" w:fill="auto"/>
            <w:noWrap/>
            <w:vAlign w:val="center"/>
          </w:tcPr>
          <w:p w14:paraId="338C86F3">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Residuals</w:t>
            </w:r>
          </w:p>
        </w:tc>
        <w:tc>
          <w:tcPr>
            <w:tcW w:w="539" w:type="dxa"/>
            <w:tcBorders>
              <w:top w:val="nil"/>
              <w:left w:val="nil"/>
              <w:bottom w:val="nil"/>
              <w:right w:val="nil"/>
            </w:tcBorders>
            <w:shd w:val="clear" w:color="auto" w:fill="auto"/>
            <w:noWrap/>
            <w:vAlign w:val="center"/>
          </w:tcPr>
          <w:p w14:paraId="3D1FE541">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60</w:t>
            </w:r>
          </w:p>
        </w:tc>
        <w:tc>
          <w:tcPr>
            <w:tcW w:w="992" w:type="dxa"/>
            <w:tcBorders>
              <w:top w:val="nil"/>
              <w:left w:val="nil"/>
              <w:bottom w:val="nil"/>
              <w:right w:val="nil"/>
            </w:tcBorders>
            <w:shd w:val="clear" w:color="auto" w:fill="auto"/>
            <w:noWrap/>
            <w:vAlign w:val="center"/>
          </w:tcPr>
          <w:p w14:paraId="7FA60E93">
            <w:pPr>
              <w:jc w:val="right"/>
              <w:rPr>
                <w:rFonts w:hint="default" w:ascii="Times New Roman" w:hAnsi="Times New Roman" w:eastAsia="宋体" w:cs="Times New Roman"/>
                <w:i w:val="0"/>
                <w:iCs w:val="0"/>
                <w:color w:val="000000"/>
                <w:sz w:val="20"/>
                <w:szCs w:val="20"/>
                <w:u w:val="none"/>
              </w:rPr>
            </w:pPr>
          </w:p>
        </w:tc>
        <w:tc>
          <w:tcPr>
            <w:tcW w:w="881" w:type="dxa"/>
            <w:tcBorders>
              <w:top w:val="nil"/>
              <w:left w:val="nil"/>
              <w:bottom w:val="nil"/>
              <w:right w:val="nil"/>
            </w:tcBorders>
            <w:shd w:val="clear" w:color="auto" w:fill="auto"/>
            <w:noWrap/>
            <w:vAlign w:val="center"/>
          </w:tcPr>
          <w:p w14:paraId="5FD197CC">
            <w:pPr>
              <w:rPr>
                <w:rFonts w:hint="default" w:ascii="Times New Roman" w:hAnsi="Times New Roman" w:eastAsia="宋体" w:cs="Times New Roman"/>
                <w:i w:val="0"/>
                <w:iCs w:val="0"/>
                <w:color w:val="000000"/>
                <w:sz w:val="20"/>
                <w:szCs w:val="20"/>
                <w:u w:val="none"/>
              </w:rPr>
            </w:pPr>
          </w:p>
        </w:tc>
        <w:tc>
          <w:tcPr>
            <w:tcW w:w="992" w:type="dxa"/>
            <w:tcBorders>
              <w:top w:val="nil"/>
              <w:left w:val="nil"/>
              <w:bottom w:val="nil"/>
              <w:right w:val="nil"/>
            </w:tcBorders>
            <w:shd w:val="clear" w:color="auto" w:fill="auto"/>
            <w:noWrap/>
            <w:vAlign w:val="center"/>
          </w:tcPr>
          <w:p w14:paraId="50467623">
            <w:pPr>
              <w:rPr>
                <w:rFonts w:hint="default" w:ascii="Times New Roman" w:hAnsi="Times New Roman" w:eastAsia="宋体" w:cs="Times New Roman"/>
                <w:i w:val="0"/>
                <w:iCs w:val="0"/>
                <w:color w:val="000000"/>
                <w:sz w:val="20"/>
                <w:szCs w:val="20"/>
                <w:u w:val="none"/>
              </w:rPr>
            </w:pPr>
          </w:p>
        </w:tc>
      </w:tr>
      <w:tr w14:paraId="750C68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724" w:type="dxa"/>
            <w:tcBorders>
              <w:top w:val="nil"/>
              <w:left w:val="nil"/>
              <w:bottom w:val="nil"/>
              <w:right w:val="nil"/>
            </w:tcBorders>
            <w:shd w:val="clear" w:color="auto" w:fill="auto"/>
            <w:noWrap/>
            <w:vAlign w:val="center"/>
          </w:tcPr>
          <w:p w14:paraId="17BB3B31">
            <w:pPr>
              <w:rPr>
                <w:rFonts w:hint="eastAsia" w:ascii="宋体" w:hAnsi="宋体" w:eastAsia="宋体" w:cs="宋体"/>
                <w:i w:val="0"/>
                <w:iCs w:val="0"/>
                <w:color w:val="000000"/>
                <w:sz w:val="20"/>
                <w:szCs w:val="20"/>
                <w:u w:val="none"/>
              </w:rPr>
            </w:pPr>
          </w:p>
        </w:tc>
        <w:tc>
          <w:tcPr>
            <w:tcW w:w="3663" w:type="dxa"/>
            <w:tcBorders>
              <w:top w:val="nil"/>
              <w:left w:val="nil"/>
              <w:bottom w:val="nil"/>
              <w:right w:val="nil"/>
            </w:tcBorders>
            <w:shd w:val="clear" w:color="auto" w:fill="auto"/>
            <w:noWrap/>
            <w:vAlign w:val="center"/>
          </w:tcPr>
          <w:p w14:paraId="2341ED64">
            <w:pPr>
              <w:rPr>
                <w:rFonts w:hint="default" w:ascii="Times New Roman" w:hAnsi="Times New Roman" w:eastAsia="宋体" w:cs="Times New Roman"/>
                <w:i w:val="0"/>
                <w:iCs w:val="0"/>
                <w:color w:val="000000"/>
                <w:sz w:val="20"/>
                <w:szCs w:val="20"/>
                <w:u w:val="none"/>
              </w:rPr>
            </w:pPr>
          </w:p>
        </w:tc>
        <w:tc>
          <w:tcPr>
            <w:tcW w:w="539" w:type="dxa"/>
            <w:tcBorders>
              <w:top w:val="nil"/>
              <w:left w:val="nil"/>
              <w:bottom w:val="nil"/>
              <w:right w:val="nil"/>
            </w:tcBorders>
            <w:shd w:val="clear" w:color="auto" w:fill="auto"/>
            <w:noWrap/>
            <w:vAlign w:val="center"/>
          </w:tcPr>
          <w:p w14:paraId="1BB814D5">
            <w:pPr>
              <w:rPr>
                <w:rFonts w:hint="default" w:ascii="Times New Roman" w:hAnsi="Times New Roman" w:eastAsia="宋体" w:cs="Times New Roman"/>
                <w:i w:val="0"/>
                <w:iCs w:val="0"/>
                <w:color w:val="000000"/>
                <w:sz w:val="20"/>
                <w:szCs w:val="20"/>
                <w:u w:val="none"/>
              </w:rPr>
            </w:pPr>
          </w:p>
        </w:tc>
        <w:tc>
          <w:tcPr>
            <w:tcW w:w="992" w:type="dxa"/>
            <w:tcBorders>
              <w:top w:val="nil"/>
              <w:left w:val="nil"/>
              <w:bottom w:val="nil"/>
              <w:right w:val="nil"/>
            </w:tcBorders>
            <w:shd w:val="clear" w:color="auto" w:fill="auto"/>
            <w:noWrap/>
            <w:vAlign w:val="center"/>
          </w:tcPr>
          <w:p w14:paraId="7FFC2CB8">
            <w:pPr>
              <w:jc w:val="right"/>
              <w:rPr>
                <w:rFonts w:hint="default" w:ascii="Times New Roman" w:hAnsi="Times New Roman" w:eastAsia="宋体" w:cs="Times New Roman"/>
                <w:i w:val="0"/>
                <w:iCs w:val="0"/>
                <w:color w:val="000000"/>
                <w:sz w:val="20"/>
                <w:szCs w:val="20"/>
                <w:u w:val="none"/>
              </w:rPr>
            </w:pPr>
          </w:p>
        </w:tc>
        <w:tc>
          <w:tcPr>
            <w:tcW w:w="881" w:type="dxa"/>
            <w:tcBorders>
              <w:top w:val="nil"/>
              <w:left w:val="nil"/>
              <w:bottom w:val="nil"/>
              <w:right w:val="nil"/>
            </w:tcBorders>
            <w:shd w:val="clear" w:color="auto" w:fill="auto"/>
            <w:noWrap/>
            <w:vAlign w:val="center"/>
          </w:tcPr>
          <w:p w14:paraId="7259A8D9">
            <w:pPr>
              <w:rPr>
                <w:rFonts w:hint="default" w:ascii="Times New Roman" w:hAnsi="Times New Roman" w:eastAsia="宋体" w:cs="Times New Roman"/>
                <w:i w:val="0"/>
                <w:iCs w:val="0"/>
                <w:color w:val="000000"/>
                <w:sz w:val="20"/>
                <w:szCs w:val="20"/>
                <w:u w:val="none"/>
              </w:rPr>
            </w:pPr>
          </w:p>
        </w:tc>
        <w:tc>
          <w:tcPr>
            <w:tcW w:w="992" w:type="dxa"/>
            <w:tcBorders>
              <w:top w:val="nil"/>
              <w:left w:val="nil"/>
              <w:bottom w:val="nil"/>
              <w:right w:val="nil"/>
            </w:tcBorders>
            <w:shd w:val="clear" w:color="auto" w:fill="auto"/>
            <w:noWrap/>
            <w:vAlign w:val="center"/>
          </w:tcPr>
          <w:p w14:paraId="5801F6E6">
            <w:pPr>
              <w:rPr>
                <w:rFonts w:hint="default" w:ascii="Times New Roman" w:hAnsi="Times New Roman" w:eastAsia="宋体" w:cs="Times New Roman"/>
                <w:i w:val="0"/>
                <w:iCs w:val="0"/>
                <w:color w:val="000000"/>
                <w:sz w:val="20"/>
                <w:szCs w:val="20"/>
                <w:u w:val="none"/>
              </w:rPr>
            </w:pPr>
          </w:p>
        </w:tc>
      </w:tr>
      <w:tr w14:paraId="5B56D1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724" w:type="dxa"/>
            <w:tcBorders>
              <w:top w:val="nil"/>
              <w:left w:val="nil"/>
              <w:bottom w:val="nil"/>
              <w:right w:val="nil"/>
            </w:tcBorders>
            <w:shd w:val="clear" w:color="auto" w:fill="auto"/>
            <w:noWrap/>
            <w:vAlign w:val="center"/>
          </w:tcPr>
          <w:p w14:paraId="063BFDCF">
            <w:pPr>
              <w:keepNext w:val="0"/>
              <w:keepLines w:val="0"/>
              <w:widowControl/>
              <w:suppressLineNumbers w:val="0"/>
              <w:jc w:val="lef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Beta power</w:t>
            </w:r>
          </w:p>
        </w:tc>
        <w:tc>
          <w:tcPr>
            <w:tcW w:w="3663" w:type="dxa"/>
            <w:tcBorders>
              <w:top w:val="nil"/>
              <w:left w:val="nil"/>
              <w:bottom w:val="nil"/>
              <w:right w:val="nil"/>
            </w:tcBorders>
            <w:shd w:val="clear" w:color="auto" w:fill="auto"/>
            <w:noWrap/>
            <w:vAlign w:val="center"/>
          </w:tcPr>
          <w:p w14:paraId="009AC7E4">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Consistency</w:t>
            </w:r>
          </w:p>
        </w:tc>
        <w:tc>
          <w:tcPr>
            <w:tcW w:w="539" w:type="dxa"/>
            <w:tcBorders>
              <w:top w:val="nil"/>
              <w:left w:val="nil"/>
              <w:bottom w:val="nil"/>
              <w:right w:val="nil"/>
            </w:tcBorders>
            <w:shd w:val="clear" w:color="auto" w:fill="auto"/>
            <w:noWrap/>
            <w:vAlign w:val="center"/>
          </w:tcPr>
          <w:p w14:paraId="41E81C9A">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992" w:type="dxa"/>
            <w:tcBorders>
              <w:top w:val="nil"/>
              <w:left w:val="nil"/>
              <w:bottom w:val="nil"/>
              <w:right w:val="nil"/>
            </w:tcBorders>
            <w:shd w:val="clear" w:color="auto" w:fill="auto"/>
            <w:noWrap/>
            <w:vAlign w:val="center"/>
          </w:tcPr>
          <w:p w14:paraId="5635946B">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0.554</w:t>
            </w:r>
          </w:p>
        </w:tc>
        <w:tc>
          <w:tcPr>
            <w:tcW w:w="881" w:type="dxa"/>
            <w:tcBorders>
              <w:top w:val="nil"/>
              <w:left w:val="nil"/>
              <w:bottom w:val="nil"/>
              <w:right w:val="nil"/>
            </w:tcBorders>
            <w:shd w:val="clear" w:color="auto" w:fill="auto"/>
            <w:noWrap/>
            <w:vAlign w:val="center"/>
          </w:tcPr>
          <w:p w14:paraId="7D0D940A">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0.460</w:t>
            </w:r>
          </w:p>
        </w:tc>
        <w:tc>
          <w:tcPr>
            <w:tcW w:w="992" w:type="dxa"/>
            <w:tcBorders>
              <w:top w:val="nil"/>
              <w:left w:val="nil"/>
              <w:bottom w:val="nil"/>
              <w:right w:val="nil"/>
            </w:tcBorders>
            <w:shd w:val="clear" w:color="auto" w:fill="auto"/>
            <w:noWrap/>
            <w:vAlign w:val="center"/>
          </w:tcPr>
          <w:p w14:paraId="126EC468">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0.009</w:t>
            </w:r>
          </w:p>
        </w:tc>
      </w:tr>
      <w:tr w14:paraId="02BA59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724" w:type="dxa"/>
            <w:tcBorders>
              <w:top w:val="nil"/>
              <w:left w:val="nil"/>
              <w:bottom w:val="nil"/>
              <w:right w:val="nil"/>
            </w:tcBorders>
            <w:shd w:val="clear" w:color="auto" w:fill="auto"/>
            <w:noWrap/>
            <w:vAlign w:val="center"/>
          </w:tcPr>
          <w:p w14:paraId="6B469B2A">
            <w:pPr>
              <w:rPr>
                <w:rFonts w:hint="eastAsia" w:ascii="宋体" w:hAnsi="宋体" w:eastAsia="宋体" w:cs="宋体"/>
                <w:i w:val="0"/>
                <w:iCs w:val="0"/>
                <w:color w:val="000000"/>
                <w:sz w:val="20"/>
                <w:szCs w:val="20"/>
                <w:u w:val="none"/>
              </w:rPr>
            </w:pPr>
          </w:p>
        </w:tc>
        <w:tc>
          <w:tcPr>
            <w:tcW w:w="3663" w:type="dxa"/>
            <w:tcBorders>
              <w:top w:val="nil"/>
              <w:left w:val="nil"/>
              <w:bottom w:val="nil"/>
              <w:right w:val="nil"/>
            </w:tcBorders>
            <w:shd w:val="clear" w:color="auto" w:fill="auto"/>
            <w:noWrap/>
            <w:vAlign w:val="center"/>
          </w:tcPr>
          <w:p w14:paraId="12FF8A44">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Perspective</w:t>
            </w:r>
          </w:p>
        </w:tc>
        <w:tc>
          <w:tcPr>
            <w:tcW w:w="539" w:type="dxa"/>
            <w:tcBorders>
              <w:top w:val="nil"/>
              <w:left w:val="nil"/>
              <w:bottom w:val="nil"/>
              <w:right w:val="nil"/>
            </w:tcBorders>
            <w:shd w:val="clear" w:color="auto" w:fill="auto"/>
            <w:noWrap/>
            <w:vAlign w:val="center"/>
          </w:tcPr>
          <w:p w14:paraId="1B560839">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992" w:type="dxa"/>
            <w:tcBorders>
              <w:top w:val="nil"/>
              <w:left w:val="nil"/>
              <w:bottom w:val="nil"/>
              <w:right w:val="nil"/>
            </w:tcBorders>
            <w:shd w:val="clear" w:color="auto" w:fill="auto"/>
            <w:noWrap/>
            <w:vAlign w:val="center"/>
          </w:tcPr>
          <w:p w14:paraId="3DF48D4D">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6.139</w:t>
            </w:r>
          </w:p>
        </w:tc>
        <w:tc>
          <w:tcPr>
            <w:tcW w:w="881" w:type="dxa"/>
            <w:tcBorders>
              <w:top w:val="nil"/>
              <w:left w:val="nil"/>
              <w:bottom w:val="nil"/>
              <w:right w:val="nil"/>
            </w:tcBorders>
            <w:shd w:val="clear" w:color="auto" w:fill="auto"/>
            <w:noWrap/>
            <w:vAlign w:val="center"/>
          </w:tcPr>
          <w:p w14:paraId="13289258">
            <w:pPr>
              <w:keepNext w:val="0"/>
              <w:keepLines w:val="0"/>
              <w:widowControl/>
              <w:suppressLineNumbers w:val="0"/>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0.016</w:t>
            </w:r>
          </w:p>
        </w:tc>
        <w:tc>
          <w:tcPr>
            <w:tcW w:w="992" w:type="dxa"/>
            <w:tcBorders>
              <w:top w:val="nil"/>
              <w:left w:val="nil"/>
              <w:bottom w:val="nil"/>
              <w:right w:val="nil"/>
            </w:tcBorders>
            <w:shd w:val="clear" w:color="auto" w:fill="auto"/>
            <w:noWrap/>
            <w:vAlign w:val="center"/>
          </w:tcPr>
          <w:p w14:paraId="39943B58">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0.093</w:t>
            </w:r>
          </w:p>
        </w:tc>
      </w:tr>
      <w:tr w14:paraId="42F807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724" w:type="dxa"/>
            <w:tcBorders>
              <w:top w:val="nil"/>
              <w:left w:val="nil"/>
              <w:bottom w:val="nil"/>
              <w:right w:val="nil"/>
            </w:tcBorders>
            <w:shd w:val="clear" w:color="auto" w:fill="auto"/>
            <w:noWrap/>
            <w:vAlign w:val="center"/>
          </w:tcPr>
          <w:p w14:paraId="64836EC0">
            <w:pPr>
              <w:rPr>
                <w:rFonts w:hint="eastAsia" w:ascii="宋体" w:hAnsi="宋体" w:eastAsia="宋体" w:cs="宋体"/>
                <w:i w:val="0"/>
                <w:iCs w:val="0"/>
                <w:color w:val="000000"/>
                <w:sz w:val="20"/>
                <w:szCs w:val="20"/>
                <w:u w:val="none"/>
              </w:rPr>
            </w:pPr>
          </w:p>
        </w:tc>
        <w:tc>
          <w:tcPr>
            <w:tcW w:w="3663" w:type="dxa"/>
            <w:tcBorders>
              <w:top w:val="nil"/>
              <w:left w:val="nil"/>
              <w:bottom w:val="nil"/>
              <w:right w:val="nil"/>
            </w:tcBorders>
            <w:shd w:val="clear" w:color="auto" w:fill="auto"/>
            <w:noWrap/>
            <w:vAlign w:val="center"/>
          </w:tcPr>
          <w:p w14:paraId="6C373062">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Group</w:t>
            </w:r>
          </w:p>
        </w:tc>
        <w:tc>
          <w:tcPr>
            <w:tcW w:w="539" w:type="dxa"/>
            <w:tcBorders>
              <w:top w:val="nil"/>
              <w:left w:val="nil"/>
              <w:bottom w:val="nil"/>
              <w:right w:val="nil"/>
            </w:tcBorders>
            <w:shd w:val="clear" w:color="auto" w:fill="auto"/>
            <w:noWrap/>
            <w:vAlign w:val="center"/>
          </w:tcPr>
          <w:p w14:paraId="47DBEBB1">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992" w:type="dxa"/>
            <w:tcBorders>
              <w:top w:val="nil"/>
              <w:left w:val="nil"/>
              <w:bottom w:val="nil"/>
              <w:right w:val="nil"/>
            </w:tcBorders>
            <w:shd w:val="clear" w:color="auto" w:fill="auto"/>
            <w:noWrap/>
            <w:vAlign w:val="center"/>
          </w:tcPr>
          <w:p w14:paraId="3F0E8D1A">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4.033</w:t>
            </w:r>
          </w:p>
        </w:tc>
        <w:tc>
          <w:tcPr>
            <w:tcW w:w="881" w:type="dxa"/>
            <w:tcBorders>
              <w:top w:val="nil"/>
              <w:left w:val="nil"/>
              <w:bottom w:val="nil"/>
              <w:right w:val="nil"/>
            </w:tcBorders>
            <w:shd w:val="clear" w:color="auto" w:fill="auto"/>
            <w:noWrap/>
            <w:vAlign w:val="center"/>
          </w:tcPr>
          <w:p w14:paraId="5D423718">
            <w:pPr>
              <w:keepNext w:val="0"/>
              <w:keepLines w:val="0"/>
              <w:widowControl/>
              <w:suppressLineNumbers w:val="0"/>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0.049</w:t>
            </w:r>
          </w:p>
        </w:tc>
        <w:tc>
          <w:tcPr>
            <w:tcW w:w="992" w:type="dxa"/>
            <w:tcBorders>
              <w:top w:val="nil"/>
              <w:left w:val="nil"/>
              <w:bottom w:val="nil"/>
              <w:right w:val="nil"/>
            </w:tcBorders>
            <w:shd w:val="clear" w:color="auto" w:fill="auto"/>
            <w:noWrap/>
            <w:vAlign w:val="center"/>
          </w:tcPr>
          <w:p w14:paraId="1F116BE4">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0.063</w:t>
            </w:r>
          </w:p>
        </w:tc>
      </w:tr>
      <w:tr w14:paraId="7B8C42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724" w:type="dxa"/>
            <w:tcBorders>
              <w:top w:val="nil"/>
              <w:left w:val="nil"/>
              <w:bottom w:val="nil"/>
              <w:right w:val="nil"/>
            </w:tcBorders>
            <w:shd w:val="clear" w:color="auto" w:fill="auto"/>
            <w:noWrap/>
            <w:vAlign w:val="center"/>
          </w:tcPr>
          <w:p w14:paraId="0F4E9D00">
            <w:pPr>
              <w:rPr>
                <w:rFonts w:hint="eastAsia" w:ascii="宋体" w:hAnsi="宋体" w:eastAsia="宋体" w:cs="宋体"/>
                <w:i w:val="0"/>
                <w:iCs w:val="0"/>
                <w:color w:val="000000"/>
                <w:sz w:val="20"/>
                <w:szCs w:val="20"/>
                <w:u w:val="none"/>
              </w:rPr>
            </w:pPr>
          </w:p>
        </w:tc>
        <w:tc>
          <w:tcPr>
            <w:tcW w:w="3663" w:type="dxa"/>
            <w:tcBorders>
              <w:top w:val="nil"/>
              <w:left w:val="nil"/>
              <w:bottom w:val="nil"/>
              <w:right w:val="nil"/>
            </w:tcBorders>
            <w:shd w:val="clear" w:color="auto" w:fill="auto"/>
            <w:noWrap/>
            <w:vAlign w:val="center"/>
          </w:tcPr>
          <w:p w14:paraId="50EAD848">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Consistency*Perspective</w:t>
            </w:r>
          </w:p>
        </w:tc>
        <w:tc>
          <w:tcPr>
            <w:tcW w:w="539" w:type="dxa"/>
            <w:tcBorders>
              <w:top w:val="nil"/>
              <w:left w:val="nil"/>
              <w:bottom w:val="nil"/>
              <w:right w:val="nil"/>
            </w:tcBorders>
            <w:shd w:val="clear" w:color="auto" w:fill="auto"/>
            <w:noWrap/>
            <w:vAlign w:val="center"/>
          </w:tcPr>
          <w:p w14:paraId="0F636CAC">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992" w:type="dxa"/>
            <w:tcBorders>
              <w:top w:val="nil"/>
              <w:left w:val="nil"/>
              <w:bottom w:val="nil"/>
              <w:right w:val="nil"/>
            </w:tcBorders>
            <w:shd w:val="clear" w:color="auto" w:fill="auto"/>
            <w:noWrap/>
            <w:vAlign w:val="center"/>
          </w:tcPr>
          <w:p w14:paraId="7EEC6774">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0.345</w:t>
            </w:r>
          </w:p>
        </w:tc>
        <w:tc>
          <w:tcPr>
            <w:tcW w:w="881" w:type="dxa"/>
            <w:tcBorders>
              <w:top w:val="nil"/>
              <w:left w:val="nil"/>
              <w:bottom w:val="nil"/>
              <w:right w:val="nil"/>
            </w:tcBorders>
            <w:shd w:val="clear" w:color="auto" w:fill="auto"/>
            <w:noWrap/>
            <w:vAlign w:val="center"/>
          </w:tcPr>
          <w:p w14:paraId="3DDD0B1F">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0.559</w:t>
            </w:r>
          </w:p>
        </w:tc>
        <w:tc>
          <w:tcPr>
            <w:tcW w:w="992" w:type="dxa"/>
            <w:tcBorders>
              <w:top w:val="nil"/>
              <w:left w:val="nil"/>
              <w:bottom w:val="nil"/>
              <w:right w:val="nil"/>
            </w:tcBorders>
            <w:shd w:val="clear" w:color="auto" w:fill="auto"/>
            <w:noWrap/>
            <w:vAlign w:val="center"/>
          </w:tcPr>
          <w:p w14:paraId="63F00448">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0.006</w:t>
            </w:r>
          </w:p>
        </w:tc>
      </w:tr>
      <w:tr w14:paraId="653C79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724" w:type="dxa"/>
            <w:tcBorders>
              <w:top w:val="nil"/>
              <w:left w:val="nil"/>
              <w:bottom w:val="nil"/>
              <w:right w:val="nil"/>
            </w:tcBorders>
            <w:shd w:val="clear" w:color="auto" w:fill="auto"/>
            <w:noWrap/>
            <w:vAlign w:val="center"/>
          </w:tcPr>
          <w:p w14:paraId="1924B734">
            <w:pPr>
              <w:rPr>
                <w:rFonts w:hint="eastAsia" w:ascii="宋体" w:hAnsi="宋体" w:eastAsia="宋体" w:cs="宋体"/>
                <w:i w:val="0"/>
                <w:iCs w:val="0"/>
                <w:color w:val="000000"/>
                <w:sz w:val="20"/>
                <w:szCs w:val="20"/>
                <w:u w:val="none"/>
              </w:rPr>
            </w:pPr>
          </w:p>
        </w:tc>
        <w:tc>
          <w:tcPr>
            <w:tcW w:w="3663" w:type="dxa"/>
            <w:tcBorders>
              <w:top w:val="nil"/>
              <w:left w:val="nil"/>
              <w:bottom w:val="nil"/>
              <w:right w:val="nil"/>
            </w:tcBorders>
            <w:shd w:val="clear" w:color="auto" w:fill="auto"/>
            <w:noWrap/>
            <w:vAlign w:val="center"/>
          </w:tcPr>
          <w:p w14:paraId="35F3014A">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Consistency*Group</w:t>
            </w:r>
          </w:p>
        </w:tc>
        <w:tc>
          <w:tcPr>
            <w:tcW w:w="539" w:type="dxa"/>
            <w:tcBorders>
              <w:top w:val="nil"/>
              <w:left w:val="nil"/>
              <w:bottom w:val="nil"/>
              <w:right w:val="nil"/>
            </w:tcBorders>
            <w:shd w:val="clear" w:color="auto" w:fill="auto"/>
            <w:noWrap/>
            <w:vAlign w:val="center"/>
          </w:tcPr>
          <w:p w14:paraId="76FF53A5">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992" w:type="dxa"/>
            <w:tcBorders>
              <w:top w:val="nil"/>
              <w:left w:val="nil"/>
              <w:bottom w:val="nil"/>
              <w:right w:val="nil"/>
            </w:tcBorders>
            <w:shd w:val="clear" w:color="auto" w:fill="auto"/>
            <w:noWrap/>
            <w:vAlign w:val="center"/>
          </w:tcPr>
          <w:p w14:paraId="5649C5E4">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0.300</w:t>
            </w:r>
          </w:p>
        </w:tc>
        <w:tc>
          <w:tcPr>
            <w:tcW w:w="881" w:type="dxa"/>
            <w:tcBorders>
              <w:top w:val="nil"/>
              <w:left w:val="nil"/>
              <w:bottom w:val="nil"/>
              <w:right w:val="nil"/>
            </w:tcBorders>
            <w:shd w:val="clear" w:color="auto" w:fill="auto"/>
            <w:noWrap/>
            <w:vAlign w:val="center"/>
          </w:tcPr>
          <w:p w14:paraId="5FE1C7B7">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0.586</w:t>
            </w:r>
          </w:p>
        </w:tc>
        <w:tc>
          <w:tcPr>
            <w:tcW w:w="992" w:type="dxa"/>
            <w:tcBorders>
              <w:top w:val="nil"/>
              <w:left w:val="nil"/>
              <w:bottom w:val="nil"/>
              <w:right w:val="nil"/>
            </w:tcBorders>
            <w:shd w:val="clear" w:color="auto" w:fill="auto"/>
            <w:noWrap/>
            <w:vAlign w:val="center"/>
          </w:tcPr>
          <w:p w14:paraId="7716E0A0">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0.005</w:t>
            </w:r>
          </w:p>
        </w:tc>
      </w:tr>
      <w:tr w14:paraId="49D17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724" w:type="dxa"/>
            <w:tcBorders>
              <w:top w:val="nil"/>
              <w:left w:val="nil"/>
              <w:bottom w:val="nil"/>
              <w:right w:val="nil"/>
            </w:tcBorders>
            <w:shd w:val="clear" w:color="auto" w:fill="auto"/>
            <w:noWrap/>
            <w:vAlign w:val="center"/>
          </w:tcPr>
          <w:p w14:paraId="0EB1739B">
            <w:pPr>
              <w:rPr>
                <w:rFonts w:hint="eastAsia" w:ascii="宋体" w:hAnsi="宋体" w:eastAsia="宋体" w:cs="宋体"/>
                <w:i w:val="0"/>
                <w:iCs w:val="0"/>
                <w:color w:val="000000"/>
                <w:sz w:val="20"/>
                <w:szCs w:val="20"/>
                <w:u w:val="none"/>
              </w:rPr>
            </w:pPr>
          </w:p>
        </w:tc>
        <w:tc>
          <w:tcPr>
            <w:tcW w:w="3663" w:type="dxa"/>
            <w:tcBorders>
              <w:top w:val="nil"/>
              <w:left w:val="nil"/>
              <w:bottom w:val="nil"/>
              <w:right w:val="nil"/>
            </w:tcBorders>
            <w:shd w:val="clear" w:color="auto" w:fill="auto"/>
            <w:noWrap/>
            <w:vAlign w:val="center"/>
          </w:tcPr>
          <w:p w14:paraId="3325378A">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Perspective*Group</w:t>
            </w:r>
          </w:p>
        </w:tc>
        <w:tc>
          <w:tcPr>
            <w:tcW w:w="539" w:type="dxa"/>
            <w:tcBorders>
              <w:top w:val="nil"/>
              <w:left w:val="nil"/>
              <w:bottom w:val="nil"/>
              <w:right w:val="nil"/>
            </w:tcBorders>
            <w:shd w:val="clear" w:color="auto" w:fill="auto"/>
            <w:noWrap/>
            <w:vAlign w:val="center"/>
          </w:tcPr>
          <w:p w14:paraId="597F3F3E">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992" w:type="dxa"/>
            <w:tcBorders>
              <w:top w:val="nil"/>
              <w:left w:val="nil"/>
              <w:bottom w:val="nil"/>
              <w:right w:val="nil"/>
            </w:tcBorders>
            <w:shd w:val="clear" w:color="auto" w:fill="auto"/>
            <w:noWrap/>
            <w:vAlign w:val="center"/>
          </w:tcPr>
          <w:p w14:paraId="4F1DDAFE">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9.501</w:t>
            </w:r>
          </w:p>
        </w:tc>
        <w:tc>
          <w:tcPr>
            <w:tcW w:w="881" w:type="dxa"/>
            <w:tcBorders>
              <w:top w:val="nil"/>
              <w:left w:val="nil"/>
              <w:bottom w:val="nil"/>
              <w:right w:val="nil"/>
            </w:tcBorders>
            <w:shd w:val="clear" w:color="auto" w:fill="auto"/>
            <w:noWrap/>
            <w:vAlign w:val="center"/>
          </w:tcPr>
          <w:p w14:paraId="31D3C941">
            <w:pPr>
              <w:keepNext w:val="0"/>
              <w:keepLines w:val="0"/>
              <w:widowControl/>
              <w:suppressLineNumbers w:val="0"/>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0.003</w:t>
            </w:r>
          </w:p>
        </w:tc>
        <w:tc>
          <w:tcPr>
            <w:tcW w:w="992" w:type="dxa"/>
            <w:tcBorders>
              <w:top w:val="nil"/>
              <w:left w:val="nil"/>
              <w:bottom w:val="nil"/>
              <w:right w:val="nil"/>
            </w:tcBorders>
            <w:shd w:val="clear" w:color="auto" w:fill="auto"/>
            <w:noWrap/>
            <w:vAlign w:val="center"/>
          </w:tcPr>
          <w:p w14:paraId="627E8128">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0.137</w:t>
            </w:r>
          </w:p>
        </w:tc>
      </w:tr>
      <w:tr w14:paraId="3EFC42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724" w:type="dxa"/>
            <w:tcBorders>
              <w:top w:val="nil"/>
              <w:left w:val="nil"/>
              <w:bottom w:val="nil"/>
              <w:right w:val="nil"/>
            </w:tcBorders>
            <w:shd w:val="clear" w:color="auto" w:fill="auto"/>
            <w:noWrap/>
            <w:vAlign w:val="center"/>
          </w:tcPr>
          <w:p w14:paraId="1C316CB9">
            <w:pPr>
              <w:rPr>
                <w:rFonts w:hint="eastAsia" w:ascii="宋体" w:hAnsi="宋体" w:eastAsia="宋体" w:cs="宋体"/>
                <w:i w:val="0"/>
                <w:iCs w:val="0"/>
                <w:color w:val="000000"/>
                <w:sz w:val="20"/>
                <w:szCs w:val="20"/>
                <w:u w:val="none"/>
              </w:rPr>
            </w:pPr>
          </w:p>
        </w:tc>
        <w:tc>
          <w:tcPr>
            <w:tcW w:w="3663" w:type="dxa"/>
            <w:tcBorders>
              <w:top w:val="nil"/>
              <w:left w:val="nil"/>
              <w:bottom w:val="nil"/>
              <w:right w:val="nil"/>
            </w:tcBorders>
            <w:shd w:val="clear" w:color="auto" w:fill="auto"/>
            <w:noWrap/>
            <w:vAlign w:val="center"/>
          </w:tcPr>
          <w:p w14:paraId="619A39E7">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Consistency*Perspective*Group</w:t>
            </w:r>
          </w:p>
        </w:tc>
        <w:tc>
          <w:tcPr>
            <w:tcW w:w="539" w:type="dxa"/>
            <w:tcBorders>
              <w:top w:val="nil"/>
              <w:left w:val="nil"/>
              <w:bottom w:val="nil"/>
              <w:right w:val="nil"/>
            </w:tcBorders>
            <w:shd w:val="clear" w:color="auto" w:fill="auto"/>
            <w:noWrap/>
            <w:vAlign w:val="center"/>
          </w:tcPr>
          <w:p w14:paraId="6FBBBEF2">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992" w:type="dxa"/>
            <w:tcBorders>
              <w:top w:val="nil"/>
              <w:left w:val="nil"/>
              <w:bottom w:val="nil"/>
              <w:right w:val="nil"/>
            </w:tcBorders>
            <w:shd w:val="clear" w:color="auto" w:fill="auto"/>
            <w:noWrap/>
            <w:vAlign w:val="center"/>
          </w:tcPr>
          <w:p w14:paraId="02E6118E">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0.030</w:t>
            </w:r>
          </w:p>
        </w:tc>
        <w:tc>
          <w:tcPr>
            <w:tcW w:w="881" w:type="dxa"/>
            <w:tcBorders>
              <w:top w:val="nil"/>
              <w:left w:val="nil"/>
              <w:bottom w:val="nil"/>
              <w:right w:val="nil"/>
            </w:tcBorders>
            <w:shd w:val="clear" w:color="auto" w:fill="auto"/>
            <w:noWrap/>
            <w:vAlign w:val="center"/>
          </w:tcPr>
          <w:p w14:paraId="7FCB830E">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0.864</w:t>
            </w:r>
          </w:p>
        </w:tc>
        <w:tc>
          <w:tcPr>
            <w:tcW w:w="992" w:type="dxa"/>
            <w:tcBorders>
              <w:top w:val="nil"/>
              <w:left w:val="nil"/>
              <w:bottom w:val="nil"/>
              <w:right w:val="nil"/>
            </w:tcBorders>
            <w:shd w:val="clear" w:color="auto" w:fill="auto"/>
            <w:noWrap/>
            <w:vAlign w:val="center"/>
          </w:tcPr>
          <w:p w14:paraId="3419D1D7">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0.0005</w:t>
            </w:r>
          </w:p>
        </w:tc>
      </w:tr>
      <w:tr w14:paraId="09DB54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724" w:type="dxa"/>
            <w:tcBorders>
              <w:top w:val="nil"/>
              <w:left w:val="nil"/>
              <w:bottom w:val="single" w:color="000000" w:sz="8" w:space="0"/>
              <w:right w:val="nil"/>
            </w:tcBorders>
            <w:shd w:val="clear" w:color="auto" w:fill="auto"/>
            <w:noWrap/>
            <w:vAlign w:val="center"/>
          </w:tcPr>
          <w:p w14:paraId="57EB201D">
            <w:pPr>
              <w:rPr>
                <w:rFonts w:hint="eastAsia" w:ascii="宋体" w:hAnsi="宋体" w:eastAsia="宋体" w:cs="宋体"/>
                <w:i w:val="0"/>
                <w:iCs w:val="0"/>
                <w:color w:val="000000"/>
                <w:sz w:val="20"/>
                <w:szCs w:val="20"/>
                <w:u w:val="none"/>
              </w:rPr>
            </w:pPr>
          </w:p>
        </w:tc>
        <w:tc>
          <w:tcPr>
            <w:tcW w:w="3663" w:type="dxa"/>
            <w:tcBorders>
              <w:top w:val="nil"/>
              <w:left w:val="nil"/>
              <w:bottom w:val="single" w:color="000000" w:sz="8" w:space="0"/>
              <w:right w:val="nil"/>
            </w:tcBorders>
            <w:shd w:val="clear" w:color="auto" w:fill="auto"/>
            <w:noWrap/>
            <w:vAlign w:val="center"/>
          </w:tcPr>
          <w:p w14:paraId="5CCC53F6">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Residuals</w:t>
            </w:r>
          </w:p>
        </w:tc>
        <w:tc>
          <w:tcPr>
            <w:tcW w:w="539" w:type="dxa"/>
            <w:tcBorders>
              <w:top w:val="nil"/>
              <w:left w:val="nil"/>
              <w:bottom w:val="single" w:color="000000" w:sz="8" w:space="0"/>
              <w:right w:val="nil"/>
            </w:tcBorders>
            <w:shd w:val="clear" w:color="auto" w:fill="auto"/>
            <w:noWrap/>
            <w:vAlign w:val="center"/>
          </w:tcPr>
          <w:p w14:paraId="0FA74464">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60</w:t>
            </w:r>
          </w:p>
        </w:tc>
        <w:tc>
          <w:tcPr>
            <w:tcW w:w="992" w:type="dxa"/>
            <w:tcBorders>
              <w:top w:val="nil"/>
              <w:left w:val="nil"/>
              <w:bottom w:val="single" w:color="000000" w:sz="8" w:space="0"/>
              <w:right w:val="nil"/>
            </w:tcBorders>
            <w:shd w:val="clear" w:color="auto" w:fill="auto"/>
            <w:noWrap/>
            <w:vAlign w:val="center"/>
          </w:tcPr>
          <w:p w14:paraId="536D249D">
            <w:pPr>
              <w:jc w:val="right"/>
              <w:rPr>
                <w:rFonts w:hint="default" w:ascii="Times New Roman" w:hAnsi="Times New Roman" w:eastAsia="宋体" w:cs="Times New Roman"/>
                <w:i w:val="0"/>
                <w:iCs w:val="0"/>
                <w:color w:val="000000"/>
                <w:sz w:val="20"/>
                <w:szCs w:val="20"/>
                <w:u w:val="none"/>
              </w:rPr>
            </w:pPr>
          </w:p>
        </w:tc>
        <w:tc>
          <w:tcPr>
            <w:tcW w:w="881" w:type="dxa"/>
            <w:tcBorders>
              <w:top w:val="nil"/>
              <w:left w:val="nil"/>
              <w:bottom w:val="single" w:color="000000" w:sz="8" w:space="0"/>
              <w:right w:val="nil"/>
            </w:tcBorders>
            <w:shd w:val="clear" w:color="auto" w:fill="auto"/>
            <w:noWrap/>
            <w:vAlign w:val="center"/>
          </w:tcPr>
          <w:p w14:paraId="692A369F">
            <w:pPr>
              <w:rPr>
                <w:rFonts w:hint="default" w:ascii="Times New Roman" w:hAnsi="Times New Roman" w:eastAsia="宋体" w:cs="Times New Roman"/>
                <w:i w:val="0"/>
                <w:iCs w:val="0"/>
                <w:color w:val="000000"/>
                <w:sz w:val="20"/>
                <w:szCs w:val="20"/>
                <w:u w:val="none"/>
              </w:rPr>
            </w:pPr>
          </w:p>
        </w:tc>
        <w:tc>
          <w:tcPr>
            <w:tcW w:w="992" w:type="dxa"/>
            <w:tcBorders>
              <w:top w:val="nil"/>
              <w:left w:val="nil"/>
              <w:bottom w:val="single" w:color="000000" w:sz="8" w:space="0"/>
              <w:right w:val="nil"/>
            </w:tcBorders>
            <w:shd w:val="clear" w:color="auto" w:fill="auto"/>
            <w:noWrap/>
            <w:vAlign w:val="center"/>
          </w:tcPr>
          <w:p w14:paraId="7B78F80B">
            <w:pPr>
              <w:rPr>
                <w:rFonts w:hint="default" w:ascii="Times New Roman" w:hAnsi="Times New Roman" w:eastAsia="宋体" w:cs="Times New Roman"/>
                <w:i w:val="0"/>
                <w:iCs w:val="0"/>
                <w:color w:val="000000"/>
                <w:sz w:val="20"/>
                <w:szCs w:val="20"/>
                <w:u w:val="none"/>
              </w:rPr>
            </w:pPr>
          </w:p>
        </w:tc>
      </w:tr>
    </w:tbl>
    <w:p w14:paraId="217EC84C"/>
    <w:p w14:paraId="119442CD"/>
    <w:p w14:paraId="3FB3A55B"/>
    <w:p w14:paraId="6BF6E119"/>
    <w:p w14:paraId="4EF77AE7"/>
    <w:p w14:paraId="373CA638"/>
    <w:p w14:paraId="4EAE4061"/>
    <w:p w14:paraId="109E6250"/>
    <w:p w14:paraId="4A182286"/>
    <w:p w14:paraId="33E7AB30"/>
    <w:p w14:paraId="527C526D"/>
    <w:p w14:paraId="599035DD"/>
    <w:tbl>
      <w:tblPr>
        <w:tblStyle w:val="2"/>
        <w:tblW w:w="860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624"/>
        <w:gridCol w:w="2032"/>
        <w:gridCol w:w="1122"/>
        <w:gridCol w:w="832"/>
        <w:gridCol w:w="772"/>
        <w:gridCol w:w="1223"/>
      </w:tblGrid>
      <w:tr w14:paraId="7412DB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8605" w:type="dxa"/>
            <w:gridSpan w:val="6"/>
            <w:tcBorders>
              <w:top w:val="nil"/>
              <w:left w:val="nil"/>
              <w:bottom w:val="nil"/>
              <w:right w:val="nil"/>
            </w:tcBorders>
            <w:shd w:val="clear" w:color="auto" w:fill="auto"/>
            <w:noWrap/>
            <w:vAlign w:val="center"/>
          </w:tcPr>
          <w:p w14:paraId="1AAFD2BD">
            <w:pPr>
              <w:keepNext w:val="0"/>
              <w:keepLines w:val="0"/>
              <w:widowControl/>
              <w:suppressLineNumbers w:val="0"/>
              <w:jc w:val="lef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Supplementary Table 6: Follow-up Analyses of EEG Data in Experiment 2</w:t>
            </w:r>
          </w:p>
        </w:tc>
      </w:tr>
      <w:tr w14:paraId="68CA42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2624" w:type="dxa"/>
            <w:tcBorders>
              <w:top w:val="single" w:color="000000" w:sz="8" w:space="0"/>
              <w:left w:val="nil"/>
              <w:bottom w:val="single" w:color="000000" w:sz="8" w:space="0"/>
              <w:right w:val="nil"/>
            </w:tcBorders>
            <w:shd w:val="clear" w:color="auto" w:fill="auto"/>
            <w:noWrap/>
            <w:vAlign w:val="center"/>
          </w:tcPr>
          <w:p w14:paraId="13D40615">
            <w:pPr>
              <w:rPr>
                <w:rFonts w:hint="default" w:ascii="Times New Roman" w:hAnsi="Times New Roman" w:eastAsia="宋体" w:cs="Times New Roman"/>
                <w:i w:val="0"/>
                <w:iCs w:val="0"/>
                <w:color w:val="000000"/>
                <w:sz w:val="20"/>
                <w:szCs w:val="20"/>
                <w:u w:val="none"/>
              </w:rPr>
            </w:pPr>
          </w:p>
        </w:tc>
        <w:tc>
          <w:tcPr>
            <w:tcW w:w="2032" w:type="dxa"/>
            <w:tcBorders>
              <w:top w:val="single" w:color="000000" w:sz="8" w:space="0"/>
              <w:left w:val="nil"/>
              <w:bottom w:val="single" w:color="000000" w:sz="8" w:space="0"/>
              <w:right w:val="nil"/>
            </w:tcBorders>
            <w:shd w:val="clear" w:color="auto" w:fill="auto"/>
            <w:noWrap/>
            <w:vAlign w:val="center"/>
          </w:tcPr>
          <w:p w14:paraId="7A28888A">
            <w:pPr>
              <w:keepNext w:val="0"/>
              <w:keepLines w:val="0"/>
              <w:widowControl/>
              <w:suppressLineNumbers w:val="0"/>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Comparisons</w:t>
            </w:r>
          </w:p>
        </w:tc>
        <w:tc>
          <w:tcPr>
            <w:tcW w:w="1122" w:type="dxa"/>
            <w:tcBorders>
              <w:top w:val="single" w:color="000000" w:sz="8" w:space="0"/>
              <w:left w:val="nil"/>
              <w:bottom w:val="single" w:color="000000" w:sz="8" w:space="0"/>
              <w:right w:val="nil"/>
            </w:tcBorders>
            <w:shd w:val="clear" w:color="auto" w:fill="auto"/>
            <w:noWrap/>
            <w:vAlign w:val="center"/>
          </w:tcPr>
          <w:p w14:paraId="7245B1CE">
            <w:pPr>
              <w:keepNext w:val="0"/>
              <w:keepLines w:val="0"/>
              <w:widowControl/>
              <w:suppressLineNumbers w:val="0"/>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Mean dif</w:t>
            </w:r>
          </w:p>
        </w:tc>
        <w:tc>
          <w:tcPr>
            <w:tcW w:w="832" w:type="dxa"/>
            <w:tcBorders>
              <w:top w:val="single" w:color="000000" w:sz="8" w:space="0"/>
              <w:left w:val="nil"/>
              <w:bottom w:val="single" w:color="000000" w:sz="8" w:space="0"/>
              <w:right w:val="nil"/>
            </w:tcBorders>
            <w:shd w:val="clear" w:color="auto" w:fill="auto"/>
            <w:noWrap/>
            <w:vAlign w:val="center"/>
          </w:tcPr>
          <w:p w14:paraId="5A36AA7D">
            <w:pPr>
              <w:keepNext w:val="0"/>
              <w:keepLines w:val="0"/>
              <w:widowControl/>
              <w:suppressLineNumbers w:val="0"/>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t</w:t>
            </w:r>
          </w:p>
        </w:tc>
        <w:tc>
          <w:tcPr>
            <w:tcW w:w="772" w:type="dxa"/>
            <w:tcBorders>
              <w:top w:val="single" w:color="000000" w:sz="8" w:space="0"/>
              <w:left w:val="nil"/>
              <w:bottom w:val="single" w:color="000000" w:sz="8" w:space="0"/>
              <w:right w:val="nil"/>
            </w:tcBorders>
            <w:shd w:val="clear" w:color="auto" w:fill="auto"/>
            <w:noWrap/>
            <w:vAlign w:val="center"/>
          </w:tcPr>
          <w:p w14:paraId="7781C8BD">
            <w:pPr>
              <w:keepNext w:val="0"/>
              <w:keepLines w:val="0"/>
              <w:widowControl/>
              <w:suppressLineNumbers w:val="0"/>
              <w:jc w:val="right"/>
              <w:textAlignment w:val="center"/>
              <w:rPr>
                <w:rFonts w:hint="default" w:ascii="Times New Roman" w:hAnsi="Times New Roman" w:eastAsia="宋体" w:cs="Times New Roman"/>
                <w:b/>
                <w:bCs/>
                <w:i/>
                <w:iCs/>
                <w:color w:val="000000"/>
                <w:sz w:val="20"/>
                <w:szCs w:val="20"/>
                <w:u w:val="none"/>
              </w:rPr>
            </w:pPr>
            <w:r>
              <w:rPr>
                <w:rFonts w:hint="default" w:ascii="Times New Roman" w:hAnsi="Times New Roman" w:eastAsia="宋体" w:cs="Times New Roman"/>
                <w:b/>
                <w:bCs/>
                <w:i/>
                <w:iCs/>
                <w:color w:val="000000"/>
                <w:kern w:val="0"/>
                <w:sz w:val="20"/>
                <w:szCs w:val="20"/>
                <w:u w:val="none"/>
                <w:lang w:val="en-US" w:eastAsia="zh-CN" w:bidi="ar"/>
              </w:rPr>
              <w:t>p</w:t>
            </w:r>
          </w:p>
        </w:tc>
        <w:tc>
          <w:tcPr>
            <w:tcW w:w="1223" w:type="dxa"/>
            <w:tcBorders>
              <w:top w:val="single" w:color="000000" w:sz="8" w:space="0"/>
              <w:left w:val="nil"/>
              <w:bottom w:val="single" w:color="000000" w:sz="8" w:space="0"/>
              <w:right w:val="nil"/>
            </w:tcBorders>
            <w:shd w:val="clear" w:color="auto" w:fill="auto"/>
            <w:noWrap/>
            <w:vAlign w:val="center"/>
          </w:tcPr>
          <w:p w14:paraId="1E006BDB">
            <w:pPr>
              <w:keepNext w:val="0"/>
              <w:keepLines w:val="0"/>
              <w:widowControl/>
              <w:suppressLineNumbers w:val="0"/>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Cohen’s d</w:t>
            </w:r>
          </w:p>
        </w:tc>
      </w:tr>
      <w:tr w14:paraId="45F371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2624" w:type="dxa"/>
            <w:tcBorders>
              <w:top w:val="nil"/>
              <w:left w:val="nil"/>
              <w:bottom w:val="nil"/>
              <w:right w:val="nil"/>
            </w:tcBorders>
            <w:shd w:val="clear" w:color="auto" w:fill="auto"/>
            <w:noWrap/>
            <w:vAlign w:val="center"/>
          </w:tcPr>
          <w:p w14:paraId="5A732690">
            <w:pPr>
              <w:keepNext w:val="0"/>
              <w:keepLines w:val="0"/>
              <w:widowControl/>
              <w:suppressLineNumbers w:val="0"/>
              <w:jc w:val="lef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P3 amplitude (Consistency*Perspective)</w:t>
            </w:r>
          </w:p>
        </w:tc>
        <w:tc>
          <w:tcPr>
            <w:tcW w:w="2032" w:type="dxa"/>
            <w:tcBorders>
              <w:top w:val="nil"/>
              <w:left w:val="nil"/>
              <w:bottom w:val="nil"/>
              <w:right w:val="nil"/>
            </w:tcBorders>
            <w:shd w:val="clear" w:color="auto" w:fill="auto"/>
            <w:vAlign w:val="center"/>
          </w:tcPr>
          <w:p w14:paraId="7226B576">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Self-Consistent vs.</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Self-Inconsistent</w:t>
            </w:r>
          </w:p>
        </w:tc>
        <w:tc>
          <w:tcPr>
            <w:tcW w:w="1122" w:type="dxa"/>
            <w:tcBorders>
              <w:top w:val="nil"/>
              <w:left w:val="nil"/>
              <w:bottom w:val="nil"/>
              <w:right w:val="nil"/>
            </w:tcBorders>
            <w:shd w:val="clear" w:color="auto" w:fill="auto"/>
            <w:noWrap/>
            <w:vAlign w:val="center"/>
          </w:tcPr>
          <w:p w14:paraId="63C813D7">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0.368</w:t>
            </w:r>
          </w:p>
        </w:tc>
        <w:tc>
          <w:tcPr>
            <w:tcW w:w="832" w:type="dxa"/>
            <w:tcBorders>
              <w:top w:val="nil"/>
              <w:left w:val="nil"/>
              <w:bottom w:val="nil"/>
              <w:right w:val="nil"/>
            </w:tcBorders>
            <w:shd w:val="clear" w:color="auto" w:fill="auto"/>
            <w:noWrap/>
            <w:vAlign w:val="center"/>
          </w:tcPr>
          <w:p w14:paraId="35A28910">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4.086</w:t>
            </w:r>
          </w:p>
        </w:tc>
        <w:tc>
          <w:tcPr>
            <w:tcW w:w="772" w:type="dxa"/>
            <w:tcBorders>
              <w:top w:val="nil"/>
              <w:left w:val="nil"/>
              <w:bottom w:val="nil"/>
              <w:right w:val="nil"/>
            </w:tcBorders>
            <w:shd w:val="clear" w:color="auto" w:fill="auto"/>
            <w:noWrap/>
            <w:vAlign w:val="center"/>
          </w:tcPr>
          <w:p w14:paraId="49DB4F0B">
            <w:pPr>
              <w:keepNext w:val="0"/>
              <w:keepLines w:val="0"/>
              <w:widowControl/>
              <w:suppressLineNumbers w:val="0"/>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&lt;.001</w:t>
            </w:r>
          </w:p>
        </w:tc>
        <w:tc>
          <w:tcPr>
            <w:tcW w:w="1223" w:type="dxa"/>
            <w:tcBorders>
              <w:top w:val="nil"/>
              <w:left w:val="nil"/>
              <w:bottom w:val="nil"/>
              <w:right w:val="nil"/>
            </w:tcBorders>
            <w:shd w:val="clear" w:color="auto" w:fill="auto"/>
            <w:noWrap/>
            <w:vAlign w:val="center"/>
          </w:tcPr>
          <w:p w14:paraId="4441E2DF">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0.247</w:t>
            </w:r>
          </w:p>
        </w:tc>
      </w:tr>
      <w:tr w14:paraId="003FC6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2624" w:type="dxa"/>
            <w:tcBorders>
              <w:top w:val="nil"/>
              <w:left w:val="nil"/>
              <w:bottom w:val="nil"/>
              <w:right w:val="nil"/>
            </w:tcBorders>
            <w:shd w:val="clear" w:color="auto" w:fill="auto"/>
            <w:noWrap/>
            <w:vAlign w:val="center"/>
          </w:tcPr>
          <w:p w14:paraId="55B3E100">
            <w:pPr>
              <w:rPr>
                <w:rFonts w:hint="default" w:ascii="Times New Roman" w:hAnsi="Times New Roman" w:eastAsia="宋体" w:cs="Times New Roman"/>
                <w:i w:val="0"/>
                <w:iCs w:val="0"/>
                <w:color w:val="000000"/>
                <w:sz w:val="20"/>
                <w:szCs w:val="20"/>
                <w:u w:val="none"/>
              </w:rPr>
            </w:pPr>
          </w:p>
        </w:tc>
        <w:tc>
          <w:tcPr>
            <w:tcW w:w="2032" w:type="dxa"/>
            <w:tcBorders>
              <w:top w:val="nil"/>
              <w:left w:val="nil"/>
              <w:bottom w:val="nil"/>
              <w:right w:val="nil"/>
            </w:tcBorders>
            <w:shd w:val="clear" w:color="auto" w:fill="auto"/>
            <w:vAlign w:val="center"/>
          </w:tcPr>
          <w:p w14:paraId="0E6AB04A">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Other-Consistent vs.</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Other-Inconsistent</w:t>
            </w:r>
          </w:p>
        </w:tc>
        <w:tc>
          <w:tcPr>
            <w:tcW w:w="1122" w:type="dxa"/>
            <w:tcBorders>
              <w:top w:val="nil"/>
              <w:left w:val="nil"/>
              <w:bottom w:val="nil"/>
              <w:right w:val="nil"/>
            </w:tcBorders>
            <w:shd w:val="clear" w:color="auto" w:fill="auto"/>
            <w:noWrap/>
            <w:vAlign w:val="center"/>
          </w:tcPr>
          <w:p w14:paraId="3B5E11FB">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1.083</w:t>
            </w:r>
          </w:p>
        </w:tc>
        <w:tc>
          <w:tcPr>
            <w:tcW w:w="832" w:type="dxa"/>
            <w:tcBorders>
              <w:top w:val="nil"/>
              <w:left w:val="nil"/>
              <w:bottom w:val="nil"/>
              <w:right w:val="nil"/>
            </w:tcBorders>
            <w:shd w:val="clear" w:color="auto" w:fill="auto"/>
            <w:noWrap/>
            <w:vAlign w:val="center"/>
          </w:tcPr>
          <w:p w14:paraId="48E828F6">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9.779</w:t>
            </w:r>
          </w:p>
        </w:tc>
        <w:tc>
          <w:tcPr>
            <w:tcW w:w="772" w:type="dxa"/>
            <w:tcBorders>
              <w:top w:val="nil"/>
              <w:left w:val="nil"/>
              <w:bottom w:val="nil"/>
              <w:right w:val="nil"/>
            </w:tcBorders>
            <w:shd w:val="clear" w:color="auto" w:fill="auto"/>
            <w:noWrap/>
            <w:vAlign w:val="center"/>
          </w:tcPr>
          <w:p w14:paraId="0102DA4F">
            <w:pPr>
              <w:keepNext w:val="0"/>
              <w:keepLines w:val="0"/>
              <w:widowControl/>
              <w:suppressLineNumbers w:val="0"/>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&lt;.001</w:t>
            </w:r>
          </w:p>
        </w:tc>
        <w:tc>
          <w:tcPr>
            <w:tcW w:w="1223" w:type="dxa"/>
            <w:tcBorders>
              <w:top w:val="nil"/>
              <w:left w:val="nil"/>
              <w:bottom w:val="nil"/>
              <w:right w:val="nil"/>
            </w:tcBorders>
            <w:shd w:val="clear" w:color="auto" w:fill="auto"/>
            <w:noWrap/>
            <w:vAlign w:val="center"/>
          </w:tcPr>
          <w:p w14:paraId="6C899587">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0.726</w:t>
            </w:r>
          </w:p>
        </w:tc>
      </w:tr>
      <w:tr w14:paraId="5B4130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2624" w:type="dxa"/>
            <w:tcBorders>
              <w:top w:val="nil"/>
              <w:left w:val="nil"/>
              <w:bottom w:val="nil"/>
              <w:right w:val="nil"/>
            </w:tcBorders>
            <w:shd w:val="clear" w:color="auto" w:fill="auto"/>
            <w:noWrap/>
            <w:vAlign w:val="center"/>
          </w:tcPr>
          <w:p w14:paraId="2BD47905">
            <w:pPr>
              <w:rPr>
                <w:rFonts w:hint="default" w:ascii="Times New Roman" w:hAnsi="Times New Roman" w:eastAsia="宋体" w:cs="Times New Roman"/>
                <w:i w:val="0"/>
                <w:iCs w:val="0"/>
                <w:color w:val="000000"/>
                <w:sz w:val="20"/>
                <w:szCs w:val="20"/>
                <w:u w:val="none"/>
              </w:rPr>
            </w:pPr>
          </w:p>
        </w:tc>
        <w:tc>
          <w:tcPr>
            <w:tcW w:w="2032" w:type="dxa"/>
            <w:tcBorders>
              <w:top w:val="nil"/>
              <w:left w:val="nil"/>
              <w:bottom w:val="nil"/>
              <w:right w:val="nil"/>
            </w:tcBorders>
            <w:shd w:val="clear" w:color="auto" w:fill="auto"/>
            <w:vAlign w:val="center"/>
          </w:tcPr>
          <w:p w14:paraId="360008FB">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Self-Consistent vs.</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Other-Consistent</w:t>
            </w:r>
          </w:p>
        </w:tc>
        <w:tc>
          <w:tcPr>
            <w:tcW w:w="1122" w:type="dxa"/>
            <w:tcBorders>
              <w:top w:val="nil"/>
              <w:left w:val="nil"/>
              <w:bottom w:val="nil"/>
              <w:right w:val="nil"/>
            </w:tcBorders>
            <w:shd w:val="clear" w:color="auto" w:fill="auto"/>
            <w:noWrap/>
            <w:vAlign w:val="center"/>
          </w:tcPr>
          <w:p w14:paraId="25B4F83A">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0.019</w:t>
            </w:r>
          </w:p>
        </w:tc>
        <w:tc>
          <w:tcPr>
            <w:tcW w:w="832" w:type="dxa"/>
            <w:tcBorders>
              <w:top w:val="nil"/>
              <w:left w:val="nil"/>
              <w:bottom w:val="nil"/>
              <w:right w:val="nil"/>
            </w:tcBorders>
            <w:shd w:val="clear" w:color="auto" w:fill="auto"/>
            <w:noWrap/>
            <w:vAlign w:val="center"/>
          </w:tcPr>
          <w:p w14:paraId="68C640A5">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0.234</w:t>
            </w:r>
          </w:p>
        </w:tc>
        <w:tc>
          <w:tcPr>
            <w:tcW w:w="772" w:type="dxa"/>
            <w:tcBorders>
              <w:top w:val="nil"/>
              <w:left w:val="nil"/>
              <w:bottom w:val="nil"/>
              <w:right w:val="nil"/>
            </w:tcBorders>
            <w:shd w:val="clear" w:color="auto" w:fill="auto"/>
            <w:noWrap/>
            <w:vAlign w:val="center"/>
          </w:tcPr>
          <w:p w14:paraId="73537771">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0.816</w:t>
            </w:r>
          </w:p>
        </w:tc>
        <w:tc>
          <w:tcPr>
            <w:tcW w:w="1223" w:type="dxa"/>
            <w:tcBorders>
              <w:top w:val="nil"/>
              <w:left w:val="nil"/>
              <w:bottom w:val="nil"/>
              <w:right w:val="nil"/>
            </w:tcBorders>
            <w:shd w:val="clear" w:color="auto" w:fill="auto"/>
            <w:noWrap/>
            <w:vAlign w:val="center"/>
          </w:tcPr>
          <w:p w14:paraId="2F16AC73">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0.012</w:t>
            </w:r>
          </w:p>
        </w:tc>
      </w:tr>
      <w:tr w14:paraId="1BB7AD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2624" w:type="dxa"/>
            <w:tcBorders>
              <w:top w:val="nil"/>
              <w:left w:val="nil"/>
              <w:bottom w:val="nil"/>
              <w:right w:val="nil"/>
            </w:tcBorders>
            <w:shd w:val="clear" w:color="auto" w:fill="auto"/>
            <w:noWrap/>
            <w:vAlign w:val="center"/>
          </w:tcPr>
          <w:p w14:paraId="2CEFECB0">
            <w:pPr>
              <w:rPr>
                <w:rFonts w:hint="default" w:ascii="Times New Roman" w:hAnsi="Times New Roman" w:eastAsia="宋体" w:cs="Times New Roman"/>
                <w:i w:val="0"/>
                <w:iCs w:val="0"/>
                <w:color w:val="000000"/>
                <w:sz w:val="20"/>
                <w:szCs w:val="20"/>
                <w:u w:val="none"/>
              </w:rPr>
            </w:pPr>
          </w:p>
        </w:tc>
        <w:tc>
          <w:tcPr>
            <w:tcW w:w="2032" w:type="dxa"/>
            <w:tcBorders>
              <w:top w:val="nil"/>
              <w:left w:val="nil"/>
              <w:bottom w:val="nil"/>
              <w:right w:val="nil"/>
            </w:tcBorders>
            <w:shd w:val="clear" w:color="auto" w:fill="auto"/>
            <w:vAlign w:val="center"/>
          </w:tcPr>
          <w:p w14:paraId="5C80D318">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Self-Inconsistent vs.</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Other-Inconsistent</w:t>
            </w:r>
          </w:p>
        </w:tc>
        <w:tc>
          <w:tcPr>
            <w:tcW w:w="1122" w:type="dxa"/>
            <w:tcBorders>
              <w:top w:val="nil"/>
              <w:left w:val="nil"/>
              <w:bottom w:val="nil"/>
              <w:right w:val="nil"/>
            </w:tcBorders>
            <w:shd w:val="clear" w:color="auto" w:fill="auto"/>
            <w:noWrap/>
            <w:vAlign w:val="center"/>
          </w:tcPr>
          <w:p w14:paraId="7431A2D2">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0.733</w:t>
            </w:r>
          </w:p>
        </w:tc>
        <w:tc>
          <w:tcPr>
            <w:tcW w:w="832" w:type="dxa"/>
            <w:tcBorders>
              <w:top w:val="nil"/>
              <w:left w:val="nil"/>
              <w:bottom w:val="nil"/>
              <w:right w:val="nil"/>
            </w:tcBorders>
            <w:shd w:val="clear" w:color="auto" w:fill="auto"/>
            <w:noWrap/>
            <w:vAlign w:val="center"/>
          </w:tcPr>
          <w:p w14:paraId="1DEF0168">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7.479</w:t>
            </w:r>
          </w:p>
        </w:tc>
        <w:tc>
          <w:tcPr>
            <w:tcW w:w="772" w:type="dxa"/>
            <w:tcBorders>
              <w:top w:val="nil"/>
              <w:left w:val="nil"/>
              <w:bottom w:val="nil"/>
              <w:right w:val="nil"/>
            </w:tcBorders>
            <w:shd w:val="clear" w:color="auto" w:fill="auto"/>
            <w:noWrap/>
            <w:vAlign w:val="center"/>
          </w:tcPr>
          <w:p w14:paraId="4E5E8613">
            <w:pPr>
              <w:keepNext w:val="0"/>
              <w:keepLines w:val="0"/>
              <w:widowControl/>
              <w:suppressLineNumbers w:val="0"/>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&lt;.001</w:t>
            </w:r>
          </w:p>
        </w:tc>
        <w:tc>
          <w:tcPr>
            <w:tcW w:w="1223" w:type="dxa"/>
            <w:tcBorders>
              <w:top w:val="nil"/>
              <w:left w:val="nil"/>
              <w:bottom w:val="nil"/>
              <w:right w:val="nil"/>
            </w:tcBorders>
            <w:shd w:val="clear" w:color="auto" w:fill="auto"/>
            <w:noWrap/>
            <w:vAlign w:val="center"/>
          </w:tcPr>
          <w:p w14:paraId="7FA2F8F9">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0.491</w:t>
            </w:r>
          </w:p>
        </w:tc>
      </w:tr>
      <w:tr w14:paraId="2093DE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2624" w:type="dxa"/>
            <w:tcBorders>
              <w:top w:val="nil"/>
              <w:left w:val="nil"/>
              <w:bottom w:val="nil"/>
              <w:right w:val="nil"/>
            </w:tcBorders>
            <w:shd w:val="clear" w:color="auto" w:fill="auto"/>
            <w:noWrap/>
            <w:vAlign w:val="center"/>
          </w:tcPr>
          <w:p w14:paraId="06CEF029">
            <w:pPr>
              <w:rPr>
                <w:rFonts w:hint="default" w:ascii="Times New Roman" w:hAnsi="Times New Roman" w:eastAsia="宋体" w:cs="Times New Roman"/>
                <w:i w:val="0"/>
                <w:iCs w:val="0"/>
                <w:color w:val="000000"/>
                <w:sz w:val="20"/>
                <w:szCs w:val="20"/>
                <w:u w:val="none"/>
              </w:rPr>
            </w:pPr>
          </w:p>
        </w:tc>
        <w:tc>
          <w:tcPr>
            <w:tcW w:w="2032" w:type="dxa"/>
            <w:tcBorders>
              <w:top w:val="nil"/>
              <w:left w:val="nil"/>
              <w:bottom w:val="nil"/>
              <w:right w:val="nil"/>
            </w:tcBorders>
            <w:shd w:val="clear" w:color="auto" w:fill="auto"/>
            <w:vAlign w:val="center"/>
          </w:tcPr>
          <w:p w14:paraId="1A3A42FC">
            <w:pPr>
              <w:rPr>
                <w:rFonts w:hint="default" w:ascii="Times New Roman" w:hAnsi="Times New Roman" w:eastAsia="宋体" w:cs="Times New Roman"/>
                <w:i w:val="0"/>
                <w:iCs w:val="0"/>
                <w:color w:val="000000"/>
                <w:sz w:val="20"/>
                <w:szCs w:val="20"/>
                <w:u w:val="none"/>
              </w:rPr>
            </w:pPr>
          </w:p>
        </w:tc>
        <w:tc>
          <w:tcPr>
            <w:tcW w:w="1122" w:type="dxa"/>
            <w:tcBorders>
              <w:top w:val="nil"/>
              <w:left w:val="nil"/>
              <w:bottom w:val="nil"/>
              <w:right w:val="nil"/>
            </w:tcBorders>
            <w:shd w:val="clear" w:color="auto" w:fill="auto"/>
            <w:noWrap/>
            <w:vAlign w:val="center"/>
          </w:tcPr>
          <w:p w14:paraId="630D03C4">
            <w:pPr>
              <w:rPr>
                <w:rFonts w:hint="default" w:ascii="Times New Roman" w:hAnsi="Times New Roman" w:eastAsia="宋体" w:cs="Times New Roman"/>
                <w:i w:val="0"/>
                <w:iCs w:val="0"/>
                <w:color w:val="000000"/>
                <w:sz w:val="20"/>
                <w:szCs w:val="20"/>
                <w:u w:val="none"/>
              </w:rPr>
            </w:pPr>
          </w:p>
        </w:tc>
        <w:tc>
          <w:tcPr>
            <w:tcW w:w="832" w:type="dxa"/>
            <w:tcBorders>
              <w:top w:val="nil"/>
              <w:left w:val="nil"/>
              <w:bottom w:val="nil"/>
              <w:right w:val="nil"/>
            </w:tcBorders>
            <w:shd w:val="clear" w:color="auto" w:fill="auto"/>
            <w:noWrap/>
            <w:vAlign w:val="center"/>
          </w:tcPr>
          <w:p w14:paraId="57BBB5B6">
            <w:pPr>
              <w:rPr>
                <w:rFonts w:hint="default" w:ascii="Times New Roman" w:hAnsi="Times New Roman" w:eastAsia="宋体" w:cs="Times New Roman"/>
                <w:i w:val="0"/>
                <w:iCs w:val="0"/>
                <w:color w:val="000000"/>
                <w:sz w:val="20"/>
                <w:szCs w:val="20"/>
                <w:u w:val="none"/>
              </w:rPr>
            </w:pPr>
          </w:p>
        </w:tc>
        <w:tc>
          <w:tcPr>
            <w:tcW w:w="772" w:type="dxa"/>
            <w:tcBorders>
              <w:top w:val="nil"/>
              <w:left w:val="nil"/>
              <w:bottom w:val="nil"/>
              <w:right w:val="nil"/>
            </w:tcBorders>
            <w:shd w:val="clear" w:color="auto" w:fill="auto"/>
            <w:noWrap/>
            <w:vAlign w:val="center"/>
          </w:tcPr>
          <w:p w14:paraId="4CA05E9D">
            <w:pPr>
              <w:rPr>
                <w:rFonts w:hint="default" w:ascii="Times New Roman" w:hAnsi="Times New Roman" w:eastAsia="宋体" w:cs="Times New Roman"/>
                <w:i w:val="0"/>
                <w:iCs w:val="0"/>
                <w:color w:val="000000"/>
                <w:sz w:val="20"/>
                <w:szCs w:val="20"/>
                <w:u w:val="none"/>
              </w:rPr>
            </w:pPr>
          </w:p>
        </w:tc>
        <w:tc>
          <w:tcPr>
            <w:tcW w:w="1223" w:type="dxa"/>
            <w:tcBorders>
              <w:top w:val="nil"/>
              <w:left w:val="nil"/>
              <w:bottom w:val="nil"/>
              <w:right w:val="nil"/>
            </w:tcBorders>
            <w:shd w:val="clear" w:color="auto" w:fill="auto"/>
            <w:noWrap/>
            <w:vAlign w:val="center"/>
          </w:tcPr>
          <w:p w14:paraId="7EFF9290">
            <w:pPr>
              <w:rPr>
                <w:rFonts w:hint="default" w:ascii="Times New Roman" w:hAnsi="Times New Roman" w:eastAsia="宋体" w:cs="Times New Roman"/>
                <w:i w:val="0"/>
                <w:iCs w:val="0"/>
                <w:color w:val="000000"/>
                <w:sz w:val="20"/>
                <w:szCs w:val="20"/>
                <w:u w:val="none"/>
              </w:rPr>
            </w:pPr>
          </w:p>
        </w:tc>
      </w:tr>
      <w:tr w14:paraId="713EBB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2624" w:type="dxa"/>
            <w:tcBorders>
              <w:top w:val="nil"/>
              <w:left w:val="nil"/>
              <w:bottom w:val="nil"/>
              <w:right w:val="nil"/>
            </w:tcBorders>
            <w:shd w:val="clear" w:color="auto" w:fill="auto"/>
            <w:noWrap/>
            <w:vAlign w:val="center"/>
          </w:tcPr>
          <w:p w14:paraId="031F771D">
            <w:pPr>
              <w:keepNext w:val="0"/>
              <w:keepLines w:val="0"/>
              <w:widowControl/>
              <w:suppressLineNumbers w:val="0"/>
              <w:jc w:val="lef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Beta power (Perspective*Group)</w:t>
            </w:r>
          </w:p>
        </w:tc>
        <w:tc>
          <w:tcPr>
            <w:tcW w:w="2032" w:type="dxa"/>
            <w:tcBorders>
              <w:top w:val="nil"/>
              <w:left w:val="nil"/>
              <w:bottom w:val="nil"/>
              <w:right w:val="nil"/>
            </w:tcBorders>
            <w:shd w:val="clear" w:color="auto" w:fill="auto"/>
            <w:vAlign w:val="center"/>
          </w:tcPr>
          <w:p w14:paraId="231CD7A1">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LL-Self vs.</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HL-Self</w:t>
            </w:r>
          </w:p>
        </w:tc>
        <w:tc>
          <w:tcPr>
            <w:tcW w:w="1122" w:type="dxa"/>
            <w:tcBorders>
              <w:top w:val="nil"/>
              <w:left w:val="nil"/>
              <w:bottom w:val="nil"/>
              <w:right w:val="nil"/>
            </w:tcBorders>
            <w:shd w:val="clear" w:color="auto" w:fill="auto"/>
            <w:noWrap/>
            <w:vAlign w:val="center"/>
          </w:tcPr>
          <w:p w14:paraId="0AC69918">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0.102</w:t>
            </w:r>
          </w:p>
        </w:tc>
        <w:tc>
          <w:tcPr>
            <w:tcW w:w="832" w:type="dxa"/>
            <w:tcBorders>
              <w:top w:val="nil"/>
              <w:left w:val="nil"/>
              <w:bottom w:val="nil"/>
              <w:right w:val="nil"/>
            </w:tcBorders>
            <w:shd w:val="clear" w:color="auto" w:fill="auto"/>
            <w:noWrap/>
            <w:vAlign w:val="center"/>
          </w:tcPr>
          <w:p w14:paraId="43E4A017">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2.549</w:t>
            </w:r>
          </w:p>
        </w:tc>
        <w:tc>
          <w:tcPr>
            <w:tcW w:w="772" w:type="dxa"/>
            <w:tcBorders>
              <w:top w:val="nil"/>
              <w:left w:val="nil"/>
              <w:bottom w:val="nil"/>
              <w:right w:val="nil"/>
            </w:tcBorders>
            <w:shd w:val="clear" w:color="auto" w:fill="auto"/>
            <w:noWrap/>
            <w:vAlign w:val="center"/>
          </w:tcPr>
          <w:p w14:paraId="4F81BAF4">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0.054</w:t>
            </w:r>
          </w:p>
        </w:tc>
        <w:tc>
          <w:tcPr>
            <w:tcW w:w="1223" w:type="dxa"/>
            <w:tcBorders>
              <w:top w:val="nil"/>
              <w:left w:val="nil"/>
              <w:bottom w:val="nil"/>
              <w:right w:val="nil"/>
            </w:tcBorders>
            <w:shd w:val="clear" w:color="auto" w:fill="auto"/>
            <w:noWrap/>
            <w:vAlign w:val="center"/>
          </w:tcPr>
          <w:p w14:paraId="294B87C6">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0.689</w:t>
            </w:r>
          </w:p>
        </w:tc>
      </w:tr>
      <w:tr w14:paraId="6D98F4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2624" w:type="dxa"/>
            <w:tcBorders>
              <w:top w:val="nil"/>
              <w:left w:val="nil"/>
              <w:bottom w:val="nil"/>
              <w:right w:val="nil"/>
            </w:tcBorders>
            <w:shd w:val="clear" w:color="auto" w:fill="auto"/>
            <w:noWrap/>
            <w:vAlign w:val="center"/>
          </w:tcPr>
          <w:p w14:paraId="7E276499">
            <w:pPr>
              <w:rPr>
                <w:rFonts w:hint="default" w:ascii="Times New Roman" w:hAnsi="Times New Roman" w:eastAsia="宋体" w:cs="Times New Roman"/>
                <w:i w:val="0"/>
                <w:iCs w:val="0"/>
                <w:color w:val="000000"/>
                <w:sz w:val="20"/>
                <w:szCs w:val="20"/>
                <w:u w:val="none"/>
              </w:rPr>
            </w:pPr>
          </w:p>
        </w:tc>
        <w:tc>
          <w:tcPr>
            <w:tcW w:w="2032" w:type="dxa"/>
            <w:tcBorders>
              <w:top w:val="nil"/>
              <w:left w:val="nil"/>
              <w:bottom w:val="nil"/>
              <w:right w:val="nil"/>
            </w:tcBorders>
            <w:shd w:val="clear" w:color="auto" w:fill="auto"/>
            <w:vAlign w:val="center"/>
          </w:tcPr>
          <w:p w14:paraId="056F7247">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LL-Other vs.</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HL-Other</w:t>
            </w:r>
          </w:p>
        </w:tc>
        <w:tc>
          <w:tcPr>
            <w:tcW w:w="1122" w:type="dxa"/>
            <w:tcBorders>
              <w:top w:val="nil"/>
              <w:left w:val="nil"/>
              <w:bottom w:val="nil"/>
              <w:right w:val="nil"/>
            </w:tcBorders>
            <w:shd w:val="clear" w:color="auto" w:fill="auto"/>
            <w:noWrap/>
            <w:vAlign w:val="center"/>
          </w:tcPr>
          <w:p w14:paraId="60F02904">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0.058</w:t>
            </w:r>
          </w:p>
        </w:tc>
        <w:tc>
          <w:tcPr>
            <w:tcW w:w="832" w:type="dxa"/>
            <w:tcBorders>
              <w:top w:val="nil"/>
              <w:left w:val="nil"/>
              <w:bottom w:val="nil"/>
              <w:right w:val="nil"/>
            </w:tcBorders>
            <w:shd w:val="clear" w:color="auto" w:fill="auto"/>
            <w:noWrap/>
            <w:vAlign w:val="center"/>
          </w:tcPr>
          <w:p w14:paraId="65FC2F01">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1.416</w:t>
            </w:r>
          </w:p>
        </w:tc>
        <w:tc>
          <w:tcPr>
            <w:tcW w:w="772" w:type="dxa"/>
            <w:tcBorders>
              <w:top w:val="nil"/>
              <w:left w:val="nil"/>
              <w:bottom w:val="nil"/>
              <w:right w:val="nil"/>
            </w:tcBorders>
            <w:shd w:val="clear" w:color="auto" w:fill="auto"/>
            <w:noWrap/>
            <w:vAlign w:val="center"/>
          </w:tcPr>
          <w:p w14:paraId="3A7D83C4">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0.486</w:t>
            </w:r>
          </w:p>
        </w:tc>
        <w:tc>
          <w:tcPr>
            <w:tcW w:w="1223" w:type="dxa"/>
            <w:tcBorders>
              <w:top w:val="nil"/>
              <w:left w:val="nil"/>
              <w:bottom w:val="nil"/>
              <w:right w:val="nil"/>
            </w:tcBorders>
            <w:shd w:val="clear" w:color="auto" w:fill="auto"/>
            <w:noWrap/>
            <w:vAlign w:val="center"/>
          </w:tcPr>
          <w:p w14:paraId="79043469">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0.391</w:t>
            </w:r>
          </w:p>
        </w:tc>
      </w:tr>
      <w:tr w14:paraId="3B9A05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2624" w:type="dxa"/>
            <w:tcBorders>
              <w:top w:val="nil"/>
              <w:left w:val="nil"/>
              <w:bottom w:val="nil"/>
              <w:right w:val="nil"/>
            </w:tcBorders>
            <w:shd w:val="clear" w:color="auto" w:fill="auto"/>
            <w:noWrap/>
            <w:vAlign w:val="center"/>
          </w:tcPr>
          <w:p w14:paraId="7FD7CE19">
            <w:pPr>
              <w:rPr>
                <w:rFonts w:hint="default" w:ascii="Times New Roman" w:hAnsi="Times New Roman" w:eastAsia="宋体" w:cs="Times New Roman"/>
                <w:i w:val="0"/>
                <w:iCs w:val="0"/>
                <w:color w:val="000000"/>
                <w:sz w:val="20"/>
                <w:szCs w:val="20"/>
                <w:u w:val="none"/>
              </w:rPr>
            </w:pPr>
          </w:p>
        </w:tc>
        <w:tc>
          <w:tcPr>
            <w:tcW w:w="2032" w:type="dxa"/>
            <w:tcBorders>
              <w:top w:val="nil"/>
              <w:left w:val="nil"/>
              <w:bottom w:val="nil"/>
              <w:right w:val="nil"/>
            </w:tcBorders>
            <w:shd w:val="clear" w:color="auto" w:fill="auto"/>
            <w:vAlign w:val="center"/>
          </w:tcPr>
          <w:p w14:paraId="5A2BDA28">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LL-Self vs.</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LL-Other</w:t>
            </w:r>
          </w:p>
        </w:tc>
        <w:tc>
          <w:tcPr>
            <w:tcW w:w="1122" w:type="dxa"/>
            <w:tcBorders>
              <w:top w:val="nil"/>
              <w:left w:val="nil"/>
              <w:bottom w:val="nil"/>
              <w:right w:val="nil"/>
            </w:tcBorders>
            <w:shd w:val="clear" w:color="auto" w:fill="auto"/>
            <w:noWrap/>
            <w:vAlign w:val="center"/>
          </w:tcPr>
          <w:p w14:paraId="59D64FB3">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-0.006</w:t>
            </w:r>
          </w:p>
        </w:tc>
        <w:tc>
          <w:tcPr>
            <w:tcW w:w="832" w:type="dxa"/>
            <w:tcBorders>
              <w:top w:val="nil"/>
              <w:left w:val="nil"/>
              <w:bottom w:val="nil"/>
              <w:right w:val="nil"/>
            </w:tcBorders>
            <w:shd w:val="clear" w:color="auto" w:fill="auto"/>
            <w:noWrap/>
            <w:vAlign w:val="center"/>
          </w:tcPr>
          <w:p w14:paraId="7CE5007B">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-0.570</w:t>
            </w:r>
          </w:p>
        </w:tc>
        <w:tc>
          <w:tcPr>
            <w:tcW w:w="772" w:type="dxa"/>
            <w:tcBorders>
              <w:top w:val="nil"/>
              <w:left w:val="nil"/>
              <w:bottom w:val="nil"/>
              <w:right w:val="nil"/>
            </w:tcBorders>
            <w:shd w:val="clear" w:color="auto" w:fill="auto"/>
            <w:noWrap/>
            <w:vAlign w:val="center"/>
          </w:tcPr>
          <w:p w14:paraId="01EE8347">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0.571</w:t>
            </w:r>
          </w:p>
        </w:tc>
        <w:tc>
          <w:tcPr>
            <w:tcW w:w="1223" w:type="dxa"/>
            <w:tcBorders>
              <w:top w:val="nil"/>
              <w:left w:val="nil"/>
              <w:bottom w:val="nil"/>
              <w:right w:val="nil"/>
            </w:tcBorders>
            <w:shd w:val="clear" w:color="auto" w:fill="auto"/>
            <w:noWrap/>
            <w:vAlign w:val="center"/>
          </w:tcPr>
          <w:p w14:paraId="2E55DED0">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0.038</w:t>
            </w:r>
          </w:p>
        </w:tc>
      </w:tr>
      <w:tr w14:paraId="156D9A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2624" w:type="dxa"/>
            <w:tcBorders>
              <w:top w:val="nil"/>
              <w:left w:val="nil"/>
              <w:bottom w:val="single" w:color="000000" w:sz="8" w:space="0"/>
              <w:right w:val="nil"/>
            </w:tcBorders>
            <w:shd w:val="clear" w:color="auto" w:fill="auto"/>
            <w:noWrap/>
            <w:vAlign w:val="center"/>
          </w:tcPr>
          <w:p w14:paraId="10FE9609">
            <w:pPr>
              <w:jc w:val="left"/>
              <w:rPr>
                <w:rFonts w:hint="default" w:ascii="Times New Roman" w:hAnsi="Times New Roman" w:eastAsia="宋体" w:cs="Times New Roman"/>
                <w:b/>
                <w:bCs/>
                <w:i w:val="0"/>
                <w:iCs w:val="0"/>
                <w:color w:val="000000"/>
                <w:sz w:val="20"/>
                <w:szCs w:val="20"/>
                <w:u w:val="none"/>
              </w:rPr>
            </w:pPr>
          </w:p>
        </w:tc>
        <w:tc>
          <w:tcPr>
            <w:tcW w:w="2032" w:type="dxa"/>
            <w:tcBorders>
              <w:top w:val="nil"/>
              <w:left w:val="nil"/>
              <w:bottom w:val="single" w:color="000000" w:sz="8" w:space="0"/>
              <w:right w:val="nil"/>
            </w:tcBorders>
            <w:shd w:val="clear" w:color="auto" w:fill="auto"/>
            <w:vAlign w:val="center"/>
          </w:tcPr>
          <w:p w14:paraId="7E9E2A39">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HL-Self vs.</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HL-Other</w:t>
            </w:r>
          </w:p>
        </w:tc>
        <w:tc>
          <w:tcPr>
            <w:tcW w:w="1122" w:type="dxa"/>
            <w:tcBorders>
              <w:top w:val="nil"/>
              <w:left w:val="nil"/>
              <w:bottom w:val="single" w:color="000000" w:sz="8" w:space="0"/>
              <w:right w:val="nil"/>
            </w:tcBorders>
            <w:shd w:val="clear" w:color="auto" w:fill="auto"/>
            <w:noWrap/>
            <w:vAlign w:val="center"/>
          </w:tcPr>
          <w:p w14:paraId="0D9FBADF">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-0.050</w:t>
            </w:r>
          </w:p>
        </w:tc>
        <w:tc>
          <w:tcPr>
            <w:tcW w:w="832" w:type="dxa"/>
            <w:tcBorders>
              <w:top w:val="nil"/>
              <w:left w:val="nil"/>
              <w:bottom w:val="single" w:color="000000" w:sz="8" w:space="0"/>
              <w:right w:val="nil"/>
            </w:tcBorders>
            <w:shd w:val="clear" w:color="auto" w:fill="auto"/>
            <w:noWrap/>
            <w:vAlign w:val="center"/>
          </w:tcPr>
          <w:p w14:paraId="472741B0">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lang w:val="en-US"/>
              </w:rPr>
            </w:pP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Times New Roman" w:hAnsi="Times New Roman" w:eastAsia="宋体" w:cs="Times New Roman"/>
                <w:i w:val="0"/>
                <w:iCs w:val="0"/>
                <w:color w:val="000000"/>
                <w:kern w:val="0"/>
                <w:sz w:val="20"/>
                <w:szCs w:val="20"/>
                <w:u w:val="none"/>
                <w:lang w:val="en-US" w:eastAsia="zh-CN" w:bidi="ar"/>
              </w:rPr>
              <w:t>5.016</w:t>
            </w:r>
          </w:p>
        </w:tc>
        <w:tc>
          <w:tcPr>
            <w:tcW w:w="772" w:type="dxa"/>
            <w:tcBorders>
              <w:top w:val="nil"/>
              <w:left w:val="nil"/>
              <w:bottom w:val="single" w:color="000000" w:sz="8" w:space="0"/>
              <w:right w:val="nil"/>
            </w:tcBorders>
            <w:shd w:val="clear" w:color="auto" w:fill="auto"/>
            <w:noWrap/>
            <w:vAlign w:val="center"/>
          </w:tcPr>
          <w:p w14:paraId="14343652">
            <w:pPr>
              <w:keepNext w:val="0"/>
              <w:keepLines w:val="0"/>
              <w:widowControl/>
              <w:suppressLineNumbers w:val="0"/>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&lt;.001</w:t>
            </w:r>
          </w:p>
        </w:tc>
        <w:tc>
          <w:tcPr>
            <w:tcW w:w="1223" w:type="dxa"/>
            <w:tcBorders>
              <w:top w:val="nil"/>
              <w:left w:val="nil"/>
              <w:bottom w:val="single" w:color="000000" w:sz="8" w:space="0"/>
              <w:right w:val="nil"/>
            </w:tcBorders>
            <w:shd w:val="clear" w:color="auto" w:fill="auto"/>
            <w:noWrap/>
            <w:vAlign w:val="center"/>
          </w:tcPr>
          <w:p w14:paraId="73C748CF">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0.336</w:t>
            </w:r>
          </w:p>
        </w:tc>
      </w:tr>
    </w:tbl>
    <w:p w14:paraId="1675856C">
      <w:pPr>
        <w:rPr>
          <w:rFonts w:hint="default" w:ascii="Times New Roman" w:hAnsi="Times New Roman" w:cs="Times New Roman" w:eastAsiaTheme="minorEastAsia"/>
          <w:b w:val="0"/>
          <w:bCs w:val="0"/>
          <w:lang w:val="en-US" w:eastAsia="zh-CN"/>
        </w:rPr>
      </w:pPr>
      <w:r>
        <w:rPr>
          <w:rFonts w:hint="default" w:ascii="Times New Roman" w:hAnsi="Times New Roman" w:cs="Times New Roman"/>
          <w:i/>
          <w:iCs/>
          <w:lang w:val="en-US" w:eastAsia="zh-CN"/>
        </w:rPr>
        <w:t>Note.</w:t>
      </w:r>
      <w:r>
        <w:rPr>
          <w:rFonts w:hint="eastAsia" w:ascii="Times New Roman" w:hAnsi="Times New Roman" w:cs="Times New Roman"/>
          <w:b w:val="0"/>
          <w:bCs w:val="0"/>
          <w:lang w:val="en-US" w:eastAsia="zh-CN"/>
        </w:rPr>
        <w:t xml:space="preserve"> </w:t>
      </w:r>
      <w:r>
        <w:rPr>
          <w:rFonts w:hint="default" w:ascii="Times New Roman" w:hAnsi="Times New Roman" w:cs="Times New Roman"/>
          <w:b w:val="0"/>
          <w:bCs w:val="0"/>
          <w:lang w:val="en-US" w:eastAsia="zh-CN"/>
        </w:rPr>
        <w:t>“</w:t>
      </w:r>
      <w:r>
        <w:rPr>
          <w:rFonts w:hint="eastAsia" w:ascii="Times New Roman" w:hAnsi="Times New Roman" w:cs="Times New Roman"/>
          <w:b w:val="0"/>
          <w:bCs w:val="0"/>
          <w:lang w:val="en-US" w:eastAsia="zh-CN"/>
        </w:rPr>
        <w:t>HL</w:t>
      </w:r>
      <w:r>
        <w:rPr>
          <w:rFonts w:hint="default" w:ascii="Times New Roman" w:hAnsi="Times New Roman" w:cs="Times New Roman"/>
          <w:b w:val="0"/>
          <w:bCs w:val="0"/>
          <w:lang w:val="en-US" w:eastAsia="zh-CN"/>
        </w:rPr>
        <w:t>”</w:t>
      </w:r>
      <w:r>
        <w:rPr>
          <w:rFonts w:hint="eastAsia" w:ascii="Times New Roman" w:hAnsi="Times New Roman" w:cs="Times New Roman"/>
          <w:b w:val="0"/>
          <w:bCs w:val="0"/>
          <w:lang w:val="en-US" w:eastAsia="zh-CN"/>
        </w:rPr>
        <w:t xml:space="preserve">=high loneliness; </w:t>
      </w:r>
      <w:r>
        <w:rPr>
          <w:rFonts w:hint="default" w:ascii="Times New Roman" w:hAnsi="Times New Roman" w:cs="Times New Roman"/>
          <w:b w:val="0"/>
          <w:bCs w:val="0"/>
          <w:lang w:val="en-US" w:eastAsia="zh-CN"/>
        </w:rPr>
        <w:t>“</w:t>
      </w:r>
      <w:r>
        <w:rPr>
          <w:rFonts w:hint="eastAsia" w:ascii="Times New Roman" w:hAnsi="Times New Roman" w:cs="Times New Roman"/>
          <w:b w:val="0"/>
          <w:bCs w:val="0"/>
          <w:lang w:val="en-US" w:eastAsia="zh-CN"/>
        </w:rPr>
        <w:t>LL</w:t>
      </w:r>
      <w:r>
        <w:rPr>
          <w:rFonts w:hint="default" w:ascii="Times New Roman" w:hAnsi="Times New Roman" w:cs="Times New Roman"/>
          <w:b w:val="0"/>
          <w:bCs w:val="0"/>
          <w:lang w:val="en-US" w:eastAsia="zh-CN"/>
        </w:rPr>
        <w:t>”</w:t>
      </w:r>
      <w:r>
        <w:rPr>
          <w:rFonts w:hint="eastAsia" w:ascii="Times New Roman" w:hAnsi="Times New Roman" w:cs="Times New Roman"/>
          <w:b w:val="0"/>
          <w:bCs w:val="0"/>
          <w:lang w:val="en-US" w:eastAsia="zh-CN"/>
        </w:rPr>
        <w:t xml:space="preserve">=low loneliness; </w:t>
      </w:r>
      <w:r>
        <w:rPr>
          <w:rFonts w:hint="default" w:ascii="Times New Roman" w:hAnsi="Times New Roman" w:cs="Times New Roman"/>
          <w:b w:val="0"/>
          <w:bCs w:val="0"/>
          <w:lang w:val="en-US" w:eastAsia="zh-CN"/>
        </w:rPr>
        <w:t>“</w:t>
      </w:r>
      <w:r>
        <w:rPr>
          <w:rFonts w:hint="default" w:ascii="Times New Roman" w:hAnsi="Times New Roman" w:eastAsia="宋体" w:cs="Times New Roman"/>
          <w:b w:val="0"/>
          <w:bCs w:val="0"/>
          <w:i w:val="0"/>
          <w:iCs w:val="0"/>
          <w:color w:val="000000"/>
          <w:kern w:val="0"/>
          <w:sz w:val="20"/>
          <w:szCs w:val="20"/>
          <w:u w:val="none"/>
          <w:lang w:val="en-US" w:eastAsia="zh-CN" w:bidi="ar"/>
        </w:rPr>
        <w:t>Mean dif</w:t>
      </w:r>
      <w:r>
        <w:rPr>
          <w:rFonts w:hint="eastAsia" w:ascii="Times New Roman" w:hAnsi="Times New Roman" w:eastAsia="宋体" w:cs="Times New Roman"/>
          <w:b w:val="0"/>
          <w:bCs w:val="0"/>
          <w:i w:val="0"/>
          <w:iCs w:val="0"/>
          <w:color w:val="000000"/>
          <w:kern w:val="0"/>
          <w:sz w:val="20"/>
          <w:szCs w:val="20"/>
          <w:u w:val="none"/>
          <w:lang w:val="en-US" w:eastAsia="zh-CN" w:bidi="ar"/>
        </w:rPr>
        <w:t xml:space="preserve"> </w:t>
      </w:r>
      <w:r>
        <w:rPr>
          <w:rFonts w:hint="default" w:ascii="Times New Roman" w:hAnsi="Times New Roman" w:eastAsia="宋体" w:cs="Times New Roman"/>
          <w:b w:val="0"/>
          <w:bCs w:val="0"/>
          <w:i w:val="0"/>
          <w:iCs w:val="0"/>
          <w:color w:val="000000"/>
          <w:kern w:val="0"/>
          <w:sz w:val="20"/>
          <w:szCs w:val="20"/>
          <w:u w:val="none"/>
          <w:lang w:val="en-US" w:eastAsia="zh-CN" w:bidi="ar"/>
        </w:rPr>
        <w:t>”</w:t>
      </w:r>
      <w:r>
        <w:rPr>
          <w:rFonts w:hint="eastAsia" w:ascii="Times New Roman" w:hAnsi="Times New Roman" w:eastAsia="宋体" w:cs="Times New Roman"/>
          <w:b w:val="0"/>
          <w:bCs w:val="0"/>
          <w:i w:val="0"/>
          <w:iCs w:val="0"/>
          <w:color w:val="000000"/>
          <w:kern w:val="0"/>
          <w:sz w:val="20"/>
          <w:szCs w:val="20"/>
          <w:u w:val="none"/>
          <w:lang w:val="en-US" w:eastAsia="zh-CN" w:bidi="ar"/>
        </w:rPr>
        <w:t>=mean difference.</w:t>
      </w:r>
    </w:p>
    <w:p w14:paraId="63F46C28">
      <w:pPr>
        <w:keepNext w:val="0"/>
        <w:keepLines w:val="0"/>
        <w:pageBreakBefore w:val="0"/>
        <w:wordWrap/>
        <w:overflowPunct/>
        <w:topLinePunct w:val="0"/>
        <w:autoSpaceDE/>
        <w:autoSpaceDN/>
        <w:bidi w:val="0"/>
        <w:snapToGrid/>
        <w:spacing w:line="480" w:lineRule="auto"/>
        <w:ind w:firstLine="480" w:firstLineChars="200"/>
        <w:rPr>
          <w:rFonts w:hint="default" w:ascii="Times New Roman" w:hAnsi="Times New Roman" w:eastAsia="宋体" w:cs="Times New Roman"/>
          <w:sz w:val="24"/>
          <w:lang w:bidi="ar"/>
        </w:rPr>
      </w:pPr>
    </w:p>
    <w:p w14:paraId="7F7F0396"/>
    <w:p w14:paraId="0E7222F1">
      <w:bookmarkStart w:id="1" w:name="_GoBack"/>
      <w:bookmarkEnd w:id="1"/>
    </w:p>
    <w:p w14:paraId="74611771">
      <w:pPr>
        <w:rPr>
          <w:rFonts w:hint="default" w:ascii="Times New Roman" w:hAnsi="Times New Roman" w:cs="Times New Roman" w:eastAsiaTheme="minorEastAsia"/>
          <w:b/>
          <w:bCs/>
          <w:sz w:val="22"/>
          <w:szCs w:val="28"/>
          <w:lang w:val="en-US" w:eastAsia="zh-CN"/>
        </w:rPr>
      </w:pPr>
      <w:r>
        <w:rPr>
          <w:rFonts w:hint="eastAsia" w:ascii="Times New Roman" w:hAnsi="Times New Roman" w:eastAsia="宋体" w:cs="Times New Roman"/>
          <w:b/>
          <w:bCs/>
          <w:sz w:val="24"/>
          <w:lang w:bidi="ar"/>
        </w:rPr>
        <w:t>Supplementary</w:t>
      </w:r>
      <w:r>
        <w:rPr>
          <w:rFonts w:hint="eastAsia" w:ascii="Times New Roman" w:hAnsi="Times New Roman" w:eastAsia="宋体" w:cs="Times New Roman"/>
          <w:b/>
          <w:bCs/>
          <w:sz w:val="24"/>
          <w:lang w:val="en-US" w:eastAsia="zh-CN" w:bidi="ar"/>
        </w:rPr>
        <w:t xml:space="preserve"> </w:t>
      </w:r>
      <w:r>
        <w:rPr>
          <w:rFonts w:hint="default" w:ascii="Times New Roman" w:hAnsi="Times New Roman" w:cs="Times New Roman"/>
          <w:b/>
          <w:bCs/>
          <w:sz w:val="22"/>
          <w:szCs w:val="28"/>
          <w:lang w:val="en-US" w:eastAsia="zh-CN"/>
        </w:rPr>
        <w:t>References</w:t>
      </w:r>
    </w:p>
    <w:p w14:paraId="753E9849">
      <w:pPr>
        <w:pStyle w:val="5"/>
        <w:keepNext w:val="0"/>
        <w:keepLines w:val="0"/>
        <w:pageBreakBefore w:val="0"/>
        <w:wordWrap/>
        <w:overflowPunct/>
        <w:topLinePunct w:val="0"/>
        <w:autoSpaceDE/>
        <w:autoSpaceDN/>
        <w:bidi w:val="0"/>
        <w:snapToGrid/>
        <w:spacing w:line="480" w:lineRule="auto"/>
        <w:ind w:left="480" w:hanging="420" w:hangingChars="200"/>
        <w:rPr>
          <w:rFonts w:ascii="Times New Roman" w:hAnsi="Times New Roman" w:cs="Times New Roman"/>
          <w:sz w:val="21"/>
          <w:szCs w:val="21"/>
        </w:rPr>
      </w:pPr>
      <w:r>
        <w:rPr>
          <w:rFonts w:ascii="Times New Roman" w:hAnsi="Times New Roman" w:cs="Times New Roman"/>
          <w:sz w:val="21"/>
          <w:szCs w:val="21"/>
        </w:rPr>
        <w:t xml:space="preserve">Brysbaert, M. (2019). How Many Participants Do We Have to Include in Properly Powered Experiments? A Tutorial of Power Analysis with Reference Tables. </w:t>
      </w:r>
      <w:r>
        <w:rPr>
          <w:rFonts w:ascii="Times New Roman" w:hAnsi="Times New Roman" w:cs="Times New Roman"/>
          <w:i/>
          <w:iCs/>
          <w:sz w:val="21"/>
          <w:szCs w:val="21"/>
        </w:rPr>
        <w:t>Journal of Cognition</w:t>
      </w:r>
      <w:r>
        <w:rPr>
          <w:rFonts w:ascii="Times New Roman" w:hAnsi="Times New Roman" w:cs="Times New Roman"/>
          <w:sz w:val="21"/>
          <w:szCs w:val="21"/>
        </w:rPr>
        <w:t xml:space="preserve">, </w:t>
      </w:r>
      <w:r>
        <w:rPr>
          <w:rFonts w:ascii="Times New Roman" w:hAnsi="Times New Roman" w:cs="Times New Roman"/>
          <w:i/>
          <w:iCs/>
          <w:sz w:val="21"/>
          <w:szCs w:val="21"/>
        </w:rPr>
        <w:t>2</w:t>
      </w:r>
      <w:r>
        <w:rPr>
          <w:rFonts w:ascii="Times New Roman" w:hAnsi="Times New Roman" w:cs="Times New Roman"/>
          <w:sz w:val="21"/>
          <w:szCs w:val="21"/>
        </w:rPr>
        <w:t>(1), 16. https://doi.org/10.5334/joc.72</w:t>
      </w:r>
    </w:p>
    <w:p w14:paraId="727F885A">
      <w:pPr>
        <w:pStyle w:val="5"/>
        <w:keepNext w:val="0"/>
        <w:keepLines w:val="0"/>
        <w:pageBreakBefore w:val="0"/>
        <w:wordWrap/>
        <w:overflowPunct/>
        <w:topLinePunct w:val="0"/>
        <w:autoSpaceDE/>
        <w:autoSpaceDN/>
        <w:bidi w:val="0"/>
        <w:snapToGrid/>
        <w:spacing w:line="480" w:lineRule="auto"/>
        <w:ind w:left="480" w:hanging="420" w:hangingChars="200"/>
        <w:rPr>
          <w:rFonts w:ascii="Times New Roman" w:hAnsi="Times New Roman" w:cs="Times New Roman"/>
          <w:sz w:val="21"/>
          <w:szCs w:val="21"/>
        </w:rPr>
      </w:pPr>
      <w:r>
        <w:rPr>
          <w:rFonts w:ascii="Times New Roman" w:hAnsi="Times New Roman" w:cs="Times New Roman"/>
          <w:sz w:val="21"/>
          <w:szCs w:val="21"/>
        </w:rPr>
        <w:t xml:space="preserve">Faul, F., Erdfelder, E., Lang, A.-G., &amp; Buchner, A. (2007). G*Power 3: A flexible statistical power analysis program for the social, behavioral, and biomedical sciences. </w:t>
      </w:r>
      <w:r>
        <w:rPr>
          <w:rFonts w:ascii="Times New Roman" w:hAnsi="Times New Roman" w:cs="Times New Roman"/>
          <w:i/>
          <w:iCs/>
          <w:sz w:val="21"/>
          <w:szCs w:val="21"/>
        </w:rPr>
        <w:t>Behavior Research Methods</w:t>
      </w:r>
      <w:r>
        <w:rPr>
          <w:rFonts w:ascii="Times New Roman" w:hAnsi="Times New Roman" w:cs="Times New Roman"/>
          <w:sz w:val="21"/>
          <w:szCs w:val="21"/>
        </w:rPr>
        <w:t xml:space="preserve">, </w:t>
      </w:r>
      <w:r>
        <w:rPr>
          <w:rFonts w:ascii="Times New Roman" w:hAnsi="Times New Roman" w:cs="Times New Roman"/>
          <w:i/>
          <w:iCs/>
          <w:sz w:val="21"/>
          <w:szCs w:val="21"/>
        </w:rPr>
        <w:t>39</w:t>
      </w:r>
      <w:r>
        <w:rPr>
          <w:rFonts w:ascii="Times New Roman" w:hAnsi="Times New Roman" w:cs="Times New Roman"/>
          <w:sz w:val="21"/>
          <w:szCs w:val="21"/>
        </w:rPr>
        <w:t xml:space="preserve">(2), 175–191. </w:t>
      </w:r>
      <w:r>
        <w:rPr>
          <w:rFonts w:ascii="Times New Roman" w:hAnsi="Times New Roman" w:cs="Times New Roman"/>
          <w:sz w:val="21"/>
          <w:szCs w:val="21"/>
        </w:rPr>
        <w:fldChar w:fldCharType="begin"/>
      </w:r>
      <w:r>
        <w:rPr>
          <w:rFonts w:ascii="Times New Roman" w:hAnsi="Times New Roman" w:cs="Times New Roman"/>
          <w:sz w:val="21"/>
          <w:szCs w:val="21"/>
        </w:rPr>
        <w:instrText xml:space="preserve"> HYPERLINK "https://doi.org/10.3758/BF03193146" </w:instrText>
      </w:r>
      <w:r>
        <w:rPr>
          <w:rFonts w:ascii="Times New Roman" w:hAnsi="Times New Roman" w:cs="Times New Roman"/>
          <w:sz w:val="21"/>
          <w:szCs w:val="21"/>
        </w:rPr>
        <w:fldChar w:fldCharType="separate"/>
      </w:r>
      <w:r>
        <w:rPr>
          <w:rStyle w:val="4"/>
          <w:rFonts w:ascii="Times New Roman" w:hAnsi="Times New Roman" w:cs="Times New Roman"/>
          <w:sz w:val="21"/>
          <w:szCs w:val="21"/>
        </w:rPr>
        <w:t>https://doi.org/10.3758/BF03193146</w:t>
      </w:r>
      <w:r>
        <w:rPr>
          <w:rFonts w:ascii="Times New Roman" w:hAnsi="Times New Roman" w:cs="Times New Roman"/>
          <w:sz w:val="21"/>
          <w:szCs w:val="21"/>
        </w:rPr>
        <w:fldChar w:fldCharType="end"/>
      </w:r>
    </w:p>
    <w:p w14:paraId="4F23B34F">
      <w:pPr>
        <w:pStyle w:val="5"/>
        <w:keepNext w:val="0"/>
        <w:keepLines w:val="0"/>
        <w:pageBreakBefore w:val="0"/>
        <w:wordWrap/>
        <w:overflowPunct/>
        <w:topLinePunct w:val="0"/>
        <w:autoSpaceDE/>
        <w:autoSpaceDN/>
        <w:bidi w:val="0"/>
        <w:snapToGrid/>
        <w:spacing w:line="480" w:lineRule="auto"/>
        <w:ind w:left="480" w:hanging="420" w:hangingChars="200"/>
        <w:rPr>
          <w:rFonts w:ascii="Times New Roman" w:hAnsi="Times New Roman" w:cs="Times New Roman"/>
          <w:sz w:val="21"/>
          <w:szCs w:val="21"/>
        </w:rPr>
      </w:pPr>
      <w:r>
        <w:rPr>
          <w:rFonts w:ascii="Times New Roman" w:hAnsi="Times New Roman" w:cs="Times New Roman"/>
          <w:sz w:val="21"/>
          <w:szCs w:val="21"/>
        </w:rPr>
        <w:t xml:space="preserve">Lakens, D. (2022). Sample Size Justification. </w:t>
      </w:r>
      <w:r>
        <w:rPr>
          <w:rFonts w:ascii="Times New Roman" w:hAnsi="Times New Roman" w:cs="Times New Roman"/>
          <w:i/>
          <w:iCs/>
          <w:sz w:val="21"/>
          <w:szCs w:val="21"/>
        </w:rPr>
        <w:t>Collabra: Psychology</w:t>
      </w:r>
      <w:r>
        <w:rPr>
          <w:rFonts w:ascii="Times New Roman" w:hAnsi="Times New Roman" w:cs="Times New Roman"/>
          <w:sz w:val="21"/>
          <w:szCs w:val="21"/>
        </w:rPr>
        <w:t xml:space="preserve">, </w:t>
      </w:r>
      <w:r>
        <w:rPr>
          <w:rFonts w:ascii="Times New Roman" w:hAnsi="Times New Roman" w:cs="Times New Roman"/>
          <w:i/>
          <w:iCs/>
          <w:sz w:val="21"/>
          <w:szCs w:val="21"/>
        </w:rPr>
        <w:t>8</w:t>
      </w:r>
      <w:r>
        <w:rPr>
          <w:rFonts w:ascii="Times New Roman" w:hAnsi="Times New Roman" w:cs="Times New Roman"/>
          <w:sz w:val="21"/>
          <w:szCs w:val="21"/>
        </w:rPr>
        <w:t>(1), 33267. https://doi.org/10.1525/collabra.33267</w:t>
      </w:r>
    </w:p>
    <w:p w14:paraId="3F7DF5AC">
      <w:pPr>
        <w:jc w:val="both"/>
        <w:rPr>
          <w:rFonts w:hint="eastAsia" w:ascii="Times New Roman" w:hAnsi="Times New Roman" w:eastAsia="宋体" w:cs="Times New Roman"/>
          <w:b/>
          <w:bCs/>
          <w:sz w:val="28"/>
          <w:szCs w:val="28"/>
          <w:lang w:val="en-US" w:eastAsia="zh-CN" w:bidi="ar"/>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Cambria Math">
    <w:panose1 w:val="02040503050406030204"/>
    <w:charset w:val="00"/>
    <w:family w:val="roman"/>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20D047C"/>
    <w:rsid w:val="10331223"/>
    <w:rsid w:val="12042B30"/>
    <w:rsid w:val="147A357D"/>
    <w:rsid w:val="18D53D37"/>
    <w:rsid w:val="1B9C202B"/>
    <w:rsid w:val="1E454CA0"/>
    <w:rsid w:val="220D047C"/>
    <w:rsid w:val="311572E3"/>
    <w:rsid w:val="35B73B64"/>
    <w:rsid w:val="3CAF79B9"/>
    <w:rsid w:val="4D5A127B"/>
    <w:rsid w:val="55960741"/>
    <w:rsid w:val="580249E9"/>
    <w:rsid w:val="6D8A305E"/>
    <w:rsid w:val="78F227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Hyperlink"/>
    <w:basedOn w:val="3"/>
    <w:qFormat/>
    <w:uiPriority w:val="0"/>
    <w:rPr>
      <w:color w:val="0000FF"/>
      <w:u w:val="single"/>
    </w:rPr>
  </w:style>
  <w:style w:type="paragraph" w:customStyle="1" w:styleId="5">
    <w:name w:val="书目2"/>
    <w:basedOn w:val="1"/>
    <w:next w:val="1"/>
    <w:unhideWhenUsed/>
    <w:qFormat/>
    <w:uiPriority w:val="37"/>
  </w:style>
  <w:style w:type="character" w:customStyle="1" w:styleId="6">
    <w:name w:val="font31"/>
    <w:basedOn w:val="3"/>
    <w:qFormat/>
    <w:uiPriority w:val="0"/>
    <w:rPr>
      <w:rFonts w:hint="default" w:ascii="Times New Roman" w:hAnsi="Times New Roman" w:cs="Times New Roman"/>
      <w:b/>
      <w:bCs/>
      <w:color w:val="000000"/>
      <w:sz w:val="20"/>
      <w:szCs w:val="20"/>
      <w:u w:val="none"/>
    </w:rPr>
  </w:style>
  <w:style w:type="character" w:customStyle="1" w:styleId="7">
    <w:name w:val="font81"/>
    <w:basedOn w:val="3"/>
    <w:qFormat/>
    <w:uiPriority w:val="0"/>
    <w:rPr>
      <w:rFonts w:hint="default" w:ascii="Times New Roman" w:hAnsi="Times New Roman" w:cs="Times New Roman"/>
      <w:color w:val="000000"/>
      <w:sz w:val="20"/>
      <w:szCs w:val="20"/>
      <w:u w:val="none"/>
      <w:vertAlign w:val="subscript"/>
    </w:rPr>
  </w:style>
  <w:style w:type="character" w:customStyle="1" w:styleId="8">
    <w:name w:val="font91"/>
    <w:basedOn w:val="3"/>
    <w:qFormat/>
    <w:uiPriority w:val="0"/>
    <w:rPr>
      <w:rFonts w:hint="default" w:ascii="Times New Roman" w:hAnsi="Times New Roman" w:cs="Times New Roman"/>
      <w:color w:val="000000"/>
      <w:sz w:val="20"/>
      <w:szCs w:val="20"/>
      <w:u w:val="none"/>
      <w:vertAlign w:val="superscript"/>
    </w:rPr>
  </w:style>
  <w:style w:type="character" w:customStyle="1" w:styleId="9">
    <w:name w:val="font41"/>
    <w:basedOn w:val="3"/>
    <w:qFormat/>
    <w:uiPriority w:val="0"/>
    <w:rPr>
      <w:rFonts w:hint="default" w:ascii="Times New Roman" w:hAnsi="Times New Roman" w:cs="Times New Roman"/>
      <w:b/>
      <w:bCs/>
      <w:color w:val="000000"/>
      <w:sz w:val="20"/>
      <w:szCs w:val="20"/>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0</Words>
  <Characters>0</Characters>
  <Lines>0</Lines>
  <Paragraphs>0</Paragraphs>
  <TotalTime>0</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2026-01-03T11:16:00Z</dcterms:created>
  <dc:creator>Wwei.y</dc:creator>
  <cp:lastModifiedBy>Wwei.y</cp:lastModifiedBy>
  <dcterms:modified xsi:type="dcterms:W3CDTF">2026-01-03T11:21:22Z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7E3C178A72C34DF0AF452AC6CED3EBDE_11</vt:lpwstr>
  </property>
  <property fmtid="{D5CDD505-2E9C-101B-9397-08002B2CF9AE}" pid="4" name="KSOTemplateDocerSaveRecord">
    <vt:lpwstr>eyJoZGlkIjoiMzNjODE1ZjgyMjcyYzg4ZDhjMThmY2E0Zjg3ODcwYzciLCJ1c2VySWQiOiIzNTQ3MDc1MzUifQ==</vt:lpwstr>
  </property>
</Properties>
</file>