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FC14B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 w:bidi="ar"/>
        </w:rPr>
        <w:t>Figure S1 Optimal SNP cutoff determination for hierarchical clonal differentiation (A) Distribution of core-genes SNPs divergence thresholds for discriminating inter-clonal groups between ST164(IC11) and ST2(IC2) isolates. Vertical dashed line indicates the optimal differentiation cutoff. (B) Corresponding silhouette analysis with maximum value marking the critical threshold. (C) Intra-clonal threshold determination for sublineage differentiation within ST2 isolates. (D) Associated silhouette profile validating subclonal partitioning efficacy.</w:t>
      </w:r>
    </w:p>
    <w:p w14:paraId="1296065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096965B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7D82E43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4F59800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7766E80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3902F07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6790BD8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0FA7FE68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0806672B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055B61D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6FA4466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7304C4B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3E4280A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63878CBD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6BE4E5A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7B834EE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7130484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1900B49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49B31C0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29B8C9F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3156C70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108947C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Figure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 w:bidi="ar"/>
        </w:rPr>
        <w:t>S2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 Lineage-specific chromosomal integration patterns of 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1"/>
          <w:highlight w:val="none"/>
          <w:lang w:val="en-US" w:eastAsia="zh-CN" w:bidi="ar"/>
        </w:rPr>
        <w:t>bla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vertAlign w:val="subscript"/>
          <w:lang w:val="en-US" w:eastAsia="zh-CN" w:bidi="ar"/>
        </w:rPr>
        <w:t>OXA-23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 in ST164 and ST2 isolates. Target site duplications (TSDs) are indicated by purple vertical lines. In ST164 isolates, 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1"/>
          <w:highlight w:val="none"/>
          <w:lang w:val="en-US" w:eastAsia="zh-CN" w:bidi="ar"/>
        </w:rPr>
        <w:t>bla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vertAlign w:val="subscript"/>
          <w:lang w:val="en-US" w:eastAsia="zh-CN" w:bidi="ar"/>
        </w:rPr>
        <w:t>OXA-23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 is present in two copies within Tn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1"/>
          <w:highlight w:val="none"/>
          <w:lang w:val="en-US" w:eastAsia="zh-CN" w:bidi="ar"/>
        </w:rPr>
        <w:t>2006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 elements: one integrated into an RND efflux transporter permease gene with the 9-bp TSD AAAATATCG, and another located between ABC transporter ATPase and site-specific integrase genes with the 9-bp TSD AAAATTGAG. In ST2 isolates, exemplified by Ab2332, 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1"/>
          <w:highlight w:val="none"/>
          <w:lang w:val="en-US" w:eastAsia="zh-CN" w:bidi="ar"/>
        </w:rPr>
        <w:t>bla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vertAlign w:val="subscript"/>
          <w:lang w:val="en-US" w:eastAsia="zh-CN" w:bidi="ar"/>
        </w:rPr>
        <w:t>OXA-23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 resides within a Tn</w:t>
      </w:r>
      <w:r>
        <w:rPr>
          <w:rFonts w:hint="default" w:ascii="Times New Roman" w:hAnsi="Times New Roman" w:eastAsia="宋体" w:cs="Times New Roman"/>
          <w:i/>
          <w:iCs/>
          <w:kern w:val="2"/>
          <w:sz w:val="21"/>
          <w:szCs w:val="21"/>
          <w:highlight w:val="none"/>
          <w:lang w:val="en-US" w:eastAsia="zh-CN" w:bidi="ar"/>
        </w:rPr>
        <w:t>2009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 element featuring the characteristic 9-bp TSD AAAATATTT. Arrows denote transcriptional orientation.</w:t>
      </w:r>
    </w:p>
    <w:p w14:paraId="444CB59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531A38E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04603A8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7634667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4224CFE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6B134E7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3348664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2A3DA0DB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3DA2B32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5AD4F70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60D1F64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1829DEB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050E8A1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2B9D755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4427069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291D6B5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7EB594DD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6F58546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2DADA9A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5C55C0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41CAE2B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Figure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 w:bidi="ar"/>
        </w:rPr>
        <w:t>S3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 Phylogenetic analysis of globally distributed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2"/>
          <w:sz w:val="21"/>
          <w:szCs w:val="21"/>
          <w:highlight w:val="none"/>
          <w:lang w:val="en-US" w:eastAsia="zh-CN" w:bidi="ar"/>
        </w:rPr>
        <w:t>bla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highlight w:val="none"/>
          <w:vertAlign w:val="subscript"/>
          <w:lang w:val="en-US" w:eastAsia="zh-CN" w:bidi="ar"/>
        </w:rPr>
        <w:t>NDM-1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-positive ST2 and ST164 CRAb isolates. (A) 756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2"/>
          <w:sz w:val="21"/>
          <w:szCs w:val="21"/>
          <w:highlight w:val="none"/>
          <w:lang w:val="en-US" w:eastAsia="zh-CN" w:bidi="ar"/>
        </w:rPr>
        <w:t>bla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highlight w:val="none"/>
          <w:vertAlign w:val="subscript"/>
          <w:lang w:val="en-US" w:eastAsia="zh-CN" w:bidi="ar"/>
        </w:rPr>
        <w:t>NDM-1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-positive ST2 CRAb isolates; (B) 238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2"/>
          <w:sz w:val="21"/>
          <w:szCs w:val="21"/>
          <w:highlight w:val="none"/>
          <w:lang w:val="en-US" w:eastAsia="zh-CN" w:bidi="ar"/>
        </w:rPr>
        <w:t>bla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highlight w:val="none"/>
          <w:vertAlign w:val="subscript"/>
          <w:lang w:val="en-US" w:eastAsia="zh-CN" w:bidi="ar"/>
        </w:rPr>
        <w:t>NDM-1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"/>
        </w:rPr>
        <w:t xml:space="preserve">-positive ST164 CRAb isolates.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 w:bidi="ar"/>
        </w:rPr>
        <w:t>From the innermost to the outermost ring: country of isolation, year of isolation, KL/OCL type, and acquired carbapenemase genes.</w:t>
      </w:r>
    </w:p>
    <w:p w14:paraId="2DA428AD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53E2A7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1DCADEC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477B753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660E168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039FD10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25C8ED0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2C09D95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2A0FC44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5A3E58D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025853CD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8BF5A3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B84444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89BA81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1B491E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29CCF68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E95EAF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F919F3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C26A91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C4AE41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17B7CC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E00517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B79342B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BE7E9B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Figure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 w:bidi="ar"/>
        </w:rPr>
        <w:t>S4 Phylogenetic hierarchy supplement. Branch lengths represent pairwise core-genome SNP distances between ST164 (founder) and its single-locus variants (SLVs), highlighting the mutational steps from the central ST164 lineage.</w:t>
      </w:r>
    </w:p>
    <w:p w14:paraId="7518BD2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bookmarkStart w:id="0" w:name="_GoBack"/>
      <w:bookmarkEnd w:id="0"/>
    </w:p>
    <w:p w14:paraId="1BEA0C0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5C73F0B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</w:p>
    <w:p w14:paraId="35D40360"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2D1B4A"/>
    <w:rsid w:val="6F032733"/>
    <w:rsid w:val="7F64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223</Words>
  <Characters>1512</Characters>
  <Lines>0</Lines>
  <Paragraphs>0</Paragraphs>
  <TotalTime>1</TotalTime>
  <ScaleCrop>false</ScaleCrop>
  <LinksUpToDate>false</LinksUpToDate>
  <CharactersWithSpaces>1746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2025-11-24T14:06:00Z</dcterms:created>
  <dc:creator>matebook</dc:creator>
  <cp:lastModifiedBy>lr</cp:lastModifiedBy>
  <dcterms:modified xsi:type="dcterms:W3CDTF">2025-12-05T05:15:27Z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eyJoZGlkIjoiNzI1MzljODBiNDliMzEyMzFlZWNlN2EzYjU0N2YzMWEiLCJ1c2VySWQiOiI1MDU0MzQwMzMifQ==</vt:lpwstr>
  </property>
  <property fmtid="{D5CDD505-2E9C-101B-9397-08002B2CF9AE}" pid="4" name="ICV">
    <vt:lpwstr>835B1E0DF38741F49B51EBCECAE46973_12</vt:lpwstr>
  </property>
</Properties>
</file>