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034D7" w14:textId="77777777" w:rsidR="00157788" w:rsidRDefault="00157788" w:rsidP="00157788">
      <w:pPr>
        <w:rPr>
          <w:rFonts w:ascii="Calibri" w:hAnsi="Calibri"/>
          <w:b/>
          <w:sz w:val="22"/>
          <w:szCs w:val="22"/>
          <w:lang w:val="en-GB"/>
        </w:rPr>
      </w:pPr>
      <w:r w:rsidRPr="007A5AA9">
        <w:rPr>
          <w:rFonts w:ascii="Calibri" w:hAnsi="Calibri"/>
          <w:b/>
          <w:sz w:val="22"/>
          <w:szCs w:val="22"/>
          <w:lang w:val="en-GB"/>
        </w:rPr>
        <w:t xml:space="preserve">Supplementary Material </w:t>
      </w:r>
    </w:p>
    <w:p w14:paraId="3AB81E1B" w14:textId="77777777" w:rsidR="00157788" w:rsidRPr="007A5AA9" w:rsidRDefault="00157788" w:rsidP="00157788">
      <w:pPr>
        <w:widowControl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 w:themeColor="text1"/>
          <w:sz w:val="22"/>
          <w:szCs w:val="22"/>
          <w:lang w:val="en-GB"/>
        </w:rPr>
      </w:pPr>
      <w:r w:rsidRPr="007A5AA9">
        <w:rPr>
          <w:rFonts w:ascii="Calibri" w:hAnsi="Calibri"/>
          <w:b/>
          <w:color w:val="000000" w:themeColor="text1"/>
          <w:sz w:val="22"/>
          <w:szCs w:val="22"/>
          <w:lang w:val="en-GB"/>
        </w:rPr>
        <w:t>Figure 1S.</w:t>
      </w:r>
      <w:r w:rsidRPr="007A5AA9">
        <w:rPr>
          <w:rFonts w:ascii="Calibri" w:hAnsi="Calibri"/>
          <w:color w:val="000000" w:themeColor="text1"/>
          <w:sz w:val="22"/>
          <w:szCs w:val="22"/>
          <w:lang w:val="en-GB"/>
        </w:rPr>
        <w:t xml:space="preserve"> </w:t>
      </w:r>
      <w:r w:rsidRPr="007A5AA9">
        <w:rPr>
          <w:rFonts w:ascii="Calibri" w:hAnsi="Calibri"/>
          <w:color w:val="000000" w:themeColor="text1"/>
          <w:sz w:val="20"/>
          <w:szCs w:val="20"/>
          <w:lang w:val="en-GB"/>
        </w:rPr>
        <w:t xml:space="preserve">ROC curves for the LR method starting from different set of features. The performance of PD-L1 </w:t>
      </w:r>
      <w:proofErr w:type="gramStart"/>
      <w:r w:rsidRPr="007A5AA9">
        <w:rPr>
          <w:rFonts w:ascii="Calibri" w:hAnsi="Calibri"/>
          <w:color w:val="000000" w:themeColor="text1"/>
          <w:sz w:val="20"/>
          <w:szCs w:val="20"/>
          <w:lang w:val="en-GB"/>
        </w:rPr>
        <w:t>are</w:t>
      </w:r>
      <w:proofErr w:type="gramEnd"/>
      <w:r w:rsidRPr="007A5AA9">
        <w:rPr>
          <w:rFonts w:ascii="Calibri" w:hAnsi="Calibri"/>
          <w:color w:val="000000" w:themeColor="text1"/>
          <w:sz w:val="20"/>
          <w:szCs w:val="20"/>
          <w:lang w:val="en-GB"/>
        </w:rPr>
        <w:t xml:space="preserve"> represented as a red circle. As suggested by the AUC confidence intervals, there is no method that outperforms the others significantly</w:t>
      </w:r>
      <w:r w:rsidRPr="007A5AA9">
        <w:rPr>
          <w:rFonts w:ascii="Calibri" w:hAnsi="Calibri"/>
          <w:color w:val="000000" w:themeColor="text1"/>
          <w:sz w:val="22"/>
          <w:szCs w:val="22"/>
          <w:lang w:val="en-GB"/>
        </w:rPr>
        <w:t>.</w:t>
      </w:r>
    </w:p>
    <w:p w14:paraId="4467D158" w14:textId="77777777" w:rsidR="00157788" w:rsidRPr="007A5AA9" w:rsidRDefault="00157788" w:rsidP="00157788">
      <w:pPr>
        <w:rPr>
          <w:rFonts w:ascii="Calibri" w:hAnsi="Calibri"/>
          <w:b/>
          <w:sz w:val="22"/>
          <w:szCs w:val="22"/>
          <w:lang w:val="en-GB"/>
        </w:rPr>
      </w:pPr>
    </w:p>
    <w:p w14:paraId="5DD6E725" w14:textId="77777777" w:rsidR="00157788" w:rsidRPr="007A5AA9" w:rsidRDefault="00157788" w:rsidP="00157788">
      <w:pPr>
        <w:widowControl w:val="0"/>
        <w:autoSpaceDE w:val="0"/>
        <w:autoSpaceDN w:val="0"/>
        <w:adjustRightInd w:val="0"/>
        <w:spacing w:line="480" w:lineRule="auto"/>
        <w:jc w:val="center"/>
        <w:outlineLvl w:val="0"/>
        <w:rPr>
          <w:rFonts w:ascii="Calibri" w:hAnsi="Calibri"/>
          <w:color w:val="000000" w:themeColor="text1"/>
          <w:sz w:val="22"/>
          <w:szCs w:val="22"/>
          <w:lang w:val="en-GB"/>
        </w:rPr>
      </w:pPr>
      <w:r w:rsidRPr="00822813">
        <w:rPr>
          <w:rFonts w:ascii="Calibri" w:hAnsi="Calibri"/>
          <w:noProof/>
        </w:rPr>
        <w:drawing>
          <wp:inline distT="0" distB="0" distL="0" distR="0" wp14:anchorId="4ED3D732" wp14:editId="2FF37241">
            <wp:extent cx="4152900" cy="31146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431" cy="311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E6FE7" w14:textId="77777777" w:rsidR="00157788" w:rsidRPr="007A5AA9" w:rsidRDefault="00157788" w:rsidP="00157788">
      <w:pPr>
        <w:widowControl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 w:themeColor="text1"/>
          <w:sz w:val="22"/>
          <w:szCs w:val="22"/>
          <w:lang w:val="en-GB"/>
        </w:rPr>
      </w:pPr>
      <w:r w:rsidRPr="007A5AA9">
        <w:rPr>
          <w:rFonts w:ascii="Calibri" w:hAnsi="Calibri"/>
          <w:b/>
          <w:color w:val="000000" w:themeColor="text1"/>
          <w:sz w:val="22"/>
          <w:szCs w:val="22"/>
          <w:lang w:val="en-GB"/>
        </w:rPr>
        <w:t>Figure 2S.</w:t>
      </w:r>
      <w:r w:rsidRPr="007A5AA9">
        <w:rPr>
          <w:rFonts w:ascii="Calibri" w:hAnsi="Calibri"/>
          <w:color w:val="000000" w:themeColor="text1"/>
          <w:sz w:val="22"/>
          <w:szCs w:val="22"/>
          <w:lang w:val="en-GB"/>
        </w:rPr>
        <w:t xml:space="preserve"> </w:t>
      </w:r>
      <w:r w:rsidRPr="007A5AA9">
        <w:rPr>
          <w:rFonts w:ascii="Calibri" w:hAnsi="Calibri"/>
          <w:color w:val="000000" w:themeColor="text1"/>
          <w:sz w:val="20"/>
          <w:szCs w:val="20"/>
          <w:lang w:val="en-GB"/>
        </w:rPr>
        <w:t xml:space="preserve">ROC curves for the LR method predicting the patients’ survival (longer or shorter than 24 months). The performance of PD-L1 </w:t>
      </w:r>
      <w:proofErr w:type="gramStart"/>
      <w:r w:rsidRPr="007A5AA9">
        <w:rPr>
          <w:rFonts w:ascii="Calibri" w:hAnsi="Calibri"/>
          <w:color w:val="000000" w:themeColor="text1"/>
          <w:sz w:val="20"/>
          <w:szCs w:val="20"/>
          <w:lang w:val="en-GB"/>
        </w:rPr>
        <w:t>are</w:t>
      </w:r>
      <w:proofErr w:type="gramEnd"/>
      <w:r w:rsidRPr="007A5AA9">
        <w:rPr>
          <w:rFonts w:ascii="Calibri" w:hAnsi="Calibri"/>
          <w:color w:val="000000" w:themeColor="text1"/>
          <w:sz w:val="20"/>
          <w:szCs w:val="20"/>
          <w:lang w:val="en-GB"/>
        </w:rPr>
        <w:t xml:space="preserve"> represented as a red circle.</w:t>
      </w:r>
    </w:p>
    <w:p w14:paraId="5FC7B540" w14:textId="77777777" w:rsidR="00157788" w:rsidRPr="007A5AA9" w:rsidRDefault="00157788" w:rsidP="00157788">
      <w:pPr>
        <w:jc w:val="center"/>
        <w:rPr>
          <w:rFonts w:ascii="Calibri" w:hAnsi="Calibri"/>
          <w:lang w:val="en-GB"/>
        </w:rPr>
      </w:pPr>
    </w:p>
    <w:p w14:paraId="0B814B45" w14:textId="77777777" w:rsidR="00157788" w:rsidRPr="007A5AA9" w:rsidRDefault="00157788" w:rsidP="0015778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Calibri" w:hAnsi="Calibri"/>
          <w:bCs/>
          <w:color w:val="000000" w:themeColor="text1"/>
          <w:sz w:val="22"/>
          <w:szCs w:val="22"/>
          <w:lang w:val="en-GB"/>
        </w:rPr>
      </w:pPr>
      <w:r w:rsidRPr="00822813">
        <w:rPr>
          <w:rFonts w:ascii="Calibri" w:hAnsi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29730055" wp14:editId="3BE072C1">
            <wp:extent cx="4114800" cy="3086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145" cy="308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14292" w14:textId="77777777" w:rsidR="00157788" w:rsidRPr="007A5AA9" w:rsidRDefault="00157788" w:rsidP="00157788">
      <w:pPr>
        <w:widowControl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 w:themeColor="text1"/>
          <w:sz w:val="22"/>
          <w:szCs w:val="22"/>
          <w:lang w:val="en-GB"/>
        </w:rPr>
      </w:pPr>
    </w:p>
    <w:p w14:paraId="701E8B44" w14:textId="77777777" w:rsidR="00157788" w:rsidRDefault="00157788"/>
    <w:sectPr w:rsidR="00157788" w:rsidSect="001178B0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788"/>
    <w:rsid w:val="0015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764A23"/>
  <w15:chartTrackingRefBased/>
  <w15:docId w15:val="{84820941-E30A-1C43-A923-79DC6255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7788"/>
    <w:rPr>
      <w:rFonts w:ascii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Achille Bottiglieri</dc:creator>
  <cp:keywords/>
  <dc:description/>
  <cp:lastModifiedBy>Achille Bottiglieri</cp:lastModifiedBy>
  <cp:revision>1</cp:revision>
  <dcterms:created xsi:type="dcterms:W3CDTF">2021-10-14T21:01:00Z</dcterms:created>
  <dcterms:modified xsi:type="dcterms:W3CDTF">2021-10-14T21:01:00Z</dcterms:modified>
</cp:coreProperties>
</file>