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A466F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  <w:r>
        <w:rPr>
          <w:rFonts w:eastAsiaTheme="minorEastAsia"/>
          <w:noProof/>
          <w:color w:val="000000"/>
          <w:kern w:val="0"/>
        </w:rPr>
        <w:drawing>
          <wp:inline distT="0" distB="0" distL="0" distR="0" wp14:anchorId="607ECD78" wp14:editId="7B9D6F2C">
            <wp:extent cx="5173198" cy="139700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154" cy="140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CF46E" w14:textId="77777777" w:rsidR="006C2A07" w:rsidRPr="009B5596" w:rsidRDefault="006C2A07" w:rsidP="006C2A07">
      <w:pPr>
        <w:widowControl/>
        <w:tabs>
          <w:tab w:val="left" w:pos="1134"/>
        </w:tabs>
        <w:spacing w:line="360" w:lineRule="auto"/>
        <w:rPr>
          <w:rFonts w:eastAsiaTheme="minorEastAsia"/>
          <w:color w:val="000000"/>
          <w:kern w:val="0"/>
          <w:sz w:val="24"/>
          <w:szCs w:val="24"/>
        </w:rPr>
      </w:pP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>Fig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.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 S1. A </w:t>
      </w:r>
      <w:r w:rsidRPr="009B5596">
        <w:rPr>
          <w:rFonts w:eastAsiaTheme="minorEastAsia"/>
          <w:color w:val="000000"/>
          <w:kern w:val="0"/>
          <w:sz w:val="24"/>
          <w:szCs w:val="24"/>
        </w:rPr>
        <w:t>and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 B, </w:t>
      </w:r>
      <w:r w:rsidRPr="009B5596">
        <w:rPr>
          <w:rFonts w:eastAsiaTheme="minorEastAsia"/>
          <w:color w:val="000000"/>
          <w:kern w:val="0"/>
          <w:sz w:val="24"/>
          <w:szCs w:val="24"/>
        </w:rPr>
        <w:t xml:space="preserve">Western blot assay detected the efficiency of stable overexpression or knockdown of </w:t>
      </w:r>
      <w:proofErr w:type="spellStart"/>
      <w:r w:rsidRPr="009B5596">
        <w:rPr>
          <w:rFonts w:eastAsiaTheme="minorEastAsia"/>
          <w:color w:val="000000"/>
          <w:kern w:val="0"/>
          <w:sz w:val="24"/>
          <w:szCs w:val="24"/>
        </w:rPr>
        <w:t>HuD</w:t>
      </w:r>
      <w:proofErr w:type="spellEnd"/>
      <w:r w:rsidRPr="009B5596">
        <w:rPr>
          <w:rFonts w:eastAsiaTheme="minorEastAsia"/>
          <w:color w:val="000000"/>
          <w:kern w:val="0"/>
          <w:sz w:val="24"/>
          <w:szCs w:val="24"/>
        </w:rPr>
        <w:t xml:space="preserve"> in</w:t>
      </w:r>
      <w:r w:rsidRPr="009B5596">
        <w:rPr>
          <w:rFonts w:eastAsia="AdvOT260e5629"/>
          <w:color w:val="000000"/>
          <w:kern w:val="0"/>
          <w:sz w:val="24"/>
          <w:szCs w:val="24"/>
        </w:rPr>
        <w:t xml:space="preserve"> SCLC cell lines. </w:t>
      </w:r>
      <w:r w:rsidRPr="009B5596">
        <w:rPr>
          <w:rFonts w:eastAsia="AdvOT260e5629"/>
          <w:b/>
          <w:bCs/>
          <w:color w:val="000000"/>
          <w:kern w:val="0"/>
          <w:sz w:val="24"/>
          <w:szCs w:val="24"/>
        </w:rPr>
        <w:t>C,</w:t>
      </w:r>
      <w:r w:rsidRPr="009B5596">
        <w:rPr>
          <w:rFonts w:eastAsia="AdvOT260e5629"/>
          <w:color w:val="000000"/>
          <w:kern w:val="0"/>
          <w:sz w:val="24"/>
          <w:szCs w:val="24"/>
        </w:rPr>
        <w:t xml:space="preserve"> </w:t>
      </w:r>
      <w:r w:rsidRPr="009B5596">
        <w:rPr>
          <w:rFonts w:eastAsiaTheme="minorEastAsia"/>
          <w:color w:val="000000"/>
          <w:kern w:val="0"/>
          <w:sz w:val="24"/>
          <w:szCs w:val="24"/>
        </w:rPr>
        <w:t>Western blot assay showed the efficiency of stable overexpression of PFN2.</w:t>
      </w:r>
    </w:p>
    <w:p w14:paraId="073A044B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</w:p>
    <w:p w14:paraId="57C36D0A" w14:textId="77777777" w:rsidR="006C2A07" w:rsidRPr="00FF63EE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  <w:r>
        <w:rPr>
          <w:rFonts w:eastAsiaTheme="minorEastAsia"/>
          <w:noProof/>
          <w:color w:val="000000"/>
          <w:kern w:val="0"/>
        </w:rPr>
        <w:drawing>
          <wp:inline distT="0" distB="0" distL="0" distR="0" wp14:anchorId="61BEF17B" wp14:editId="7542D751">
            <wp:extent cx="5172710" cy="2882900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9403" cy="290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3AF085" w14:textId="77777777" w:rsidR="006C2A07" w:rsidRPr="009B5596" w:rsidRDefault="006C2A07" w:rsidP="006C2A07">
      <w:pPr>
        <w:widowControl/>
        <w:tabs>
          <w:tab w:val="left" w:pos="1134"/>
        </w:tabs>
        <w:spacing w:line="360" w:lineRule="auto"/>
        <w:rPr>
          <w:rFonts w:eastAsia="AdvOT260e5629"/>
          <w:color w:val="000000"/>
          <w:kern w:val="0"/>
          <w:sz w:val="24"/>
          <w:szCs w:val="24"/>
        </w:rPr>
      </w:pP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>Fig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.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 S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2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. </w:t>
      </w:r>
      <w:r w:rsidRPr="009B5596">
        <w:rPr>
          <w:rFonts w:eastAsiaTheme="minorEastAsia"/>
          <w:color w:val="000000"/>
          <w:kern w:val="0"/>
          <w:sz w:val="24"/>
          <w:szCs w:val="24"/>
        </w:rPr>
        <w:t xml:space="preserve">Schematic diagram showed the sequence of </w:t>
      </w:r>
      <w:r w:rsidRPr="009B5596">
        <w:rPr>
          <w:rFonts w:eastAsia="AdvOT260e5629"/>
          <w:color w:val="000000"/>
          <w:kern w:val="0"/>
          <w:sz w:val="24"/>
          <w:szCs w:val="24"/>
        </w:rPr>
        <w:t xml:space="preserve">LYPLAL1-DT and its AU-rich regions (left) and the predicted binding possibility to </w:t>
      </w:r>
      <w:proofErr w:type="spellStart"/>
      <w:r w:rsidRPr="009B5596">
        <w:rPr>
          <w:rFonts w:eastAsia="AdvOT260e5629"/>
          <w:color w:val="000000"/>
          <w:kern w:val="0"/>
          <w:sz w:val="24"/>
          <w:szCs w:val="24"/>
        </w:rPr>
        <w:t>HuD</w:t>
      </w:r>
      <w:proofErr w:type="spellEnd"/>
      <w:r w:rsidRPr="009B5596">
        <w:rPr>
          <w:rFonts w:eastAsia="AdvOT260e5629"/>
          <w:color w:val="000000"/>
          <w:kern w:val="0"/>
          <w:sz w:val="24"/>
          <w:szCs w:val="24"/>
        </w:rPr>
        <w:t xml:space="preserve"> (right).</w:t>
      </w:r>
    </w:p>
    <w:p w14:paraId="132A20FF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</w:p>
    <w:p w14:paraId="524081B8" w14:textId="77777777" w:rsidR="006C2A07" w:rsidRPr="00FF63EE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  <w:r>
        <w:rPr>
          <w:rFonts w:eastAsiaTheme="minorEastAsia"/>
          <w:noProof/>
          <w:color w:val="000000"/>
          <w:kern w:val="0"/>
        </w:rPr>
        <w:lastRenderedPageBreak/>
        <w:drawing>
          <wp:inline distT="0" distB="0" distL="0" distR="0" wp14:anchorId="204B4440" wp14:editId="02860E9D">
            <wp:extent cx="5168900" cy="3656067"/>
            <wp:effectExtent l="0" t="0" r="0" b="190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890" cy="3659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BD5AB2" w14:textId="77777777" w:rsidR="006C2A07" w:rsidRDefault="006C2A07" w:rsidP="006C2A07">
      <w:pPr>
        <w:widowControl/>
        <w:tabs>
          <w:tab w:val="left" w:pos="1134"/>
        </w:tabs>
        <w:spacing w:line="360" w:lineRule="auto"/>
        <w:rPr>
          <w:rFonts w:eastAsia="AdvOT260e5629"/>
          <w:color w:val="000000"/>
          <w:kern w:val="0"/>
          <w:sz w:val="24"/>
          <w:szCs w:val="24"/>
        </w:rPr>
      </w:pP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>Fig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.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 S</w:t>
      </w:r>
      <w:r>
        <w:rPr>
          <w:rFonts w:eastAsiaTheme="minorEastAsia"/>
          <w:b/>
          <w:bCs/>
          <w:color w:val="000000"/>
          <w:kern w:val="0"/>
          <w:sz w:val="24"/>
          <w:szCs w:val="24"/>
        </w:rPr>
        <w:t>3</w:t>
      </w:r>
      <w:r w:rsidRPr="009B5596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. </w:t>
      </w:r>
      <w:r w:rsidRPr="00CA2B0D">
        <w:rPr>
          <w:rFonts w:eastAsiaTheme="minorEastAsia"/>
          <w:color w:val="000000"/>
          <w:kern w:val="0"/>
          <w:sz w:val="24"/>
          <w:szCs w:val="24"/>
        </w:rPr>
        <w:t xml:space="preserve">A, Expression level of LYPLAL1-DT in H446 and H69. B, </w:t>
      </w:r>
      <w:r w:rsidRPr="009B5596">
        <w:rPr>
          <w:rFonts w:eastAsiaTheme="minorEastAsia"/>
          <w:color w:val="000000"/>
          <w:kern w:val="0"/>
          <w:sz w:val="24"/>
          <w:szCs w:val="24"/>
        </w:rPr>
        <w:t xml:space="preserve">Wound healing assay revealed the migration ability of </w:t>
      </w:r>
      <w:r w:rsidRPr="009B5596">
        <w:rPr>
          <w:rFonts w:eastAsia="AdvOT260e5629"/>
          <w:color w:val="000000"/>
          <w:kern w:val="0"/>
          <w:sz w:val="24"/>
          <w:szCs w:val="24"/>
        </w:rPr>
        <w:t xml:space="preserve">LYPLAL1-DT-OE and LYPLAL1-DT-OC cells. </w:t>
      </w:r>
      <w:r w:rsidRPr="00CA2B0D">
        <w:rPr>
          <w:rFonts w:eastAsia="AdvOT260e5629"/>
          <w:color w:val="000000"/>
          <w:kern w:val="0"/>
          <w:sz w:val="24"/>
          <w:szCs w:val="24"/>
        </w:rPr>
        <w:t xml:space="preserve">C, </w:t>
      </w:r>
      <w:r w:rsidRPr="009B5596">
        <w:rPr>
          <w:rFonts w:eastAsia="AdvOT260e5629"/>
          <w:color w:val="000000"/>
          <w:kern w:val="0"/>
          <w:sz w:val="24"/>
          <w:szCs w:val="24"/>
        </w:rPr>
        <w:t>RT-PCR demonstrated the knock down efficiency of LYPLAL1-DT in H69 cells.</w:t>
      </w:r>
    </w:p>
    <w:p w14:paraId="6E4D12E3" w14:textId="77777777" w:rsidR="006C2A07" w:rsidRPr="00FF63EE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</w:p>
    <w:p w14:paraId="1DDA7F76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</w:p>
    <w:p w14:paraId="6258820B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  <w:r>
        <w:rPr>
          <w:rFonts w:eastAsiaTheme="minorEastAsia"/>
          <w:noProof/>
          <w:color w:val="000000"/>
          <w:kern w:val="0"/>
        </w:rPr>
        <w:lastRenderedPageBreak/>
        <w:drawing>
          <wp:inline distT="0" distB="0" distL="0" distR="0" wp14:anchorId="6BEB5BD3" wp14:editId="3F2E8FBC">
            <wp:extent cx="4622800" cy="4852100"/>
            <wp:effectExtent l="0" t="0" r="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485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1D854" w14:textId="77777777" w:rsidR="006C2A07" w:rsidRDefault="006C2A07" w:rsidP="006C2A07">
      <w:pPr>
        <w:widowControl/>
        <w:tabs>
          <w:tab w:val="left" w:pos="1134"/>
        </w:tabs>
        <w:spacing w:line="276" w:lineRule="auto"/>
        <w:rPr>
          <w:rFonts w:eastAsiaTheme="minorEastAsia"/>
          <w:color w:val="000000"/>
          <w:kern w:val="0"/>
        </w:rPr>
      </w:pPr>
    </w:p>
    <w:p w14:paraId="285503C8" w14:textId="77777777" w:rsidR="006C2A07" w:rsidRDefault="006C2A07" w:rsidP="006C2A07">
      <w:pPr>
        <w:widowControl/>
        <w:tabs>
          <w:tab w:val="left" w:pos="1134"/>
        </w:tabs>
        <w:spacing w:line="360" w:lineRule="auto"/>
        <w:rPr>
          <w:rFonts w:eastAsiaTheme="minorEastAsia"/>
          <w:color w:val="000000"/>
          <w:kern w:val="0"/>
          <w:sz w:val="24"/>
          <w:szCs w:val="24"/>
        </w:rPr>
      </w:pPr>
      <w:r w:rsidRPr="00CA2B0D">
        <w:rPr>
          <w:rFonts w:eastAsiaTheme="minorEastAsia" w:hint="eastAsia"/>
          <w:b/>
          <w:bCs/>
          <w:color w:val="000000"/>
          <w:kern w:val="0"/>
          <w:sz w:val="24"/>
          <w:szCs w:val="24"/>
        </w:rPr>
        <w:t>F</w:t>
      </w:r>
      <w:r w:rsidRPr="00CA2B0D">
        <w:rPr>
          <w:rFonts w:eastAsiaTheme="minorEastAsia"/>
          <w:b/>
          <w:bCs/>
          <w:color w:val="000000"/>
          <w:kern w:val="0"/>
          <w:sz w:val="24"/>
          <w:szCs w:val="24"/>
        </w:rPr>
        <w:t xml:space="preserve">ig. S4. </w:t>
      </w:r>
      <w:r>
        <w:rPr>
          <w:rFonts w:eastAsiaTheme="minorEastAsia"/>
          <w:color w:val="000000"/>
          <w:kern w:val="0"/>
          <w:sz w:val="24"/>
          <w:szCs w:val="24"/>
        </w:rPr>
        <w:t>Predicted miRNAs expression on LYPLAL1-DT overexpression H446, including miR-204-5p (A), miR-449a (B), miR-204-3p (C) and miR-503-5p (D).</w:t>
      </w:r>
    </w:p>
    <w:p w14:paraId="61DEEC9A" w14:textId="77777777" w:rsidR="0099583A" w:rsidRPr="006C2A07" w:rsidRDefault="0099583A"/>
    <w:sectPr w:rsidR="0099583A" w:rsidRPr="006C2A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F3E05" w14:textId="77777777" w:rsidR="0098176B" w:rsidRDefault="0098176B" w:rsidP="00C970E8">
      <w:r>
        <w:separator/>
      </w:r>
    </w:p>
  </w:endnote>
  <w:endnote w:type="continuationSeparator" w:id="0">
    <w:p w14:paraId="14686F66" w14:textId="77777777" w:rsidR="0098176B" w:rsidRDefault="0098176B" w:rsidP="00C97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60e5629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978B9" w14:textId="77777777" w:rsidR="0098176B" w:rsidRDefault="0098176B" w:rsidP="00C970E8">
      <w:r>
        <w:separator/>
      </w:r>
    </w:p>
  </w:footnote>
  <w:footnote w:type="continuationSeparator" w:id="0">
    <w:p w14:paraId="3ADA71BE" w14:textId="77777777" w:rsidR="0098176B" w:rsidRDefault="0098176B" w:rsidP="00C97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A07"/>
    <w:rsid w:val="006C2A07"/>
    <w:rsid w:val="0098176B"/>
    <w:rsid w:val="0099583A"/>
    <w:rsid w:val="00C97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B70701"/>
  <w15:chartTrackingRefBased/>
  <w15:docId w15:val="{306F41C6-AB3C-446E-9926-82A91BB76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A07"/>
    <w:pPr>
      <w:widowControl w:val="0"/>
      <w:jc w:val="both"/>
    </w:pPr>
    <w:rPr>
      <w:rFonts w:cs="Times New Roman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C2A07"/>
    <w:rPr>
      <w:i/>
      <w:iCs/>
    </w:rPr>
  </w:style>
  <w:style w:type="table" w:styleId="TableGridLight">
    <w:name w:val="Grid Table Light"/>
    <w:basedOn w:val="TableNormal"/>
    <w:uiPriority w:val="40"/>
    <w:rsid w:val="006C2A0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C970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70E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70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70E8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 建祎</dc:creator>
  <cp:keywords/>
  <dc:description/>
  <cp:lastModifiedBy>吕 建祎</cp:lastModifiedBy>
  <cp:revision>2</cp:revision>
  <dcterms:created xsi:type="dcterms:W3CDTF">2021-08-12T12:44:00Z</dcterms:created>
  <dcterms:modified xsi:type="dcterms:W3CDTF">2021-08-13T07:19:00Z</dcterms:modified>
</cp:coreProperties>
</file>