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23F7BA" w14:textId="0C31E0FA" w:rsidR="00B3700C" w:rsidRPr="009C1764" w:rsidRDefault="009C1764" w:rsidP="004D42B6">
      <w:pPr>
        <w:pStyle w:val="Prrafodelista"/>
        <w:ind w:left="0"/>
        <w:rPr>
          <w:rFonts w:ascii="Times New Roman" w:hAnsi="Times New Roman" w:cs="Times New Roman"/>
          <w:b/>
          <w:bCs/>
          <w:sz w:val="28"/>
          <w:szCs w:val="28"/>
          <w:lang w:val="en-US"/>
        </w:rPr>
      </w:pPr>
      <w:r w:rsidRPr="009C1764">
        <w:rPr>
          <w:rFonts w:ascii="Times New Roman" w:hAnsi="Times New Roman" w:cs="Times New Roman"/>
          <w:b/>
          <w:bCs/>
          <w:sz w:val="28"/>
          <w:szCs w:val="28"/>
          <w:lang w:val="en-US"/>
        </w:rPr>
        <w:t xml:space="preserve">Online </w:t>
      </w:r>
      <w:r w:rsidR="00B3700C" w:rsidRPr="009C1764">
        <w:rPr>
          <w:rFonts w:ascii="Times New Roman" w:hAnsi="Times New Roman" w:cs="Times New Roman"/>
          <w:b/>
          <w:bCs/>
          <w:sz w:val="28"/>
          <w:szCs w:val="28"/>
          <w:lang w:val="en-US"/>
        </w:rPr>
        <w:t>Appendix A.1. Methodological aspects</w:t>
      </w:r>
    </w:p>
    <w:p w14:paraId="5B123228" w14:textId="77777777" w:rsidR="009C1764" w:rsidRDefault="009C1764" w:rsidP="004D42B6">
      <w:pPr>
        <w:jc w:val="both"/>
        <w:rPr>
          <w:rFonts w:ascii="Times New Roman" w:hAnsi="Times New Roman" w:cs="Times New Roman"/>
          <w:b/>
          <w:bCs/>
          <w:i/>
          <w:iCs/>
          <w:lang w:val="en-US"/>
        </w:rPr>
      </w:pPr>
    </w:p>
    <w:p w14:paraId="3AE39B39" w14:textId="125411F9" w:rsidR="00B3700C" w:rsidRDefault="00B3700C" w:rsidP="004D42B6">
      <w:pPr>
        <w:jc w:val="both"/>
        <w:rPr>
          <w:rFonts w:ascii="Times New Roman" w:hAnsi="Times New Roman" w:cs="Times New Roman"/>
          <w:b/>
          <w:bCs/>
          <w:lang w:val="en-US"/>
        </w:rPr>
      </w:pPr>
      <w:r w:rsidRPr="009C1764">
        <w:rPr>
          <w:rFonts w:ascii="Times New Roman" w:hAnsi="Times New Roman" w:cs="Times New Roman"/>
          <w:b/>
          <w:bCs/>
          <w:lang w:val="en-US"/>
        </w:rPr>
        <w:t>Petrochemical chain</w:t>
      </w:r>
    </w:p>
    <w:p w14:paraId="48C6AEE6" w14:textId="432F6E0B" w:rsidR="00B3700C"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lang w:val="en-US"/>
        </w:rPr>
        <w:t xml:space="preserve">The data we analyzed are from the International Trade Database at the product level (BACI) compiled by the </w:t>
      </w:r>
      <w:r w:rsidR="00B21206" w:rsidRPr="00B21206">
        <w:rPr>
          <w:rFonts w:ascii="Times New Roman" w:hAnsi="Times New Roman" w:cs="Times New Roman"/>
          <w:i/>
          <w:iCs/>
          <w:lang w:val="en-US"/>
        </w:rPr>
        <w:t xml:space="preserve">Centre </w:t>
      </w:r>
      <w:proofErr w:type="spellStart"/>
      <w:r w:rsidR="00B21206" w:rsidRPr="00B21206">
        <w:rPr>
          <w:rFonts w:ascii="Times New Roman" w:hAnsi="Times New Roman" w:cs="Times New Roman"/>
          <w:i/>
          <w:iCs/>
          <w:lang w:val="en-US"/>
        </w:rPr>
        <w:t>d'Etudes</w:t>
      </w:r>
      <w:proofErr w:type="spellEnd"/>
      <w:r w:rsidR="00B21206" w:rsidRPr="00B21206">
        <w:rPr>
          <w:rFonts w:ascii="Times New Roman" w:hAnsi="Times New Roman" w:cs="Times New Roman"/>
          <w:i/>
          <w:iCs/>
          <w:lang w:val="en-US"/>
        </w:rPr>
        <w:t xml:space="preserve"> </w:t>
      </w:r>
      <w:proofErr w:type="spellStart"/>
      <w:r w:rsidR="00B21206" w:rsidRPr="00B21206">
        <w:rPr>
          <w:rFonts w:ascii="Times New Roman" w:hAnsi="Times New Roman" w:cs="Times New Roman"/>
          <w:i/>
          <w:iCs/>
          <w:lang w:val="en-US"/>
        </w:rPr>
        <w:t>Prospectives</w:t>
      </w:r>
      <w:proofErr w:type="spellEnd"/>
      <w:r w:rsidR="00B21206" w:rsidRPr="00B21206">
        <w:rPr>
          <w:rFonts w:ascii="Times New Roman" w:hAnsi="Times New Roman" w:cs="Times New Roman"/>
          <w:i/>
          <w:iCs/>
          <w:lang w:val="en-US"/>
        </w:rPr>
        <w:t xml:space="preserve"> et </w:t>
      </w:r>
      <w:proofErr w:type="spellStart"/>
      <w:r w:rsidR="00B21206" w:rsidRPr="00B21206">
        <w:rPr>
          <w:rFonts w:ascii="Times New Roman" w:hAnsi="Times New Roman" w:cs="Times New Roman"/>
          <w:i/>
          <w:iCs/>
          <w:lang w:val="en-US"/>
        </w:rPr>
        <w:t>d'Informations</w:t>
      </w:r>
      <w:proofErr w:type="spellEnd"/>
      <w:r w:rsidR="00B21206" w:rsidRPr="00B21206">
        <w:rPr>
          <w:rFonts w:ascii="Times New Roman" w:hAnsi="Times New Roman" w:cs="Times New Roman"/>
          <w:i/>
          <w:iCs/>
          <w:lang w:val="en-US"/>
        </w:rPr>
        <w:t xml:space="preserve"> </w:t>
      </w:r>
      <w:proofErr w:type="spellStart"/>
      <w:r w:rsidR="00B21206" w:rsidRPr="00B21206">
        <w:rPr>
          <w:rFonts w:ascii="Times New Roman" w:hAnsi="Times New Roman" w:cs="Times New Roman"/>
          <w:i/>
          <w:iCs/>
          <w:lang w:val="en-US"/>
        </w:rPr>
        <w:t>Internationales</w:t>
      </w:r>
      <w:proofErr w:type="spellEnd"/>
      <w:r w:rsidR="00B21206" w:rsidRPr="009C1764">
        <w:rPr>
          <w:rFonts w:ascii="Times New Roman" w:hAnsi="Times New Roman" w:cs="Times New Roman"/>
          <w:lang w:val="en-US"/>
        </w:rPr>
        <w:t xml:space="preserve"> </w:t>
      </w:r>
      <w:r w:rsidRPr="009C1764">
        <w:rPr>
          <w:rFonts w:ascii="Times New Roman" w:hAnsi="Times New Roman" w:cs="Times New Roman"/>
          <w:lang w:val="en-US"/>
        </w:rPr>
        <w:t>(CEPII) in its January 2020 edition (</w:t>
      </w:r>
      <w:proofErr w:type="spellStart"/>
      <w:r w:rsidRPr="009C1764">
        <w:rPr>
          <w:rFonts w:ascii="Times New Roman" w:hAnsi="Times New Roman" w:cs="Times New Roman"/>
          <w:lang w:val="en-US"/>
        </w:rPr>
        <w:t>Gaulier</w:t>
      </w:r>
      <w:proofErr w:type="spellEnd"/>
      <w:r w:rsidRPr="009C1764">
        <w:rPr>
          <w:rFonts w:ascii="Times New Roman" w:hAnsi="Times New Roman" w:cs="Times New Roman"/>
          <w:lang w:val="en-US"/>
        </w:rPr>
        <w:t xml:space="preserve"> and </w:t>
      </w:r>
      <w:proofErr w:type="spellStart"/>
      <w:r w:rsidRPr="009C1764">
        <w:rPr>
          <w:rFonts w:ascii="Times New Roman" w:hAnsi="Times New Roman" w:cs="Times New Roman"/>
          <w:lang w:val="en-US"/>
        </w:rPr>
        <w:t>Zignago</w:t>
      </w:r>
      <w:proofErr w:type="spellEnd"/>
      <w:r w:rsidRPr="009C1764">
        <w:rPr>
          <w:rFonts w:ascii="Times New Roman" w:hAnsi="Times New Roman" w:cs="Times New Roman"/>
          <w:lang w:val="en-US"/>
        </w:rPr>
        <w:t xml:space="preserve"> 2010). Data from the 2007 Harmonized System nomenclature (HS07) at the 6-digit level (subheadings) were used and the years 2007, 2010, and 2016 were analyzed. In this case, a classification of products of the petrochemical chain was not available and so it was analyzed subheading by subheading to determine whether they belong to the petrochemical chain and what stage of processing was involved. For this purpose, information from the following sources was used: Instituto </w:t>
      </w:r>
      <w:proofErr w:type="spellStart"/>
      <w:r w:rsidRPr="009C1764">
        <w:rPr>
          <w:rFonts w:ascii="Times New Roman" w:hAnsi="Times New Roman" w:cs="Times New Roman"/>
          <w:lang w:val="en-US"/>
        </w:rPr>
        <w:t>Petroquímico</w:t>
      </w:r>
      <w:proofErr w:type="spellEnd"/>
      <w:r w:rsidRPr="009C1764">
        <w:rPr>
          <w:rFonts w:ascii="Times New Roman" w:hAnsi="Times New Roman" w:cs="Times New Roman"/>
          <w:lang w:val="en-US"/>
        </w:rPr>
        <w:t xml:space="preserve"> </w:t>
      </w:r>
      <w:proofErr w:type="spellStart"/>
      <w:r w:rsidRPr="009C1764">
        <w:rPr>
          <w:rFonts w:ascii="Times New Roman" w:hAnsi="Times New Roman" w:cs="Times New Roman"/>
          <w:lang w:val="en-US"/>
        </w:rPr>
        <w:t>Argentino</w:t>
      </w:r>
      <w:proofErr w:type="spellEnd"/>
      <w:r w:rsidRPr="009C1764">
        <w:rPr>
          <w:rFonts w:ascii="Times New Roman" w:hAnsi="Times New Roman" w:cs="Times New Roman"/>
          <w:lang w:val="en-US"/>
        </w:rPr>
        <w:t xml:space="preserve"> (2011), </w:t>
      </w:r>
      <w:proofErr w:type="spellStart"/>
      <w:r w:rsidRPr="009C1764">
        <w:rPr>
          <w:rFonts w:ascii="Times New Roman" w:hAnsi="Times New Roman" w:cs="Times New Roman"/>
          <w:lang w:val="en-US"/>
        </w:rPr>
        <w:t>Diario</w:t>
      </w:r>
      <w:proofErr w:type="spellEnd"/>
      <w:r w:rsidRPr="009C1764">
        <w:rPr>
          <w:rFonts w:ascii="Times New Roman" w:hAnsi="Times New Roman" w:cs="Times New Roman"/>
          <w:lang w:val="en-US"/>
        </w:rPr>
        <w:t xml:space="preserve"> </w:t>
      </w:r>
      <w:proofErr w:type="spellStart"/>
      <w:r w:rsidRPr="009C1764">
        <w:rPr>
          <w:rFonts w:ascii="Times New Roman" w:hAnsi="Times New Roman" w:cs="Times New Roman"/>
          <w:lang w:val="en-US"/>
        </w:rPr>
        <w:t>Oficial</w:t>
      </w:r>
      <w:proofErr w:type="spellEnd"/>
      <w:r w:rsidRPr="009C1764">
        <w:rPr>
          <w:rFonts w:ascii="Times New Roman" w:hAnsi="Times New Roman" w:cs="Times New Roman"/>
          <w:lang w:val="en-US"/>
        </w:rPr>
        <w:t xml:space="preserve"> de la </w:t>
      </w:r>
      <w:proofErr w:type="spellStart"/>
      <w:r w:rsidRPr="009C1764">
        <w:rPr>
          <w:rFonts w:ascii="Times New Roman" w:hAnsi="Times New Roman" w:cs="Times New Roman"/>
          <w:lang w:val="en-US"/>
        </w:rPr>
        <w:t>Federación</w:t>
      </w:r>
      <w:proofErr w:type="spellEnd"/>
      <w:r w:rsidRPr="009C1764">
        <w:rPr>
          <w:rFonts w:ascii="Times New Roman" w:hAnsi="Times New Roman" w:cs="Times New Roman"/>
          <w:lang w:val="en-US"/>
        </w:rPr>
        <w:t xml:space="preserve">, Mexico (2007), Ullmann (2011), </w:t>
      </w:r>
      <w:proofErr w:type="spellStart"/>
      <w:r w:rsidRPr="009C1764">
        <w:rPr>
          <w:rFonts w:ascii="Times New Roman" w:hAnsi="Times New Roman" w:cs="Times New Roman"/>
          <w:lang w:val="en-US"/>
        </w:rPr>
        <w:t>Devold</w:t>
      </w:r>
      <w:proofErr w:type="spellEnd"/>
      <w:r w:rsidRPr="009C1764">
        <w:rPr>
          <w:rFonts w:ascii="Times New Roman" w:hAnsi="Times New Roman" w:cs="Times New Roman"/>
          <w:lang w:val="en-US"/>
        </w:rPr>
        <w:t xml:space="preserve"> (2013), and </w:t>
      </w:r>
      <w:proofErr w:type="spellStart"/>
      <w:r w:rsidRPr="009C1764">
        <w:rPr>
          <w:rFonts w:ascii="Times New Roman" w:hAnsi="Times New Roman" w:cs="Times New Roman"/>
          <w:lang w:val="en-US"/>
        </w:rPr>
        <w:t>Bahadori</w:t>
      </w:r>
      <w:proofErr w:type="spellEnd"/>
      <w:r w:rsidRPr="009C1764">
        <w:rPr>
          <w:rFonts w:ascii="Times New Roman" w:hAnsi="Times New Roman" w:cs="Times New Roman"/>
          <w:lang w:val="en-US"/>
        </w:rPr>
        <w:t xml:space="preserve">, </w:t>
      </w:r>
      <w:proofErr w:type="spellStart"/>
      <w:r w:rsidRPr="009C1764">
        <w:rPr>
          <w:rFonts w:ascii="Times New Roman" w:hAnsi="Times New Roman" w:cs="Times New Roman"/>
          <w:lang w:val="en-US"/>
        </w:rPr>
        <w:t>Nwaoha</w:t>
      </w:r>
      <w:proofErr w:type="spellEnd"/>
      <w:r w:rsidRPr="009C1764">
        <w:rPr>
          <w:rFonts w:ascii="Times New Roman" w:hAnsi="Times New Roman" w:cs="Times New Roman"/>
          <w:lang w:val="en-US"/>
        </w:rPr>
        <w:t xml:space="preserve">, </w:t>
      </w:r>
      <w:r w:rsidR="009C1764">
        <w:rPr>
          <w:rFonts w:ascii="Times New Roman" w:hAnsi="Times New Roman" w:cs="Times New Roman"/>
          <w:lang w:val="en-US"/>
        </w:rPr>
        <w:t>and Clark</w:t>
      </w:r>
      <w:r w:rsidRPr="009C1764">
        <w:rPr>
          <w:rFonts w:ascii="Times New Roman" w:hAnsi="Times New Roman" w:cs="Times New Roman"/>
          <w:lang w:val="en-US"/>
        </w:rPr>
        <w:t xml:space="preserve"> (2014). The grouping of HS07 subheadings according to the stage of transformation for oil and natural gas is shown in Table A1.1.</w:t>
      </w:r>
    </w:p>
    <w:p w14:paraId="0A6A2FFC" w14:textId="77777777" w:rsidR="009C1764" w:rsidRPr="009C1764" w:rsidRDefault="009C1764" w:rsidP="004D42B6">
      <w:pPr>
        <w:pStyle w:val="Prrafodelista"/>
        <w:ind w:left="0"/>
        <w:jc w:val="both"/>
        <w:rPr>
          <w:rFonts w:ascii="Times New Roman" w:hAnsi="Times New Roman" w:cs="Times New Roman"/>
          <w:lang w:val="en-US"/>
        </w:rPr>
      </w:pPr>
    </w:p>
    <w:p w14:paraId="28CC3C94" w14:textId="77777777" w:rsidR="00B3700C" w:rsidRPr="009C1764"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b/>
          <w:bCs/>
          <w:lang w:val="en-US"/>
        </w:rPr>
        <w:t xml:space="preserve">Table A1.1. </w:t>
      </w:r>
      <w:r w:rsidRPr="009C1764">
        <w:rPr>
          <w:rFonts w:ascii="Times New Roman" w:hAnsi="Times New Roman" w:cs="Times New Roman"/>
          <w:lang w:val="en-US"/>
        </w:rPr>
        <w:t>Classification of Harmonized System 2007 tariff subheadings by stage of processing in the petrochemical chain.</w:t>
      </w:r>
    </w:p>
    <w:tbl>
      <w:tblPr>
        <w:tblW w:w="4972" w:type="pct"/>
        <w:tblLayout w:type="fixed"/>
        <w:tblCellMar>
          <w:left w:w="70" w:type="dxa"/>
          <w:right w:w="70" w:type="dxa"/>
        </w:tblCellMar>
        <w:tblLook w:val="04A0" w:firstRow="1" w:lastRow="0" w:firstColumn="1" w:lastColumn="0" w:noHBand="0" w:noVBand="1"/>
      </w:tblPr>
      <w:tblGrid>
        <w:gridCol w:w="1133"/>
        <w:gridCol w:w="2412"/>
        <w:gridCol w:w="5244"/>
      </w:tblGrid>
      <w:tr w:rsidR="00B3700C" w:rsidRPr="009C1764" w14:paraId="41D1C757" w14:textId="77777777" w:rsidTr="009C1764">
        <w:trPr>
          <w:trHeight w:val="227"/>
        </w:trPr>
        <w:tc>
          <w:tcPr>
            <w:tcW w:w="645" w:type="pct"/>
            <w:tcBorders>
              <w:top w:val="single" w:sz="4" w:space="0" w:color="auto"/>
              <w:left w:val="nil"/>
              <w:bottom w:val="single" w:sz="4" w:space="0" w:color="auto"/>
              <w:right w:val="nil"/>
            </w:tcBorders>
            <w:shd w:val="clear" w:color="auto" w:fill="auto"/>
            <w:noWrap/>
            <w:vAlign w:val="center"/>
            <w:hideMark/>
          </w:tcPr>
          <w:p w14:paraId="3E3CB0C3"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Stage</w:t>
            </w:r>
          </w:p>
        </w:tc>
        <w:tc>
          <w:tcPr>
            <w:tcW w:w="1372" w:type="pct"/>
            <w:tcBorders>
              <w:top w:val="single" w:sz="4" w:space="0" w:color="auto"/>
              <w:left w:val="nil"/>
              <w:bottom w:val="single" w:sz="4" w:space="0" w:color="auto"/>
              <w:right w:val="nil"/>
            </w:tcBorders>
            <w:shd w:val="clear" w:color="auto" w:fill="auto"/>
            <w:noWrap/>
            <w:vAlign w:val="center"/>
            <w:hideMark/>
          </w:tcPr>
          <w:p w14:paraId="39560F1E"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Categories</w:t>
            </w:r>
          </w:p>
        </w:tc>
        <w:tc>
          <w:tcPr>
            <w:tcW w:w="2983" w:type="pct"/>
            <w:tcBorders>
              <w:top w:val="single" w:sz="4" w:space="0" w:color="auto"/>
              <w:left w:val="nil"/>
              <w:bottom w:val="single" w:sz="4" w:space="0" w:color="auto"/>
              <w:right w:val="nil"/>
            </w:tcBorders>
            <w:shd w:val="clear" w:color="auto" w:fill="auto"/>
            <w:noWrap/>
            <w:vAlign w:val="center"/>
            <w:hideMark/>
          </w:tcPr>
          <w:p w14:paraId="358EC96A"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Subitems HS07</w:t>
            </w:r>
          </w:p>
        </w:tc>
      </w:tr>
      <w:tr w:rsidR="00B3700C" w:rsidRPr="009C1764" w14:paraId="034144E2" w14:textId="77777777" w:rsidTr="009C1764">
        <w:trPr>
          <w:trHeight w:val="227"/>
        </w:trPr>
        <w:tc>
          <w:tcPr>
            <w:tcW w:w="645" w:type="pct"/>
            <w:vMerge w:val="restart"/>
            <w:tcBorders>
              <w:top w:val="nil"/>
              <w:left w:val="nil"/>
              <w:bottom w:val="nil"/>
              <w:right w:val="nil"/>
            </w:tcBorders>
            <w:shd w:val="clear" w:color="auto" w:fill="auto"/>
            <w:vAlign w:val="center"/>
            <w:hideMark/>
          </w:tcPr>
          <w:p w14:paraId="27D93AA9"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Raw materials</w:t>
            </w:r>
          </w:p>
        </w:tc>
        <w:tc>
          <w:tcPr>
            <w:tcW w:w="1372" w:type="pct"/>
            <w:tcBorders>
              <w:top w:val="nil"/>
              <w:left w:val="nil"/>
              <w:bottom w:val="nil"/>
              <w:right w:val="nil"/>
            </w:tcBorders>
            <w:shd w:val="clear" w:color="auto" w:fill="auto"/>
            <w:noWrap/>
            <w:vAlign w:val="center"/>
            <w:hideMark/>
          </w:tcPr>
          <w:p w14:paraId="53AC280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Crude oil</w:t>
            </w:r>
          </w:p>
        </w:tc>
        <w:tc>
          <w:tcPr>
            <w:tcW w:w="2983" w:type="pct"/>
            <w:tcBorders>
              <w:top w:val="nil"/>
              <w:left w:val="nil"/>
              <w:bottom w:val="nil"/>
              <w:right w:val="nil"/>
            </w:tcBorders>
            <w:shd w:val="clear" w:color="auto" w:fill="auto"/>
            <w:vAlign w:val="center"/>
            <w:hideMark/>
          </w:tcPr>
          <w:p w14:paraId="0E879A9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270900</w:t>
            </w:r>
          </w:p>
        </w:tc>
      </w:tr>
      <w:tr w:rsidR="00B3700C" w:rsidRPr="009C1764" w14:paraId="6D83BD85" w14:textId="77777777" w:rsidTr="009C1764">
        <w:trPr>
          <w:trHeight w:val="227"/>
        </w:trPr>
        <w:tc>
          <w:tcPr>
            <w:tcW w:w="645" w:type="pct"/>
            <w:vMerge/>
            <w:tcBorders>
              <w:top w:val="nil"/>
              <w:left w:val="nil"/>
              <w:bottom w:val="nil"/>
              <w:right w:val="nil"/>
            </w:tcBorders>
            <w:vAlign w:val="center"/>
            <w:hideMark/>
          </w:tcPr>
          <w:p w14:paraId="79FC38E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5C20464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Natural gas</w:t>
            </w:r>
          </w:p>
        </w:tc>
        <w:tc>
          <w:tcPr>
            <w:tcW w:w="2983" w:type="pct"/>
            <w:tcBorders>
              <w:top w:val="nil"/>
              <w:left w:val="nil"/>
              <w:bottom w:val="nil"/>
              <w:right w:val="nil"/>
            </w:tcBorders>
            <w:shd w:val="clear" w:color="auto" w:fill="auto"/>
            <w:vAlign w:val="center"/>
            <w:hideMark/>
          </w:tcPr>
          <w:p w14:paraId="5D35A18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271111, 271121</w:t>
            </w:r>
          </w:p>
        </w:tc>
      </w:tr>
      <w:tr w:rsidR="00B3700C" w:rsidRPr="009C1764" w14:paraId="66ACEC94" w14:textId="77777777" w:rsidTr="009C1764">
        <w:trPr>
          <w:trHeight w:val="227"/>
        </w:trPr>
        <w:tc>
          <w:tcPr>
            <w:tcW w:w="645" w:type="pct"/>
            <w:vMerge w:val="restart"/>
            <w:tcBorders>
              <w:top w:val="single" w:sz="4" w:space="0" w:color="auto"/>
              <w:left w:val="nil"/>
              <w:bottom w:val="single" w:sz="4" w:space="0" w:color="000000"/>
              <w:right w:val="nil"/>
            </w:tcBorders>
            <w:shd w:val="clear" w:color="auto" w:fill="auto"/>
            <w:vAlign w:val="center"/>
            <w:hideMark/>
          </w:tcPr>
          <w:p w14:paraId="720A7799"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Refined petroleum products</w:t>
            </w:r>
          </w:p>
        </w:tc>
        <w:tc>
          <w:tcPr>
            <w:tcW w:w="1372" w:type="pct"/>
            <w:tcBorders>
              <w:top w:val="single" w:sz="4" w:space="0" w:color="auto"/>
              <w:left w:val="nil"/>
              <w:bottom w:val="nil"/>
              <w:right w:val="nil"/>
            </w:tcBorders>
            <w:shd w:val="clear" w:color="auto" w:fill="auto"/>
            <w:noWrap/>
            <w:vAlign w:val="center"/>
            <w:hideMark/>
          </w:tcPr>
          <w:p w14:paraId="169B1229"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Oils and preparations</w:t>
            </w:r>
          </w:p>
        </w:tc>
        <w:tc>
          <w:tcPr>
            <w:tcW w:w="2983" w:type="pct"/>
            <w:tcBorders>
              <w:top w:val="single" w:sz="4" w:space="0" w:color="auto"/>
              <w:left w:val="nil"/>
              <w:bottom w:val="nil"/>
              <w:right w:val="nil"/>
            </w:tcBorders>
            <w:shd w:val="clear" w:color="auto" w:fill="auto"/>
            <w:vAlign w:val="center"/>
            <w:hideMark/>
          </w:tcPr>
          <w:p w14:paraId="56145FD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271011, 271019</w:t>
            </w:r>
          </w:p>
        </w:tc>
      </w:tr>
      <w:tr w:rsidR="00B3700C" w:rsidRPr="009C1764" w14:paraId="6475E822" w14:textId="77777777" w:rsidTr="009C1764">
        <w:trPr>
          <w:trHeight w:val="227"/>
        </w:trPr>
        <w:tc>
          <w:tcPr>
            <w:tcW w:w="645" w:type="pct"/>
            <w:vMerge/>
            <w:tcBorders>
              <w:top w:val="single" w:sz="4" w:space="0" w:color="auto"/>
              <w:left w:val="nil"/>
              <w:bottom w:val="single" w:sz="4" w:space="0" w:color="000000"/>
              <w:right w:val="nil"/>
            </w:tcBorders>
            <w:vAlign w:val="center"/>
            <w:hideMark/>
          </w:tcPr>
          <w:p w14:paraId="12FCDC2F"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0997B89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Liquefied petroleum gases</w:t>
            </w:r>
          </w:p>
        </w:tc>
        <w:tc>
          <w:tcPr>
            <w:tcW w:w="2983" w:type="pct"/>
            <w:tcBorders>
              <w:top w:val="nil"/>
              <w:left w:val="nil"/>
              <w:bottom w:val="nil"/>
              <w:right w:val="nil"/>
            </w:tcBorders>
            <w:shd w:val="clear" w:color="auto" w:fill="auto"/>
            <w:vAlign w:val="center"/>
            <w:hideMark/>
          </w:tcPr>
          <w:p w14:paraId="1C903CB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271112, 271113, 271114, 271119, 271129</w:t>
            </w:r>
          </w:p>
        </w:tc>
      </w:tr>
      <w:tr w:rsidR="00B3700C" w:rsidRPr="009C1764" w14:paraId="359E9CE6" w14:textId="77777777" w:rsidTr="009C1764">
        <w:trPr>
          <w:trHeight w:val="227"/>
        </w:trPr>
        <w:tc>
          <w:tcPr>
            <w:tcW w:w="645" w:type="pct"/>
            <w:vMerge/>
            <w:tcBorders>
              <w:top w:val="single" w:sz="4" w:space="0" w:color="auto"/>
              <w:left w:val="nil"/>
              <w:bottom w:val="single" w:sz="4" w:space="0" w:color="000000"/>
              <w:right w:val="nil"/>
            </w:tcBorders>
            <w:vAlign w:val="center"/>
            <w:hideMark/>
          </w:tcPr>
          <w:p w14:paraId="1A574E46"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26298D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Residuals: coke and bitumen</w:t>
            </w:r>
          </w:p>
        </w:tc>
        <w:tc>
          <w:tcPr>
            <w:tcW w:w="2983" w:type="pct"/>
            <w:tcBorders>
              <w:top w:val="nil"/>
              <w:left w:val="nil"/>
              <w:bottom w:val="nil"/>
              <w:right w:val="nil"/>
            </w:tcBorders>
            <w:shd w:val="clear" w:color="auto" w:fill="auto"/>
            <w:vAlign w:val="center"/>
            <w:hideMark/>
          </w:tcPr>
          <w:p w14:paraId="3B8D450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271311, 271312, 271320</w:t>
            </w:r>
          </w:p>
        </w:tc>
      </w:tr>
      <w:tr w:rsidR="00B3700C" w:rsidRPr="009C1764" w14:paraId="73F619D0" w14:textId="77777777" w:rsidTr="009C1764">
        <w:trPr>
          <w:trHeight w:val="227"/>
        </w:trPr>
        <w:tc>
          <w:tcPr>
            <w:tcW w:w="645" w:type="pct"/>
            <w:vMerge/>
            <w:tcBorders>
              <w:top w:val="single" w:sz="4" w:space="0" w:color="auto"/>
              <w:left w:val="nil"/>
              <w:bottom w:val="single" w:sz="4" w:space="0" w:color="000000"/>
              <w:right w:val="nil"/>
            </w:tcBorders>
            <w:vAlign w:val="center"/>
            <w:hideMark/>
          </w:tcPr>
          <w:p w14:paraId="20F5FE98"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1834DB4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Residuals: jellies and waxes</w:t>
            </w:r>
          </w:p>
        </w:tc>
        <w:tc>
          <w:tcPr>
            <w:tcW w:w="2983" w:type="pct"/>
            <w:tcBorders>
              <w:top w:val="nil"/>
              <w:left w:val="nil"/>
              <w:bottom w:val="nil"/>
              <w:right w:val="nil"/>
            </w:tcBorders>
            <w:shd w:val="clear" w:color="auto" w:fill="auto"/>
            <w:vAlign w:val="center"/>
            <w:hideMark/>
          </w:tcPr>
          <w:p w14:paraId="3ECDB06D"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271210, 271220, 271290</w:t>
            </w:r>
          </w:p>
        </w:tc>
      </w:tr>
      <w:tr w:rsidR="00B3700C" w:rsidRPr="009C1764" w14:paraId="76115A80" w14:textId="77777777" w:rsidTr="009C1764">
        <w:trPr>
          <w:trHeight w:val="227"/>
        </w:trPr>
        <w:tc>
          <w:tcPr>
            <w:tcW w:w="645" w:type="pct"/>
            <w:vMerge/>
            <w:tcBorders>
              <w:top w:val="single" w:sz="4" w:space="0" w:color="auto"/>
              <w:left w:val="nil"/>
              <w:bottom w:val="single" w:sz="4" w:space="0" w:color="000000"/>
              <w:right w:val="nil"/>
            </w:tcBorders>
            <w:vAlign w:val="center"/>
            <w:hideMark/>
          </w:tcPr>
          <w:p w14:paraId="4349470F"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single" w:sz="4" w:space="0" w:color="auto"/>
              <w:right w:val="nil"/>
            </w:tcBorders>
            <w:shd w:val="clear" w:color="auto" w:fill="auto"/>
            <w:noWrap/>
            <w:vAlign w:val="center"/>
            <w:hideMark/>
          </w:tcPr>
          <w:p w14:paraId="6D37E61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Residuals: other</w:t>
            </w:r>
          </w:p>
        </w:tc>
        <w:tc>
          <w:tcPr>
            <w:tcW w:w="2983" w:type="pct"/>
            <w:tcBorders>
              <w:top w:val="nil"/>
              <w:left w:val="nil"/>
              <w:bottom w:val="single" w:sz="4" w:space="0" w:color="auto"/>
              <w:right w:val="nil"/>
            </w:tcBorders>
            <w:shd w:val="clear" w:color="auto" w:fill="auto"/>
            <w:vAlign w:val="center"/>
            <w:hideMark/>
          </w:tcPr>
          <w:p w14:paraId="1482B97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271390</w:t>
            </w:r>
          </w:p>
        </w:tc>
      </w:tr>
      <w:tr w:rsidR="00B3700C" w:rsidRPr="009C1764" w14:paraId="45F6F9B3" w14:textId="77777777" w:rsidTr="009C1764">
        <w:trPr>
          <w:trHeight w:val="227"/>
        </w:trPr>
        <w:tc>
          <w:tcPr>
            <w:tcW w:w="645" w:type="pct"/>
            <w:vMerge w:val="restart"/>
            <w:tcBorders>
              <w:top w:val="nil"/>
              <w:left w:val="nil"/>
              <w:bottom w:val="single" w:sz="4" w:space="0" w:color="000000"/>
              <w:right w:val="nil"/>
            </w:tcBorders>
            <w:shd w:val="clear" w:color="auto" w:fill="auto"/>
            <w:vAlign w:val="center"/>
            <w:hideMark/>
          </w:tcPr>
          <w:p w14:paraId="12C9C5A8" w14:textId="26BF8FB8"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Basic petrochemicals</w:t>
            </w:r>
          </w:p>
        </w:tc>
        <w:tc>
          <w:tcPr>
            <w:tcW w:w="1372" w:type="pct"/>
            <w:tcBorders>
              <w:top w:val="nil"/>
              <w:left w:val="nil"/>
              <w:bottom w:val="nil"/>
              <w:right w:val="nil"/>
            </w:tcBorders>
            <w:shd w:val="clear" w:color="auto" w:fill="auto"/>
            <w:noWrap/>
            <w:vAlign w:val="center"/>
            <w:hideMark/>
          </w:tcPr>
          <w:p w14:paraId="61B079E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Acyclic</w:t>
            </w:r>
          </w:p>
        </w:tc>
        <w:tc>
          <w:tcPr>
            <w:tcW w:w="2983" w:type="pct"/>
            <w:tcBorders>
              <w:top w:val="nil"/>
              <w:left w:val="nil"/>
              <w:bottom w:val="nil"/>
              <w:right w:val="nil"/>
            </w:tcBorders>
            <w:shd w:val="clear" w:color="auto" w:fill="auto"/>
            <w:vAlign w:val="center"/>
            <w:hideMark/>
          </w:tcPr>
          <w:p w14:paraId="4A414B6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290110, 290121, 290122, 290123, 290124, 290129, 290511</w:t>
            </w:r>
          </w:p>
        </w:tc>
      </w:tr>
      <w:tr w:rsidR="00B3700C" w:rsidRPr="009C1764" w14:paraId="7BE5CF3D" w14:textId="77777777" w:rsidTr="009C1764">
        <w:trPr>
          <w:trHeight w:val="227"/>
        </w:trPr>
        <w:tc>
          <w:tcPr>
            <w:tcW w:w="645" w:type="pct"/>
            <w:vMerge/>
            <w:tcBorders>
              <w:top w:val="nil"/>
              <w:left w:val="nil"/>
              <w:bottom w:val="single" w:sz="4" w:space="0" w:color="000000"/>
              <w:right w:val="nil"/>
            </w:tcBorders>
            <w:vAlign w:val="center"/>
            <w:hideMark/>
          </w:tcPr>
          <w:p w14:paraId="2ED619DA"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66AA812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Cyclical</w:t>
            </w:r>
          </w:p>
        </w:tc>
        <w:tc>
          <w:tcPr>
            <w:tcW w:w="2983" w:type="pct"/>
            <w:tcBorders>
              <w:top w:val="nil"/>
              <w:left w:val="nil"/>
              <w:bottom w:val="nil"/>
              <w:right w:val="nil"/>
            </w:tcBorders>
            <w:shd w:val="clear" w:color="auto" w:fill="auto"/>
            <w:vAlign w:val="center"/>
            <w:hideMark/>
          </w:tcPr>
          <w:p w14:paraId="3629C7E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290220, 290230, 290241, 290242, 290243, 290244, 290290</w:t>
            </w:r>
          </w:p>
        </w:tc>
      </w:tr>
      <w:tr w:rsidR="00B3700C" w:rsidRPr="009C1764" w14:paraId="63672FD8" w14:textId="77777777" w:rsidTr="009C1764">
        <w:trPr>
          <w:trHeight w:val="227"/>
        </w:trPr>
        <w:tc>
          <w:tcPr>
            <w:tcW w:w="645" w:type="pct"/>
            <w:vMerge/>
            <w:tcBorders>
              <w:top w:val="nil"/>
              <w:left w:val="nil"/>
              <w:bottom w:val="single" w:sz="4" w:space="0" w:color="000000"/>
              <w:right w:val="nil"/>
            </w:tcBorders>
            <w:vAlign w:val="center"/>
            <w:hideMark/>
          </w:tcPr>
          <w:p w14:paraId="3A4C4275"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single" w:sz="4" w:space="0" w:color="auto"/>
              <w:right w:val="nil"/>
            </w:tcBorders>
            <w:shd w:val="clear" w:color="auto" w:fill="auto"/>
            <w:noWrap/>
            <w:vAlign w:val="center"/>
            <w:hideMark/>
          </w:tcPr>
          <w:p w14:paraId="1A9E608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Others</w:t>
            </w:r>
          </w:p>
        </w:tc>
        <w:tc>
          <w:tcPr>
            <w:tcW w:w="2983" w:type="pct"/>
            <w:tcBorders>
              <w:top w:val="nil"/>
              <w:left w:val="nil"/>
              <w:bottom w:val="single" w:sz="4" w:space="0" w:color="auto"/>
              <w:right w:val="nil"/>
            </w:tcBorders>
            <w:shd w:val="clear" w:color="auto" w:fill="auto"/>
            <w:vAlign w:val="center"/>
            <w:hideMark/>
          </w:tcPr>
          <w:p w14:paraId="48EA666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281310, 281410, 281420</w:t>
            </w:r>
          </w:p>
        </w:tc>
      </w:tr>
      <w:tr w:rsidR="00B3700C" w:rsidRPr="009C1764" w14:paraId="769395A3" w14:textId="77777777" w:rsidTr="009C1764">
        <w:trPr>
          <w:trHeight w:val="227"/>
        </w:trPr>
        <w:tc>
          <w:tcPr>
            <w:tcW w:w="645" w:type="pct"/>
            <w:vMerge w:val="restart"/>
            <w:tcBorders>
              <w:top w:val="nil"/>
              <w:left w:val="nil"/>
              <w:bottom w:val="single" w:sz="4" w:space="0" w:color="000000"/>
              <w:right w:val="nil"/>
            </w:tcBorders>
            <w:shd w:val="clear" w:color="auto" w:fill="auto"/>
            <w:vAlign w:val="center"/>
            <w:hideMark/>
          </w:tcPr>
          <w:p w14:paraId="08A354AD" w14:textId="41596D21"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Intermediate petrochemicals</w:t>
            </w:r>
          </w:p>
        </w:tc>
        <w:tc>
          <w:tcPr>
            <w:tcW w:w="1372" w:type="pct"/>
            <w:tcBorders>
              <w:top w:val="nil"/>
              <w:left w:val="nil"/>
              <w:bottom w:val="nil"/>
              <w:right w:val="nil"/>
            </w:tcBorders>
            <w:shd w:val="clear" w:color="auto" w:fill="auto"/>
            <w:noWrap/>
            <w:vAlign w:val="center"/>
            <w:hideMark/>
          </w:tcPr>
          <w:p w14:paraId="7CF4373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Monocarboxylic acids</w:t>
            </w:r>
          </w:p>
        </w:tc>
        <w:tc>
          <w:tcPr>
            <w:tcW w:w="2983" w:type="pct"/>
            <w:tcBorders>
              <w:top w:val="nil"/>
              <w:left w:val="nil"/>
              <w:bottom w:val="nil"/>
              <w:right w:val="nil"/>
            </w:tcBorders>
            <w:shd w:val="clear" w:color="auto" w:fill="auto"/>
            <w:vAlign w:val="center"/>
            <w:hideMark/>
          </w:tcPr>
          <w:p w14:paraId="3FF6B53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291511, 291521, 291532, 291550, 291611, 291612, 291613, 291614, 291631, 291632, 291634, 291635, 291636, 291639</w:t>
            </w:r>
          </w:p>
        </w:tc>
      </w:tr>
      <w:tr w:rsidR="00B3700C" w:rsidRPr="009C1764" w14:paraId="5288ADCB" w14:textId="77777777" w:rsidTr="009C1764">
        <w:trPr>
          <w:trHeight w:val="227"/>
        </w:trPr>
        <w:tc>
          <w:tcPr>
            <w:tcW w:w="645" w:type="pct"/>
            <w:vMerge/>
            <w:tcBorders>
              <w:top w:val="nil"/>
              <w:left w:val="nil"/>
              <w:bottom w:val="single" w:sz="4" w:space="0" w:color="000000"/>
              <w:right w:val="nil"/>
            </w:tcBorders>
            <w:vAlign w:val="center"/>
            <w:hideMark/>
          </w:tcPr>
          <w:p w14:paraId="16E07C10"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D043061" w14:textId="77777777" w:rsidR="00B3700C" w:rsidRPr="009C1764" w:rsidRDefault="00B3700C" w:rsidP="00713B3E">
            <w:pPr>
              <w:rPr>
                <w:rFonts w:ascii="Times New Roman" w:eastAsia="Times New Roman" w:hAnsi="Times New Roman" w:cs="Times New Roman"/>
                <w:color w:val="000000"/>
                <w:sz w:val="14"/>
                <w:szCs w:val="14"/>
                <w:lang w:val="en-US" w:eastAsia="es-MX"/>
              </w:rPr>
            </w:pPr>
            <w:proofErr w:type="spellStart"/>
            <w:r w:rsidRPr="009C1764">
              <w:rPr>
                <w:rFonts w:ascii="Times New Roman" w:eastAsia="Times New Roman" w:hAnsi="Times New Roman" w:cs="Times New Roman"/>
                <w:color w:val="000000"/>
                <w:sz w:val="14"/>
                <w:szCs w:val="14"/>
                <w:lang w:val="en-US" w:eastAsia="es-MX"/>
              </w:rPr>
              <w:t>Polycarboxylic</w:t>
            </w:r>
            <w:proofErr w:type="spellEnd"/>
            <w:r w:rsidRPr="009C1764">
              <w:rPr>
                <w:rFonts w:ascii="Times New Roman" w:eastAsia="Times New Roman" w:hAnsi="Times New Roman" w:cs="Times New Roman"/>
                <w:color w:val="000000"/>
                <w:sz w:val="14"/>
                <w:szCs w:val="14"/>
                <w:lang w:val="en-US" w:eastAsia="es-MX"/>
              </w:rPr>
              <w:t xml:space="preserve"> acids</w:t>
            </w:r>
          </w:p>
        </w:tc>
        <w:tc>
          <w:tcPr>
            <w:tcW w:w="2983" w:type="pct"/>
            <w:tcBorders>
              <w:top w:val="nil"/>
              <w:left w:val="nil"/>
              <w:bottom w:val="nil"/>
              <w:right w:val="nil"/>
            </w:tcBorders>
            <w:shd w:val="clear" w:color="auto" w:fill="auto"/>
            <w:vAlign w:val="center"/>
            <w:hideMark/>
          </w:tcPr>
          <w:p w14:paraId="64C0C66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291712, 291714, 291719, 291732, 291733, 291734, 291735, 291736, 291737, 291739</w:t>
            </w:r>
          </w:p>
        </w:tc>
      </w:tr>
      <w:tr w:rsidR="00B3700C" w:rsidRPr="009C1764" w14:paraId="7EF7E354" w14:textId="77777777" w:rsidTr="009C1764">
        <w:trPr>
          <w:trHeight w:val="227"/>
        </w:trPr>
        <w:tc>
          <w:tcPr>
            <w:tcW w:w="645" w:type="pct"/>
            <w:vMerge/>
            <w:tcBorders>
              <w:top w:val="nil"/>
              <w:left w:val="nil"/>
              <w:bottom w:val="single" w:sz="4" w:space="0" w:color="000000"/>
              <w:right w:val="nil"/>
            </w:tcBorders>
            <w:vAlign w:val="center"/>
            <w:hideMark/>
          </w:tcPr>
          <w:p w14:paraId="6080240E"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EF408B9"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Acyclic alcohols</w:t>
            </w:r>
          </w:p>
        </w:tc>
        <w:tc>
          <w:tcPr>
            <w:tcW w:w="2983" w:type="pct"/>
            <w:tcBorders>
              <w:top w:val="nil"/>
              <w:left w:val="nil"/>
              <w:bottom w:val="nil"/>
              <w:right w:val="nil"/>
            </w:tcBorders>
            <w:shd w:val="clear" w:color="auto" w:fill="auto"/>
            <w:vAlign w:val="center"/>
            <w:hideMark/>
          </w:tcPr>
          <w:p w14:paraId="62FF80A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290512, 290513, 290514, 290516, 290517, 290531, 290532, 290539, 290541, 290542, 290612, 290621, 290629</w:t>
            </w:r>
          </w:p>
        </w:tc>
      </w:tr>
      <w:tr w:rsidR="00B3700C" w:rsidRPr="009C1764" w14:paraId="065B491A" w14:textId="77777777" w:rsidTr="009C1764">
        <w:trPr>
          <w:trHeight w:val="227"/>
        </w:trPr>
        <w:tc>
          <w:tcPr>
            <w:tcW w:w="645" w:type="pct"/>
            <w:vMerge/>
            <w:tcBorders>
              <w:top w:val="nil"/>
              <w:left w:val="nil"/>
              <w:bottom w:val="single" w:sz="4" w:space="0" w:color="000000"/>
              <w:right w:val="nil"/>
            </w:tcBorders>
            <w:vAlign w:val="center"/>
            <w:hideMark/>
          </w:tcPr>
          <w:p w14:paraId="06D90B1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4F8B820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Aldehydes</w:t>
            </w:r>
          </w:p>
        </w:tc>
        <w:tc>
          <w:tcPr>
            <w:tcW w:w="2983" w:type="pct"/>
            <w:tcBorders>
              <w:top w:val="nil"/>
              <w:left w:val="nil"/>
              <w:bottom w:val="nil"/>
              <w:right w:val="nil"/>
            </w:tcBorders>
            <w:shd w:val="clear" w:color="auto" w:fill="auto"/>
            <w:vAlign w:val="center"/>
            <w:hideMark/>
          </w:tcPr>
          <w:p w14:paraId="3608B02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291211, 291212, 291219, 291221, 291229, 291230, 291241, 291242, 291249, 291250, 291260</w:t>
            </w:r>
          </w:p>
        </w:tc>
      </w:tr>
      <w:tr w:rsidR="00B3700C" w:rsidRPr="009C1764" w14:paraId="75D8510F" w14:textId="77777777" w:rsidTr="009C1764">
        <w:trPr>
          <w:trHeight w:val="227"/>
        </w:trPr>
        <w:tc>
          <w:tcPr>
            <w:tcW w:w="645" w:type="pct"/>
            <w:vMerge/>
            <w:tcBorders>
              <w:top w:val="nil"/>
              <w:left w:val="nil"/>
              <w:bottom w:val="single" w:sz="4" w:space="0" w:color="000000"/>
              <w:right w:val="nil"/>
            </w:tcBorders>
            <w:vAlign w:val="center"/>
            <w:hideMark/>
          </w:tcPr>
          <w:p w14:paraId="77101800"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F75A2A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Amino-alcohols and amino-phenols</w:t>
            </w:r>
          </w:p>
        </w:tc>
        <w:tc>
          <w:tcPr>
            <w:tcW w:w="2983" w:type="pct"/>
            <w:tcBorders>
              <w:top w:val="nil"/>
              <w:left w:val="nil"/>
              <w:bottom w:val="nil"/>
              <w:right w:val="nil"/>
            </w:tcBorders>
            <w:shd w:val="clear" w:color="auto" w:fill="auto"/>
            <w:vAlign w:val="center"/>
            <w:hideMark/>
          </w:tcPr>
          <w:p w14:paraId="1EEC99E3"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292211, 292212, 292213, 292219, 292221, 292229</w:t>
            </w:r>
          </w:p>
        </w:tc>
      </w:tr>
      <w:tr w:rsidR="00B3700C" w:rsidRPr="009C1764" w14:paraId="6654C5A3" w14:textId="77777777" w:rsidTr="009C1764">
        <w:trPr>
          <w:trHeight w:val="227"/>
        </w:trPr>
        <w:tc>
          <w:tcPr>
            <w:tcW w:w="645" w:type="pct"/>
            <w:vMerge/>
            <w:tcBorders>
              <w:top w:val="nil"/>
              <w:left w:val="nil"/>
              <w:bottom w:val="single" w:sz="4" w:space="0" w:color="000000"/>
              <w:right w:val="nil"/>
            </w:tcBorders>
            <w:vAlign w:val="center"/>
            <w:hideMark/>
          </w:tcPr>
          <w:p w14:paraId="06AAA41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5B66A32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Cyclohexane, styrene, ethylbenzene and cumene</w:t>
            </w:r>
          </w:p>
        </w:tc>
        <w:tc>
          <w:tcPr>
            <w:tcW w:w="2983" w:type="pct"/>
            <w:tcBorders>
              <w:top w:val="nil"/>
              <w:left w:val="nil"/>
              <w:bottom w:val="nil"/>
              <w:right w:val="nil"/>
            </w:tcBorders>
            <w:shd w:val="clear" w:color="auto" w:fill="auto"/>
            <w:vAlign w:val="center"/>
            <w:hideMark/>
          </w:tcPr>
          <w:p w14:paraId="0B8E1F5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290211, 290219, 290250, 290260, 290270</w:t>
            </w:r>
          </w:p>
        </w:tc>
      </w:tr>
      <w:tr w:rsidR="00B3700C" w:rsidRPr="009C1764" w14:paraId="31D19F07" w14:textId="77777777" w:rsidTr="009C1764">
        <w:trPr>
          <w:trHeight w:val="227"/>
        </w:trPr>
        <w:tc>
          <w:tcPr>
            <w:tcW w:w="645" w:type="pct"/>
            <w:vMerge/>
            <w:tcBorders>
              <w:top w:val="nil"/>
              <w:left w:val="nil"/>
              <w:bottom w:val="single" w:sz="4" w:space="0" w:color="000000"/>
              <w:right w:val="nil"/>
            </w:tcBorders>
            <w:vAlign w:val="center"/>
            <w:hideMark/>
          </w:tcPr>
          <w:p w14:paraId="5D2EDC2C"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69C17BA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Acyclic based</w:t>
            </w:r>
          </w:p>
        </w:tc>
        <w:tc>
          <w:tcPr>
            <w:tcW w:w="2983" w:type="pct"/>
            <w:tcBorders>
              <w:top w:val="nil"/>
              <w:left w:val="nil"/>
              <w:bottom w:val="nil"/>
              <w:right w:val="nil"/>
            </w:tcBorders>
            <w:shd w:val="clear" w:color="auto" w:fill="auto"/>
            <w:vAlign w:val="center"/>
            <w:hideMark/>
          </w:tcPr>
          <w:p w14:paraId="3EB145D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290311, 290313, 290314, 290315, 290319, 290321, 290329, 290331, 290339, 290341, 290342, 290343, 290344, 290345, 290346, 290347, 290349, 290351, 290352, 290359</w:t>
            </w:r>
          </w:p>
        </w:tc>
      </w:tr>
      <w:tr w:rsidR="00B3700C" w:rsidRPr="009C1764" w14:paraId="58D25F53" w14:textId="77777777" w:rsidTr="009C1764">
        <w:trPr>
          <w:trHeight w:val="227"/>
        </w:trPr>
        <w:tc>
          <w:tcPr>
            <w:tcW w:w="645" w:type="pct"/>
            <w:vMerge/>
            <w:tcBorders>
              <w:top w:val="nil"/>
              <w:left w:val="nil"/>
              <w:bottom w:val="single" w:sz="4" w:space="0" w:color="000000"/>
              <w:right w:val="nil"/>
            </w:tcBorders>
            <w:vAlign w:val="center"/>
            <w:hideMark/>
          </w:tcPr>
          <w:p w14:paraId="51CE996C"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7DE0A1D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Aromatics based</w:t>
            </w:r>
          </w:p>
        </w:tc>
        <w:tc>
          <w:tcPr>
            <w:tcW w:w="2983" w:type="pct"/>
            <w:tcBorders>
              <w:top w:val="nil"/>
              <w:left w:val="nil"/>
              <w:bottom w:val="nil"/>
              <w:right w:val="nil"/>
            </w:tcBorders>
            <w:shd w:val="clear" w:color="auto" w:fill="auto"/>
            <w:vAlign w:val="center"/>
            <w:hideMark/>
          </w:tcPr>
          <w:p w14:paraId="2DACCA1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290361, 290362, 290369</w:t>
            </w:r>
          </w:p>
        </w:tc>
      </w:tr>
      <w:tr w:rsidR="00B3700C" w:rsidRPr="009C1764" w14:paraId="451E6FD3" w14:textId="77777777" w:rsidTr="009C1764">
        <w:trPr>
          <w:trHeight w:val="227"/>
        </w:trPr>
        <w:tc>
          <w:tcPr>
            <w:tcW w:w="645" w:type="pct"/>
            <w:vMerge/>
            <w:tcBorders>
              <w:top w:val="nil"/>
              <w:left w:val="nil"/>
              <w:bottom w:val="single" w:sz="4" w:space="0" w:color="000000"/>
              <w:right w:val="nil"/>
            </w:tcBorders>
            <w:vAlign w:val="center"/>
            <w:hideMark/>
          </w:tcPr>
          <w:p w14:paraId="199FD41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39911A9"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 xml:space="preserve">Epoxides, </w:t>
            </w:r>
            <w:proofErr w:type="spellStart"/>
            <w:r w:rsidRPr="009C1764">
              <w:rPr>
                <w:rFonts w:ascii="Times New Roman" w:eastAsia="Times New Roman" w:hAnsi="Times New Roman" w:cs="Times New Roman"/>
                <w:color w:val="000000"/>
                <w:sz w:val="14"/>
                <w:szCs w:val="14"/>
                <w:lang w:val="en-US" w:eastAsia="es-MX"/>
              </w:rPr>
              <w:t>epoxyalcohols</w:t>
            </w:r>
            <w:proofErr w:type="spellEnd"/>
            <w:r w:rsidRPr="009C1764">
              <w:rPr>
                <w:rFonts w:ascii="Times New Roman" w:eastAsia="Times New Roman" w:hAnsi="Times New Roman" w:cs="Times New Roman"/>
                <w:color w:val="000000"/>
                <w:sz w:val="14"/>
                <w:szCs w:val="14"/>
                <w:lang w:val="en-US" w:eastAsia="es-MX"/>
              </w:rPr>
              <w:t xml:space="preserve">, </w:t>
            </w:r>
            <w:proofErr w:type="spellStart"/>
            <w:r w:rsidRPr="009C1764">
              <w:rPr>
                <w:rFonts w:ascii="Times New Roman" w:eastAsia="Times New Roman" w:hAnsi="Times New Roman" w:cs="Times New Roman"/>
                <w:color w:val="000000"/>
                <w:sz w:val="14"/>
                <w:szCs w:val="14"/>
                <w:lang w:val="en-US" w:eastAsia="es-MX"/>
              </w:rPr>
              <w:t>epoxyphenols</w:t>
            </w:r>
            <w:proofErr w:type="spellEnd"/>
            <w:r w:rsidRPr="009C1764">
              <w:rPr>
                <w:rFonts w:ascii="Times New Roman" w:eastAsia="Times New Roman" w:hAnsi="Times New Roman" w:cs="Times New Roman"/>
                <w:color w:val="000000"/>
                <w:sz w:val="14"/>
                <w:szCs w:val="14"/>
                <w:lang w:val="en-US" w:eastAsia="es-MX"/>
              </w:rPr>
              <w:t xml:space="preserve">, and </w:t>
            </w:r>
            <w:proofErr w:type="spellStart"/>
            <w:r w:rsidRPr="009C1764">
              <w:rPr>
                <w:rFonts w:ascii="Times New Roman" w:eastAsia="Times New Roman" w:hAnsi="Times New Roman" w:cs="Times New Roman"/>
                <w:color w:val="000000"/>
                <w:sz w:val="14"/>
                <w:szCs w:val="14"/>
                <w:lang w:val="en-US" w:eastAsia="es-MX"/>
              </w:rPr>
              <w:t>epoxyethers</w:t>
            </w:r>
            <w:proofErr w:type="spellEnd"/>
          </w:p>
        </w:tc>
        <w:tc>
          <w:tcPr>
            <w:tcW w:w="2983" w:type="pct"/>
            <w:tcBorders>
              <w:top w:val="nil"/>
              <w:left w:val="nil"/>
              <w:bottom w:val="nil"/>
              <w:right w:val="nil"/>
            </w:tcBorders>
            <w:shd w:val="clear" w:color="auto" w:fill="auto"/>
            <w:vAlign w:val="center"/>
            <w:hideMark/>
          </w:tcPr>
          <w:p w14:paraId="424751E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291010, 291020, 291030, 291040, 291090</w:t>
            </w:r>
          </w:p>
        </w:tc>
      </w:tr>
      <w:tr w:rsidR="00B3700C" w:rsidRPr="009C1764" w14:paraId="4C1F8BF0" w14:textId="77777777" w:rsidTr="009C1764">
        <w:trPr>
          <w:trHeight w:val="227"/>
        </w:trPr>
        <w:tc>
          <w:tcPr>
            <w:tcW w:w="645" w:type="pct"/>
            <w:vMerge/>
            <w:tcBorders>
              <w:top w:val="nil"/>
              <w:left w:val="nil"/>
              <w:bottom w:val="single" w:sz="4" w:space="0" w:color="000000"/>
              <w:right w:val="nil"/>
            </w:tcBorders>
            <w:vAlign w:val="center"/>
            <w:hideMark/>
          </w:tcPr>
          <w:p w14:paraId="3BB4C81F"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16E184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Acyclic ethers</w:t>
            </w:r>
          </w:p>
        </w:tc>
        <w:tc>
          <w:tcPr>
            <w:tcW w:w="2983" w:type="pct"/>
            <w:tcBorders>
              <w:top w:val="nil"/>
              <w:left w:val="nil"/>
              <w:bottom w:val="nil"/>
              <w:right w:val="nil"/>
            </w:tcBorders>
            <w:shd w:val="clear" w:color="auto" w:fill="auto"/>
            <w:vAlign w:val="center"/>
            <w:hideMark/>
          </w:tcPr>
          <w:p w14:paraId="17A5BBB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290911, 290919, 290920, 290930</w:t>
            </w:r>
          </w:p>
        </w:tc>
      </w:tr>
      <w:tr w:rsidR="00B3700C" w:rsidRPr="009C1764" w14:paraId="45D23B26" w14:textId="77777777" w:rsidTr="009C1764">
        <w:trPr>
          <w:trHeight w:val="227"/>
        </w:trPr>
        <w:tc>
          <w:tcPr>
            <w:tcW w:w="645" w:type="pct"/>
            <w:vMerge/>
            <w:tcBorders>
              <w:top w:val="nil"/>
              <w:left w:val="nil"/>
              <w:bottom w:val="single" w:sz="4" w:space="0" w:color="000000"/>
              <w:right w:val="nil"/>
            </w:tcBorders>
            <w:vAlign w:val="center"/>
            <w:hideMark/>
          </w:tcPr>
          <w:p w14:paraId="714846F5"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7CD71DD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Phenols and phenol-alcohols</w:t>
            </w:r>
          </w:p>
        </w:tc>
        <w:tc>
          <w:tcPr>
            <w:tcW w:w="2983" w:type="pct"/>
            <w:tcBorders>
              <w:top w:val="nil"/>
              <w:left w:val="nil"/>
              <w:bottom w:val="nil"/>
              <w:right w:val="nil"/>
            </w:tcBorders>
            <w:shd w:val="clear" w:color="auto" w:fill="auto"/>
            <w:vAlign w:val="center"/>
            <w:hideMark/>
          </w:tcPr>
          <w:p w14:paraId="63A180A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290711, 290712, 290713, 290715, 290719, 290721, 290722, 290723, 290729, 290811, 290819, 290891, 290899</w:t>
            </w:r>
          </w:p>
        </w:tc>
      </w:tr>
      <w:tr w:rsidR="00B3700C" w:rsidRPr="009C1764" w14:paraId="6CAF458F" w14:textId="77777777" w:rsidTr="009C1764">
        <w:trPr>
          <w:trHeight w:val="227"/>
        </w:trPr>
        <w:tc>
          <w:tcPr>
            <w:tcW w:w="645" w:type="pct"/>
            <w:vMerge/>
            <w:tcBorders>
              <w:top w:val="nil"/>
              <w:left w:val="nil"/>
              <w:bottom w:val="single" w:sz="4" w:space="0" w:color="000000"/>
              <w:right w:val="nil"/>
            </w:tcBorders>
            <w:vAlign w:val="center"/>
            <w:hideMark/>
          </w:tcPr>
          <w:p w14:paraId="2D33F387"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D1249E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Monoamines and polyamines</w:t>
            </w:r>
          </w:p>
        </w:tc>
        <w:tc>
          <w:tcPr>
            <w:tcW w:w="2983" w:type="pct"/>
            <w:tcBorders>
              <w:top w:val="nil"/>
              <w:left w:val="nil"/>
              <w:bottom w:val="nil"/>
              <w:right w:val="nil"/>
            </w:tcBorders>
            <w:shd w:val="clear" w:color="auto" w:fill="auto"/>
            <w:vAlign w:val="center"/>
            <w:hideMark/>
          </w:tcPr>
          <w:p w14:paraId="01A9DDD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292111, 292119, 292121, 292122, 292129, 292130, 292141, 292142, 292143, 292144, 292145, 292149, 292151, 292159</w:t>
            </w:r>
          </w:p>
        </w:tc>
      </w:tr>
      <w:tr w:rsidR="00B3700C" w:rsidRPr="009C1764" w14:paraId="54972F68" w14:textId="77777777" w:rsidTr="009C1764">
        <w:trPr>
          <w:trHeight w:val="227"/>
        </w:trPr>
        <w:tc>
          <w:tcPr>
            <w:tcW w:w="645" w:type="pct"/>
            <w:vMerge/>
            <w:tcBorders>
              <w:top w:val="nil"/>
              <w:left w:val="nil"/>
              <w:bottom w:val="single" w:sz="4" w:space="0" w:color="000000"/>
              <w:right w:val="nil"/>
            </w:tcBorders>
            <w:vAlign w:val="center"/>
            <w:hideMark/>
          </w:tcPr>
          <w:p w14:paraId="1B0C665B"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single" w:sz="4" w:space="0" w:color="auto"/>
              <w:right w:val="nil"/>
            </w:tcBorders>
            <w:shd w:val="clear" w:color="auto" w:fill="auto"/>
            <w:noWrap/>
            <w:vAlign w:val="center"/>
            <w:hideMark/>
          </w:tcPr>
          <w:p w14:paraId="45BF633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Others</w:t>
            </w:r>
          </w:p>
        </w:tc>
        <w:tc>
          <w:tcPr>
            <w:tcW w:w="2983" w:type="pct"/>
            <w:tcBorders>
              <w:top w:val="nil"/>
              <w:left w:val="nil"/>
              <w:bottom w:val="single" w:sz="4" w:space="0" w:color="auto"/>
              <w:right w:val="nil"/>
            </w:tcBorders>
            <w:shd w:val="clear" w:color="auto" w:fill="auto"/>
            <w:vAlign w:val="center"/>
            <w:hideMark/>
          </w:tcPr>
          <w:p w14:paraId="5A4CEFC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280800, 290410, 290420, 290490, 291411, 291821, 291830, 292610, 293361, 293371, 381700</w:t>
            </w:r>
          </w:p>
        </w:tc>
      </w:tr>
      <w:tr w:rsidR="00B3700C" w:rsidRPr="009C1764" w14:paraId="3CEAA6D8" w14:textId="77777777" w:rsidTr="009C1764">
        <w:trPr>
          <w:trHeight w:val="227"/>
        </w:trPr>
        <w:tc>
          <w:tcPr>
            <w:tcW w:w="645" w:type="pct"/>
            <w:vMerge w:val="restart"/>
            <w:tcBorders>
              <w:top w:val="nil"/>
              <w:left w:val="nil"/>
              <w:bottom w:val="single" w:sz="4" w:space="0" w:color="000000"/>
              <w:right w:val="nil"/>
            </w:tcBorders>
            <w:shd w:val="clear" w:color="auto" w:fill="auto"/>
            <w:vAlign w:val="center"/>
            <w:hideMark/>
          </w:tcPr>
          <w:p w14:paraId="470296A0" w14:textId="1DAB3AC9"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Final petrochemicals</w:t>
            </w:r>
          </w:p>
        </w:tc>
        <w:tc>
          <w:tcPr>
            <w:tcW w:w="1372" w:type="pct"/>
            <w:tcBorders>
              <w:top w:val="nil"/>
              <w:left w:val="nil"/>
              <w:bottom w:val="nil"/>
              <w:right w:val="nil"/>
            </w:tcBorders>
            <w:shd w:val="clear" w:color="auto" w:fill="auto"/>
            <w:noWrap/>
            <w:vAlign w:val="center"/>
            <w:hideMark/>
          </w:tcPr>
          <w:p w14:paraId="49595CE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Mineral or chemical fertilizers</w:t>
            </w:r>
          </w:p>
        </w:tc>
        <w:tc>
          <w:tcPr>
            <w:tcW w:w="2983" w:type="pct"/>
            <w:tcBorders>
              <w:top w:val="nil"/>
              <w:left w:val="nil"/>
              <w:bottom w:val="nil"/>
              <w:right w:val="nil"/>
            </w:tcBorders>
            <w:shd w:val="clear" w:color="auto" w:fill="auto"/>
            <w:vAlign w:val="center"/>
            <w:hideMark/>
          </w:tcPr>
          <w:p w14:paraId="044DEF8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310210, 310221, 310229, 310230, 310280, 310530, 310540</w:t>
            </w:r>
          </w:p>
        </w:tc>
      </w:tr>
      <w:tr w:rsidR="00B3700C" w:rsidRPr="009C1764" w14:paraId="034D4FEC" w14:textId="77777777" w:rsidTr="009C1764">
        <w:trPr>
          <w:trHeight w:val="227"/>
        </w:trPr>
        <w:tc>
          <w:tcPr>
            <w:tcW w:w="645" w:type="pct"/>
            <w:vMerge/>
            <w:tcBorders>
              <w:top w:val="nil"/>
              <w:left w:val="nil"/>
              <w:bottom w:val="single" w:sz="4" w:space="0" w:color="000000"/>
              <w:right w:val="nil"/>
            </w:tcBorders>
            <w:vAlign w:val="center"/>
            <w:hideMark/>
          </w:tcPr>
          <w:p w14:paraId="110F8B08"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1C556E3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Synthetic rubbers</w:t>
            </w:r>
          </w:p>
        </w:tc>
        <w:tc>
          <w:tcPr>
            <w:tcW w:w="2983" w:type="pct"/>
            <w:tcBorders>
              <w:top w:val="nil"/>
              <w:left w:val="nil"/>
              <w:bottom w:val="nil"/>
              <w:right w:val="nil"/>
            </w:tcBorders>
            <w:shd w:val="clear" w:color="auto" w:fill="auto"/>
            <w:vAlign w:val="center"/>
            <w:hideMark/>
          </w:tcPr>
          <w:p w14:paraId="1472630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400211, 400219, 400220, 400231, 400239, 400241, 400249, 400251, 400259, 400260, 400270, 400280, 400291, 400299</w:t>
            </w:r>
          </w:p>
        </w:tc>
      </w:tr>
      <w:tr w:rsidR="00B3700C" w:rsidRPr="009C1764" w14:paraId="55769956" w14:textId="77777777" w:rsidTr="009C1764">
        <w:trPr>
          <w:trHeight w:val="227"/>
        </w:trPr>
        <w:tc>
          <w:tcPr>
            <w:tcW w:w="645" w:type="pct"/>
            <w:vMerge/>
            <w:tcBorders>
              <w:top w:val="nil"/>
              <w:left w:val="nil"/>
              <w:bottom w:val="single" w:sz="4" w:space="0" w:color="000000"/>
              <w:right w:val="nil"/>
            </w:tcBorders>
            <w:vAlign w:val="center"/>
            <w:hideMark/>
          </w:tcPr>
          <w:p w14:paraId="47FFBE71"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939C74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Acetone derivatives</w:t>
            </w:r>
          </w:p>
        </w:tc>
        <w:tc>
          <w:tcPr>
            <w:tcW w:w="2983" w:type="pct"/>
            <w:tcBorders>
              <w:top w:val="nil"/>
              <w:left w:val="nil"/>
              <w:bottom w:val="nil"/>
              <w:right w:val="nil"/>
            </w:tcBorders>
            <w:shd w:val="clear" w:color="auto" w:fill="auto"/>
            <w:vAlign w:val="center"/>
            <w:hideMark/>
          </w:tcPr>
          <w:p w14:paraId="789DB6B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291412, 291413, 291419, 291422, 291423, 291431, 291439, 291440, 291450, 291461, 291469</w:t>
            </w:r>
          </w:p>
        </w:tc>
      </w:tr>
      <w:tr w:rsidR="00B3700C" w:rsidRPr="009C1764" w14:paraId="35FBC971" w14:textId="77777777" w:rsidTr="009C1764">
        <w:trPr>
          <w:trHeight w:val="227"/>
        </w:trPr>
        <w:tc>
          <w:tcPr>
            <w:tcW w:w="645" w:type="pct"/>
            <w:vMerge/>
            <w:tcBorders>
              <w:top w:val="nil"/>
              <w:left w:val="nil"/>
              <w:bottom w:val="single" w:sz="4" w:space="0" w:color="000000"/>
              <w:right w:val="nil"/>
            </w:tcBorders>
            <w:vAlign w:val="center"/>
            <w:hideMark/>
          </w:tcPr>
          <w:p w14:paraId="41E56DF4"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19B8113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Ether-alcohols</w:t>
            </w:r>
          </w:p>
        </w:tc>
        <w:tc>
          <w:tcPr>
            <w:tcW w:w="2983" w:type="pct"/>
            <w:tcBorders>
              <w:top w:val="nil"/>
              <w:left w:val="nil"/>
              <w:bottom w:val="nil"/>
              <w:right w:val="nil"/>
            </w:tcBorders>
            <w:shd w:val="clear" w:color="auto" w:fill="auto"/>
            <w:vAlign w:val="center"/>
            <w:hideMark/>
          </w:tcPr>
          <w:p w14:paraId="45785FB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290941, 290943, 290944, 290949, 290950, 290960</w:t>
            </w:r>
          </w:p>
        </w:tc>
      </w:tr>
      <w:tr w:rsidR="00B3700C" w:rsidRPr="009C1764" w14:paraId="005BAB87" w14:textId="77777777" w:rsidTr="009C1764">
        <w:trPr>
          <w:trHeight w:val="227"/>
        </w:trPr>
        <w:tc>
          <w:tcPr>
            <w:tcW w:w="645" w:type="pct"/>
            <w:vMerge/>
            <w:tcBorders>
              <w:top w:val="nil"/>
              <w:left w:val="nil"/>
              <w:bottom w:val="single" w:sz="4" w:space="0" w:color="000000"/>
              <w:right w:val="nil"/>
            </w:tcBorders>
            <w:vAlign w:val="center"/>
            <w:hideMark/>
          </w:tcPr>
          <w:p w14:paraId="176BBA1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1ACF97A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 polymers</w:t>
            </w:r>
          </w:p>
        </w:tc>
        <w:tc>
          <w:tcPr>
            <w:tcW w:w="2983" w:type="pct"/>
            <w:tcBorders>
              <w:top w:val="nil"/>
              <w:left w:val="nil"/>
              <w:bottom w:val="nil"/>
              <w:right w:val="nil"/>
            </w:tcBorders>
            <w:shd w:val="clear" w:color="auto" w:fill="auto"/>
            <w:vAlign w:val="center"/>
            <w:hideMark/>
          </w:tcPr>
          <w:p w14:paraId="28F955C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390610, 391000, 391110, 391190</w:t>
            </w:r>
          </w:p>
        </w:tc>
      </w:tr>
      <w:tr w:rsidR="00B3700C" w:rsidRPr="009C1764" w14:paraId="1A4F0095" w14:textId="77777777" w:rsidTr="009C1764">
        <w:trPr>
          <w:trHeight w:val="227"/>
        </w:trPr>
        <w:tc>
          <w:tcPr>
            <w:tcW w:w="645" w:type="pct"/>
            <w:vMerge/>
            <w:tcBorders>
              <w:top w:val="nil"/>
              <w:left w:val="nil"/>
              <w:bottom w:val="single" w:sz="4" w:space="0" w:color="000000"/>
              <w:right w:val="nil"/>
            </w:tcBorders>
            <w:vAlign w:val="center"/>
            <w:hideMark/>
          </w:tcPr>
          <w:p w14:paraId="57D0086C"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62E001C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 xml:space="preserve">Polyacetals, polycarbonates, alkyd resins, </w:t>
            </w:r>
            <w:proofErr w:type="spellStart"/>
            <w:r w:rsidRPr="009C1764">
              <w:rPr>
                <w:rFonts w:ascii="Times New Roman" w:eastAsia="Times New Roman" w:hAnsi="Times New Roman" w:cs="Times New Roman"/>
                <w:color w:val="000000"/>
                <w:sz w:val="14"/>
                <w:szCs w:val="14"/>
                <w:lang w:val="en-US" w:eastAsia="es-MX"/>
              </w:rPr>
              <w:t>polyethers</w:t>
            </w:r>
            <w:proofErr w:type="spellEnd"/>
            <w:r w:rsidRPr="009C1764">
              <w:rPr>
                <w:rFonts w:ascii="Times New Roman" w:eastAsia="Times New Roman" w:hAnsi="Times New Roman" w:cs="Times New Roman"/>
                <w:color w:val="000000"/>
                <w:sz w:val="14"/>
                <w:szCs w:val="14"/>
                <w:lang w:val="en-US" w:eastAsia="es-MX"/>
              </w:rPr>
              <w:t>, and polyesters</w:t>
            </w:r>
          </w:p>
        </w:tc>
        <w:tc>
          <w:tcPr>
            <w:tcW w:w="2983" w:type="pct"/>
            <w:tcBorders>
              <w:top w:val="nil"/>
              <w:left w:val="nil"/>
              <w:bottom w:val="nil"/>
              <w:right w:val="nil"/>
            </w:tcBorders>
            <w:shd w:val="clear" w:color="auto" w:fill="auto"/>
            <w:vAlign w:val="center"/>
            <w:hideMark/>
          </w:tcPr>
          <w:p w14:paraId="46B1491F"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390690, 390710, 390720, 390730, 390740, 390750, 390760, 390770, 390791, 390799</w:t>
            </w:r>
          </w:p>
        </w:tc>
      </w:tr>
      <w:tr w:rsidR="00B3700C" w:rsidRPr="009C1764" w14:paraId="2E359395" w14:textId="77777777" w:rsidTr="009C1764">
        <w:trPr>
          <w:trHeight w:val="227"/>
        </w:trPr>
        <w:tc>
          <w:tcPr>
            <w:tcW w:w="645" w:type="pct"/>
            <w:vMerge/>
            <w:tcBorders>
              <w:top w:val="nil"/>
              <w:left w:val="nil"/>
              <w:bottom w:val="single" w:sz="4" w:space="0" w:color="000000"/>
              <w:right w:val="nil"/>
            </w:tcBorders>
            <w:vAlign w:val="center"/>
            <w:hideMark/>
          </w:tcPr>
          <w:p w14:paraId="63D61132"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65E866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Polyamides</w:t>
            </w:r>
          </w:p>
        </w:tc>
        <w:tc>
          <w:tcPr>
            <w:tcW w:w="2983" w:type="pct"/>
            <w:tcBorders>
              <w:top w:val="nil"/>
              <w:left w:val="nil"/>
              <w:bottom w:val="nil"/>
              <w:right w:val="nil"/>
            </w:tcBorders>
            <w:shd w:val="clear" w:color="auto" w:fill="auto"/>
            <w:vAlign w:val="center"/>
            <w:hideMark/>
          </w:tcPr>
          <w:p w14:paraId="1357E69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390810, 390890</w:t>
            </w:r>
          </w:p>
        </w:tc>
      </w:tr>
      <w:tr w:rsidR="00B3700C" w:rsidRPr="009C1764" w14:paraId="3F2E1847" w14:textId="77777777" w:rsidTr="009C1764">
        <w:trPr>
          <w:trHeight w:val="227"/>
        </w:trPr>
        <w:tc>
          <w:tcPr>
            <w:tcW w:w="645" w:type="pct"/>
            <w:vMerge/>
            <w:tcBorders>
              <w:top w:val="nil"/>
              <w:left w:val="nil"/>
              <w:bottom w:val="single" w:sz="4" w:space="0" w:color="000000"/>
              <w:right w:val="nil"/>
            </w:tcBorders>
            <w:vAlign w:val="center"/>
            <w:hideMark/>
          </w:tcPr>
          <w:p w14:paraId="586B907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192478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Polymers of vinyl acetate or other vinyl esters</w:t>
            </w:r>
          </w:p>
        </w:tc>
        <w:tc>
          <w:tcPr>
            <w:tcW w:w="2983" w:type="pct"/>
            <w:tcBorders>
              <w:top w:val="nil"/>
              <w:left w:val="nil"/>
              <w:bottom w:val="nil"/>
              <w:right w:val="nil"/>
            </w:tcBorders>
            <w:shd w:val="clear" w:color="auto" w:fill="auto"/>
            <w:vAlign w:val="center"/>
            <w:hideMark/>
          </w:tcPr>
          <w:p w14:paraId="53CECA2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390512, 390519, 390521, 390529, 390530, 390591, 390599</w:t>
            </w:r>
          </w:p>
        </w:tc>
      </w:tr>
      <w:tr w:rsidR="00B3700C" w:rsidRPr="009C1764" w14:paraId="6A0F6670" w14:textId="77777777" w:rsidTr="009C1764">
        <w:trPr>
          <w:trHeight w:val="227"/>
        </w:trPr>
        <w:tc>
          <w:tcPr>
            <w:tcW w:w="645" w:type="pct"/>
            <w:vMerge/>
            <w:tcBorders>
              <w:top w:val="nil"/>
              <w:left w:val="nil"/>
              <w:bottom w:val="single" w:sz="4" w:space="0" w:color="000000"/>
              <w:right w:val="nil"/>
            </w:tcBorders>
            <w:vAlign w:val="center"/>
            <w:hideMark/>
          </w:tcPr>
          <w:p w14:paraId="66663B06"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7AF3503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Polymers of vinyl chloride or other halogenated olefins</w:t>
            </w:r>
          </w:p>
        </w:tc>
        <w:tc>
          <w:tcPr>
            <w:tcW w:w="2983" w:type="pct"/>
            <w:tcBorders>
              <w:top w:val="nil"/>
              <w:left w:val="nil"/>
              <w:bottom w:val="nil"/>
              <w:right w:val="nil"/>
            </w:tcBorders>
            <w:shd w:val="clear" w:color="auto" w:fill="auto"/>
            <w:vAlign w:val="center"/>
            <w:hideMark/>
          </w:tcPr>
          <w:p w14:paraId="63590B3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390410, 390421, 390422, 390430, 390440, 390450, 390461, 390469, 390490</w:t>
            </w:r>
          </w:p>
        </w:tc>
      </w:tr>
      <w:tr w:rsidR="00B3700C" w:rsidRPr="009C1764" w14:paraId="30EBEB66" w14:textId="77777777" w:rsidTr="009C1764">
        <w:trPr>
          <w:trHeight w:val="227"/>
        </w:trPr>
        <w:tc>
          <w:tcPr>
            <w:tcW w:w="645" w:type="pct"/>
            <w:vMerge/>
            <w:tcBorders>
              <w:top w:val="nil"/>
              <w:left w:val="nil"/>
              <w:bottom w:val="single" w:sz="4" w:space="0" w:color="000000"/>
              <w:right w:val="nil"/>
            </w:tcBorders>
            <w:vAlign w:val="center"/>
            <w:hideMark/>
          </w:tcPr>
          <w:p w14:paraId="6BD9B864"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1A83CF23"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Styrene polymers</w:t>
            </w:r>
          </w:p>
        </w:tc>
        <w:tc>
          <w:tcPr>
            <w:tcW w:w="2983" w:type="pct"/>
            <w:tcBorders>
              <w:top w:val="nil"/>
              <w:left w:val="nil"/>
              <w:bottom w:val="nil"/>
              <w:right w:val="nil"/>
            </w:tcBorders>
            <w:shd w:val="clear" w:color="auto" w:fill="auto"/>
            <w:vAlign w:val="center"/>
            <w:hideMark/>
          </w:tcPr>
          <w:p w14:paraId="4DAE407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390311, 390319, 390320, 390330, 390390</w:t>
            </w:r>
          </w:p>
        </w:tc>
      </w:tr>
      <w:tr w:rsidR="00B3700C" w:rsidRPr="009C1764" w14:paraId="54998150" w14:textId="77777777" w:rsidTr="009C1764">
        <w:trPr>
          <w:trHeight w:val="227"/>
        </w:trPr>
        <w:tc>
          <w:tcPr>
            <w:tcW w:w="645" w:type="pct"/>
            <w:vMerge/>
            <w:tcBorders>
              <w:top w:val="nil"/>
              <w:left w:val="nil"/>
              <w:bottom w:val="single" w:sz="4" w:space="0" w:color="000000"/>
              <w:right w:val="nil"/>
            </w:tcBorders>
            <w:vAlign w:val="center"/>
            <w:hideMark/>
          </w:tcPr>
          <w:p w14:paraId="65B27D8C"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0B87475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Ethylene polymers</w:t>
            </w:r>
          </w:p>
        </w:tc>
        <w:tc>
          <w:tcPr>
            <w:tcW w:w="2983" w:type="pct"/>
            <w:tcBorders>
              <w:top w:val="nil"/>
              <w:left w:val="nil"/>
              <w:bottom w:val="nil"/>
              <w:right w:val="nil"/>
            </w:tcBorders>
            <w:shd w:val="clear" w:color="auto" w:fill="auto"/>
            <w:vAlign w:val="center"/>
            <w:hideMark/>
          </w:tcPr>
          <w:p w14:paraId="5FC99D0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390110, 390120, 390130, 390190, 390210</w:t>
            </w:r>
          </w:p>
        </w:tc>
      </w:tr>
      <w:tr w:rsidR="00B3700C" w:rsidRPr="009C1764" w14:paraId="659D52A6" w14:textId="77777777" w:rsidTr="009C1764">
        <w:trPr>
          <w:trHeight w:val="227"/>
        </w:trPr>
        <w:tc>
          <w:tcPr>
            <w:tcW w:w="645" w:type="pct"/>
            <w:vMerge/>
            <w:tcBorders>
              <w:top w:val="nil"/>
              <w:left w:val="nil"/>
              <w:bottom w:val="single" w:sz="4" w:space="0" w:color="000000"/>
              <w:right w:val="nil"/>
            </w:tcBorders>
            <w:vAlign w:val="center"/>
            <w:hideMark/>
          </w:tcPr>
          <w:p w14:paraId="2002B241"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227D397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Polymers of propylene or other olefins</w:t>
            </w:r>
          </w:p>
        </w:tc>
        <w:tc>
          <w:tcPr>
            <w:tcW w:w="2983" w:type="pct"/>
            <w:tcBorders>
              <w:top w:val="nil"/>
              <w:left w:val="nil"/>
              <w:bottom w:val="nil"/>
              <w:right w:val="nil"/>
            </w:tcBorders>
            <w:shd w:val="clear" w:color="auto" w:fill="auto"/>
            <w:vAlign w:val="center"/>
            <w:hideMark/>
          </w:tcPr>
          <w:p w14:paraId="39113EA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390220, 390230, 390290</w:t>
            </w:r>
          </w:p>
        </w:tc>
      </w:tr>
      <w:tr w:rsidR="00B3700C" w:rsidRPr="009C1764" w14:paraId="4ED45C0C" w14:textId="77777777" w:rsidTr="009C1764">
        <w:trPr>
          <w:trHeight w:val="227"/>
        </w:trPr>
        <w:tc>
          <w:tcPr>
            <w:tcW w:w="645" w:type="pct"/>
            <w:vMerge/>
            <w:tcBorders>
              <w:top w:val="nil"/>
              <w:left w:val="nil"/>
              <w:bottom w:val="single" w:sz="4" w:space="0" w:color="000000"/>
              <w:right w:val="nil"/>
            </w:tcBorders>
            <w:vAlign w:val="center"/>
            <w:hideMark/>
          </w:tcPr>
          <w:p w14:paraId="5F789D2B"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nil"/>
              <w:right w:val="nil"/>
            </w:tcBorders>
            <w:shd w:val="clear" w:color="auto" w:fill="auto"/>
            <w:noWrap/>
            <w:vAlign w:val="center"/>
            <w:hideMark/>
          </w:tcPr>
          <w:p w14:paraId="313265E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Aminic, phenolic and polyurethane resins</w:t>
            </w:r>
          </w:p>
        </w:tc>
        <w:tc>
          <w:tcPr>
            <w:tcW w:w="2983" w:type="pct"/>
            <w:tcBorders>
              <w:top w:val="nil"/>
              <w:left w:val="nil"/>
              <w:bottom w:val="nil"/>
              <w:right w:val="nil"/>
            </w:tcBorders>
            <w:shd w:val="clear" w:color="auto" w:fill="auto"/>
            <w:vAlign w:val="center"/>
            <w:hideMark/>
          </w:tcPr>
          <w:p w14:paraId="757CC66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390910, 390920, 390930, 390940, 390950</w:t>
            </w:r>
          </w:p>
        </w:tc>
      </w:tr>
      <w:tr w:rsidR="00B3700C" w:rsidRPr="009C1764" w14:paraId="5426AC3D" w14:textId="77777777" w:rsidTr="009C1764">
        <w:trPr>
          <w:trHeight w:val="227"/>
        </w:trPr>
        <w:tc>
          <w:tcPr>
            <w:tcW w:w="645" w:type="pct"/>
            <w:vMerge/>
            <w:tcBorders>
              <w:top w:val="nil"/>
              <w:left w:val="nil"/>
              <w:bottom w:val="single" w:sz="4" w:space="0" w:color="000000"/>
              <w:right w:val="nil"/>
            </w:tcBorders>
            <w:vAlign w:val="center"/>
            <w:hideMark/>
          </w:tcPr>
          <w:p w14:paraId="43DC114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372" w:type="pct"/>
            <w:tcBorders>
              <w:top w:val="nil"/>
              <w:left w:val="nil"/>
              <w:bottom w:val="single" w:sz="4" w:space="0" w:color="auto"/>
              <w:right w:val="nil"/>
            </w:tcBorders>
            <w:shd w:val="clear" w:color="auto" w:fill="auto"/>
            <w:noWrap/>
            <w:vAlign w:val="center"/>
            <w:hideMark/>
          </w:tcPr>
          <w:p w14:paraId="6C9081C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Others</w:t>
            </w:r>
          </w:p>
        </w:tc>
        <w:tc>
          <w:tcPr>
            <w:tcW w:w="2983" w:type="pct"/>
            <w:tcBorders>
              <w:top w:val="nil"/>
              <w:left w:val="nil"/>
              <w:bottom w:val="single" w:sz="4" w:space="0" w:color="auto"/>
              <w:right w:val="nil"/>
            </w:tcBorders>
            <w:shd w:val="clear" w:color="auto" w:fill="auto"/>
            <w:vAlign w:val="center"/>
            <w:hideMark/>
          </w:tcPr>
          <w:p w14:paraId="7ECE873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280300, 282710, 290312, 290322, 290323, 291100, 291300, 291512, 291513, 291524, 291529, 291531, 291533, 291536, 291539, 291540, 291822, 291823, 291829, 292146, 292214, 292231, 292239, 293369</w:t>
            </w:r>
          </w:p>
        </w:tc>
      </w:tr>
    </w:tbl>
    <w:p w14:paraId="6AAA76DA" w14:textId="20289015" w:rsidR="00B3700C" w:rsidRPr="009C1764" w:rsidRDefault="00B3700C" w:rsidP="00B3700C">
      <w:pPr>
        <w:pStyle w:val="Prrafodelista"/>
        <w:ind w:left="0"/>
        <w:jc w:val="center"/>
        <w:rPr>
          <w:rFonts w:ascii="Times New Roman" w:hAnsi="Times New Roman" w:cs="Times New Roman"/>
          <w:sz w:val="16"/>
          <w:szCs w:val="16"/>
          <w:lang w:val="en-US"/>
        </w:rPr>
      </w:pPr>
      <w:bookmarkStart w:id="0" w:name="_Hlk63886709"/>
      <w:proofErr w:type="spellStart"/>
      <w:r w:rsidRPr="009C1764">
        <w:rPr>
          <w:rFonts w:ascii="Times New Roman" w:hAnsi="Times New Roman" w:cs="Times New Roman"/>
          <w:sz w:val="16"/>
          <w:szCs w:val="16"/>
          <w:lang w:val="es-ES"/>
        </w:rPr>
        <w:t>Source</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Prepared</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by</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the</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authors</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based</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on</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information</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from</w:t>
      </w:r>
      <w:proofErr w:type="spellEnd"/>
      <w:r w:rsidRPr="009C1764">
        <w:rPr>
          <w:rFonts w:ascii="Times New Roman" w:hAnsi="Times New Roman" w:cs="Times New Roman"/>
          <w:sz w:val="16"/>
          <w:szCs w:val="16"/>
          <w:lang w:val="es-ES"/>
        </w:rPr>
        <w:t xml:space="preserve"> Instituto Petroquímico Argentino (</w:t>
      </w:r>
      <w:bookmarkEnd w:id="0"/>
      <w:r w:rsidRPr="009C1764">
        <w:rPr>
          <w:rFonts w:ascii="Times New Roman" w:hAnsi="Times New Roman" w:cs="Times New Roman"/>
          <w:sz w:val="16"/>
          <w:szCs w:val="16"/>
          <w:lang w:val="es-ES"/>
        </w:rPr>
        <w:t xml:space="preserve">2011), Diario Oficial de la Federación, Mexico (2007), Ullmann (2011), </w:t>
      </w:r>
      <w:proofErr w:type="spellStart"/>
      <w:r w:rsidRPr="009C1764">
        <w:rPr>
          <w:rFonts w:ascii="Times New Roman" w:hAnsi="Times New Roman" w:cs="Times New Roman"/>
          <w:sz w:val="16"/>
          <w:szCs w:val="16"/>
          <w:lang w:val="es-ES"/>
        </w:rPr>
        <w:t>Devold</w:t>
      </w:r>
      <w:proofErr w:type="spellEnd"/>
      <w:r w:rsidRPr="009C1764">
        <w:rPr>
          <w:rFonts w:ascii="Times New Roman" w:hAnsi="Times New Roman" w:cs="Times New Roman"/>
          <w:sz w:val="16"/>
          <w:szCs w:val="16"/>
          <w:lang w:val="es-ES"/>
        </w:rPr>
        <w:t xml:space="preserve"> (2013), and </w:t>
      </w:r>
      <w:proofErr w:type="spellStart"/>
      <w:r w:rsidRPr="009C1764">
        <w:rPr>
          <w:rFonts w:ascii="Times New Roman" w:hAnsi="Times New Roman" w:cs="Times New Roman"/>
          <w:sz w:val="16"/>
          <w:szCs w:val="16"/>
          <w:lang w:val="es-ES"/>
        </w:rPr>
        <w:t>Bahadori</w:t>
      </w:r>
      <w:proofErr w:type="spellEnd"/>
      <w:r w:rsidRPr="009C1764">
        <w:rPr>
          <w:rFonts w:ascii="Times New Roman" w:hAnsi="Times New Roman" w:cs="Times New Roman"/>
          <w:sz w:val="16"/>
          <w:szCs w:val="16"/>
          <w:lang w:val="es-ES"/>
        </w:rPr>
        <w:t xml:space="preserve">, </w:t>
      </w:r>
      <w:proofErr w:type="spellStart"/>
      <w:r w:rsidRPr="009C1764">
        <w:rPr>
          <w:rFonts w:ascii="Times New Roman" w:hAnsi="Times New Roman" w:cs="Times New Roman"/>
          <w:sz w:val="16"/>
          <w:szCs w:val="16"/>
          <w:lang w:val="es-ES"/>
        </w:rPr>
        <w:t>Nwaoha</w:t>
      </w:r>
      <w:proofErr w:type="spellEnd"/>
      <w:r w:rsidRPr="009C1764">
        <w:rPr>
          <w:rFonts w:ascii="Times New Roman" w:hAnsi="Times New Roman" w:cs="Times New Roman"/>
          <w:sz w:val="16"/>
          <w:szCs w:val="16"/>
          <w:lang w:val="es-ES"/>
        </w:rPr>
        <w:t xml:space="preserve">, </w:t>
      </w:r>
      <w:r w:rsidR="00861C0A">
        <w:rPr>
          <w:rFonts w:ascii="Times New Roman" w:hAnsi="Times New Roman" w:cs="Times New Roman"/>
          <w:sz w:val="16"/>
          <w:szCs w:val="16"/>
          <w:lang w:val="es-ES"/>
        </w:rPr>
        <w:t>and Clark</w:t>
      </w:r>
      <w:r w:rsidRPr="009C1764">
        <w:rPr>
          <w:rFonts w:ascii="Times New Roman" w:hAnsi="Times New Roman" w:cs="Times New Roman"/>
          <w:sz w:val="16"/>
          <w:szCs w:val="16"/>
          <w:lang w:val="es-ES"/>
        </w:rPr>
        <w:t xml:space="preserve"> </w:t>
      </w:r>
      <w:r w:rsidRPr="009C1764">
        <w:rPr>
          <w:rFonts w:ascii="Times New Roman" w:hAnsi="Times New Roman" w:cs="Times New Roman"/>
          <w:sz w:val="16"/>
          <w:szCs w:val="16"/>
          <w:lang w:val="en-US"/>
        </w:rPr>
        <w:t>(2014).</w:t>
      </w:r>
    </w:p>
    <w:p w14:paraId="289E691B" w14:textId="77777777" w:rsidR="00B3700C" w:rsidRPr="009C1764" w:rsidRDefault="00B3700C" w:rsidP="00B3700C">
      <w:pPr>
        <w:pStyle w:val="Prrafodelista"/>
        <w:spacing w:line="360" w:lineRule="auto"/>
        <w:jc w:val="both"/>
        <w:rPr>
          <w:rFonts w:ascii="Times New Roman" w:hAnsi="Times New Roman" w:cs="Times New Roman"/>
          <w:b/>
          <w:bCs/>
          <w:lang w:val="en-US"/>
        </w:rPr>
      </w:pPr>
    </w:p>
    <w:p w14:paraId="6032F777" w14:textId="0DB502FB" w:rsidR="00B3700C" w:rsidRDefault="00B3700C" w:rsidP="004D42B6">
      <w:pPr>
        <w:pStyle w:val="Prrafodelista"/>
        <w:ind w:left="0"/>
        <w:jc w:val="both"/>
        <w:rPr>
          <w:rFonts w:ascii="Times New Roman" w:hAnsi="Times New Roman" w:cs="Times New Roman"/>
          <w:b/>
          <w:bCs/>
          <w:lang w:val="en-US"/>
        </w:rPr>
      </w:pPr>
      <w:r w:rsidRPr="009C1764">
        <w:rPr>
          <w:rFonts w:ascii="Times New Roman" w:hAnsi="Times New Roman" w:cs="Times New Roman"/>
          <w:b/>
          <w:bCs/>
          <w:lang w:val="en-US"/>
        </w:rPr>
        <w:t>Copper chain</w:t>
      </w:r>
    </w:p>
    <w:p w14:paraId="1E4C7516" w14:textId="7CF2D19A" w:rsidR="00B3700C" w:rsidRPr="009C1764"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lang w:val="en-US"/>
        </w:rPr>
        <w:t>The database used is the CEPII BACI, January 2019 edition (</w:t>
      </w:r>
      <w:proofErr w:type="spellStart"/>
      <w:r w:rsidRPr="009C1764">
        <w:rPr>
          <w:rFonts w:ascii="Times New Roman" w:hAnsi="Times New Roman" w:cs="Times New Roman"/>
          <w:lang w:val="en-US"/>
        </w:rPr>
        <w:t>Gaulier</w:t>
      </w:r>
      <w:proofErr w:type="spellEnd"/>
      <w:r w:rsidRPr="009C1764">
        <w:rPr>
          <w:rFonts w:ascii="Times New Roman" w:hAnsi="Times New Roman" w:cs="Times New Roman"/>
          <w:lang w:val="en-US"/>
        </w:rPr>
        <w:t xml:space="preserve"> and </w:t>
      </w:r>
      <w:proofErr w:type="spellStart"/>
      <w:r w:rsidRPr="009C1764">
        <w:rPr>
          <w:rFonts w:ascii="Times New Roman" w:hAnsi="Times New Roman" w:cs="Times New Roman"/>
          <w:lang w:val="en-US"/>
        </w:rPr>
        <w:t>Zignago</w:t>
      </w:r>
      <w:proofErr w:type="spellEnd"/>
      <w:r w:rsidRPr="009C1764">
        <w:rPr>
          <w:rFonts w:ascii="Times New Roman" w:hAnsi="Times New Roman" w:cs="Times New Roman"/>
          <w:lang w:val="en-US"/>
        </w:rPr>
        <w:t xml:space="preserve"> 2010). Data from the 1992 Harmonized System nomenclature (HS92) at the 6-digit level (subheadings) were used and the years 2005, 2010, and 2016 were analyzed. Starting from the </w:t>
      </w:r>
      <w:proofErr w:type="spellStart"/>
      <w:r w:rsidRPr="009C1764">
        <w:rPr>
          <w:rFonts w:ascii="Times New Roman" w:hAnsi="Times New Roman" w:cs="Times New Roman"/>
          <w:lang w:val="en-US"/>
        </w:rPr>
        <w:t>Soulier</w:t>
      </w:r>
      <w:proofErr w:type="spellEnd"/>
      <w:r w:rsidRPr="009C1764">
        <w:rPr>
          <w:rFonts w:ascii="Times New Roman" w:hAnsi="Times New Roman" w:cs="Times New Roman"/>
          <w:lang w:val="en-US"/>
        </w:rPr>
        <w:t xml:space="preserve"> et al. (2018) classification of copper products, the HS92 subheadings are grouped as shown in Table A1.2. Excluded from end-use products are railway locomotives and other products in which copper makes up less than 30</w:t>
      </w:r>
      <w:r w:rsidR="004E299B">
        <w:rPr>
          <w:rFonts w:ascii="Times New Roman" w:hAnsi="Times New Roman" w:cs="Times New Roman"/>
          <w:lang w:val="en-US"/>
        </w:rPr>
        <w:t>%</w:t>
      </w:r>
      <w:r w:rsidRPr="009C1764">
        <w:rPr>
          <w:rFonts w:ascii="Times New Roman" w:hAnsi="Times New Roman" w:cs="Times New Roman"/>
          <w:lang w:val="en-US"/>
        </w:rPr>
        <w:t xml:space="preserve"> of the materials used for their manufacture. </w:t>
      </w:r>
    </w:p>
    <w:p w14:paraId="76349332" w14:textId="77777777" w:rsidR="00B3700C" w:rsidRPr="009C1764" w:rsidRDefault="00B3700C" w:rsidP="004D42B6">
      <w:pPr>
        <w:pStyle w:val="Prrafodelista"/>
        <w:jc w:val="both"/>
        <w:rPr>
          <w:rFonts w:ascii="Times New Roman" w:hAnsi="Times New Roman" w:cs="Times New Roman"/>
          <w:b/>
          <w:bCs/>
          <w:lang w:val="en-US"/>
        </w:rPr>
      </w:pPr>
    </w:p>
    <w:p w14:paraId="59FFECEF" w14:textId="77777777" w:rsidR="00B3700C" w:rsidRPr="009C1764"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b/>
          <w:bCs/>
          <w:lang w:val="en-US"/>
        </w:rPr>
        <w:t xml:space="preserve">Table A1.2. </w:t>
      </w:r>
      <w:r w:rsidRPr="009C1764">
        <w:rPr>
          <w:rFonts w:ascii="Times New Roman" w:hAnsi="Times New Roman" w:cs="Times New Roman"/>
          <w:lang w:val="en-US"/>
        </w:rPr>
        <w:t>Classification of 1992 Harmonized System tariff subheadings by stage of processing in the copper chain.</w:t>
      </w:r>
    </w:p>
    <w:tbl>
      <w:tblPr>
        <w:tblW w:w="4796" w:type="pct"/>
        <w:jc w:val="center"/>
        <w:tblLayout w:type="fixed"/>
        <w:tblCellMar>
          <w:left w:w="70" w:type="dxa"/>
          <w:right w:w="70" w:type="dxa"/>
        </w:tblCellMar>
        <w:tblLook w:val="04A0" w:firstRow="1" w:lastRow="0" w:firstColumn="1" w:lastColumn="0" w:noHBand="0" w:noVBand="1"/>
      </w:tblPr>
      <w:tblGrid>
        <w:gridCol w:w="1022"/>
        <w:gridCol w:w="2523"/>
        <w:gridCol w:w="4932"/>
      </w:tblGrid>
      <w:tr w:rsidR="00B3700C" w:rsidRPr="009C1764" w14:paraId="57BC5AB5" w14:textId="77777777" w:rsidTr="00713B3E">
        <w:trPr>
          <w:trHeight w:val="227"/>
          <w:jc w:val="center"/>
        </w:trPr>
        <w:tc>
          <w:tcPr>
            <w:tcW w:w="603" w:type="pct"/>
            <w:tcBorders>
              <w:top w:val="single" w:sz="4" w:space="0" w:color="auto"/>
              <w:left w:val="nil"/>
              <w:bottom w:val="single" w:sz="4" w:space="0" w:color="auto"/>
              <w:right w:val="nil"/>
            </w:tcBorders>
            <w:shd w:val="clear" w:color="auto" w:fill="auto"/>
            <w:noWrap/>
            <w:vAlign w:val="center"/>
            <w:hideMark/>
          </w:tcPr>
          <w:p w14:paraId="4A316BC2"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Stage</w:t>
            </w:r>
          </w:p>
        </w:tc>
        <w:tc>
          <w:tcPr>
            <w:tcW w:w="1488" w:type="pct"/>
            <w:tcBorders>
              <w:top w:val="single" w:sz="4" w:space="0" w:color="auto"/>
              <w:left w:val="nil"/>
              <w:bottom w:val="single" w:sz="4" w:space="0" w:color="auto"/>
              <w:right w:val="nil"/>
            </w:tcBorders>
            <w:shd w:val="clear" w:color="auto" w:fill="auto"/>
            <w:noWrap/>
            <w:vAlign w:val="center"/>
            <w:hideMark/>
          </w:tcPr>
          <w:p w14:paraId="64FFD0A2"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Category</w:t>
            </w:r>
          </w:p>
        </w:tc>
        <w:tc>
          <w:tcPr>
            <w:tcW w:w="2910" w:type="pct"/>
            <w:tcBorders>
              <w:top w:val="single" w:sz="4" w:space="0" w:color="auto"/>
              <w:left w:val="nil"/>
              <w:bottom w:val="single" w:sz="4" w:space="0" w:color="auto"/>
              <w:right w:val="nil"/>
            </w:tcBorders>
            <w:shd w:val="clear" w:color="auto" w:fill="auto"/>
            <w:noWrap/>
            <w:vAlign w:val="center"/>
            <w:hideMark/>
          </w:tcPr>
          <w:p w14:paraId="44F3CAEA"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HS92 Subitems</w:t>
            </w:r>
          </w:p>
        </w:tc>
      </w:tr>
      <w:tr w:rsidR="00B3700C" w:rsidRPr="009C1764" w14:paraId="2DDBBDDE" w14:textId="77777777" w:rsidTr="00713B3E">
        <w:trPr>
          <w:trHeight w:val="227"/>
          <w:jc w:val="center"/>
        </w:trPr>
        <w:tc>
          <w:tcPr>
            <w:tcW w:w="603" w:type="pct"/>
            <w:tcBorders>
              <w:top w:val="nil"/>
              <w:left w:val="nil"/>
              <w:bottom w:val="single" w:sz="4" w:space="0" w:color="auto"/>
              <w:right w:val="nil"/>
            </w:tcBorders>
            <w:shd w:val="clear" w:color="auto" w:fill="auto"/>
            <w:vAlign w:val="center"/>
            <w:hideMark/>
          </w:tcPr>
          <w:p w14:paraId="6FF0BA93"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Ores and concentrates</w:t>
            </w:r>
          </w:p>
        </w:tc>
        <w:tc>
          <w:tcPr>
            <w:tcW w:w="1488" w:type="pct"/>
            <w:tcBorders>
              <w:top w:val="nil"/>
              <w:left w:val="nil"/>
              <w:bottom w:val="single" w:sz="4" w:space="0" w:color="auto"/>
              <w:right w:val="nil"/>
            </w:tcBorders>
            <w:shd w:val="clear" w:color="auto" w:fill="auto"/>
            <w:noWrap/>
            <w:vAlign w:val="center"/>
            <w:hideMark/>
          </w:tcPr>
          <w:p w14:paraId="01329E0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Ores and concentrates</w:t>
            </w:r>
          </w:p>
        </w:tc>
        <w:tc>
          <w:tcPr>
            <w:tcW w:w="2910" w:type="pct"/>
            <w:tcBorders>
              <w:top w:val="nil"/>
              <w:left w:val="nil"/>
              <w:bottom w:val="single" w:sz="4" w:space="0" w:color="auto"/>
              <w:right w:val="nil"/>
            </w:tcBorders>
            <w:shd w:val="clear" w:color="auto" w:fill="auto"/>
            <w:vAlign w:val="center"/>
            <w:hideMark/>
          </w:tcPr>
          <w:p w14:paraId="0DE5398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260300</w:t>
            </w:r>
          </w:p>
        </w:tc>
      </w:tr>
      <w:tr w:rsidR="00B3700C" w:rsidRPr="009C1764" w14:paraId="60EE6E7F" w14:textId="77777777" w:rsidTr="00713B3E">
        <w:trPr>
          <w:trHeight w:val="227"/>
          <w:jc w:val="center"/>
        </w:trPr>
        <w:tc>
          <w:tcPr>
            <w:tcW w:w="603" w:type="pct"/>
            <w:vMerge w:val="restart"/>
            <w:tcBorders>
              <w:top w:val="nil"/>
              <w:left w:val="nil"/>
              <w:bottom w:val="single" w:sz="4" w:space="0" w:color="000000"/>
              <w:right w:val="nil"/>
            </w:tcBorders>
            <w:shd w:val="clear" w:color="auto" w:fill="auto"/>
            <w:vAlign w:val="center"/>
            <w:hideMark/>
          </w:tcPr>
          <w:p w14:paraId="620FAEDF" w14:textId="41CBFC82"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 xml:space="preserve">Mattes, </w:t>
            </w:r>
            <w:r w:rsidR="00CC29FC" w:rsidRPr="009C1764">
              <w:rPr>
                <w:rFonts w:ascii="Times New Roman" w:eastAsia="Times New Roman" w:hAnsi="Times New Roman" w:cs="Times New Roman"/>
                <w:b/>
                <w:bCs/>
                <w:color w:val="000000"/>
                <w:sz w:val="14"/>
                <w:szCs w:val="14"/>
                <w:lang w:val="en-US" w:eastAsia="es-MX"/>
              </w:rPr>
              <w:t>blisters,</w:t>
            </w:r>
            <w:r w:rsidRPr="009C1764">
              <w:rPr>
                <w:rFonts w:ascii="Times New Roman" w:eastAsia="Times New Roman" w:hAnsi="Times New Roman" w:cs="Times New Roman"/>
                <w:b/>
                <w:bCs/>
                <w:color w:val="000000"/>
                <w:sz w:val="14"/>
                <w:szCs w:val="14"/>
                <w:lang w:val="en-US" w:eastAsia="es-MX"/>
              </w:rPr>
              <w:t xml:space="preserve"> and anodes</w:t>
            </w:r>
          </w:p>
        </w:tc>
        <w:tc>
          <w:tcPr>
            <w:tcW w:w="1488" w:type="pct"/>
            <w:tcBorders>
              <w:top w:val="nil"/>
              <w:left w:val="nil"/>
              <w:bottom w:val="nil"/>
              <w:right w:val="nil"/>
            </w:tcBorders>
            <w:shd w:val="clear" w:color="auto" w:fill="auto"/>
            <w:noWrap/>
            <w:vAlign w:val="center"/>
            <w:hideMark/>
          </w:tcPr>
          <w:p w14:paraId="0EB4929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mattes</w:t>
            </w:r>
          </w:p>
        </w:tc>
        <w:tc>
          <w:tcPr>
            <w:tcW w:w="2910" w:type="pct"/>
            <w:tcBorders>
              <w:top w:val="nil"/>
              <w:left w:val="nil"/>
              <w:bottom w:val="nil"/>
              <w:right w:val="nil"/>
            </w:tcBorders>
            <w:shd w:val="clear" w:color="auto" w:fill="auto"/>
            <w:vAlign w:val="center"/>
            <w:hideMark/>
          </w:tcPr>
          <w:p w14:paraId="406795E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740110, 740120</w:t>
            </w:r>
          </w:p>
        </w:tc>
      </w:tr>
      <w:tr w:rsidR="00B3700C" w:rsidRPr="009C1764" w14:paraId="517A96F7" w14:textId="77777777" w:rsidTr="00713B3E">
        <w:trPr>
          <w:trHeight w:val="227"/>
          <w:jc w:val="center"/>
        </w:trPr>
        <w:tc>
          <w:tcPr>
            <w:tcW w:w="603" w:type="pct"/>
            <w:vMerge/>
            <w:tcBorders>
              <w:top w:val="nil"/>
              <w:left w:val="nil"/>
              <w:bottom w:val="single" w:sz="4" w:space="0" w:color="000000"/>
              <w:right w:val="nil"/>
            </w:tcBorders>
            <w:vAlign w:val="center"/>
            <w:hideMark/>
          </w:tcPr>
          <w:p w14:paraId="3611E517"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single" w:sz="4" w:space="0" w:color="auto"/>
              <w:right w:val="nil"/>
            </w:tcBorders>
            <w:shd w:val="clear" w:color="auto" w:fill="auto"/>
            <w:noWrap/>
            <w:vAlign w:val="center"/>
            <w:hideMark/>
          </w:tcPr>
          <w:p w14:paraId="678E6CD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blisters and anodes</w:t>
            </w:r>
          </w:p>
        </w:tc>
        <w:tc>
          <w:tcPr>
            <w:tcW w:w="2910" w:type="pct"/>
            <w:tcBorders>
              <w:top w:val="nil"/>
              <w:left w:val="nil"/>
              <w:bottom w:val="single" w:sz="4" w:space="0" w:color="auto"/>
              <w:right w:val="nil"/>
            </w:tcBorders>
            <w:shd w:val="clear" w:color="auto" w:fill="auto"/>
            <w:vAlign w:val="center"/>
            <w:hideMark/>
          </w:tcPr>
          <w:p w14:paraId="5DF3150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740200</w:t>
            </w:r>
          </w:p>
        </w:tc>
      </w:tr>
      <w:tr w:rsidR="00B3700C" w:rsidRPr="009C1764" w14:paraId="21C44075" w14:textId="77777777" w:rsidTr="00713B3E">
        <w:trPr>
          <w:trHeight w:val="227"/>
          <w:jc w:val="center"/>
        </w:trPr>
        <w:tc>
          <w:tcPr>
            <w:tcW w:w="603" w:type="pct"/>
            <w:vMerge w:val="restart"/>
            <w:tcBorders>
              <w:top w:val="nil"/>
              <w:left w:val="nil"/>
              <w:bottom w:val="single" w:sz="4" w:space="0" w:color="000000"/>
              <w:right w:val="nil"/>
            </w:tcBorders>
            <w:shd w:val="clear" w:color="auto" w:fill="auto"/>
            <w:vAlign w:val="center"/>
            <w:hideMark/>
          </w:tcPr>
          <w:p w14:paraId="66FE715F"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Refined copper</w:t>
            </w:r>
          </w:p>
        </w:tc>
        <w:tc>
          <w:tcPr>
            <w:tcW w:w="1488" w:type="pct"/>
            <w:tcBorders>
              <w:top w:val="nil"/>
              <w:left w:val="nil"/>
              <w:bottom w:val="nil"/>
              <w:right w:val="nil"/>
            </w:tcBorders>
            <w:shd w:val="clear" w:color="auto" w:fill="auto"/>
            <w:noWrap/>
            <w:vAlign w:val="center"/>
            <w:hideMark/>
          </w:tcPr>
          <w:p w14:paraId="4A503C1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Cathodes and other forms of refined copper</w:t>
            </w:r>
          </w:p>
        </w:tc>
        <w:tc>
          <w:tcPr>
            <w:tcW w:w="2910" w:type="pct"/>
            <w:tcBorders>
              <w:top w:val="nil"/>
              <w:left w:val="nil"/>
              <w:bottom w:val="nil"/>
              <w:right w:val="nil"/>
            </w:tcBorders>
            <w:shd w:val="clear" w:color="auto" w:fill="auto"/>
            <w:vAlign w:val="center"/>
            <w:hideMark/>
          </w:tcPr>
          <w:p w14:paraId="031D9AB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740311, 740319</w:t>
            </w:r>
          </w:p>
        </w:tc>
      </w:tr>
      <w:tr w:rsidR="00B3700C" w:rsidRPr="009C1764" w14:paraId="075256F2" w14:textId="77777777" w:rsidTr="00713B3E">
        <w:trPr>
          <w:trHeight w:val="227"/>
          <w:jc w:val="center"/>
        </w:trPr>
        <w:tc>
          <w:tcPr>
            <w:tcW w:w="603" w:type="pct"/>
            <w:vMerge/>
            <w:tcBorders>
              <w:top w:val="nil"/>
              <w:left w:val="nil"/>
              <w:bottom w:val="single" w:sz="4" w:space="0" w:color="000000"/>
              <w:right w:val="nil"/>
            </w:tcBorders>
            <w:vAlign w:val="center"/>
            <w:hideMark/>
          </w:tcPr>
          <w:p w14:paraId="00E99F47"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1D9017F3"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wire rods</w:t>
            </w:r>
          </w:p>
        </w:tc>
        <w:tc>
          <w:tcPr>
            <w:tcW w:w="2910" w:type="pct"/>
            <w:tcBorders>
              <w:top w:val="nil"/>
              <w:left w:val="nil"/>
              <w:bottom w:val="nil"/>
              <w:right w:val="nil"/>
            </w:tcBorders>
            <w:shd w:val="clear" w:color="auto" w:fill="auto"/>
            <w:vAlign w:val="center"/>
            <w:hideMark/>
          </w:tcPr>
          <w:p w14:paraId="3BF37EC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740312</w:t>
            </w:r>
          </w:p>
        </w:tc>
      </w:tr>
      <w:tr w:rsidR="00B3700C" w:rsidRPr="009C1764" w14:paraId="16613F2F" w14:textId="77777777" w:rsidTr="00713B3E">
        <w:trPr>
          <w:trHeight w:val="227"/>
          <w:jc w:val="center"/>
        </w:trPr>
        <w:tc>
          <w:tcPr>
            <w:tcW w:w="603" w:type="pct"/>
            <w:vMerge/>
            <w:tcBorders>
              <w:top w:val="nil"/>
              <w:left w:val="nil"/>
              <w:bottom w:val="single" w:sz="4" w:space="0" w:color="000000"/>
              <w:right w:val="nil"/>
            </w:tcBorders>
            <w:vAlign w:val="center"/>
            <w:hideMark/>
          </w:tcPr>
          <w:p w14:paraId="7CDE2CC5"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72687DDF"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billets</w:t>
            </w:r>
          </w:p>
        </w:tc>
        <w:tc>
          <w:tcPr>
            <w:tcW w:w="2910" w:type="pct"/>
            <w:tcBorders>
              <w:top w:val="nil"/>
              <w:left w:val="nil"/>
              <w:bottom w:val="nil"/>
              <w:right w:val="nil"/>
            </w:tcBorders>
            <w:shd w:val="clear" w:color="auto" w:fill="auto"/>
            <w:vAlign w:val="center"/>
            <w:hideMark/>
          </w:tcPr>
          <w:p w14:paraId="2DB1BB0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740313</w:t>
            </w:r>
          </w:p>
        </w:tc>
      </w:tr>
      <w:tr w:rsidR="00B3700C" w:rsidRPr="009C1764" w14:paraId="77A0D6B9" w14:textId="77777777" w:rsidTr="00713B3E">
        <w:trPr>
          <w:trHeight w:val="227"/>
          <w:jc w:val="center"/>
        </w:trPr>
        <w:tc>
          <w:tcPr>
            <w:tcW w:w="603" w:type="pct"/>
            <w:vMerge/>
            <w:tcBorders>
              <w:top w:val="nil"/>
              <w:left w:val="nil"/>
              <w:bottom w:val="single" w:sz="4" w:space="0" w:color="000000"/>
              <w:right w:val="nil"/>
            </w:tcBorders>
            <w:vAlign w:val="center"/>
            <w:hideMark/>
          </w:tcPr>
          <w:p w14:paraId="2BC1ABAB"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single" w:sz="4" w:space="0" w:color="auto"/>
              <w:right w:val="nil"/>
            </w:tcBorders>
            <w:shd w:val="clear" w:color="auto" w:fill="auto"/>
            <w:noWrap/>
            <w:vAlign w:val="center"/>
            <w:hideMark/>
          </w:tcPr>
          <w:p w14:paraId="3FE37E7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alloys</w:t>
            </w:r>
          </w:p>
        </w:tc>
        <w:tc>
          <w:tcPr>
            <w:tcW w:w="2910" w:type="pct"/>
            <w:tcBorders>
              <w:top w:val="nil"/>
              <w:left w:val="nil"/>
              <w:bottom w:val="single" w:sz="4" w:space="0" w:color="auto"/>
              <w:right w:val="nil"/>
            </w:tcBorders>
            <w:shd w:val="clear" w:color="auto" w:fill="auto"/>
            <w:vAlign w:val="center"/>
            <w:hideMark/>
          </w:tcPr>
          <w:p w14:paraId="157654D3"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740321, 740322, 740323, 740329, 740500</w:t>
            </w:r>
          </w:p>
        </w:tc>
      </w:tr>
      <w:tr w:rsidR="00B3700C" w:rsidRPr="009C1764" w14:paraId="7F00D53D" w14:textId="77777777" w:rsidTr="00713B3E">
        <w:trPr>
          <w:trHeight w:val="227"/>
          <w:jc w:val="center"/>
        </w:trPr>
        <w:tc>
          <w:tcPr>
            <w:tcW w:w="603" w:type="pct"/>
            <w:vMerge w:val="restart"/>
            <w:tcBorders>
              <w:top w:val="nil"/>
              <w:left w:val="nil"/>
              <w:bottom w:val="single" w:sz="4" w:space="0" w:color="000000"/>
              <w:right w:val="nil"/>
            </w:tcBorders>
            <w:shd w:val="clear" w:color="auto" w:fill="auto"/>
            <w:vAlign w:val="center"/>
            <w:hideMark/>
          </w:tcPr>
          <w:p w14:paraId="705A809F"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Semi-fabricated copper products</w:t>
            </w:r>
          </w:p>
        </w:tc>
        <w:tc>
          <w:tcPr>
            <w:tcW w:w="1488" w:type="pct"/>
            <w:tcBorders>
              <w:top w:val="nil"/>
              <w:left w:val="nil"/>
              <w:bottom w:val="nil"/>
              <w:right w:val="nil"/>
            </w:tcBorders>
            <w:shd w:val="clear" w:color="auto" w:fill="auto"/>
            <w:noWrap/>
            <w:vAlign w:val="center"/>
            <w:hideMark/>
          </w:tcPr>
          <w:p w14:paraId="5B05590F"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Molten copper</w:t>
            </w:r>
          </w:p>
        </w:tc>
        <w:tc>
          <w:tcPr>
            <w:tcW w:w="2910" w:type="pct"/>
            <w:tcBorders>
              <w:top w:val="nil"/>
              <w:left w:val="nil"/>
              <w:bottom w:val="nil"/>
              <w:right w:val="nil"/>
            </w:tcBorders>
            <w:shd w:val="clear" w:color="auto" w:fill="auto"/>
            <w:vAlign w:val="center"/>
            <w:hideMark/>
          </w:tcPr>
          <w:p w14:paraId="773673A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740610, 740620, 741991</w:t>
            </w:r>
          </w:p>
        </w:tc>
      </w:tr>
      <w:tr w:rsidR="00B3700C" w:rsidRPr="009C1764" w14:paraId="45AC4339" w14:textId="77777777" w:rsidTr="00713B3E">
        <w:trPr>
          <w:trHeight w:val="227"/>
          <w:jc w:val="center"/>
        </w:trPr>
        <w:tc>
          <w:tcPr>
            <w:tcW w:w="603" w:type="pct"/>
            <w:vMerge/>
            <w:tcBorders>
              <w:top w:val="nil"/>
              <w:left w:val="nil"/>
              <w:bottom w:val="single" w:sz="4" w:space="0" w:color="000000"/>
              <w:right w:val="nil"/>
            </w:tcBorders>
            <w:vAlign w:val="center"/>
            <w:hideMark/>
          </w:tcPr>
          <w:p w14:paraId="5E018F40"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7CE1817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Semi-fabricated products based on refined copper</w:t>
            </w:r>
          </w:p>
        </w:tc>
        <w:tc>
          <w:tcPr>
            <w:tcW w:w="2910" w:type="pct"/>
            <w:tcBorders>
              <w:top w:val="nil"/>
              <w:left w:val="nil"/>
              <w:bottom w:val="nil"/>
              <w:right w:val="nil"/>
            </w:tcBorders>
            <w:shd w:val="clear" w:color="auto" w:fill="auto"/>
            <w:vAlign w:val="center"/>
            <w:hideMark/>
          </w:tcPr>
          <w:p w14:paraId="72306554"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740710, 740911, 740919, 741011, 741110, 741210</w:t>
            </w:r>
          </w:p>
        </w:tc>
      </w:tr>
      <w:tr w:rsidR="00B3700C" w:rsidRPr="009C1764" w14:paraId="5B7579CB" w14:textId="77777777" w:rsidTr="00713B3E">
        <w:trPr>
          <w:trHeight w:val="227"/>
          <w:jc w:val="center"/>
        </w:trPr>
        <w:tc>
          <w:tcPr>
            <w:tcW w:w="603" w:type="pct"/>
            <w:vMerge/>
            <w:tcBorders>
              <w:top w:val="nil"/>
              <w:left w:val="nil"/>
              <w:bottom w:val="single" w:sz="4" w:space="0" w:color="000000"/>
              <w:right w:val="nil"/>
            </w:tcBorders>
            <w:vAlign w:val="center"/>
            <w:hideMark/>
          </w:tcPr>
          <w:p w14:paraId="7C9BB75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7CD5C2C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Semi-fabricated products based on copper alloys</w:t>
            </w:r>
          </w:p>
        </w:tc>
        <w:tc>
          <w:tcPr>
            <w:tcW w:w="2910" w:type="pct"/>
            <w:tcBorders>
              <w:top w:val="nil"/>
              <w:left w:val="nil"/>
              <w:bottom w:val="nil"/>
              <w:right w:val="nil"/>
            </w:tcBorders>
            <w:shd w:val="clear" w:color="auto" w:fill="auto"/>
            <w:vAlign w:val="center"/>
            <w:hideMark/>
          </w:tcPr>
          <w:p w14:paraId="2F9E001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740721, 740722, 740729, 740821, 740822, 740829, 740921, 740929, 740931, 740939, 740940, 740990, 741012, 741121, 741122, 741129, 741220</w:t>
            </w:r>
          </w:p>
        </w:tc>
      </w:tr>
      <w:tr w:rsidR="00B3700C" w:rsidRPr="009C1764" w14:paraId="7F964D60" w14:textId="77777777" w:rsidTr="00713B3E">
        <w:trPr>
          <w:trHeight w:val="227"/>
          <w:jc w:val="center"/>
        </w:trPr>
        <w:tc>
          <w:tcPr>
            <w:tcW w:w="603" w:type="pct"/>
            <w:vMerge/>
            <w:tcBorders>
              <w:top w:val="nil"/>
              <w:left w:val="nil"/>
              <w:bottom w:val="single" w:sz="4" w:space="0" w:color="000000"/>
              <w:right w:val="nil"/>
            </w:tcBorders>
            <w:vAlign w:val="center"/>
            <w:hideMark/>
          </w:tcPr>
          <w:p w14:paraId="44CE56FC"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single" w:sz="4" w:space="0" w:color="auto"/>
              <w:right w:val="nil"/>
            </w:tcBorders>
            <w:shd w:val="clear" w:color="auto" w:fill="auto"/>
            <w:noWrap/>
            <w:vAlign w:val="center"/>
            <w:hideMark/>
          </w:tcPr>
          <w:p w14:paraId="3AEBCD2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Rolled copper wire</w:t>
            </w:r>
          </w:p>
        </w:tc>
        <w:tc>
          <w:tcPr>
            <w:tcW w:w="2910" w:type="pct"/>
            <w:tcBorders>
              <w:top w:val="nil"/>
              <w:left w:val="nil"/>
              <w:bottom w:val="single" w:sz="4" w:space="0" w:color="auto"/>
              <w:right w:val="nil"/>
            </w:tcBorders>
            <w:shd w:val="clear" w:color="auto" w:fill="auto"/>
            <w:vAlign w:val="center"/>
            <w:hideMark/>
          </w:tcPr>
          <w:p w14:paraId="032A0F3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740811, 740819, 741300, 854411</w:t>
            </w:r>
          </w:p>
        </w:tc>
      </w:tr>
      <w:tr w:rsidR="00B3700C" w:rsidRPr="009C1764" w14:paraId="40DBADE4" w14:textId="77777777" w:rsidTr="00713B3E">
        <w:trPr>
          <w:trHeight w:val="227"/>
          <w:jc w:val="center"/>
        </w:trPr>
        <w:tc>
          <w:tcPr>
            <w:tcW w:w="603" w:type="pct"/>
            <w:vMerge w:val="restart"/>
            <w:tcBorders>
              <w:top w:val="nil"/>
              <w:left w:val="nil"/>
              <w:bottom w:val="single" w:sz="4" w:space="0" w:color="000000"/>
              <w:right w:val="nil"/>
            </w:tcBorders>
            <w:shd w:val="clear" w:color="auto" w:fill="auto"/>
            <w:vAlign w:val="center"/>
            <w:hideMark/>
          </w:tcPr>
          <w:p w14:paraId="44235603"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End-use products</w:t>
            </w:r>
          </w:p>
        </w:tc>
        <w:tc>
          <w:tcPr>
            <w:tcW w:w="1488" w:type="pct"/>
            <w:tcBorders>
              <w:top w:val="nil"/>
              <w:left w:val="nil"/>
              <w:bottom w:val="nil"/>
              <w:right w:val="nil"/>
            </w:tcBorders>
            <w:shd w:val="clear" w:color="auto" w:fill="auto"/>
            <w:noWrap/>
            <w:vAlign w:val="center"/>
            <w:hideMark/>
          </w:tcPr>
          <w:p w14:paraId="1AA77E7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Fabricated copper products</w:t>
            </w:r>
          </w:p>
        </w:tc>
        <w:tc>
          <w:tcPr>
            <w:tcW w:w="2910" w:type="pct"/>
            <w:tcBorders>
              <w:top w:val="nil"/>
              <w:left w:val="nil"/>
              <w:bottom w:val="nil"/>
              <w:right w:val="nil"/>
            </w:tcBorders>
            <w:shd w:val="clear" w:color="auto" w:fill="auto"/>
            <w:vAlign w:val="center"/>
            <w:hideMark/>
          </w:tcPr>
          <w:p w14:paraId="26AC739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741021, 741022, 741410, 741490, 741510, 741521, 741529, 741531, 741532, 741539, 741600, 741910, 741999</w:t>
            </w:r>
          </w:p>
        </w:tc>
      </w:tr>
      <w:tr w:rsidR="00B3700C" w:rsidRPr="009C1764" w14:paraId="6D425FD8" w14:textId="77777777" w:rsidTr="00713B3E">
        <w:trPr>
          <w:trHeight w:val="227"/>
          <w:jc w:val="center"/>
        </w:trPr>
        <w:tc>
          <w:tcPr>
            <w:tcW w:w="603" w:type="pct"/>
            <w:vMerge/>
            <w:tcBorders>
              <w:top w:val="nil"/>
              <w:left w:val="nil"/>
              <w:bottom w:val="single" w:sz="4" w:space="0" w:color="000000"/>
              <w:right w:val="nil"/>
            </w:tcBorders>
            <w:vAlign w:val="center"/>
            <w:hideMark/>
          </w:tcPr>
          <w:p w14:paraId="46AAE097"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2476D5C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Copper household utensils</w:t>
            </w:r>
          </w:p>
        </w:tc>
        <w:tc>
          <w:tcPr>
            <w:tcW w:w="2910" w:type="pct"/>
            <w:tcBorders>
              <w:top w:val="nil"/>
              <w:left w:val="nil"/>
              <w:bottom w:val="nil"/>
              <w:right w:val="nil"/>
            </w:tcBorders>
            <w:shd w:val="clear" w:color="auto" w:fill="auto"/>
            <w:vAlign w:val="center"/>
            <w:hideMark/>
          </w:tcPr>
          <w:p w14:paraId="7DF2F8D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741700, 741810, 741820</w:t>
            </w:r>
          </w:p>
        </w:tc>
      </w:tr>
      <w:tr w:rsidR="00B3700C" w:rsidRPr="009C1764" w14:paraId="79D23386" w14:textId="77777777" w:rsidTr="00713B3E">
        <w:trPr>
          <w:trHeight w:val="227"/>
          <w:jc w:val="center"/>
        </w:trPr>
        <w:tc>
          <w:tcPr>
            <w:tcW w:w="603" w:type="pct"/>
            <w:vMerge/>
            <w:tcBorders>
              <w:top w:val="nil"/>
              <w:left w:val="nil"/>
              <w:bottom w:val="single" w:sz="4" w:space="0" w:color="000000"/>
              <w:right w:val="nil"/>
            </w:tcBorders>
            <w:vAlign w:val="center"/>
            <w:hideMark/>
          </w:tcPr>
          <w:p w14:paraId="2663E3C5"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6125D19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Locks, padlocks, and keys</w:t>
            </w:r>
          </w:p>
        </w:tc>
        <w:tc>
          <w:tcPr>
            <w:tcW w:w="2910" w:type="pct"/>
            <w:tcBorders>
              <w:top w:val="nil"/>
              <w:left w:val="nil"/>
              <w:bottom w:val="nil"/>
              <w:right w:val="nil"/>
            </w:tcBorders>
            <w:shd w:val="clear" w:color="auto" w:fill="auto"/>
            <w:vAlign w:val="center"/>
            <w:hideMark/>
          </w:tcPr>
          <w:p w14:paraId="02E72DB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830110, 830120, 830130, 830140, 830150, 830160, 830170</w:t>
            </w:r>
          </w:p>
        </w:tc>
      </w:tr>
      <w:tr w:rsidR="00B3700C" w:rsidRPr="009C1764" w14:paraId="1248D4D8" w14:textId="77777777" w:rsidTr="00713B3E">
        <w:trPr>
          <w:trHeight w:val="227"/>
          <w:jc w:val="center"/>
        </w:trPr>
        <w:tc>
          <w:tcPr>
            <w:tcW w:w="603" w:type="pct"/>
            <w:vMerge/>
            <w:tcBorders>
              <w:top w:val="nil"/>
              <w:left w:val="nil"/>
              <w:bottom w:val="single" w:sz="4" w:space="0" w:color="000000"/>
              <w:right w:val="nil"/>
            </w:tcBorders>
            <w:vAlign w:val="center"/>
            <w:hideMark/>
          </w:tcPr>
          <w:p w14:paraId="100F9EA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4246711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Metal stationery accessories</w:t>
            </w:r>
          </w:p>
        </w:tc>
        <w:tc>
          <w:tcPr>
            <w:tcW w:w="2910" w:type="pct"/>
            <w:tcBorders>
              <w:top w:val="nil"/>
              <w:left w:val="nil"/>
              <w:bottom w:val="nil"/>
              <w:right w:val="nil"/>
            </w:tcBorders>
            <w:shd w:val="clear" w:color="auto" w:fill="auto"/>
            <w:vAlign w:val="center"/>
            <w:hideMark/>
          </w:tcPr>
          <w:p w14:paraId="236C717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830510, 830520, 830590, 830610</w:t>
            </w:r>
          </w:p>
        </w:tc>
      </w:tr>
      <w:tr w:rsidR="00B3700C" w:rsidRPr="009C1764" w14:paraId="0D8DE2D3" w14:textId="77777777" w:rsidTr="00713B3E">
        <w:trPr>
          <w:trHeight w:val="227"/>
          <w:jc w:val="center"/>
        </w:trPr>
        <w:tc>
          <w:tcPr>
            <w:tcW w:w="603" w:type="pct"/>
            <w:vMerge/>
            <w:tcBorders>
              <w:top w:val="nil"/>
              <w:left w:val="nil"/>
              <w:bottom w:val="single" w:sz="4" w:space="0" w:color="000000"/>
              <w:right w:val="nil"/>
            </w:tcBorders>
            <w:vAlign w:val="center"/>
            <w:hideMark/>
          </w:tcPr>
          <w:p w14:paraId="0F1A1F50"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7830066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 metal products</w:t>
            </w:r>
          </w:p>
        </w:tc>
        <w:tc>
          <w:tcPr>
            <w:tcW w:w="2910" w:type="pct"/>
            <w:tcBorders>
              <w:top w:val="nil"/>
              <w:left w:val="nil"/>
              <w:bottom w:val="nil"/>
              <w:right w:val="nil"/>
            </w:tcBorders>
            <w:shd w:val="clear" w:color="auto" w:fill="auto"/>
            <w:vAlign w:val="center"/>
            <w:hideMark/>
          </w:tcPr>
          <w:p w14:paraId="6573263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830810, 830820, 830890, 848510, 911120, 911190, 911210, 920510, 930610, 930621, 930690</w:t>
            </w:r>
          </w:p>
        </w:tc>
      </w:tr>
      <w:tr w:rsidR="00B3700C" w:rsidRPr="009C1764" w14:paraId="12C2C663" w14:textId="77777777" w:rsidTr="00713B3E">
        <w:trPr>
          <w:trHeight w:val="227"/>
          <w:jc w:val="center"/>
        </w:trPr>
        <w:tc>
          <w:tcPr>
            <w:tcW w:w="603" w:type="pct"/>
            <w:vMerge/>
            <w:tcBorders>
              <w:top w:val="nil"/>
              <w:left w:val="nil"/>
              <w:bottom w:val="single" w:sz="4" w:space="0" w:color="000000"/>
              <w:right w:val="nil"/>
            </w:tcBorders>
            <w:vAlign w:val="center"/>
            <w:hideMark/>
          </w:tcPr>
          <w:p w14:paraId="17438023"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nil"/>
              <w:right w:val="nil"/>
            </w:tcBorders>
            <w:shd w:val="clear" w:color="auto" w:fill="auto"/>
            <w:noWrap/>
            <w:vAlign w:val="center"/>
            <w:hideMark/>
          </w:tcPr>
          <w:p w14:paraId="13977D2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Electromagnets</w:t>
            </w:r>
          </w:p>
        </w:tc>
        <w:tc>
          <w:tcPr>
            <w:tcW w:w="2910" w:type="pct"/>
            <w:tcBorders>
              <w:top w:val="nil"/>
              <w:left w:val="nil"/>
              <w:bottom w:val="nil"/>
              <w:right w:val="nil"/>
            </w:tcBorders>
            <w:shd w:val="clear" w:color="auto" w:fill="auto"/>
            <w:vAlign w:val="center"/>
            <w:hideMark/>
          </w:tcPr>
          <w:p w14:paraId="35A8409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850530, 850590</w:t>
            </w:r>
          </w:p>
        </w:tc>
      </w:tr>
      <w:tr w:rsidR="00B3700C" w:rsidRPr="009C1764" w14:paraId="33AF9595" w14:textId="77777777" w:rsidTr="00713B3E">
        <w:trPr>
          <w:trHeight w:val="227"/>
          <w:jc w:val="center"/>
        </w:trPr>
        <w:tc>
          <w:tcPr>
            <w:tcW w:w="603" w:type="pct"/>
            <w:vMerge/>
            <w:tcBorders>
              <w:top w:val="nil"/>
              <w:left w:val="nil"/>
              <w:bottom w:val="single" w:sz="4" w:space="0" w:color="000000"/>
              <w:right w:val="nil"/>
            </w:tcBorders>
            <w:vAlign w:val="center"/>
            <w:hideMark/>
          </w:tcPr>
          <w:p w14:paraId="55417C29"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1488" w:type="pct"/>
            <w:tcBorders>
              <w:top w:val="nil"/>
              <w:left w:val="nil"/>
              <w:bottom w:val="single" w:sz="4" w:space="0" w:color="auto"/>
              <w:right w:val="nil"/>
            </w:tcBorders>
            <w:shd w:val="clear" w:color="auto" w:fill="auto"/>
            <w:noWrap/>
            <w:vAlign w:val="center"/>
            <w:hideMark/>
          </w:tcPr>
          <w:p w14:paraId="4C451393"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Electrical wires and conductors</w:t>
            </w:r>
          </w:p>
        </w:tc>
        <w:tc>
          <w:tcPr>
            <w:tcW w:w="2910" w:type="pct"/>
            <w:tcBorders>
              <w:top w:val="nil"/>
              <w:left w:val="nil"/>
              <w:bottom w:val="single" w:sz="4" w:space="0" w:color="auto"/>
              <w:right w:val="nil"/>
            </w:tcBorders>
            <w:shd w:val="clear" w:color="auto" w:fill="auto"/>
            <w:vAlign w:val="center"/>
            <w:hideMark/>
          </w:tcPr>
          <w:p w14:paraId="110CD0B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854420, 854430, 854441, 854449, 854451, 854459, 854460</w:t>
            </w:r>
          </w:p>
        </w:tc>
      </w:tr>
    </w:tbl>
    <w:p w14:paraId="720A4932" w14:textId="0BBBE27D" w:rsidR="00B3700C" w:rsidRPr="009C1764" w:rsidRDefault="00B3700C" w:rsidP="00B3700C">
      <w:pPr>
        <w:pStyle w:val="Prrafodelista"/>
        <w:spacing w:line="360" w:lineRule="auto"/>
        <w:ind w:left="0"/>
        <w:jc w:val="center"/>
        <w:rPr>
          <w:rFonts w:ascii="Times New Roman" w:hAnsi="Times New Roman" w:cs="Times New Roman"/>
          <w:lang w:val="en-US"/>
        </w:rPr>
      </w:pPr>
      <w:r w:rsidRPr="009C1764">
        <w:rPr>
          <w:rFonts w:ascii="Times New Roman" w:hAnsi="Times New Roman" w:cs="Times New Roman"/>
          <w:sz w:val="16"/>
          <w:szCs w:val="16"/>
          <w:lang w:val="en-US"/>
        </w:rPr>
        <w:t xml:space="preserve">Source: Prepared by the authors based on information from </w:t>
      </w:r>
      <w:proofErr w:type="spellStart"/>
      <w:r w:rsidRPr="009C1764">
        <w:rPr>
          <w:rFonts w:ascii="Times New Roman" w:hAnsi="Times New Roman" w:cs="Times New Roman"/>
          <w:sz w:val="16"/>
          <w:szCs w:val="16"/>
          <w:lang w:val="en-US"/>
        </w:rPr>
        <w:t>Soulier</w:t>
      </w:r>
      <w:proofErr w:type="spellEnd"/>
      <w:r w:rsidRPr="009C1764">
        <w:rPr>
          <w:rFonts w:ascii="Times New Roman" w:hAnsi="Times New Roman" w:cs="Times New Roman"/>
          <w:sz w:val="16"/>
          <w:szCs w:val="16"/>
          <w:lang w:val="en-US"/>
        </w:rPr>
        <w:t xml:space="preserve"> et al. (2018).</w:t>
      </w:r>
    </w:p>
    <w:p w14:paraId="0FA6FBBA" w14:textId="77777777" w:rsidR="00B3700C" w:rsidRPr="009C1764" w:rsidRDefault="00B3700C" w:rsidP="00B3700C">
      <w:pPr>
        <w:pStyle w:val="Prrafodelista"/>
        <w:spacing w:line="360" w:lineRule="auto"/>
        <w:jc w:val="both"/>
        <w:rPr>
          <w:rFonts w:ascii="Times New Roman" w:hAnsi="Times New Roman" w:cs="Times New Roman"/>
          <w:lang w:val="en-US"/>
        </w:rPr>
      </w:pPr>
    </w:p>
    <w:p w14:paraId="1413CC17" w14:textId="6BB700E9" w:rsidR="00B3700C" w:rsidRPr="009C1764" w:rsidRDefault="00B3700C" w:rsidP="004D42B6">
      <w:pPr>
        <w:pStyle w:val="Prrafodelista"/>
        <w:ind w:left="0"/>
        <w:jc w:val="both"/>
        <w:rPr>
          <w:rFonts w:ascii="Times New Roman" w:hAnsi="Times New Roman" w:cs="Times New Roman"/>
          <w:b/>
          <w:bCs/>
          <w:lang w:val="en-US"/>
        </w:rPr>
      </w:pPr>
      <w:r w:rsidRPr="009C1764">
        <w:rPr>
          <w:rFonts w:ascii="Times New Roman" w:hAnsi="Times New Roman" w:cs="Times New Roman"/>
          <w:b/>
          <w:bCs/>
          <w:lang w:val="en-US"/>
        </w:rPr>
        <w:t>Iron-steel chain</w:t>
      </w:r>
    </w:p>
    <w:p w14:paraId="568946B3" w14:textId="3558EFC4" w:rsidR="00B3700C"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lang w:val="en-US"/>
        </w:rPr>
        <w:t xml:space="preserve">The database, nomenclature and years analyzed are the same as those indicated for copper. HS92 subheadings are grouped according to the iron-steel processing stage based on the classification of </w:t>
      </w:r>
      <w:proofErr w:type="spellStart"/>
      <w:r w:rsidRPr="009C1764">
        <w:rPr>
          <w:rFonts w:ascii="Times New Roman" w:hAnsi="Times New Roman" w:cs="Times New Roman"/>
          <w:lang w:val="en-US"/>
        </w:rPr>
        <w:t>Pauliuk</w:t>
      </w:r>
      <w:proofErr w:type="spellEnd"/>
      <w:r w:rsidRPr="009C1764">
        <w:rPr>
          <w:rFonts w:ascii="Times New Roman" w:hAnsi="Times New Roman" w:cs="Times New Roman"/>
          <w:lang w:val="en-US"/>
        </w:rPr>
        <w:t>, Wang,</w:t>
      </w:r>
      <w:r w:rsidR="009C1764">
        <w:rPr>
          <w:rFonts w:ascii="Times New Roman" w:hAnsi="Times New Roman" w:cs="Times New Roman"/>
          <w:lang w:val="en-US"/>
        </w:rPr>
        <w:t xml:space="preserve"> and </w:t>
      </w:r>
      <w:r w:rsidR="009C1764" w:rsidRPr="009C1764">
        <w:rPr>
          <w:rFonts w:ascii="Times New Roman" w:hAnsi="Times New Roman" w:cs="Times New Roman"/>
          <w:lang w:val="en-US"/>
        </w:rPr>
        <w:t>Müller</w:t>
      </w:r>
      <w:r w:rsidRPr="009C1764">
        <w:rPr>
          <w:rFonts w:ascii="Times New Roman" w:hAnsi="Times New Roman" w:cs="Times New Roman"/>
          <w:lang w:val="en-US"/>
        </w:rPr>
        <w:t xml:space="preserve"> (2013), supplemented with information from </w:t>
      </w:r>
      <w:proofErr w:type="spellStart"/>
      <w:r w:rsidR="009C1764" w:rsidRPr="009C1764">
        <w:rPr>
          <w:rFonts w:ascii="Times New Roman" w:hAnsi="Times New Roman" w:cs="Times New Roman"/>
          <w:lang w:val="en-US"/>
        </w:rPr>
        <w:lastRenderedPageBreak/>
        <w:t>Dahlström</w:t>
      </w:r>
      <w:proofErr w:type="spellEnd"/>
      <w:r w:rsidRPr="009C1764">
        <w:rPr>
          <w:rFonts w:ascii="Times New Roman" w:hAnsi="Times New Roman" w:cs="Times New Roman"/>
          <w:lang w:val="en-US"/>
        </w:rPr>
        <w:t xml:space="preserve"> and Ekins (2006)</w:t>
      </w:r>
      <w:r w:rsidR="007140F9">
        <w:rPr>
          <w:rFonts w:ascii="Times New Roman" w:hAnsi="Times New Roman" w:cs="Times New Roman"/>
          <w:lang w:val="en-US"/>
        </w:rPr>
        <w:t xml:space="preserve">, </w:t>
      </w:r>
      <w:proofErr w:type="spellStart"/>
      <w:r w:rsidR="007140F9">
        <w:rPr>
          <w:rFonts w:ascii="Times New Roman" w:hAnsi="Times New Roman" w:cs="Times New Roman"/>
          <w:lang w:val="en-US"/>
        </w:rPr>
        <w:t>Egirani</w:t>
      </w:r>
      <w:proofErr w:type="spellEnd"/>
      <w:r w:rsidR="007140F9">
        <w:rPr>
          <w:rFonts w:ascii="Times New Roman" w:hAnsi="Times New Roman" w:cs="Times New Roman"/>
          <w:lang w:val="en-US"/>
        </w:rPr>
        <w:t xml:space="preserve"> et al. (2018),</w:t>
      </w:r>
      <w:r w:rsidRPr="009C1764">
        <w:rPr>
          <w:rFonts w:ascii="Times New Roman" w:hAnsi="Times New Roman" w:cs="Times New Roman"/>
          <w:lang w:val="en-US"/>
        </w:rPr>
        <w:t xml:space="preserve"> </w:t>
      </w:r>
      <w:r w:rsidR="007140F9">
        <w:rPr>
          <w:rFonts w:ascii="Times New Roman" w:hAnsi="Times New Roman" w:cs="Times New Roman"/>
          <w:lang w:val="en-US"/>
        </w:rPr>
        <w:t xml:space="preserve">NSA (2020), </w:t>
      </w:r>
      <w:r w:rsidRPr="009C1764">
        <w:rPr>
          <w:rFonts w:ascii="Times New Roman" w:hAnsi="Times New Roman" w:cs="Times New Roman"/>
          <w:lang w:val="en-US"/>
        </w:rPr>
        <w:t xml:space="preserve">and Wang, </w:t>
      </w:r>
      <w:r w:rsidR="009C1764" w:rsidRPr="009C1764">
        <w:rPr>
          <w:rFonts w:ascii="Times New Roman" w:hAnsi="Times New Roman" w:cs="Times New Roman"/>
          <w:lang w:val="en-US"/>
        </w:rPr>
        <w:t>Müller</w:t>
      </w:r>
      <w:r w:rsidR="009C1764">
        <w:rPr>
          <w:rFonts w:ascii="Times New Roman" w:hAnsi="Times New Roman" w:cs="Times New Roman"/>
          <w:lang w:val="en-US"/>
        </w:rPr>
        <w:t xml:space="preserve">, and </w:t>
      </w:r>
      <w:proofErr w:type="spellStart"/>
      <w:r w:rsidR="009C1764">
        <w:rPr>
          <w:rFonts w:ascii="Times New Roman" w:hAnsi="Times New Roman" w:cs="Times New Roman"/>
          <w:lang w:val="en-US"/>
        </w:rPr>
        <w:t>Graedel</w:t>
      </w:r>
      <w:proofErr w:type="spellEnd"/>
      <w:r w:rsidRPr="009C1764">
        <w:rPr>
          <w:rFonts w:ascii="Times New Roman" w:hAnsi="Times New Roman" w:cs="Times New Roman"/>
          <w:lang w:val="en-US"/>
        </w:rPr>
        <w:t xml:space="preserve"> (2007) (see Table A1.3). This required the use of the relationship between the Standard International Trade Classification (SITC) Rev. 1 and HS92 provided by WITS (2020). Excluded from end-use products are machinery, vehicles and engines, and other products in which iron-steel accounts for less than 60</w:t>
      </w:r>
      <w:r w:rsidR="004E299B">
        <w:rPr>
          <w:rFonts w:ascii="Times New Roman" w:hAnsi="Times New Roman" w:cs="Times New Roman"/>
          <w:lang w:val="en-US"/>
        </w:rPr>
        <w:t>%</w:t>
      </w:r>
      <w:r w:rsidRPr="009C1764">
        <w:rPr>
          <w:rFonts w:ascii="Times New Roman" w:hAnsi="Times New Roman" w:cs="Times New Roman"/>
          <w:lang w:val="en-US"/>
        </w:rPr>
        <w:t xml:space="preserve"> of the materials used to manufacture them.</w:t>
      </w:r>
    </w:p>
    <w:p w14:paraId="5918343B" w14:textId="77777777" w:rsidR="009C1764" w:rsidRPr="009C1764" w:rsidRDefault="009C1764" w:rsidP="004D42B6">
      <w:pPr>
        <w:pStyle w:val="Prrafodelista"/>
        <w:ind w:left="0"/>
        <w:jc w:val="both"/>
        <w:rPr>
          <w:rFonts w:ascii="Times New Roman" w:hAnsi="Times New Roman" w:cs="Times New Roman"/>
          <w:lang w:val="en-US"/>
        </w:rPr>
      </w:pPr>
    </w:p>
    <w:p w14:paraId="63FF6101" w14:textId="77CCF2CF" w:rsidR="00B3700C" w:rsidRPr="009C1764"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b/>
          <w:bCs/>
          <w:lang w:val="en-US"/>
        </w:rPr>
        <w:t>Table A1.</w:t>
      </w:r>
      <w:r w:rsidR="006F55FD">
        <w:rPr>
          <w:rFonts w:ascii="Times New Roman" w:hAnsi="Times New Roman" w:cs="Times New Roman"/>
          <w:b/>
          <w:bCs/>
          <w:lang w:val="en-US"/>
        </w:rPr>
        <w:t>3</w:t>
      </w:r>
      <w:r w:rsidRPr="009C1764">
        <w:rPr>
          <w:rFonts w:ascii="Times New Roman" w:hAnsi="Times New Roman" w:cs="Times New Roman"/>
          <w:b/>
          <w:bCs/>
          <w:lang w:val="en-US"/>
        </w:rPr>
        <w:t xml:space="preserve">. </w:t>
      </w:r>
      <w:r w:rsidRPr="009C1764">
        <w:rPr>
          <w:rFonts w:ascii="Times New Roman" w:hAnsi="Times New Roman" w:cs="Times New Roman"/>
          <w:lang w:val="en-US"/>
        </w:rPr>
        <w:t>Classification of tariff subheadings of the 1992 Harmonized System by stage of processing of the iron-steel chain.</w:t>
      </w:r>
    </w:p>
    <w:tbl>
      <w:tblPr>
        <w:tblW w:w="5000" w:type="pct"/>
        <w:tblCellMar>
          <w:left w:w="70" w:type="dxa"/>
          <w:right w:w="70" w:type="dxa"/>
        </w:tblCellMar>
        <w:tblLook w:val="04A0" w:firstRow="1" w:lastRow="0" w:firstColumn="1" w:lastColumn="0" w:noHBand="0" w:noVBand="1"/>
      </w:tblPr>
      <w:tblGrid>
        <w:gridCol w:w="1319"/>
        <w:gridCol w:w="1541"/>
        <w:gridCol w:w="5978"/>
      </w:tblGrid>
      <w:tr w:rsidR="00B3700C" w:rsidRPr="009C1764" w14:paraId="5B3DF07E" w14:textId="77777777" w:rsidTr="00713B3E">
        <w:trPr>
          <w:trHeight w:val="227"/>
        </w:trPr>
        <w:tc>
          <w:tcPr>
            <w:tcW w:w="746" w:type="pct"/>
            <w:tcBorders>
              <w:top w:val="single" w:sz="4" w:space="0" w:color="auto"/>
              <w:left w:val="nil"/>
              <w:bottom w:val="single" w:sz="4" w:space="0" w:color="auto"/>
              <w:right w:val="nil"/>
            </w:tcBorders>
            <w:shd w:val="clear" w:color="auto" w:fill="auto"/>
            <w:noWrap/>
            <w:vAlign w:val="center"/>
            <w:hideMark/>
          </w:tcPr>
          <w:p w14:paraId="57394A17"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Stages</w:t>
            </w:r>
          </w:p>
        </w:tc>
        <w:tc>
          <w:tcPr>
            <w:tcW w:w="872" w:type="pct"/>
            <w:tcBorders>
              <w:top w:val="single" w:sz="4" w:space="0" w:color="auto"/>
              <w:left w:val="nil"/>
              <w:bottom w:val="single" w:sz="4" w:space="0" w:color="auto"/>
              <w:right w:val="nil"/>
            </w:tcBorders>
            <w:shd w:val="clear" w:color="auto" w:fill="auto"/>
            <w:noWrap/>
            <w:vAlign w:val="center"/>
            <w:hideMark/>
          </w:tcPr>
          <w:p w14:paraId="4BDC2F51"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Categories</w:t>
            </w:r>
          </w:p>
        </w:tc>
        <w:tc>
          <w:tcPr>
            <w:tcW w:w="3382" w:type="pct"/>
            <w:tcBorders>
              <w:top w:val="single" w:sz="4" w:space="0" w:color="auto"/>
              <w:left w:val="nil"/>
              <w:bottom w:val="single" w:sz="4" w:space="0" w:color="auto"/>
              <w:right w:val="nil"/>
            </w:tcBorders>
            <w:shd w:val="clear" w:color="auto" w:fill="auto"/>
            <w:noWrap/>
            <w:vAlign w:val="center"/>
            <w:hideMark/>
          </w:tcPr>
          <w:p w14:paraId="591023E5"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HS92 Subitems</w:t>
            </w:r>
          </w:p>
        </w:tc>
      </w:tr>
      <w:tr w:rsidR="00B3700C" w:rsidRPr="009C1764" w14:paraId="08132D31" w14:textId="77777777" w:rsidTr="00713B3E">
        <w:trPr>
          <w:trHeight w:val="227"/>
        </w:trPr>
        <w:tc>
          <w:tcPr>
            <w:tcW w:w="746" w:type="pct"/>
            <w:tcBorders>
              <w:top w:val="nil"/>
              <w:left w:val="nil"/>
              <w:bottom w:val="single" w:sz="4" w:space="0" w:color="auto"/>
              <w:right w:val="nil"/>
            </w:tcBorders>
            <w:shd w:val="clear" w:color="auto" w:fill="auto"/>
            <w:vAlign w:val="center"/>
            <w:hideMark/>
          </w:tcPr>
          <w:p w14:paraId="723FE59E"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Ores and concentrates</w:t>
            </w:r>
          </w:p>
        </w:tc>
        <w:tc>
          <w:tcPr>
            <w:tcW w:w="872" w:type="pct"/>
            <w:tcBorders>
              <w:top w:val="nil"/>
              <w:left w:val="nil"/>
              <w:bottom w:val="single" w:sz="4" w:space="0" w:color="auto"/>
              <w:right w:val="nil"/>
            </w:tcBorders>
            <w:shd w:val="clear" w:color="auto" w:fill="auto"/>
            <w:vAlign w:val="center"/>
            <w:hideMark/>
          </w:tcPr>
          <w:p w14:paraId="1858C20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Ores and concentrates</w:t>
            </w:r>
          </w:p>
        </w:tc>
        <w:tc>
          <w:tcPr>
            <w:tcW w:w="3382" w:type="pct"/>
            <w:tcBorders>
              <w:top w:val="nil"/>
              <w:left w:val="nil"/>
              <w:bottom w:val="single" w:sz="4" w:space="0" w:color="auto"/>
              <w:right w:val="nil"/>
            </w:tcBorders>
            <w:shd w:val="clear" w:color="auto" w:fill="auto"/>
            <w:vAlign w:val="center"/>
            <w:hideMark/>
          </w:tcPr>
          <w:p w14:paraId="20195D0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260111, 260112, 260120</w:t>
            </w:r>
          </w:p>
        </w:tc>
      </w:tr>
      <w:tr w:rsidR="00B3700C" w:rsidRPr="009C1764" w14:paraId="024A7054" w14:textId="77777777" w:rsidTr="00713B3E">
        <w:trPr>
          <w:trHeight w:val="227"/>
        </w:trPr>
        <w:tc>
          <w:tcPr>
            <w:tcW w:w="746" w:type="pct"/>
            <w:vMerge w:val="restart"/>
            <w:tcBorders>
              <w:top w:val="nil"/>
              <w:left w:val="nil"/>
              <w:bottom w:val="single" w:sz="4" w:space="0" w:color="000000"/>
              <w:right w:val="nil"/>
            </w:tcBorders>
            <w:shd w:val="clear" w:color="auto" w:fill="auto"/>
            <w:vAlign w:val="center"/>
            <w:hideMark/>
          </w:tcPr>
          <w:p w14:paraId="62B95B22"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Pig iron and alloys</w:t>
            </w:r>
          </w:p>
        </w:tc>
        <w:tc>
          <w:tcPr>
            <w:tcW w:w="872" w:type="pct"/>
            <w:tcBorders>
              <w:top w:val="nil"/>
              <w:left w:val="nil"/>
              <w:bottom w:val="nil"/>
              <w:right w:val="nil"/>
            </w:tcBorders>
            <w:shd w:val="clear" w:color="auto" w:fill="auto"/>
            <w:vAlign w:val="center"/>
            <w:hideMark/>
          </w:tcPr>
          <w:p w14:paraId="7BEA193D"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Pig iron</w:t>
            </w:r>
          </w:p>
        </w:tc>
        <w:tc>
          <w:tcPr>
            <w:tcW w:w="3382" w:type="pct"/>
            <w:tcBorders>
              <w:top w:val="nil"/>
              <w:left w:val="nil"/>
              <w:bottom w:val="nil"/>
              <w:right w:val="nil"/>
            </w:tcBorders>
            <w:shd w:val="clear" w:color="auto" w:fill="auto"/>
            <w:vAlign w:val="center"/>
            <w:hideMark/>
          </w:tcPr>
          <w:p w14:paraId="5ED73CF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720110, 720120, 720130, 720140, 720510, 720521, 720529</w:t>
            </w:r>
          </w:p>
        </w:tc>
      </w:tr>
      <w:tr w:rsidR="00B3700C" w:rsidRPr="009C1764" w14:paraId="70323746" w14:textId="77777777" w:rsidTr="00713B3E">
        <w:trPr>
          <w:trHeight w:val="227"/>
        </w:trPr>
        <w:tc>
          <w:tcPr>
            <w:tcW w:w="746" w:type="pct"/>
            <w:vMerge/>
            <w:tcBorders>
              <w:top w:val="nil"/>
              <w:left w:val="nil"/>
              <w:bottom w:val="single" w:sz="4" w:space="0" w:color="000000"/>
              <w:right w:val="nil"/>
            </w:tcBorders>
            <w:vAlign w:val="center"/>
            <w:hideMark/>
          </w:tcPr>
          <w:p w14:paraId="7CC3FA83"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056E760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Alloys</w:t>
            </w:r>
          </w:p>
        </w:tc>
        <w:tc>
          <w:tcPr>
            <w:tcW w:w="3382" w:type="pct"/>
            <w:tcBorders>
              <w:top w:val="nil"/>
              <w:left w:val="nil"/>
              <w:bottom w:val="nil"/>
              <w:right w:val="nil"/>
            </w:tcBorders>
            <w:shd w:val="clear" w:color="auto" w:fill="auto"/>
            <w:vAlign w:val="center"/>
            <w:hideMark/>
          </w:tcPr>
          <w:p w14:paraId="79B3578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720211, 720219, 720221, 720229, 720230, 720241, 720249, 720250, 720260, 720270, 720280, 720291, 720292, 720293, 720299</w:t>
            </w:r>
          </w:p>
        </w:tc>
      </w:tr>
      <w:tr w:rsidR="00B3700C" w:rsidRPr="009C1764" w14:paraId="12181248" w14:textId="77777777" w:rsidTr="00713B3E">
        <w:trPr>
          <w:trHeight w:val="227"/>
        </w:trPr>
        <w:tc>
          <w:tcPr>
            <w:tcW w:w="746" w:type="pct"/>
            <w:vMerge/>
            <w:tcBorders>
              <w:top w:val="nil"/>
              <w:left w:val="nil"/>
              <w:bottom w:val="single" w:sz="4" w:space="0" w:color="000000"/>
              <w:right w:val="nil"/>
            </w:tcBorders>
            <w:vAlign w:val="center"/>
            <w:hideMark/>
          </w:tcPr>
          <w:p w14:paraId="517F793B"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single" w:sz="4" w:space="0" w:color="auto"/>
              <w:right w:val="nil"/>
            </w:tcBorders>
            <w:shd w:val="clear" w:color="auto" w:fill="auto"/>
            <w:vAlign w:val="center"/>
            <w:hideMark/>
          </w:tcPr>
          <w:p w14:paraId="225AAF9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Pig iron (sponge)</w:t>
            </w:r>
          </w:p>
        </w:tc>
        <w:tc>
          <w:tcPr>
            <w:tcW w:w="3382" w:type="pct"/>
            <w:tcBorders>
              <w:top w:val="nil"/>
              <w:left w:val="nil"/>
              <w:bottom w:val="single" w:sz="4" w:space="0" w:color="auto"/>
              <w:right w:val="nil"/>
            </w:tcBorders>
            <w:shd w:val="clear" w:color="auto" w:fill="auto"/>
            <w:vAlign w:val="center"/>
            <w:hideMark/>
          </w:tcPr>
          <w:p w14:paraId="0C0E0D1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720310, 720390</w:t>
            </w:r>
          </w:p>
        </w:tc>
      </w:tr>
      <w:tr w:rsidR="00B3700C" w:rsidRPr="009C1764" w14:paraId="7631383B" w14:textId="77777777" w:rsidTr="00713B3E">
        <w:trPr>
          <w:trHeight w:val="227"/>
        </w:trPr>
        <w:tc>
          <w:tcPr>
            <w:tcW w:w="746" w:type="pct"/>
            <w:vMerge w:val="restart"/>
            <w:tcBorders>
              <w:top w:val="nil"/>
              <w:left w:val="nil"/>
              <w:bottom w:val="single" w:sz="4" w:space="0" w:color="000000"/>
              <w:right w:val="nil"/>
            </w:tcBorders>
            <w:shd w:val="clear" w:color="auto" w:fill="auto"/>
            <w:vAlign w:val="center"/>
            <w:hideMark/>
          </w:tcPr>
          <w:p w14:paraId="4082041C"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Steel and cast iron</w:t>
            </w:r>
          </w:p>
        </w:tc>
        <w:tc>
          <w:tcPr>
            <w:tcW w:w="872" w:type="pct"/>
            <w:tcBorders>
              <w:top w:val="nil"/>
              <w:left w:val="nil"/>
              <w:bottom w:val="nil"/>
              <w:right w:val="nil"/>
            </w:tcBorders>
            <w:shd w:val="clear" w:color="auto" w:fill="auto"/>
            <w:vAlign w:val="center"/>
            <w:hideMark/>
          </w:tcPr>
          <w:p w14:paraId="56E4899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Ingots</w:t>
            </w:r>
          </w:p>
        </w:tc>
        <w:tc>
          <w:tcPr>
            <w:tcW w:w="3382" w:type="pct"/>
            <w:tcBorders>
              <w:top w:val="nil"/>
              <w:left w:val="nil"/>
              <w:bottom w:val="nil"/>
              <w:right w:val="nil"/>
            </w:tcBorders>
            <w:shd w:val="clear" w:color="auto" w:fill="auto"/>
            <w:vAlign w:val="center"/>
            <w:hideMark/>
          </w:tcPr>
          <w:p w14:paraId="187FB43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720450, 720610, 721810, 722410</w:t>
            </w:r>
          </w:p>
        </w:tc>
      </w:tr>
      <w:tr w:rsidR="00B3700C" w:rsidRPr="009C1764" w14:paraId="40150C4F" w14:textId="77777777" w:rsidTr="00713B3E">
        <w:trPr>
          <w:trHeight w:val="227"/>
        </w:trPr>
        <w:tc>
          <w:tcPr>
            <w:tcW w:w="746" w:type="pct"/>
            <w:vMerge/>
            <w:tcBorders>
              <w:top w:val="nil"/>
              <w:left w:val="nil"/>
              <w:bottom w:val="single" w:sz="4" w:space="0" w:color="000000"/>
              <w:right w:val="nil"/>
            </w:tcBorders>
            <w:vAlign w:val="center"/>
            <w:hideMark/>
          </w:tcPr>
          <w:p w14:paraId="59472D9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1AADB56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 foundry products</w:t>
            </w:r>
          </w:p>
        </w:tc>
        <w:tc>
          <w:tcPr>
            <w:tcW w:w="3382" w:type="pct"/>
            <w:tcBorders>
              <w:top w:val="nil"/>
              <w:left w:val="nil"/>
              <w:bottom w:val="nil"/>
              <w:right w:val="nil"/>
            </w:tcBorders>
            <w:shd w:val="clear" w:color="auto" w:fill="auto"/>
            <w:vAlign w:val="center"/>
            <w:hideMark/>
          </w:tcPr>
          <w:p w14:paraId="15141FCF"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720690, 732510, 732591, 732599, 732611, 7326193</w:t>
            </w:r>
          </w:p>
        </w:tc>
      </w:tr>
      <w:tr w:rsidR="00B3700C" w:rsidRPr="009C1764" w14:paraId="26533CEF" w14:textId="77777777" w:rsidTr="00713B3E">
        <w:trPr>
          <w:trHeight w:val="227"/>
        </w:trPr>
        <w:tc>
          <w:tcPr>
            <w:tcW w:w="746" w:type="pct"/>
            <w:vMerge/>
            <w:tcBorders>
              <w:top w:val="nil"/>
              <w:left w:val="nil"/>
              <w:bottom w:val="single" w:sz="4" w:space="0" w:color="000000"/>
              <w:right w:val="nil"/>
            </w:tcBorders>
            <w:vAlign w:val="center"/>
            <w:hideMark/>
          </w:tcPr>
          <w:p w14:paraId="028610D0"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single" w:sz="4" w:space="0" w:color="auto"/>
              <w:right w:val="nil"/>
            </w:tcBorders>
            <w:shd w:val="clear" w:color="auto" w:fill="auto"/>
            <w:vAlign w:val="center"/>
            <w:hideMark/>
          </w:tcPr>
          <w:p w14:paraId="6C3FB46E" w14:textId="7CAB3EDD"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 xml:space="preserve">Blooms, </w:t>
            </w:r>
            <w:r w:rsidR="00CC29FC" w:rsidRPr="009C1764">
              <w:rPr>
                <w:rFonts w:ascii="Times New Roman" w:eastAsia="Times New Roman" w:hAnsi="Times New Roman" w:cs="Times New Roman"/>
                <w:color w:val="000000"/>
                <w:sz w:val="14"/>
                <w:szCs w:val="14"/>
                <w:lang w:val="en-US" w:eastAsia="es-MX"/>
              </w:rPr>
              <w:t>billets,</w:t>
            </w:r>
            <w:r w:rsidRPr="009C1764">
              <w:rPr>
                <w:rFonts w:ascii="Times New Roman" w:eastAsia="Times New Roman" w:hAnsi="Times New Roman" w:cs="Times New Roman"/>
                <w:color w:val="000000"/>
                <w:sz w:val="14"/>
                <w:szCs w:val="14"/>
                <w:lang w:val="en-US" w:eastAsia="es-MX"/>
              </w:rPr>
              <w:t xml:space="preserve"> and slabs</w:t>
            </w:r>
          </w:p>
        </w:tc>
        <w:tc>
          <w:tcPr>
            <w:tcW w:w="3382" w:type="pct"/>
            <w:tcBorders>
              <w:top w:val="nil"/>
              <w:left w:val="nil"/>
              <w:bottom w:val="single" w:sz="4" w:space="0" w:color="auto"/>
              <w:right w:val="nil"/>
            </w:tcBorders>
            <w:shd w:val="clear" w:color="auto" w:fill="auto"/>
            <w:vAlign w:val="center"/>
            <w:hideMark/>
          </w:tcPr>
          <w:p w14:paraId="62F9DAF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720711, 720712, 720719, 720720, 721890, 722490</w:t>
            </w:r>
          </w:p>
        </w:tc>
      </w:tr>
      <w:tr w:rsidR="00B3700C" w:rsidRPr="009C1764" w14:paraId="7BCE6924" w14:textId="77777777" w:rsidTr="00713B3E">
        <w:trPr>
          <w:trHeight w:val="227"/>
        </w:trPr>
        <w:tc>
          <w:tcPr>
            <w:tcW w:w="746" w:type="pct"/>
            <w:vMerge w:val="restart"/>
            <w:tcBorders>
              <w:top w:val="nil"/>
              <w:left w:val="nil"/>
              <w:bottom w:val="single" w:sz="4" w:space="0" w:color="000000"/>
              <w:right w:val="nil"/>
            </w:tcBorders>
            <w:shd w:val="clear" w:color="auto" w:fill="auto"/>
            <w:vAlign w:val="center"/>
            <w:hideMark/>
          </w:tcPr>
          <w:p w14:paraId="62555D8F"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Rolled steel products</w:t>
            </w:r>
          </w:p>
        </w:tc>
        <w:tc>
          <w:tcPr>
            <w:tcW w:w="872" w:type="pct"/>
            <w:tcBorders>
              <w:top w:val="nil"/>
              <w:left w:val="nil"/>
              <w:bottom w:val="nil"/>
              <w:right w:val="nil"/>
            </w:tcBorders>
            <w:shd w:val="clear" w:color="auto" w:fill="auto"/>
            <w:vAlign w:val="center"/>
            <w:hideMark/>
          </w:tcPr>
          <w:p w14:paraId="7FF334C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Coils</w:t>
            </w:r>
          </w:p>
        </w:tc>
        <w:tc>
          <w:tcPr>
            <w:tcW w:w="3382" w:type="pct"/>
            <w:tcBorders>
              <w:top w:val="nil"/>
              <w:left w:val="nil"/>
              <w:bottom w:val="nil"/>
              <w:right w:val="nil"/>
            </w:tcBorders>
            <w:shd w:val="clear" w:color="auto" w:fill="auto"/>
            <w:vAlign w:val="center"/>
            <w:hideMark/>
          </w:tcPr>
          <w:p w14:paraId="303BA8F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720811, 720812, 720813, 720814, 720821, 720822, 720823, 720824, 721911, 721912, 721913, 721914, 722011, 722012, 722530</w:t>
            </w:r>
          </w:p>
        </w:tc>
      </w:tr>
      <w:tr w:rsidR="00B3700C" w:rsidRPr="009C1764" w14:paraId="09DC98A2" w14:textId="77777777" w:rsidTr="00713B3E">
        <w:trPr>
          <w:trHeight w:val="227"/>
        </w:trPr>
        <w:tc>
          <w:tcPr>
            <w:tcW w:w="746" w:type="pct"/>
            <w:vMerge/>
            <w:tcBorders>
              <w:top w:val="nil"/>
              <w:left w:val="nil"/>
              <w:bottom w:val="single" w:sz="4" w:space="0" w:color="000000"/>
              <w:right w:val="nil"/>
            </w:tcBorders>
            <w:vAlign w:val="center"/>
            <w:hideMark/>
          </w:tcPr>
          <w:p w14:paraId="38A4809E"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19E6EEA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Plates</w:t>
            </w:r>
          </w:p>
        </w:tc>
        <w:tc>
          <w:tcPr>
            <w:tcW w:w="3382" w:type="pct"/>
            <w:tcBorders>
              <w:top w:val="nil"/>
              <w:left w:val="nil"/>
              <w:bottom w:val="nil"/>
              <w:right w:val="nil"/>
            </w:tcBorders>
            <w:shd w:val="clear" w:color="auto" w:fill="auto"/>
            <w:vAlign w:val="center"/>
            <w:hideMark/>
          </w:tcPr>
          <w:p w14:paraId="4B5EAB40"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720831, 720832, 720833, 720834, 720835, 720841, 720842, 720843, 720844, 720845, 720890, 720911, 720912, 720913, 720914, 720921, 720922, 720923, 720924, 720931, 720932, 720933, 720934, 720941, 720942, 720943, 720944, 720990, 721011, 721012, 721020, 721031, 721039, 721041, 721049, 721050, 721060, 721070, 721090, 721111, 721112, 721119, 721121, 721122, 721129, 721130, 721141, 721149, 721190, 721210, 721221, 721229, 721230, 721240, 721250, 721260, 721921, 721922, 721923, 721924, 721931, 721932, 721933, 721934, 721935, 721990, 722020, 722090, 722510, 722520, 722540, 722550, 722590, 722610, 722620, 722691, 722692, 722699</w:t>
            </w:r>
          </w:p>
        </w:tc>
      </w:tr>
      <w:tr w:rsidR="00B3700C" w:rsidRPr="009C1764" w14:paraId="1561FA7D" w14:textId="77777777" w:rsidTr="00713B3E">
        <w:trPr>
          <w:trHeight w:val="227"/>
        </w:trPr>
        <w:tc>
          <w:tcPr>
            <w:tcW w:w="746" w:type="pct"/>
            <w:vMerge/>
            <w:tcBorders>
              <w:top w:val="nil"/>
              <w:left w:val="nil"/>
              <w:bottom w:val="single" w:sz="4" w:space="0" w:color="000000"/>
              <w:right w:val="nil"/>
            </w:tcBorders>
            <w:vAlign w:val="center"/>
            <w:hideMark/>
          </w:tcPr>
          <w:p w14:paraId="6ED84548"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79E6D177"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Wire and rods</w:t>
            </w:r>
          </w:p>
        </w:tc>
        <w:tc>
          <w:tcPr>
            <w:tcW w:w="3382" w:type="pct"/>
            <w:tcBorders>
              <w:top w:val="nil"/>
              <w:left w:val="nil"/>
              <w:bottom w:val="nil"/>
              <w:right w:val="nil"/>
            </w:tcBorders>
            <w:shd w:val="clear" w:color="auto" w:fill="auto"/>
            <w:vAlign w:val="center"/>
            <w:hideMark/>
          </w:tcPr>
          <w:p w14:paraId="26FEBB3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721310, 721320, 721331, 721339, 721341, 721349, 721350, 721410, 721420, 721430, 721440, 721450, 721460, 721510, 721520, 721530, 721540, 721590, 721711, 721712, 721713, 721719, 721721, 721722, 721723, 721729, 721731, 721732, 721733, 721739, 722100, 722210, 722220, 722230, 722300, 722710, 722720, 722790, 722810, 722820, 722830, 722840, 722850, 722860, 722880, 722910, 722920, 722990</w:t>
            </w:r>
          </w:p>
        </w:tc>
      </w:tr>
      <w:tr w:rsidR="00B3700C" w:rsidRPr="009C1764" w14:paraId="44BC19FD" w14:textId="77777777" w:rsidTr="00713B3E">
        <w:trPr>
          <w:trHeight w:val="227"/>
        </w:trPr>
        <w:tc>
          <w:tcPr>
            <w:tcW w:w="746" w:type="pct"/>
            <w:vMerge/>
            <w:tcBorders>
              <w:top w:val="nil"/>
              <w:left w:val="nil"/>
              <w:bottom w:val="single" w:sz="4" w:space="0" w:color="000000"/>
              <w:right w:val="nil"/>
            </w:tcBorders>
            <w:vAlign w:val="center"/>
            <w:hideMark/>
          </w:tcPr>
          <w:p w14:paraId="6AD35364"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4833163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Angles</w:t>
            </w:r>
          </w:p>
        </w:tc>
        <w:tc>
          <w:tcPr>
            <w:tcW w:w="3382" w:type="pct"/>
            <w:tcBorders>
              <w:top w:val="nil"/>
              <w:left w:val="nil"/>
              <w:bottom w:val="nil"/>
              <w:right w:val="nil"/>
            </w:tcBorders>
            <w:shd w:val="clear" w:color="auto" w:fill="auto"/>
            <w:vAlign w:val="center"/>
            <w:hideMark/>
          </w:tcPr>
          <w:p w14:paraId="6AE7412C"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721610, 721621, 721622, 721631, 721632, 721633, 721640, 721650, 721660, 721690, 722240, 722870, 730110</w:t>
            </w:r>
          </w:p>
        </w:tc>
      </w:tr>
      <w:tr w:rsidR="00B3700C" w:rsidRPr="009C1764" w14:paraId="4F5667AF" w14:textId="77777777" w:rsidTr="00713B3E">
        <w:trPr>
          <w:trHeight w:val="227"/>
        </w:trPr>
        <w:tc>
          <w:tcPr>
            <w:tcW w:w="746" w:type="pct"/>
            <w:vMerge/>
            <w:tcBorders>
              <w:top w:val="nil"/>
              <w:left w:val="nil"/>
              <w:bottom w:val="single" w:sz="4" w:space="0" w:color="000000"/>
              <w:right w:val="nil"/>
            </w:tcBorders>
            <w:vAlign w:val="center"/>
            <w:hideMark/>
          </w:tcPr>
          <w:p w14:paraId="7F3DD30D"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single" w:sz="4" w:space="0" w:color="auto"/>
              <w:right w:val="nil"/>
            </w:tcBorders>
            <w:shd w:val="clear" w:color="auto" w:fill="auto"/>
            <w:vAlign w:val="center"/>
            <w:hideMark/>
          </w:tcPr>
          <w:p w14:paraId="01D6994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Tubes and pipes</w:t>
            </w:r>
          </w:p>
        </w:tc>
        <w:tc>
          <w:tcPr>
            <w:tcW w:w="3382" w:type="pct"/>
            <w:tcBorders>
              <w:top w:val="nil"/>
              <w:left w:val="nil"/>
              <w:bottom w:val="single" w:sz="4" w:space="0" w:color="auto"/>
              <w:right w:val="nil"/>
            </w:tcBorders>
            <w:shd w:val="clear" w:color="auto" w:fill="auto"/>
            <w:vAlign w:val="center"/>
            <w:hideMark/>
          </w:tcPr>
          <w:p w14:paraId="20C20C1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730300, 730410, 730431, 730439, 730441, 730449, 730451, 730459, 730490, 730511, 730512, 730519, 730520, 730531, 730539, 730590, 730610, 730620, 730630, 730640, 730650, 730660, 730690, 730711, 730719, 730721, 730722, 730723, 730729, 730791, 730792, 730793, 730799</w:t>
            </w:r>
          </w:p>
        </w:tc>
      </w:tr>
      <w:tr w:rsidR="00B3700C" w:rsidRPr="009C1764" w14:paraId="3C8F9310" w14:textId="77777777" w:rsidTr="00713B3E">
        <w:trPr>
          <w:trHeight w:val="227"/>
        </w:trPr>
        <w:tc>
          <w:tcPr>
            <w:tcW w:w="746" w:type="pct"/>
            <w:vMerge w:val="restart"/>
            <w:tcBorders>
              <w:top w:val="nil"/>
              <w:left w:val="nil"/>
              <w:bottom w:val="single" w:sz="4" w:space="0" w:color="000000"/>
              <w:right w:val="nil"/>
            </w:tcBorders>
            <w:shd w:val="clear" w:color="auto" w:fill="auto"/>
            <w:vAlign w:val="center"/>
            <w:hideMark/>
          </w:tcPr>
          <w:p w14:paraId="40D47E30"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Finished steel products</w:t>
            </w:r>
          </w:p>
        </w:tc>
        <w:tc>
          <w:tcPr>
            <w:tcW w:w="872" w:type="pct"/>
            <w:tcBorders>
              <w:top w:val="nil"/>
              <w:left w:val="nil"/>
              <w:bottom w:val="nil"/>
              <w:right w:val="nil"/>
            </w:tcBorders>
            <w:shd w:val="clear" w:color="auto" w:fill="auto"/>
            <w:vAlign w:val="center"/>
            <w:hideMark/>
          </w:tcPr>
          <w:p w14:paraId="32F9DA9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Structures</w:t>
            </w:r>
          </w:p>
        </w:tc>
        <w:tc>
          <w:tcPr>
            <w:tcW w:w="3382" w:type="pct"/>
            <w:tcBorders>
              <w:top w:val="nil"/>
              <w:left w:val="nil"/>
              <w:bottom w:val="nil"/>
              <w:right w:val="nil"/>
            </w:tcBorders>
            <w:shd w:val="clear" w:color="auto" w:fill="auto"/>
            <w:vAlign w:val="center"/>
            <w:hideMark/>
          </w:tcPr>
          <w:p w14:paraId="3642D26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730120, 730810, 730820, 730830, 730840, 730890</w:t>
            </w:r>
          </w:p>
        </w:tc>
      </w:tr>
      <w:tr w:rsidR="00B3700C" w:rsidRPr="009C1764" w14:paraId="0C351B48" w14:textId="77777777" w:rsidTr="00713B3E">
        <w:trPr>
          <w:trHeight w:val="227"/>
        </w:trPr>
        <w:tc>
          <w:tcPr>
            <w:tcW w:w="746" w:type="pct"/>
            <w:vMerge/>
            <w:tcBorders>
              <w:top w:val="nil"/>
              <w:left w:val="nil"/>
              <w:bottom w:val="single" w:sz="4" w:space="0" w:color="000000"/>
              <w:right w:val="nil"/>
            </w:tcBorders>
            <w:vAlign w:val="center"/>
            <w:hideMark/>
          </w:tcPr>
          <w:p w14:paraId="6B09A321"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6BC40C6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 finished products</w:t>
            </w:r>
          </w:p>
        </w:tc>
        <w:tc>
          <w:tcPr>
            <w:tcW w:w="3382" w:type="pct"/>
            <w:tcBorders>
              <w:top w:val="nil"/>
              <w:left w:val="nil"/>
              <w:bottom w:val="nil"/>
              <w:right w:val="nil"/>
            </w:tcBorders>
            <w:shd w:val="clear" w:color="auto" w:fill="auto"/>
            <w:vAlign w:val="center"/>
            <w:hideMark/>
          </w:tcPr>
          <w:p w14:paraId="5B1D403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730210, 730220, 730230, 730240, 730290, 730900, 731010, 731021, 731029, 731100, 731511, 731512, 731519, 731520, 731581, 731582, 731589, 731590, 731600, 731700, 731910, 731920, 731930, 731990, 732010, 732020, 732090, 732111, 732112, 732113, 732181, 732182, 732183, 732190, 732310, 732391, 732392, 732393, 732394, 732399, 732620, 732690, 830610, 830621, 830629, 830630, 830710, 830790, 830810, 830820, 830890, 830910, 830990, 831000, 831110, 831120, 831130, 831190, 940560, 961590, 970190</w:t>
            </w:r>
          </w:p>
        </w:tc>
      </w:tr>
      <w:tr w:rsidR="00B3700C" w:rsidRPr="009C1764" w14:paraId="35D19CDE" w14:textId="77777777" w:rsidTr="00713B3E">
        <w:trPr>
          <w:trHeight w:val="227"/>
        </w:trPr>
        <w:tc>
          <w:tcPr>
            <w:tcW w:w="746" w:type="pct"/>
            <w:vMerge/>
            <w:tcBorders>
              <w:top w:val="nil"/>
              <w:left w:val="nil"/>
              <w:bottom w:val="single" w:sz="4" w:space="0" w:color="000000"/>
              <w:right w:val="nil"/>
            </w:tcBorders>
            <w:vAlign w:val="center"/>
            <w:hideMark/>
          </w:tcPr>
          <w:p w14:paraId="6C644D74"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5EFC5319" w14:textId="47294D4A"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 xml:space="preserve">Wires, </w:t>
            </w:r>
            <w:r w:rsidR="00CC29FC" w:rsidRPr="009C1764">
              <w:rPr>
                <w:rFonts w:ascii="Times New Roman" w:eastAsia="Times New Roman" w:hAnsi="Times New Roman" w:cs="Times New Roman"/>
                <w:color w:val="000000"/>
                <w:sz w:val="14"/>
                <w:szCs w:val="14"/>
                <w:lang w:val="en-US" w:eastAsia="es-MX"/>
              </w:rPr>
              <w:t>cables,</w:t>
            </w:r>
            <w:r w:rsidRPr="009C1764">
              <w:rPr>
                <w:rFonts w:ascii="Times New Roman" w:eastAsia="Times New Roman" w:hAnsi="Times New Roman" w:cs="Times New Roman"/>
                <w:color w:val="000000"/>
                <w:sz w:val="14"/>
                <w:szCs w:val="14"/>
                <w:lang w:val="en-US" w:eastAsia="es-MX"/>
              </w:rPr>
              <w:t xml:space="preserve"> and ropes</w:t>
            </w:r>
          </w:p>
        </w:tc>
        <w:tc>
          <w:tcPr>
            <w:tcW w:w="3382" w:type="pct"/>
            <w:tcBorders>
              <w:top w:val="nil"/>
              <w:left w:val="nil"/>
              <w:bottom w:val="nil"/>
              <w:right w:val="nil"/>
            </w:tcBorders>
            <w:shd w:val="clear" w:color="auto" w:fill="auto"/>
            <w:vAlign w:val="center"/>
            <w:hideMark/>
          </w:tcPr>
          <w:p w14:paraId="110CDEF2"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731210, 731290, 731300, 731411, 731419, 731420, 731430, 731441, 731442, 731449, 731450</w:t>
            </w:r>
          </w:p>
        </w:tc>
      </w:tr>
      <w:tr w:rsidR="00B3700C" w:rsidRPr="009C1764" w14:paraId="76E325C1" w14:textId="77777777" w:rsidTr="00713B3E">
        <w:trPr>
          <w:trHeight w:val="227"/>
        </w:trPr>
        <w:tc>
          <w:tcPr>
            <w:tcW w:w="746" w:type="pct"/>
            <w:vMerge/>
            <w:tcBorders>
              <w:top w:val="nil"/>
              <w:left w:val="nil"/>
              <w:bottom w:val="single" w:sz="4" w:space="0" w:color="000000"/>
              <w:right w:val="nil"/>
            </w:tcBorders>
            <w:vAlign w:val="center"/>
            <w:hideMark/>
          </w:tcPr>
          <w:p w14:paraId="457BB7E8"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single" w:sz="4" w:space="0" w:color="auto"/>
              <w:right w:val="nil"/>
            </w:tcBorders>
            <w:shd w:val="clear" w:color="auto" w:fill="auto"/>
            <w:vAlign w:val="center"/>
            <w:hideMark/>
          </w:tcPr>
          <w:p w14:paraId="364B0F28"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Bolts and screws</w:t>
            </w:r>
          </w:p>
        </w:tc>
        <w:tc>
          <w:tcPr>
            <w:tcW w:w="3382" w:type="pct"/>
            <w:tcBorders>
              <w:top w:val="nil"/>
              <w:left w:val="nil"/>
              <w:bottom w:val="single" w:sz="4" w:space="0" w:color="auto"/>
              <w:right w:val="nil"/>
            </w:tcBorders>
            <w:shd w:val="clear" w:color="auto" w:fill="auto"/>
            <w:vAlign w:val="center"/>
            <w:hideMark/>
          </w:tcPr>
          <w:p w14:paraId="78913D2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731811, 731812, 731813, 731814, 731815, 731816, 731819, 731821, 731822, 731823, 731824, 731829</w:t>
            </w:r>
          </w:p>
        </w:tc>
      </w:tr>
      <w:tr w:rsidR="00B3700C" w:rsidRPr="009C1764" w14:paraId="3B2B58A0" w14:textId="77777777" w:rsidTr="00713B3E">
        <w:trPr>
          <w:trHeight w:val="227"/>
        </w:trPr>
        <w:tc>
          <w:tcPr>
            <w:tcW w:w="746" w:type="pct"/>
            <w:vMerge w:val="restart"/>
            <w:tcBorders>
              <w:top w:val="nil"/>
              <w:left w:val="nil"/>
              <w:bottom w:val="single" w:sz="4" w:space="0" w:color="000000"/>
              <w:right w:val="nil"/>
            </w:tcBorders>
            <w:shd w:val="clear" w:color="auto" w:fill="auto"/>
            <w:vAlign w:val="center"/>
            <w:hideMark/>
          </w:tcPr>
          <w:p w14:paraId="032C463E" w14:textId="77777777" w:rsidR="00B3700C" w:rsidRPr="009C1764" w:rsidRDefault="00B3700C" w:rsidP="00713B3E">
            <w:pPr>
              <w:jc w:val="center"/>
              <w:rPr>
                <w:rFonts w:ascii="Times New Roman" w:eastAsia="Times New Roman" w:hAnsi="Times New Roman" w:cs="Times New Roman"/>
                <w:b/>
                <w:bCs/>
                <w:color w:val="000000"/>
                <w:sz w:val="14"/>
                <w:szCs w:val="14"/>
                <w:lang w:val="en-US" w:eastAsia="es-MX"/>
              </w:rPr>
            </w:pPr>
            <w:r w:rsidRPr="009C1764">
              <w:rPr>
                <w:rFonts w:ascii="Times New Roman" w:eastAsia="Times New Roman" w:hAnsi="Times New Roman" w:cs="Times New Roman"/>
                <w:b/>
                <w:bCs/>
                <w:color w:val="000000"/>
                <w:sz w:val="14"/>
                <w:szCs w:val="14"/>
                <w:lang w:val="en-US" w:eastAsia="es-MX"/>
              </w:rPr>
              <w:t>End-use products</w:t>
            </w:r>
          </w:p>
        </w:tc>
        <w:tc>
          <w:tcPr>
            <w:tcW w:w="872" w:type="pct"/>
            <w:tcBorders>
              <w:top w:val="nil"/>
              <w:left w:val="nil"/>
              <w:bottom w:val="nil"/>
              <w:right w:val="nil"/>
            </w:tcBorders>
            <w:shd w:val="clear" w:color="auto" w:fill="auto"/>
            <w:vAlign w:val="center"/>
            <w:hideMark/>
          </w:tcPr>
          <w:p w14:paraId="548F660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Sanitary, plumbing, or heating accessories</w:t>
            </w:r>
          </w:p>
        </w:tc>
        <w:tc>
          <w:tcPr>
            <w:tcW w:w="3382" w:type="pct"/>
            <w:tcBorders>
              <w:top w:val="nil"/>
              <w:left w:val="nil"/>
              <w:bottom w:val="nil"/>
              <w:right w:val="nil"/>
            </w:tcBorders>
            <w:shd w:val="clear" w:color="auto" w:fill="auto"/>
            <w:vAlign w:val="center"/>
            <w:hideMark/>
          </w:tcPr>
          <w:p w14:paraId="1C491806"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732211, 732219, 732290, 732410, 732421, 732429, 732490, 840310, 840390</w:t>
            </w:r>
          </w:p>
        </w:tc>
      </w:tr>
      <w:tr w:rsidR="00B3700C" w:rsidRPr="009C1764" w14:paraId="0DFACE2D" w14:textId="77777777" w:rsidTr="00713B3E">
        <w:trPr>
          <w:trHeight w:val="227"/>
        </w:trPr>
        <w:tc>
          <w:tcPr>
            <w:tcW w:w="746" w:type="pct"/>
            <w:vMerge/>
            <w:tcBorders>
              <w:top w:val="nil"/>
              <w:left w:val="nil"/>
              <w:bottom w:val="single" w:sz="4" w:space="0" w:color="000000"/>
              <w:right w:val="nil"/>
            </w:tcBorders>
            <w:vAlign w:val="center"/>
            <w:hideMark/>
          </w:tcPr>
          <w:p w14:paraId="08F3BFAE"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0A0D299E"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Tools</w:t>
            </w:r>
          </w:p>
        </w:tc>
        <w:tc>
          <w:tcPr>
            <w:tcW w:w="3382" w:type="pct"/>
            <w:tcBorders>
              <w:top w:val="nil"/>
              <w:left w:val="nil"/>
              <w:bottom w:val="nil"/>
              <w:right w:val="nil"/>
            </w:tcBorders>
            <w:shd w:val="clear" w:color="auto" w:fill="auto"/>
            <w:vAlign w:val="center"/>
            <w:hideMark/>
          </w:tcPr>
          <w:p w14:paraId="360236BD"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820110, 820120, 820130, 820140, 820160, 820190, 820310, 820320, 820330, 820340, 820411, 820412, 820420, 820510, 820520, 820530, 820540, 820551, 820559, 820560, 820570, 820580, 820590, 820600, 820711, 820712, 820720, 820730, 820740, 820750, 820760, 820770, 820780, 820790, 820810, 820820, 820830, 820840, 820890, 820900</w:t>
            </w:r>
          </w:p>
        </w:tc>
      </w:tr>
      <w:tr w:rsidR="00B3700C" w:rsidRPr="009C1764" w14:paraId="46565A47" w14:textId="77777777" w:rsidTr="00713B3E">
        <w:trPr>
          <w:trHeight w:val="227"/>
        </w:trPr>
        <w:tc>
          <w:tcPr>
            <w:tcW w:w="746" w:type="pct"/>
            <w:vMerge/>
            <w:tcBorders>
              <w:top w:val="nil"/>
              <w:left w:val="nil"/>
              <w:bottom w:val="single" w:sz="4" w:space="0" w:color="000000"/>
              <w:right w:val="nil"/>
            </w:tcBorders>
            <w:vAlign w:val="center"/>
            <w:hideMark/>
          </w:tcPr>
          <w:p w14:paraId="69C43BD5"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28385005"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Cutlery</w:t>
            </w:r>
          </w:p>
        </w:tc>
        <w:tc>
          <w:tcPr>
            <w:tcW w:w="3382" w:type="pct"/>
            <w:tcBorders>
              <w:top w:val="nil"/>
              <w:left w:val="nil"/>
              <w:bottom w:val="nil"/>
              <w:right w:val="nil"/>
            </w:tcBorders>
            <w:shd w:val="clear" w:color="auto" w:fill="auto"/>
            <w:vAlign w:val="center"/>
            <w:hideMark/>
          </w:tcPr>
          <w:p w14:paraId="13628A0A"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820150, 820210, 820220, 820231, 820232, 820240, 820291, 820299, 821110, 821191, 821192, 821193, 821194, 821210, 821220, 821290, 821300, 821410, 821420, 821490, 821510, 821520, 821591, 821599</w:t>
            </w:r>
          </w:p>
        </w:tc>
      </w:tr>
      <w:tr w:rsidR="00B3700C" w:rsidRPr="009C1764" w14:paraId="63EDDAC2" w14:textId="77777777" w:rsidTr="00713B3E">
        <w:trPr>
          <w:trHeight w:val="227"/>
        </w:trPr>
        <w:tc>
          <w:tcPr>
            <w:tcW w:w="746" w:type="pct"/>
            <w:vMerge/>
            <w:tcBorders>
              <w:top w:val="nil"/>
              <w:left w:val="nil"/>
              <w:bottom w:val="single" w:sz="4" w:space="0" w:color="000000"/>
              <w:right w:val="nil"/>
            </w:tcBorders>
            <w:vAlign w:val="center"/>
            <w:hideMark/>
          </w:tcPr>
          <w:p w14:paraId="79D23BEB"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nil"/>
              <w:right w:val="nil"/>
            </w:tcBorders>
            <w:shd w:val="clear" w:color="auto" w:fill="auto"/>
            <w:vAlign w:val="center"/>
            <w:hideMark/>
          </w:tcPr>
          <w:p w14:paraId="11519651"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Other fabricated metal products</w:t>
            </w:r>
          </w:p>
        </w:tc>
        <w:tc>
          <w:tcPr>
            <w:tcW w:w="3382" w:type="pct"/>
            <w:tcBorders>
              <w:top w:val="nil"/>
              <w:left w:val="nil"/>
              <w:bottom w:val="nil"/>
              <w:right w:val="nil"/>
            </w:tcBorders>
            <w:shd w:val="clear" w:color="auto" w:fill="auto"/>
            <w:vAlign w:val="center"/>
            <w:hideMark/>
          </w:tcPr>
          <w:p w14:paraId="0200634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830110, 830120, 830130, 830140, 830150, 830160, 830170, 830210, 830220, 830230, 830241, 830242, 830249, 830250, 830260, 830300</w:t>
            </w:r>
          </w:p>
        </w:tc>
      </w:tr>
      <w:tr w:rsidR="00B3700C" w:rsidRPr="009C1764" w14:paraId="5D295D54" w14:textId="77777777" w:rsidTr="00713B3E">
        <w:trPr>
          <w:trHeight w:val="227"/>
        </w:trPr>
        <w:tc>
          <w:tcPr>
            <w:tcW w:w="746" w:type="pct"/>
            <w:vMerge/>
            <w:tcBorders>
              <w:top w:val="nil"/>
              <w:left w:val="nil"/>
              <w:bottom w:val="single" w:sz="4" w:space="0" w:color="000000"/>
              <w:right w:val="nil"/>
            </w:tcBorders>
            <w:vAlign w:val="center"/>
            <w:hideMark/>
          </w:tcPr>
          <w:p w14:paraId="36EE2C41" w14:textId="77777777" w:rsidR="00B3700C" w:rsidRPr="009C1764" w:rsidRDefault="00B3700C" w:rsidP="00713B3E">
            <w:pPr>
              <w:rPr>
                <w:rFonts w:ascii="Times New Roman" w:eastAsia="Times New Roman" w:hAnsi="Times New Roman" w:cs="Times New Roman"/>
                <w:b/>
                <w:bCs/>
                <w:color w:val="000000"/>
                <w:sz w:val="14"/>
                <w:szCs w:val="14"/>
                <w:lang w:val="en-US" w:eastAsia="es-MX"/>
              </w:rPr>
            </w:pPr>
          </w:p>
        </w:tc>
        <w:tc>
          <w:tcPr>
            <w:tcW w:w="872" w:type="pct"/>
            <w:tcBorders>
              <w:top w:val="nil"/>
              <w:left w:val="nil"/>
              <w:bottom w:val="single" w:sz="4" w:space="0" w:color="auto"/>
              <w:right w:val="nil"/>
            </w:tcBorders>
            <w:shd w:val="clear" w:color="auto" w:fill="auto"/>
            <w:vAlign w:val="center"/>
            <w:hideMark/>
          </w:tcPr>
          <w:p w14:paraId="6A249A0B"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Office supplies and stationery</w:t>
            </w:r>
          </w:p>
        </w:tc>
        <w:tc>
          <w:tcPr>
            <w:tcW w:w="3382" w:type="pct"/>
            <w:tcBorders>
              <w:top w:val="nil"/>
              <w:left w:val="nil"/>
              <w:bottom w:val="single" w:sz="4" w:space="0" w:color="auto"/>
              <w:right w:val="nil"/>
            </w:tcBorders>
            <w:shd w:val="clear" w:color="auto" w:fill="auto"/>
            <w:vAlign w:val="center"/>
            <w:hideMark/>
          </w:tcPr>
          <w:p w14:paraId="19368F6F" w14:textId="77777777" w:rsidR="00B3700C" w:rsidRPr="009C1764" w:rsidRDefault="00B3700C" w:rsidP="00713B3E">
            <w:pPr>
              <w:rPr>
                <w:rFonts w:ascii="Times New Roman" w:eastAsia="Times New Roman" w:hAnsi="Times New Roman" w:cs="Times New Roman"/>
                <w:color w:val="000000"/>
                <w:sz w:val="14"/>
                <w:szCs w:val="14"/>
                <w:lang w:val="en-US" w:eastAsia="es-MX"/>
              </w:rPr>
            </w:pPr>
            <w:r w:rsidRPr="009C1764">
              <w:rPr>
                <w:rFonts w:ascii="Times New Roman" w:eastAsia="Times New Roman" w:hAnsi="Times New Roman" w:cs="Times New Roman"/>
                <w:color w:val="000000"/>
                <w:sz w:val="14"/>
                <w:szCs w:val="14"/>
                <w:lang w:val="en-US" w:eastAsia="es-MX"/>
              </w:rPr>
              <w:t>830400, 830510, 830520, 830590</w:t>
            </w:r>
          </w:p>
        </w:tc>
      </w:tr>
    </w:tbl>
    <w:p w14:paraId="16EE4EB6" w14:textId="59959F52" w:rsidR="00B3700C" w:rsidRPr="009C1764" w:rsidRDefault="00B3700C" w:rsidP="00B3700C">
      <w:pPr>
        <w:pStyle w:val="Prrafodelista"/>
        <w:ind w:left="0"/>
        <w:jc w:val="center"/>
        <w:rPr>
          <w:rFonts w:ascii="Times New Roman" w:hAnsi="Times New Roman" w:cs="Times New Roman"/>
          <w:sz w:val="16"/>
          <w:szCs w:val="16"/>
          <w:lang w:val="en-US"/>
        </w:rPr>
      </w:pPr>
      <w:r w:rsidRPr="009C1764">
        <w:rPr>
          <w:rFonts w:ascii="Times New Roman" w:hAnsi="Times New Roman" w:cs="Times New Roman"/>
          <w:sz w:val="16"/>
          <w:szCs w:val="16"/>
          <w:lang w:val="en-US"/>
        </w:rPr>
        <w:t xml:space="preserve">Source: Prepared by the authors based on information from </w:t>
      </w:r>
      <w:proofErr w:type="spellStart"/>
      <w:r w:rsidRPr="009C1764">
        <w:rPr>
          <w:rFonts w:ascii="Times New Roman" w:hAnsi="Times New Roman" w:cs="Times New Roman"/>
          <w:sz w:val="16"/>
          <w:szCs w:val="16"/>
          <w:lang w:val="en-US"/>
        </w:rPr>
        <w:t>Pauliuk</w:t>
      </w:r>
      <w:proofErr w:type="spellEnd"/>
      <w:r w:rsidRPr="009C1764">
        <w:rPr>
          <w:rFonts w:ascii="Times New Roman" w:hAnsi="Times New Roman" w:cs="Times New Roman"/>
          <w:sz w:val="16"/>
          <w:szCs w:val="16"/>
          <w:lang w:val="en-US"/>
        </w:rPr>
        <w:t>, Wang,</w:t>
      </w:r>
      <w:r w:rsidR="009C1764">
        <w:rPr>
          <w:rFonts w:ascii="Times New Roman" w:hAnsi="Times New Roman" w:cs="Times New Roman"/>
          <w:sz w:val="16"/>
          <w:szCs w:val="16"/>
          <w:lang w:val="en-US"/>
        </w:rPr>
        <w:t xml:space="preserve"> and </w:t>
      </w:r>
      <w:r w:rsidR="009C1764" w:rsidRPr="009C1764">
        <w:rPr>
          <w:rFonts w:ascii="Times New Roman" w:hAnsi="Times New Roman" w:cs="Times New Roman"/>
          <w:sz w:val="16"/>
          <w:szCs w:val="16"/>
          <w:lang w:val="en-US"/>
        </w:rPr>
        <w:t>Müller</w:t>
      </w:r>
      <w:r w:rsidRPr="009C1764">
        <w:rPr>
          <w:rFonts w:ascii="Times New Roman" w:hAnsi="Times New Roman" w:cs="Times New Roman"/>
          <w:sz w:val="16"/>
          <w:szCs w:val="16"/>
          <w:lang w:val="en-US"/>
        </w:rPr>
        <w:t xml:space="preserve"> (2013), </w:t>
      </w:r>
      <w:proofErr w:type="spellStart"/>
      <w:r w:rsidR="009C1764" w:rsidRPr="009C1764">
        <w:rPr>
          <w:rFonts w:ascii="Times New Roman" w:hAnsi="Times New Roman" w:cs="Times New Roman"/>
          <w:sz w:val="16"/>
          <w:szCs w:val="16"/>
          <w:lang w:val="en-US"/>
        </w:rPr>
        <w:t>Dahlström</w:t>
      </w:r>
      <w:proofErr w:type="spellEnd"/>
      <w:r w:rsidRPr="009C1764">
        <w:rPr>
          <w:rFonts w:ascii="Times New Roman" w:hAnsi="Times New Roman" w:cs="Times New Roman"/>
          <w:sz w:val="16"/>
          <w:szCs w:val="16"/>
          <w:lang w:val="en-US"/>
        </w:rPr>
        <w:t xml:space="preserve"> and Ekins (2006), </w:t>
      </w:r>
      <w:proofErr w:type="spellStart"/>
      <w:r w:rsidR="007140F9">
        <w:rPr>
          <w:rFonts w:ascii="Times New Roman" w:hAnsi="Times New Roman" w:cs="Times New Roman"/>
          <w:sz w:val="16"/>
          <w:szCs w:val="16"/>
          <w:lang w:val="en-US"/>
        </w:rPr>
        <w:t>Egirani</w:t>
      </w:r>
      <w:proofErr w:type="spellEnd"/>
      <w:r w:rsidR="007140F9">
        <w:rPr>
          <w:rFonts w:ascii="Times New Roman" w:hAnsi="Times New Roman" w:cs="Times New Roman"/>
          <w:sz w:val="16"/>
          <w:szCs w:val="16"/>
          <w:lang w:val="en-US"/>
        </w:rPr>
        <w:t xml:space="preserve"> et al. (2018), </w:t>
      </w:r>
      <w:r w:rsidRPr="009C1764">
        <w:rPr>
          <w:rFonts w:ascii="Times New Roman" w:hAnsi="Times New Roman" w:cs="Times New Roman"/>
          <w:sz w:val="16"/>
          <w:szCs w:val="16"/>
          <w:lang w:val="en-US"/>
        </w:rPr>
        <w:t xml:space="preserve">Wang, </w:t>
      </w:r>
      <w:r w:rsidR="009C1764" w:rsidRPr="009C1764">
        <w:rPr>
          <w:rFonts w:ascii="Times New Roman" w:hAnsi="Times New Roman" w:cs="Times New Roman"/>
          <w:sz w:val="16"/>
          <w:szCs w:val="16"/>
          <w:lang w:val="en-US"/>
        </w:rPr>
        <w:t>Müller</w:t>
      </w:r>
      <w:r w:rsidRPr="009C1764">
        <w:rPr>
          <w:rFonts w:ascii="Times New Roman" w:hAnsi="Times New Roman" w:cs="Times New Roman"/>
          <w:sz w:val="16"/>
          <w:szCs w:val="16"/>
          <w:lang w:val="en-US"/>
        </w:rPr>
        <w:t xml:space="preserve">, </w:t>
      </w:r>
      <w:r w:rsidR="009C1764">
        <w:rPr>
          <w:rFonts w:ascii="Times New Roman" w:hAnsi="Times New Roman" w:cs="Times New Roman"/>
          <w:sz w:val="16"/>
          <w:szCs w:val="16"/>
          <w:lang w:val="en-US"/>
        </w:rPr>
        <w:t xml:space="preserve">and </w:t>
      </w:r>
      <w:proofErr w:type="spellStart"/>
      <w:r w:rsidR="009C1764">
        <w:rPr>
          <w:rFonts w:ascii="Times New Roman" w:hAnsi="Times New Roman" w:cs="Times New Roman"/>
          <w:sz w:val="16"/>
          <w:szCs w:val="16"/>
          <w:lang w:val="en-US"/>
        </w:rPr>
        <w:t>Graedel</w:t>
      </w:r>
      <w:proofErr w:type="spellEnd"/>
      <w:r w:rsidR="009C1764">
        <w:rPr>
          <w:rFonts w:ascii="Times New Roman" w:hAnsi="Times New Roman" w:cs="Times New Roman"/>
          <w:sz w:val="16"/>
          <w:szCs w:val="16"/>
          <w:lang w:val="en-US"/>
        </w:rPr>
        <w:t xml:space="preserve"> </w:t>
      </w:r>
      <w:r w:rsidRPr="009C1764">
        <w:rPr>
          <w:rFonts w:ascii="Times New Roman" w:hAnsi="Times New Roman" w:cs="Times New Roman"/>
          <w:sz w:val="16"/>
          <w:szCs w:val="16"/>
          <w:lang w:val="en-US"/>
        </w:rPr>
        <w:t>(2007)</w:t>
      </w:r>
      <w:r w:rsidR="009C1764">
        <w:rPr>
          <w:rFonts w:ascii="Times New Roman" w:hAnsi="Times New Roman" w:cs="Times New Roman"/>
          <w:sz w:val="16"/>
          <w:szCs w:val="16"/>
          <w:lang w:val="en-US"/>
        </w:rPr>
        <w:t>,</w:t>
      </w:r>
      <w:r w:rsidRPr="009C1764">
        <w:rPr>
          <w:rFonts w:ascii="Times New Roman" w:hAnsi="Times New Roman" w:cs="Times New Roman"/>
          <w:sz w:val="16"/>
          <w:szCs w:val="16"/>
          <w:lang w:val="en-US"/>
        </w:rPr>
        <w:t xml:space="preserve"> </w:t>
      </w:r>
      <w:r w:rsidR="007140F9">
        <w:rPr>
          <w:rFonts w:ascii="Times New Roman" w:hAnsi="Times New Roman" w:cs="Times New Roman"/>
          <w:sz w:val="16"/>
          <w:szCs w:val="16"/>
          <w:lang w:val="en-US"/>
        </w:rPr>
        <w:t xml:space="preserve">NSA (2020), </w:t>
      </w:r>
      <w:r w:rsidRPr="009C1764">
        <w:rPr>
          <w:rFonts w:ascii="Times New Roman" w:hAnsi="Times New Roman" w:cs="Times New Roman"/>
          <w:sz w:val="16"/>
          <w:szCs w:val="16"/>
          <w:lang w:val="en-US"/>
        </w:rPr>
        <w:t>and WITS (2020).</w:t>
      </w:r>
    </w:p>
    <w:p w14:paraId="2ED35F1A" w14:textId="77777777" w:rsidR="007140F9" w:rsidRDefault="007140F9" w:rsidP="004D42B6">
      <w:pPr>
        <w:pStyle w:val="Prrafodelista"/>
        <w:ind w:left="0"/>
        <w:jc w:val="both"/>
        <w:rPr>
          <w:rFonts w:ascii="Times New Roman" w:hAnsi="Times New Roman" w:cs="Times New Roman"/>
          <w:b/>
          <w:bCs/>
          <w:lang w:val="en-US"/>
        </w:rPr>
      </w:pPr>
    </w:p>
    <w:p w14:paraId="19F1121F" w14:textId="77777777" w:rsidR="007140F9" w:rsidRDefault="007140F9" w:rsidP="004D42B6">
      <w:pPr>
        <w:pStyle w:val="Prrafodelista"/>
        <w:ind w:left="0"/>
        <w:jc w:val="both"/>
        <w:rPr>
          <w:rFonts w:ascii="Times New Roman" w:hAnsi="Times New Roman" w:cs="Times New Roman"/>
          <w:b/>
          <w:bCs/>
          <w:lang w:val="en-US"/>
        </w:rPr>
      </w:pPr>
    </w:p>
    <w:p w14:paraId="4E9ACA58" w14:textId="77777777" w:rsidR="007140F9" w:rsidRDefault="007140F9" w:rsidP="004D42B6">
      <w:pPr>
        <w:pStyle w:val="Prrafodelista"/>
        <w:ind w:left="0"/>
        <w:jc w:val="both"/>
        <w:rPr>
          <w:rFonts w:ascii="Times New Roman" w:hAnsi="Times New Roman" w:cs="Times New Roman"/>
          <w:b/>
          <w:bCs/>
          <w:lang w:val="en-US"/>
        </w:rPr>
      </w:pPr>
    </w:p>
    <w:p w14:paraId="0D80A72A" w14:textId="505100DC" w:rsidR="00B3700C" w:rsidRPr="009C1764" w:rsidRDefault="00B3700C" w:rsidP="004D42B6">
      <w:pPr>
        <w:pStyle w:val="Prrafodelista"/>
        <w:ind w:left="0"/>
        <w:jc w:val="both"/>
        <w:rPr>
          <w:rFonts w:ascii="Times New Roman" w:hAnsi="Times New Roman" w:cs="Times New Roman"/>
          <w:b/>
          <w:bCs/>
          <w:lang w:val="en-US"/>
        </w:rPr>
      </w:pPr>
      <w:r w:rsidRPr="009C1764">
        <w:rPr>
          <w:rFonts w:ascii="Times New Roman" w:hAnsi="Times New Roman" w:cs="Times New Roman"/>
          <w:b/>
          <w:bCs/>
          <w:lang w:val="en-US"/>
        </w:rPr>
        <w:lastRenderedPageBreak/>
        <w:t>Soybean chain</w:t>
      </w:r>
    </w:p>
    <w:p w14:paraId="1B99BC2B" w14:textId="689FF2F5" w:rsidR="00B3700C" w:rsidRDefault="00B3700C" w:rsidP="004D42B6">
      <w:pPr>
        <w:pStyle w:val="Prrafodelista"/>
        <w:ind w:left="0"/>
        <w:jc w:val="both"/>
        <w:rPr>
          <w:rFonts w:ascii="Times New Roman" w:hAnsi="Times New Roman" w:cs="Times New Roman"/>
          <w:lang w:val="en-US"/>
        </w:rPr>
      </w:pPr>
      <w:r w:rsidRPr="009C1764">
        <w:rPr>
          <w:rFonts w:ascii="Times New Roman" w:hAnsi="Times New Roman" w:cs="Times New Roman"/>
          <w:lang w:val="en-US"/>
        </w:rPr>
        <w:t>The database used is FAOSTAT</w:t>
      </w:r>
      <w:r w:rsidR="007140F9">
        <w:rPr>
          <w:rFonts w:ascii="Times New Roman" w:hAnsi="Times New Roman" w:cs="Times New Roman"/>
          <w:lang w:val="en-US"/>
        </w:rPr>
        <w:t xml:space="preserve"> (FAO, 2020)</w:t>
      </w:r>
      <w:r w:rsidRPr="009C1764">
        <w:rPr>
          <w:rFonts w:ascii="Times New Roman" w:hAnsi="Times New Roman" w:cs="Times New Roman"/>
          <w:lang w:val="en-US"/>
        </w:rPr>
        <w:t>. Data from the FAO commodity</w:t>
      </w:r>
      <w:r w:rsidRPr="009C1764">
        <w:rPr>
          <w:rFonts w:ascii="Times New Roman" w:hAnsi="Times New Roman" w:cs="Times New Roman"/>
          <w:i/>
          <w:iCs/>
          <w:lang w:val="en-US"/>
        </w:rPr>
        <w:t xml:space="preserve"> </w:t>
      </w:r>
      <w:r w:rsidRPr="009C1764">
        <w:rPr>
          <w:rFonts w:ascii="Times New Roman" w:hAnsi="Times New Roman" w:cs="Times New Roman"/>
          <w:lang w:val="en-US"/>
        </w:rPr>
        <w:t xml:space="preserve">classification at the 4-digit level were used and the years 2005, 2010, and 2016 were analyzed. Here </w:t>
      </w:r>
      <w:r w:rsidRPr="009C1764">
        <w:rPr>
          <w:rFonts w:ascii="Times New Roman" w:hAnsi="Times New Roman" w:cs="Times New Roman"/>
          <w:lang w:val="en-US"/>
        </w:rPr>
        <w:softHyphen/>
      </w:r>
      <w:r w:rsidRPr="009C1764">
        <w:rPr>
          <w:rFonts w:ascii="Times New Roman" w:hAnsi="Times New Roman" w:cs="Times New Roman"/>
          <w:lang w:val="en-US"/>
        </w:rPr>
        <w:softHyphen/>
        <w:t>it was not necessary to construct any classification, since soybean (code 0236), oil (code 0237), and soybean cake (code 0238) appear explicitly in the FAO classification.</w:t>
      </w:r>
    </w:p>
    <w:p w14:paraId="29E0FFC8" w14:textId="37C161A4" w:rsidR="004D42B6" w:rsidRDefault="004D42B6" w:rsidP="004D42B6">
      <w:pPr>
        <w:pStyle w:val="Prrafodelista"/>
        <w:ind w:left="0"/>
        <w:jc w:val="both"/>
        <w:rPr>
          <w:rFonts w:ascii="Times New Roman" w:hAnsi="Times New Roman" w:cs="Times New Roman"/>
          <w:lang w:val="en-US"/>
        </w:rPr>
      </w:pPr>
    </w:p>
    <w:p w14:paraId="10CB9D15" w14:textId="73CB0786" w:rsidR="004D42B6" w:rsidRDefault="004D42B6" w:rsidP="004D42B6">
      <w:pPr>
        <w:pStyle w:val="Prrafodelista"/>
        <w:ind w:left="0"/>
        <w:jc w:val="both"/>
        <w:rPr>
          <w:rFonts w:ascii="Times New Roman" w:hAnsi="Times New Roman" w:cs="Times New Roman"/>
          <w:b/>
          <w:bCs/>
          <w:lang w:val="en-US"/>
        </w:rPr>
      </w:pPr>
      <w:r>
        <w:rPr>
          <w:rFonts w:ascii="Times New Roman" w:hAnsi="Times New Roman" w:cs="Times New Roman"/>
          <w:b/>
          <w:bCs/>
          <w:lang w:val="en-US"/>
        </w:rPr>
        <w:t>Country codes</w:t>
      </w:r>
    </w:p>
    <w:p w14:paraId="4EECA607" w14:textId="32F3A8EF" w:rsidR="004D42B6" w:rsidRDefault="004D42B6" w:rsidP="004D42B6">
      <w:pPr>
        <w:pStyle w:val="Prrafodelista"/>
        <w:ind w:left="0"/>
        <w:jc w:val="both"/>
        <w:rPr>
          <w:rFonts w:ascii="Times New Roman" w:hAnsi="Times New Roman" w:cs="Times New Roman"/>
          <w:b/>
          <w:bCs/>
          <w:lang w:val="en-US"/>
        </w:rPr>
      </w:pPr>
    </w:p>
    <w:p w14:paraId="705021F9" w14:textId="6BFDEBA2" w:rsidR="004D42B6" w:rsidRPr="009C1764" w:rsidRDefault="004D42B6" w:rsidP="004D42B6">
      <w:pPr>
        <w:pStyle w:val="Prrafodelista"/>
        <w:ind w:left="0"/>
        <w:jc w:val="both"/>
        <w:rPr>
          <w:rFonts w:ascii="Times New Roman" w:hAnsi="Times New Roman" w:cs="Times New Roman"/>
          <w:lang w:val="en-US"/>
        </w:rPr>
      </w:pPr>
      <w:r w:rsidRPr="009C1764">
        <w:rPr>
          <w:rFonts w:ascii="Times New Roman" w:hAnsi="Times New Roman" w:cs="Times New Roman"/>
          <w:b/>
          <w:bCs/>
          <w:lang w:val="en-US"/>
        </w:rPr>
        <w:t>Table A1.</w:t>
      </w:r>
      <w:r w:rsidR="006F55FD">
        <w:rPr>
          <w:rFonts w:ascii="Times New Roman" w:hAnsi="Times New Roman" w:cs="Times New Roman"/>
          <w:b/>
          <w:bCs/>
          <w:lang w:val="en-US"/>
        </w:rPr>
        <w:t>4</w:t>
      </w:r>
      <w:r w:rsidRPr="009C1764">
        <w:rPr>
          <w:rFonts w:ascii="Times New Roman" w:hAnsi="Times New Roman" w:cs="Times New Roman"/>
          <w:b/>
          <w:bCs/>
          <w:lang w:val="en-US"/>
        </w:rPr>
        <w:t xml:space="preserve">. </w:t>
      </w:r>
      <w:r>
        <w:rPr>
          <w:rFonts w:ascii="Times New Roman" w:hAnsi="Times New Roman" w:cs="Times New Roman"/>
          <w:lang w:val="en-US"/>
        </w:rPr>
        <w:t>Country codes used in the main document.</w:t>
      </w:r>
    </w:p>
    <w:tbl>
      <w:tblPr>
        <w:tblW w:w="5000" w:type="pct"/>
        <w:tblCellMar>
          <w:left w:w="70" w:type="dxa"/>
          <w:right w:w="70" w:type="dxa"/>
        </w:tblCellMar>
        <w:tblLook w:val="04A0" w:firstRow="1" w:lastRow="0" w:firstColumn="1" w:lastColumn="0" w:noHBand="0" w:noVBand="1"/>
      </w:tblPr>
      <w:tblGrid>
        <w:gridCol w:w="5050"/>
        <w:gridCol w:w="3788"/>
      </w:tblGrid>
      <w:tr w:rsidR="004D42B6" w:rsidRPr="004D42B6" w14:paraId="1A81B1DE" w14:textId="77777777" w:rsidTr="004D42B6">
        <w:trPr>
          <w:trHeight w:val="227"/>
        </w:trPr>
        <w:tc>
          <w:tcPr>
            <w:tcW w:w="2857" w:type="pct"/>
            <w:tcBorders>
              <w:top w:val="single" w:sz="4" w:space="0" w:color="auto"/>
              <w:left w:val="nil"/>
              <w:bottom w:val="single" w:sz="4" w:space="0" w:color="auto"/>
              <w:right w:val="nil"/>
            </w:tcBorders>
            <w:shd w:val="clear" w:color="auto" w:fill="auto"/>
            <w:noWrap/>
            <w:vAlign w:val="bottom"/>
          </w:tcPr>
          <w:p w14:paraId="40D961DE" w14:textId="5602C06C" w:rsidR="004D42B6" w:rsidRPr="004D42B6" w:rsidRDefault="004D42B6" w:rsidP="004D42B6">
            <w:pPr>
              <w:jc w:val="center"/>
              <w:rPr>
                <w:rFonts w:ascii="Times New Roman" w:eastAsia="Times New Roman" w:hAnsi="Times New Roman" w:cs="Times New Roman"/>
                <w:b/>
                <w:bCs/>
                <w:color w:val="000000"/>
                <w:sz w:val="18"/>
                <w:szCs w:val="18"/>
                <w:lang w:val="en-US" w:eastAsia="es-MX"/>
              </w:rPr>
            </w:pPr>
            <w:r w:rsidRPr="004D42B6">
              <w:rPr>
                <w:rFonts w:ascii="Times New Roman" w:eastAsia="Times New Roman" w:hAnsi="Times New Roman" w:cs="Times New Roman"/>
                <w:b/>
                <w:bCs/>
                <w:color w:val="000000"/>
                <w:sz w:val="18"/>
                <w:szCs w:val="18"/>
                <w:lang w:val="en-US" w:eastAsia="es-MX"/>
              </w:rPr>
              <w:t>Country</w:t>
            </w:r>
          </w:p>
        </w:tc>
        <w:tc>
          <w:tcPr>
            <w:tcW w:w="2143" w:type="pct"/>
            <w:tcBorders>
              <w:top w:val="single" w:sz="4" w:space="0" w:color="auto"/>
              <w:left w:val="nil"/>
              <w:bottom w:val="single" w:sz="4" w:space="0" w:color="auto"/>
              <w:right w:val="nil"/>
            </w:tcBorders>
            <w:shd w:val="clear" w:color="auto" w:fill="auto"/>
            <w:noWrap/>
            <w:vAlign w:val="bottom"/>
          </w:tcPr>
          <w:p w14:paraId="6E8C6167" w14:textId="10A56579" w:rsidR="004D42B6" w:rsidRPr="004D42B6" w:rsidRDefault="004D42B6" w:rsidP="004D42B6">
            <w:pPr>
              <w:jc w:val="center"/>
              <w:rPr>
                <w:rFonts w:ascii="Times New Roman" w:eastAsia="Times New Roman" w:hAnsi="Times New Roman" w:cs="Times New Roman"/>
                <w:b/>
                <w:bCs/>
                <w:color w:val="000000"/>
                <w:sz w:val="18"/>
                <w:szCs w:val="18"/>
                <w:lang w:val="en-US" w:eastAsia="es-MX"/>
              </w:rPr>
            </w:pPr>
            <w:r w:rsidRPr="004D42B6">
              <w:rPr>
                <w:rFonts w:ascii="Times New Roman" w:eastAsia="Times New Roman" w:hAnsi="Times New Roman" w:cs="Times New Roman"/>
                <w:b/>
                <w:bCs/>
                <w:color w:val="000000"/>
                <w:sz w:val="18"/>
                <w:szCs w:val="18"/>
                <w:lang w:val="en-US" w:eastAsia="es-MX"/>
              </w:rPr>
              <w:t>Code</w:t>
            </w:r>
          </w:p>
        </w:tc>
      </w:tr>
      <w:tr w:rsidR="004D42B6" w:rsidRPr="004D42B6" w14:paraId="24E3B98E" w14:textId="77777777" w:rsidTr="004D42B6">
        <w:trPr>
          <w:trHeight w:val="227"/>
        </w:trPr>
        <w:tc>
          <w:tcPr>
            <w:tcW w:w="2857" w:type="pct"/>
            <w:tcBorders>
              <w:top w:val="single" w:sz="4" w:space="0" w:color="auto"/>
              <w:left w:val="nil"/>
              <w:bottom w:val="nil"/>
              <w:right w:val="nil"/>
            </w:tcBorders>
            <w:shd w:val="clear" w:color="auto" w:fill="auto"/>
            <w:noWrap/>
            <w:vAlign w:val="bottom"/>
            <w:hideMark/>
          </w:tcPr>
          <w:p w14:paraId="035D84E6"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Argentina</w:t>
            </w:r>
          </w:p>
        </w:tc>
        <w:tc>
          <w:tcPr>
            <w:tcW w:w="2143" w:type="pct"/>
            <w:tcBorders>
              <w:top w:val="single" w:sz="4" w:space="0" w:color="auto"/>
              <w:left w:val="nil"/>
              <w:bottom w:val="nil"/>
              <w:right w:val="nil"/>
            </w:tcBorders>
            <w:shd w:val="clear" w:color="auto" w:fill="auto"/>
            <w:noWrap/>
            <w:vAlign w:val="bottom"/>
            <w:hideMark/>
          </w:tcPr>
          <w:p w14:paraId="35C0149E"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ARG</w:t>
            </w:r>
          </w:p>
        </w:tc>
      </w:tr>
      <w:tr w:rsidR="004D42B6" w:rsidRPr="004D42B6" w14:paraId="5A54EBF0" w14:textId="77777777" w:rsidTr="004D42B6">
        <w:trPr>
          <w:trHeight w:val="227"/>
        </w:trPr>
        <w:tc>
          <w:tcPr>
            <w:tcW w:w="2857" w:type="pct"/>
            <w:tcBorders>
              <w:top w:val="nil"/>
              <w:left w:val="nil"/>
              <w:bottom w:val="nil"/>
              <w:right w:val="nil"/>
            </w:tcBorders>
            <w:shd w:val="clear" w:color="auto" w:fill="auto"/>
            <w:noWrap/>
            <w:vAlign w:val="bottom"/>
            <w:hideMark/>
          </w:tcPr>
          <w:p w14:paraId="4F52535A"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Australia</w:t>
            </w:r>
          </w:p>
        </w:tc>
        <w:tc>
          <w:tcPr>
            <w:tcW w:w="2143" w:type="pct"/>
            <w:tcBorders>
              <w:top w:val="nil"/>
              <w:left w:val="nil"/>
              <w:bottom w:val="nil"/>
              <w:right w:val="nil"/>
            </w:tcBorders>
            <w:shd w:val="clear" w:color="auto" w:fill="auto"/>
            <w:noWrap/>
            <w:vAlign w:val="bottom"/>
            <w:hideMark/>
          </w:tcPr>
          <w:p w14:paraId="24548A93"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AUS</w:t>
            </w:r>
          </w:p>
        </w:tc>
      </w:tr>
      <w:tr w:rsidR="004D42B6" w:rsidRPr="004D42B6" w14:paraId="16C34CC1" w14:textId="77777777" w:rsidTr="004D42B6">
        <w:trPr>
          <w:trHeight w:val="227"/>
        </w:trPr>
        <w:tc>
          <w:tcPr>
            <w:tcW w:w="2857" w:type="pct"/>
            <w:tcBorders>
              <w:top w:val="nil"/>
              <w:left w:val="nil"/>
              <w:bottom w:val="nil"/>
              <w:right w:val="nil"/>
            </w:tcBorders>
            <w:shd w:val="clear" w:color="auto" w:fill="auto"/>
            <w:noWrap/>
            <w:vAlign w:val="bottom"/>
            <w:hideMark/>
          </w:tcPr>
          <w:p w14:paraId="06EC3B6B"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Brazil</w:t>
            </w:r>
          </w:p>
        </w:tc>
        <w:tc>
          <w:tcPr>
            <w:tcW w:w="2143" w:type="pct"/>
            <w:tcBorders>
              <w:top w:val="nil"/>
              <w:left w:val="nil"/>
              <w:bottom w:val="nil"/>
              <w:right w:val="nil"/>
            </w:tcBorders>
            <w:shd w:val="clear" w:color="auto" w:fill="auto"/>
            <w:noWrap/>
            <w:vAlign w:val="bottom"/>
            <w:hideMark/>
          </w:tcPr>
          <w:p w14:paraId="2FB03A8F"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BRA</w:t>
            </w:r>
          </w:p>
        </w:tc>
      </w:tr>
      <w:tr w:rsidR="004D42B6" w:rsidRPr="004D42B6" w14:paraId="21C34944" w14:textId="77777777" w:rsidTr="004D42B6">
        <w:trPr>
          <w:trHeight w:val="227"/>
        </w:trPr>
        <w:tc>
          <w:tcPr>
            <w:tcW w:w="2857" w:type="pct"/>
            <w:tcBorders>
              <w:top w:val="nil"/>
              <w:left w:val="nil"/>
              <w:bottom w:val="nil"/>
              <w:right w:val="nil"/>
            </w:tcBorders>
            <w:shd w:val="clear" w:color="auto" w:fill="auto"/>
            <w:noWrap/>
            <w:vAlign w:val="bottom"/>
            <w:hideMark/>
          </w:tcPr>
          <w:p w14:paraId="5D64428E"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Canada</w:t>
            </w:r>
          </w:p>
        </w:tc>
        <w:tc>
          <w:tcPr>
            <w:tcW w:w="2143" w:type="pct"/>
            <w:tcBorders>
              <w:top w:val="nil"/>
              <w:left w:val="nil"/>
              <w:bottom w:val="nil"/>
              <w:right w:val="nil"/>
            </w:tcBorders>
            <w:shd w:val="clear" w:color="auto" w:fill="auto"/>
            <w:noWrap/>
            <w:vAlign w:val="bottom"/>
            <w:hideMark/>
          </w:tcPr>
          <w:p w14:paraId="6A5A357F"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CAN</w:t>
            </w:r>
          </w:p>
        </w:tc>
      </w:tr>
      <w:tr w:rsidR="004D42B6" w:rsidRPr="004D42B6" w14:paraId="13B2521A" w14:textId="77777777" w:rsidTr="004D42B6">
        <w:trPr>
          <w:trHeight w:val="227"/>
        </w:trPr>
        <w:tc>
          <w:tcPr>
            <w:tcW w:w="2857" w:type="pct"/>
            <w:tcBorders>
              <w:top w:val="nil"/>
              <w:left w:val="nil"/>
              <w:bottom w:val="nil"/>
              <w:right w:val="nil"/>
            </w:tcBorders>
            <w:shd w:val="clear" w:color="auto" w:fill="auto"/>
            <w:noWrap/>
            <w:vAlign w:val="bottom"/>
            <w:hideMark/>
          </w:tcPr>
          <w:p w14:paraId="5BDE8068"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Chile</w:t>
            </w:r>
          </w:p>
        </w:tc>
        <w:tc>
          <w:tcPr>
            <w:tcW w:w="2143" w:type="pct"/>
            <w:tcBorders>
              <w:top w:val="nil"/>
              <w:left w:val="nil"/>
              <w:bottom w:val="nil"/>
              <w:right w:val="nil"/>
            </w:tcBorders>
            <w:shd w:val="clear" w:color="auto" w:fill="auto"/>
            <w:noWrap/>
            <w:vAlign w:val="bottom"/>
            <w:hideMark/>
          </w:tcPr>
          <w:p w14:paraId="01F0F34C"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CHL</w:t>
            </w:r>
          </w:p>
        </w:tc>
      </w:tr>
      <w:tr w:rsidR="004D42B6" w:rsidRPr="004D42B6" w14:paraId="1A0C99E3" w14:textId="77777777" w:rsidTr="004D42B6">
        <w:trPr>
          <w:trHeight w:val="227"/>
        </w:trPr>
        <w:tc>
          <w:tcPr>
            <w:tcW w:w="2857" w:type="pct"/>
            <w:tcBorders>
              <w:top w:val="nil"/>
              <w:left w:val="nil"/>
              <w:bottom w:val="nil"/>
              <w:right w:val="nil"/>
            </w:tcBorders>
            <w:shd w:val="clear" w:color="auto" w:fill="auto"/>
            <w:noWrap/>
            <w:vAlign w:val="bottom"/>
            <w:hideMark/>
          </w:tcPr>
          <w:p w14:paraId="3B04585C"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China</w:t>
            </w:r>
          </w:p>
        </w:tc>
        <w:tc>
          <w:tcPr>
            <w:tcW w:w="2143" w:type="pct"/>
            <w:tcBorders>
              <w:top w:val="nil"/>
              <w:left w:val="nil"/>
              <w:bottom w:val="nil"/>
              <w:right w:val="nil"/>
            </w:tcBorders>
            <w:shd w:val="clear" w:color="auto" w:fill="auto"/>
            <w:noWrap/>
            <w:vAlign w:val="bottom"/>
            <w:hideMark/>
          </w:tcPr>
          <w:p w14:paraId="30BE92A5"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CHN</w:t>
            </w:r>
          </w:p>
        </w:tc>
      </w:tr>
      <w:tr w:rsidR="004D42B6" w:rsidRPr="004D42B6" w14:paraId="74084609" w14:textId="77777777" w:rsidTr="004D42B6">
        <w:trPr>
          <w:trHeight w:val="227"/>
        </w:trPr>
        <w:tc>
          <w:tcPr>
            <w:tcW w:w="2857" w:type="pct"/>
            <w:tcBorders>
              <w:top w:val="nil"/>
              <w:left w:val="nil"/>
              <w:bottom w:val="nil"/>
              <w:right w:val="nil"/>
            </w:tcBorders>
            <w:shd w:val="clear" w:color="auto" w:fill="auto"/>
            <w:noWrap/>
            <w:vAlign w:val="bottom"/>
            <w:hideMark/>
          </w:tcPr>
          <w:p w14:paraId="70785A0D"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Colombia</w:t>
            </w:r>
          </w:p>
        </w:tc>
        <w:tc>
          <w:tcPr>
            <w:tcW w:w="2143" w:type="pct"/>
            <w:tcBorders>
              <w:top w:val="nil"/>
              <w:left w:val="nil"/>
              <w:bottom w:val="nil"/>
              <w:right w:val="nil"/>
            </w:tcBorders>
            <w:shd w:val="clear" w:color="auto" w:fill="auto"/>
            <w:noWrap/>
            <w:vAlign w:val="bottom"/>
            <w:hideMark/>
          </w:tcPr>
          <w:p w14:paraId="54239497"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COL</w:t>
            </w:r>
          </w:p>
        </w:tc>
      </w:tr>
      <w:tr w:rsidR="004D42B6" w:rsidRPr="004D42B6" w14:paraId="533E3906" w14:textId="77777777" w:rsidTr="004D42B6">
        <w:trPr>
          <w:trHeight w:val="227"/>
        </w:trPr>
        <w:tc>
          <w:tcPr>
            <w:tcW w:w="2857" w:type="pct"/>
            <w:tcBorders>
              <w:top w:val="nil"/>
              <w:left w:val="nil"/>
              <w:bottom w:val="nil"/>
              <w:right w:val="nil"/>
            </w:tcBorders>
            <w:shd w:val="clear" w:color="auto" w:fill="auto"/>
            <w:noWrap/>
            <w:vAlign w:val="bottom"/>
            <w:hideMark/>
          </w:tcPr>
          <w:p w14:paraId="7C73B7A9"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Spain</w:t>
            </w:r>
          </w:p>
        </w:tc>
        <w:tc>
          <w:tcPr>
            <w:tcW w:w="2143" w:type="pct"/>
            <w:tcBorders>
              <w:top w:val="nil"/>
              <w:left w:val="nil"/>
              <w:bottom w:val="nil"/>
              <w:right w:val="nil"/>
            </w:tcBorders>
            <w:shd w:val="clear" w:color="auto" w:fill="auto"/>
            <w:noWrap/>
            <w:vAlign w:val="bottom"/>
            <w:hideMark/>
          </w:tcPr>
          <w:p w14:paraId="7E59B9EA"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ESP</w:t>
            </w:r>
          </w:p>
        </w:tc>
      </w:tr>
      <w:tr w:rsidR="004D42B6" w:rsidRPr="004D42B6" w14:paraId="2D9010DC" w14:textId="77777777" w:rsidTr="004D42B6">
        <w:trPr>
          <w:trHeight w:val="227"/>
        </w:trPr>
        <w:tc>
          <w:tcPr>
            <w:tcW w:w="2857" w:type="pct"/>
            <w:tcBorders>
              <w:top w:val="nil"/>
              <w:left w:val="nil"/>
              <w:bottom w:val="nil"/>
              <w:right w:val="nil"/>
            </w:tcBorders>
            <w:shd w:val="clear" w:color="auto" w:fill="auto"/>
            <w:noWrap/>
            <w:vAlign w:val="bottom"/>
            <w:hideMark/>
          </w:tcPr>
          <w:p w14:paraId="151E6E2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Finland</w:t>
            </w:r>
          </w:p>
        </w:tc>
        <w:tc>
          <w:tcPr>
            <w:tcW w:w="2143" w:type="pct"/>
            <w:tcBorders>
              <w:top w:val="nil"/>
              <w:left w:val="nil"/>
              <w:bottom w:val="nil"/>
              <w:right w:val="nil"/>
            </w:tcBorders>
            <w:shd w:val="clear" w:color="auto" w:fill="auto"/>
            <w:noWrap/>
            <w:vAlign w:val="bottom"/>
            <w:hideMark/>
          </w:tcPr>
          <w:p w14:paraId="4B739E63"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FIN</w:t>
            </w:r>
          </w:p>
        </w:tc>
      </w:tr>
      <w:tr w:rsidR="004D42B6" w:rsidRPr="004D42B6" w14:paraId="1223EB3E" w14:textId="77777777" w:rsidTr="004D42B6">
        <w:trPr>
          <w:trHeight w:val="227"/>
        </w:trPr>
        <w:tc>
          <w:tcPr>
            <w:tcW w:w="2857" w:type="pct"/>
            <w:tcBorders>
              <w:top w:val="nil"/>
              <w:left w:val="nil"/>
              <w:bottom w:val="nil"/>
              <w:right w:val="nil"/>
            </w:tcBorders>
            <w:shd w:val="clear" w:color="auto" w:fill="auto"/>
            <w:noWrap/>
            <w:vAlign w:val="bottom"/>
            <w:hideMark/>
          </w:tcPr>
          <w:p w14:paraId="0AE39A0C"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France</w:t>
            </w:r>
          </w:p>
        </w:tc>
        <w:tc>
          <w:tcPr>
            <w:tcW w:w="2143" w:type="pct"/>
            <w:tcBorders>
              <w:top w:val="nil"/>
              <w:left w:val="nil"/>
              <w:bottom w:val="nil"/>
              <w:right w:val="nil"/>
            </w:tcBorders>
            <w:shd w:val="clear" w:color="auto" w:fill="auto"/>
            <w:noWrap/>
            <w:vAlign w:val="bottom"/>
            <w:hideMark/>
          </w:tcPr>
          <w:p w14:paraId="589974D5"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FRA</w:t>
            </w:r>
          </w:p>
        </w:tc>
      </w:tr>
      <w:tr w:rsidR="004D42B6" w:rsidRPr="004D42B6" w14:paraId="7148FF2A" w14:textId="77777777" w:rsidTr="004D42B6">
        <w:trPr>
          <w:trHeight w:val="227"/>
        </w:trPr>
        <w:tc>
          <w:tcPr>
            <w:tcW w:w="2857" w:type="pct"/>
            <w:tcBorders>
              <w:top w:val="nil"/>
              <w:left w:val="nil"/>
              <w:bottom w:val="nil"/>
              <w:right w:val="nil"/>
            </w:tcBorders>
            <w:shd w:val="clear" w:color="auto" w:fill="auto"/>
            <w:noWrap/>
            <w:vAlign w:val="bottom"/>
            <w:hideMark/>
          </w:tcPr>
          <w:p w14:paraId="07047787"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United Kingdom</w:t>
            </w:r>
          </w:p>
        </w:tc>
        <w:tc>
          <w:tcPr>
            <w:tcW w:w="2143" w:type="pct"/>
            <w:tcBorders>
              <w:top w:val="nil"/>
              <w:left w:val="nil"/>
              <w:bottom w:val="nil"/>
              <w:right w:val="nil"/>
            </w:tcBorders>
            <w:shd w:val="clear" w:color="auto" w:fill="auto"/>
            <w:noWrap/>
            <w:vAlign w:val="bottom"/>
            <w:hideMark/>
          </w:tcPr>
          <w:p w14:paraId="516A2CE4"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GBR</w:t>
            </w:r>
          </w:p>
        </w:tc>
      </w:tr>
      <w:tr w:rsidR="004D42B6" w:rsidRPr="004D42B6" w14:paraId="642052A0" w14:textId="77777777" w:rsidTr="004D42B6">
        <w:trPr>
          <w:trHeight w:val="227"/>
        </w:trPr>
        <w:tc>
          <w:tcPr>
            <w:tcW w:w="2857" w:type="pct"/>
            <w:tcBorders>
              <w:top w:val="nil"/>
              <w:left w:val="nil"/>
              <w:bottom w:val="nil"/>
              <w:right w:val="nil"/>
            </w:tcBorders>
            <w:shd w:val="clear" w:color="auto" w:fill="auto"/>
            <w:noWrap/>
            <w:vAlign w:val="bottom"/>
            <w:hideMark/>
          </w:tcPr>
          <w:p w14:paraId="1871F46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Germany</w:t>
            </w:r>
          </w:p>
        </w:tc>
        <w:tc>
          <w:tcPr>
            <w:tcW w:w="2143" w:type="pct"/>
            <w:tcBorders>
              <w:top w:val="nil"/>
              <w:left w:val="nil"/>
              <w:bottom w:val="nil"/>
              <w:right w:val="nil"/>
            </w:tcBorders>
            <w:shd w:val="clear" w:color="auto" w:fill="auto"/>
            <w:noWrap/>
            <w:vAlign w:val="bottom"/>
            <w:hideMark/>
          </w:tcPr>
          <w:p w14:paraId="66B90C78"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GER</w:t>
            </w:r>
          </w:p>
        </w:tc>
      </w:tr>
      <w:tr w:rsidR="004D42B6" w:rsidRPr="004D42B6" w14:paraId="18F8B499" w14:textId="77777777" w:rsidTr="004D42B6">
        <w:trPr>
          <w:trHeight w:val="227"/>
        </w:trPr>
        <w:tc>
          <w:tcPr>
            <w:tcW w:w="2857" w:type="pct"/>
            <w:tcBorders>
              <w:top w:val="nil"/>
              <w:left w:val="nil"/>
              <w:bottom w:val="nil"/>
              <w:right w:val="nil"/>
            </w:tcBorders>
            <w:shd w:val="clear" w:color="auto" w:fill="auto"/>
            <w:noWrap/>
            <w:vAlign w:val="bottom"/>
            <w:hideMark/>
          </w:tcPr>
          <w:p w14:paraId="470EA7B4"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India</w:t>
            </w:r>
          </w:p>
        </w:tc>
        <w:tc>
          <w:tcPr>
            <w:tcW w:w="2143" w:type="pct"/>
            <w:tcBorders>
              <w:top w:val="nil"/>
              <w:left w:val="nil"/>
              <w:bottom w:val="nil"/>
              <w:right w:val="nil"/>
            </w:tcBorders>
            <w:shd w:val="clear" w:color="auto" w:fill="auto"/>
            <w:noWrap/>
            <w:vAlign w:val="bottom"/>
            <w:hideMark/>
          </w:tcPr>
          <w:p w14:paraId="18448D98"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IND</w:t>
            </w:r>
          </w:p>
        </w:tc>
      </w:tr>
      <w:tr w:rsidR="004D42B6" w:rsidRPr="004D42B6" w14:paraId="3AB59083" w14:textId="77777777" w:rsidTr="004D42B6">
        <w:trPr>
          <w:trHeight w:val="227"/>
        </w:trPr>
        <w:tc>
          <w:tcPr>
            <w:tcW w:w="2857" w:type="pct"/>
            <w:tcBorders>
              <w:top w:val="nil"/>
              <w:left w:val="nil"/>
              <w:bottom w:val="nil"/>
              <w:right w:val="nil"/>
            </w:tcBorders>
            <w:shd w:val="clear" w:color="auto" w:fill="auto"/>
            <w:noWrap/>
            <w:vAlign w:val="bottom"/>
            <w:hideMark/>
          </w:tcPr>
          <w:p w14:paraId="183503C9"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Iran</w:t>
            </w:r>
          </w:p>
        </w:tc>
        <w:tc>
          <w:tcPr>
            <w:tcW w:w="2143" w:type="pct"/>
            <w:tcBorders>
              <w:top w:val="nil"/>
              <w:left w:val="nil"/>
              <w:bottom w:val="nil"/>
              <w:right w:val="nil"/>
            </w:tcBorders>
            <w:shd w:val="clear" w:color="auto" w:fill="auto"/>
            <w:noWrap/>
            <w:vAlign w:val="bottom"/>
            <w:hideMark/>
          </w:tcPr>
          <w:p w14:paraId="44DF045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IRN</w:t>
            </w:r>
          </w:p>
        </w:tc>
      </w:tr>
      <w:tr w:rsidR="004D42B6" w:rsidRPr="004D42B6" w14:paraId="2690367C" w14:textId="77777777" w:rsidTr="004D42B6">
        <w:trPr>
          <w:trHeight w:val="227"/>
        </w:trPr>
        <w:tc>
          <w:tcPr>
            <w:tcW w:w="2857" w:type="pct"/>
            <w:tcBorders>
              <w:top w:val="nil"/>
              <w:left w:val="nil"/>
              <w:bottom w:val="nil"/>
              <w:right w:val="nil"/>
            </w:tcBorders>
            <w:shd w:val="clear" w:color="auto" w:fill="auto"/>
            <w:noWrap/>
            <w:vAlign w:val="bottom"/>
            <w:hideMark/>
          </w:tcPr>
          <w:p w14:paraId="6275B97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Italy</w:t>
            </w:r>
          </w:p>
        </w:tc>
        <w:tc>
          <w:tcPr>
            <w:tcW w:w="2143" w:type="pct"/>
            <w:tcBorders>
              <w:top w:val="nil"/>
              <w:left w:val="nil"/>
              <w:bottom w:val="nil"/>
              <w:right w:val="nil"/>
            </w:tcBorders>
            <w:shd w:val="clear" w:color="auto" w:fill="auto"/>
            <w:noWrap/>
            <w:vAlign w:val="bottom"/>
            <w:hideMark/>
          </w:tcPr>
          <w:p w14:paraId="59582BAB"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ITA</w:t>
            </w:r>
          </w:p>
        </w:tc>
      </w:tr>
      <w:tr w:rsidR="004D42B6" w:rsidRPr="004D42B6" w14:paraId="58B3584B" w14:textId="77777777" w:rsidTr="004D42B6">
        <w:trPr>
          <w:trHeight w:val="227"/>
        </w:trPr>
        <w:tc>
          <w:tcPr>
            <w:tcW w:w="2857" w:type="pct"/>
            <w:tcBorders>
              <w:top w:val="nil"/>
              <w:left w:val="nil"/>
              <w:bottom w:val="nil"/>
              <w:right w:val="nil"/>
            </w:tcBorders>
            <w:shd w:val="clear" w:color="auto" w:fill="auto"/>
            <w:noWrap/>
            <w:vAlign w:val="bottom"/>
            <w:hideMark/>
          </w:tcPr>
          <w:p w14:paraId="0586F417"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Japan</w:t>
            </w:r>
          </w:p>
        </w:tc>
        <w:tc>
          <w:tcPr>
            <w:tcW w:w="2143" w:type="pct"/>
            <w:tcBorders>
              <w:top w:val="nil"/>
              <w:left w:val="nil"/>
              <w:bottom w:val="nil"/>
              <w:right w:val="nil"/>
            </w:tcBorders>
            <w:shd w:val="clear" w:color="auto" w:fill="auto"/>
            <w:noWrap/>
            <w:vAlign w:val="bottom"/>
            <w:hideMark/>
          </w:tcPr>
          <w:p w14:paraId="254EBCF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JPN</w:t>
            </w:r>
          </w:p>
        </w:tc>
      </w:tr>
      <w:tr w:rsidR="004D42B6" w:rsidRPr="004D42B6" w14:paraId="71EB151F" w14:textId="77777777" w:rsidTr="004D42B6">
        <w:trPr>
          <w:trHeight w:val="227"/>
        </w:trPr>
        <w:tc>
          <w:tcPr>
            <w:tcW w:w="2857" w:type="pct"/>
            <w:tcBorders>
              <w:top w:val="nil"/>
              <w:left w:val="nil"/>
              <w:bottom w:val="nil"/>
              <w:right w:val="nil"/>
            </w:tcBorders>
            <w:shd w:val="clear" w:color="auto" w:fill="auto"/>
            <w:noWrap/>
            <w:vAlign w:val="bottom"/>
            <w:hideMark/>
          </w:tcPr>
          <w:p w14:paraId="734F20EA"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South Korea</w:t>
            </w:r>
          </w:p>
        </w:tc>
        <w:tc>
          <w:tcPr>
            <w:tcW w:w="2143" w:type="pct"/>
            <w:tcBorders>
              <w:top w:val="nil"/>
              <w:left w:val="nil"/>
              <w:bottom w:val="nil"/>
              <w:right w:val="nil"/>
            </w:tcBorders>
            <w:shd w:val="clear" w:color="auto" w:fill="auto"/>
            <w:noWrap/>
            <w:vAlign w:val="bottom"/>
            <w:hideMark/>
          </w:tcPr>
          <w:p w14:paraId="3DAEB1E3"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KOR</w:t>
            </w:r>
          </w:p>
        </w:tc>
      </w:tr>
      <w:tr w:rsidR="004D42B6" w:rsidRPr="004D42B6" w14:paraId="52AD07D8" w14:textId="77777777" w:rsidTr="004D42B6">
        <w:trPr>
          <w:trHeight w:val="227"/>
        </w:trPr>
        <w:tc>
          <w:tcPr>
            <w:tcW w:w="2857" w:type="pct"/>
            <w:tcBorders>
              <w:top w:val="nil"/>
              <w:left w:val="nil"/>
              <w:bottom w:val="nil"/>
              <w:right w:val="nil"/>
            </w:tcBorders>
            <w:shd w:val="clear" w:color="auto" w:fill="auto"/>
            <w:noWrap/>
            <w:vAlign w:val="bottom"/>
            <w:hideMark/>
          </w:tcPr>
          <w:p w14:paraId="62964749"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Mexico</w:t>
            </w:r>
          </w:p>
        </w:tc>
        <w:tc>
          <w:tcPr>
            <w:tcW w:w="2143" w:type="pct"/>
            <w:tcBorders>
              <w:top w:val="nil"/>
              <w:left w:val="nil"/>
              <w:bottom w:val="nil"/>
              <w:right w:val="nil"/>
            </w:tcBorders>
            <w:shd w:val="clear" w:color="auto" w:fill="auto"/>
            <w:noWrap/>
            <w:vAlign w:val="bottom"/>
            <w:hideMark/>
          </w:tcPr>
          <w:p w14:paraId="3A39B3A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MEX</w:t>
            </w:r>
          </w:p>
        </w:tc>
      </w:tr>
      <w:tr w:rsidR="004D42B6" w:rsidRPr="004D42B6" w14:paraId="43C323E2" w14:textId="77777777" w:rsidTr="004D42B6">
        <w:trPr>
          <w:trHeight w:val="227"/>
        </w:trPr>
        <w:tc>
          <w:tcPr>
            <w:tcW w:w="2857" w:type="pct"/>
            <w:tcBorders>
              <w:top w:val="nil"/>
              <w:left w:val="nil"/>
              <w:bottom w:val="nil"/>
              <w:right w:val="nil"/>
            </w:tcBorders>
            <w:shd w:val="clear" w:color="auto" w:fill="auto"/>
            <w:noWrap/>
            <w:vAlign w:val="bottom"/>
            <w:hideMark/>
          </w:tcPr>
          <w:p w14:paraId="5312D9EF"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Netherlands</w:t>
            </w:r>
          </w:p>
        </w:tc>
        <w:tc>
          <w:tcPr>
            <w:tcW w:w="2143" w:type="pct"/>
            <w:tcBorders>
              <w:top w:val="nil"/>
              <w:left w:val="nil"/>
              <w:bottom w:val="nil"/>
              <w:right w:val="nil"/>
            </w:tcBorders>
            <w:shd w:val="clear" w:color="auto" w:fill="auto"/>
            <w:noWrap/>
            <w:vAlign w:val="bottom"/>
            <w:hideMark/>
          </w:tcPr>
          <w:p w14:paraId="153F985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NLD</w:t>
            </w:r>
          </w:p>
        </w:tc>
      </w:tr>
      <w:tr w:rsidR="004D42B6" w:rsidRPr="004D42B6" w14:paraId="447DB6E3" w14:textId="77777777" w:rsidTr="004D42B6">
        <w:trPr>
          <w:trHeight w:val="227"/>
        </w:trPr>
        <w:tc>
          <w:tcPr>
            <w:tcW w:w="2857" w:type="pct"/>
            <w:tcBorders>
              <w:top w:val="nil"/>
              <w:left w:val="nil"/>
              <w:bottom w:val="nil"/>
              <w:right w:val="nil"/>
            </w:tcBorders>
            <w:shd w:val="clear" w:color="auto" w:fill="auto"/>
            <w:noWrap/>
            <w:vAlign w:val="bottom"/>
            <w:hideMark/>
          </w:tcPr>
          <w:p w14:paraId="3044616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Norway</w:t>
            </w:r>
          </w:p>
        </w:tc>
        <w:tc>
          <w:tcPr>
            <w:tcW w:w="2143" w:type="pct"/>
            <w:tcBorders>
              <w:top w:val="nil"/>
              <w:left w:val="nil"/>
              <w:bottom w:val="nil"/>
              <w:right w:val="nil"/>
            </w:tcBorders>
            <w:shd w:val="clear" w:color="auto" w:fill="auto"/>
            <w:noWrap/>
            <w:vAlign w:val="bottom"/>
            <w:hideMark/>
          </w:tcPr>
          <w:p w14:paraId="4A589CA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NOR</w:t>
            </w:r>
          </w:p>
        </w:tc>
      </w:tr>
      <w:tr w:rsidR="004D42B6" w:rsidRPr="004D42B6" w14:paraId="36B0580E" w14:textId="77777777" w:rsidTr="004D42B6">
        <w:trPr>
          <w:trHeight w:val="227"/>
        </w:trPr>
        <w:tc>
          <w:tcPr>
            <w:tcW w:w="2857" w:type="pct"/>
            <w:tcBorders>
              <w:top w:val="nil"/>
              <w:left w:val="nil"/>
              <w:bottom w:val="nil"/>
              <w:right w:val="nil"/>
            </w:tcBorders>
            <w:shd w:val="clear" w:color="auto" w:fill="auto"/>
            <w:noWrap/>
            <w:vAlign w:val="bottom"/>
            <w:hideMark/>
          </w:tcPr>
          <w:p w14:paraId="25DDF99C"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New Zealand</w:t>
            </w:r>
          </w:p>
        </w:tc>
        <w:tc>
          <w:tcPr>
            <w:tcW w:w="2143" w:type="pct"/>
            <w:tcBorders>
              <w:top w:val="nil"/>
              <w:left w:val="nil"/>
              <w:bottom w:val="nil"/>
              <w:right w:val="nil"/>
            </w:tcBorders>
            <w:shd w:val="clear" w:color="auto" w:fill="auto"/>
            <w:noWrap/>
            <w:vAlign w:val="bottom"/>
            <w:hideMark/>
          </w:tcPr>
          <w:p w14:paraId="4FBD92AA"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NZL</w:t>
            </w:r>
          </w:p>
        </w:tc>
      </w:tr>
      <w:tr w:rsidR="004D42B6" w:rsidRPr="004D42B6" w14:paraId="0DCA6896" w14:textId="77777777" w:rsidTr="004D42B6">
        <w:trPr>
          <w:trHeight w:val="227"/>
        </w:trPr>
        <w:tc>
          <w:tcPr>
            <w:tcW w:w="2857" w:type="pct"/>
            <w:tcBorders>
              <w:top w:val="nil"/>
              <w:left w:val="nil"/>
              <w:bottom w:val="nil"/>
              <w:right w:val="nil"/>
            </w:tcBorders>
            <w:shd w:val="clear" w:color="auto" w:fill="auto"/>
            <w:noWrap/>
            <w:vAlign w:val="bottom"/>
            <w:hideMark/>
          </w:tcPr>
          <w:p w14:paraId="262ED1D3"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Peru</w:t>
            </w:r>
          </w:p>
        </w:tc>
        <w:tc>
          <w:tcPr>
            <w:tcW w:w="2143" w:type="pct"/>
            <w:tcBorders>
              <w:top w:val="nil"/>
              <w:left w:val="nil"/>
              <w:bottom w:val="nil"/>
              <w:right w:val="nil"/>
            </w:tcBorders>
            <w:shd w:val="clear" w:color="auto" w:fill="auto"/>
            <w:noWrap/>
            <w:vAlign w:val="bottom"/>
            <w:hideMark/>
          </w:tcPr>
          <w:p w14:paraId="6D346317"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PER</w:t>
            </w:r>
          </w:p>
        </w:tc>
      </w:tr>
      <w:tr w:rsidR="004D42B6" w:rsidRPr="004D42B6" w14:paraId="2422C48A" w14:textId="77777777" w:rsidTr="004D42B6">
        <w:trPr>
          <w:trHeight w:val="227"/>
        </w:trPr>
        <w:tc>
          <w:tcPr>
            <w:tcW w:w="2857" w:type="pct"/>
            <w:tcBorders>
              <w:top w:val="nil"/>
              <w:left w:val="nil"/>
              <w:bottom w:val="nil"/>
              <w:right w:val="nil"/>
            </w:tcBorders>
            <w:shd w:val="clear" w:color="auto" w:fill="auto"/>
            <w:noWrap/>
            <w:vAlign w:val="bottom"/>
            <w:hideMark/>
          </w:tcPr>
          <w:p w14:paraId="291B0674"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Russia</w:t>
            </w:r>
          </w:p>
        </w:tc>
        <w:tc>
          <w:tcPr>
            <w:tcW w:w="2143" w:type="pct"/>
            <w:tcBorders>
              <w:top w:val="nil"/>
              <w:left w:val="nil"/>
              <w:bottom w:val="nil"/>
              <w:right w:val="nil"/>
            </w:tcBorders>
            <w:shd w:val="clear" w:color="auto" w:fill="auto"/>
            <w:noWrap/>
            <w:vAlign w:val="bottom"/>
            <w:hideMark/>
          </w:tcPr>
          <w:p w14:paraId="0CD36051"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RUS</w:t>
            </w:r>
          </w:p>
        </w:tc>
      </w:tr>
      <w:tr w:rsidR="004D42B6" w:rsidRPr="004D42B6" w14:paraId="16654B05" w14:textId="77777777" w:rsidTr="004D42B6">
        <w:trPr>
          <w:trHeight w:val="227"/>
        </w:trPr>
        <w:tc>
          <w:tcPr>
            <w:tcW w:w="2857" w:type="pct"/>
            <w:tcBorders>
              <w:top w:val="nil"/>
              <w:left w:val="nil"/>
              <w:bottom w:val="nil"/>
              <w:right w:val="nil"/>
            </w:tcBorders>
            <w:shd w:val="clear" w:color="auto" w:fill="auto"/>
            <w:noWrap/>
            <w:vAlign w:val="bottom"/>
            <w:hideMark/>
          </w:tcPr>
          <w:p w14:paraId="64DAB60D"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Saudi Arabia</w:t>
            </w:r>
          </w:p>
        </w:tc>
        <w:tc>
          <w:tcPr>
            <w:tcW w:w="2143" w:type="pct"/>
            <w:tcBorders>
              <w:top w:val="nil"/>
              <w:left w:val="nil"/>
              <w:bottom w:val="nil"/>
              <w:right w:val="nil"/>
            </w:tcBorders>
            <w:shd w:val="clear" w:color="auto" w:fill="auto"/>
            <w:noWrap/>
            <w:vAlign w:val="bottom"/>
            <w:hideMark/>
          </w:tcPr>
          <w:p w14:paraId="3586FB59"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SAU</w:t>
            </w:r>
          </w:p>
        </w:tc>
      </w:tr>
      <w:tr w:rsidR="004D42B6" w:rsidRPr="004D42B6" w14:paraId="029630EB" w14:textId="77777777" w:rsidTr="004D42B6">
        <w:trPr>
          <w:trHeight w:val="227"/>
        </w:trPr>
        <w:tc>
          <w:tcPr>
            <w:tcW w:w="2857" w:type="pct"/>
            <w:tcBorders>
              <w:top w:val="nil"/>
              <w:left w:val="nil"/>
              <w:bottom w:val="nil"/>
              <w:right w:val="nil"/>
            </w:tcBorders>
            <w:shd w:val="clear" w:color="auto" w:fill="auto"/>
            <w:noWrap/>
            <w:vAlign w:val="bottom"/>
            <w:hideMark/>
          </w:tcPr>
          <w:p w14:paraId="46FBAF7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Sweden</w:t>
            </w:r>
          </w:p>
        </w:tc>
        <w:tc>
          <w:tcPr>
            <w:tcW w:w="2143" w:type="pct"/>
            <w:tcBorders>
              <w:top w:val="nil"/>
              <w:left w:val="nil"/>
              <w:bottom w:val="nil"/>
              <w:right w:val="nil"/>
            </w:tcBorders>
            <w:shd w:val="clear" w:color="auto" w:fill="auto"/>
            <w:noWrap/>
            <w:vAlign w:val="bottom"/>
            <w:hideMark/>
          </w:tcPr>
          <w:p w14:paraId="40867DD5"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SWE</w:t>
            </w:r>
          </w:p>
        </w:tc>
      </w:tr>
      <w:tr w:rsidR="004D42B6" w:rsidRPr="004D42B6" w14:paraId="661B40FF" w14:textId="77777777" w:rsidTr="004D42B6">
        <w:trPr>
          <w:trHeight w:val="227"/>
        </w:trPr>
        <w:tc>
          <w:tcPr>
            <w:tcW w:w="2857" w:type="pct"/>
            <w:tcBorders>
              <w:top w:val="nil"/>
              <w:left w:val="nil"/>
              <w:bottom w:val="nil"/>
              <w:right w:val="nil"/>
            </w:tcBorders>
            <w:shd w:val="clear" w:color="auto" w:fill="auto"/>
            <w:noWrap/>
            <w:vAlign w:val="bottom"/>
            <w:hideMark/>
          </w:tcPr>
          <w:p w14:paraId="56DF675C"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Thailand</w:t>
            </w:r>
          </w:p>
        </w:tc>
        <w:tc>
          <w:tcPr>
            <w:tcW w:w="2143" w:type="pct"/>
            <w:tcBorders>
              <w:top w:val="nil"/>
              <w:left w:val="nil"/>
              <w:bottom w:val="nil"/>
              <w:right w:val="nil"/>
            </w:tcBorders>
            <w:shd w:val="clear" w:color="auto" w:fill="auto"/>
            <w:noWrap/>
            <w:vAlign w:val="bottom"/>
            <w:hideMark/>
          </w:tcPr>
          <w:p w14:paraId="538D12E8"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THA</w:t>
            </w:r>
          </w:p>
        </w:tc>
      </w:tr>
      <w:tr w:rsidR="004D42B6" w:rsidRPr="004D42B6" w14:paraId="58923F86" w14:textId="77777777" w:rsidTr="004D42B6">
        <w:trPr>
          <w:trHeight w:val="227"/>
        </w:trPr>
        <w:tc>
          <w:tcPr>
            <w:tcW w:w="2857" w:type="pct"/>
            <w:tcBorders>
              <w:top w:val="nil"/>
              <w:left w:val="nil"/>
              <w:right w:val="nil"/>
            </w:tcBorders>
            <w:shd w:val="clear" w:color="auto" w:fill="auto"/>
            <w:noWrap/>
            <w:vAlign w:val="bottom"/>
            <w:hideMark/>
          </w:tcPr>
          <w:p w14:paraId="3E9953FF"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United States</w:t>
            </w:r>
          </w:p>
        </w:tc>
        <w:tc>
          <w:tcPr>
            <w:tcW w:w="2143" w:type="pct"/>
            <w:tcBorders>
              <w:top w:val="nil"/>
              <w:left w:val="nil"/>
              <w:right w:val="nil"/>
            </w:tcBorders>
            <w:shd w:val="clear" w:color="auto" w:fill="auto"/>
            <w:noWrap/>
            <w:vAlign w:val="bottom"/>
            <w:hideMark/>
          </w:tcPr>
          <w:p w14:paraId="1B3843EB"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USA</w:t>
            </w:r>
          </w:p>
        </w:tc>
      </w:tr>
      <w:tr w:rsidR="004D42B6" w:rsidRPr="004D42B6" w14:paraId="601756B3" w14:textId="77777777" w:rsidTr="004D42B6">
        <w:trPr>
          <w:trHeight w:val="227"/>
        </w:trPr>
        <w:tc>
          <w:tcPr>
            <w:tcW w:w="2857" w:type="pct"/>
            <w:tcBorders>
              <w:top w:val="nil"/>
              <w:left w:val="nil"/>
              <w:bottom w:val="single" w:sz="4" w:space="0" w:color="auto"/>
              <w:right w:val="nil"/>
            </w:tcBorders>
            <w:shd w:val="clear" w:color="auto" w:fill="auto"/>
            <w:noWrap/>
            <w:vAlign w:val="bottom"/>
            <w:hideMark/>
          </w:tcPr>
          <w:p w14:paraId="7D9BD782"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Venezuela</w:t>
            </w:r>
          </w:p>
        </w:tc>
        <w:tc>
          <w:tcPr>
            <w:tcW w:w="2143" w:type="pct"/>
            <w:tcBorders>
              <w:top w:val="nil"/>
              <w:left w:val="nil"/>
              <w:bottom w:val="single" w:sz="4" w:space="0" w:color="auto"/>
              <w:right w:val="nil"/>
            </w:tcBorders>
            <w:shd w:val="clear" w:color="auto" w:fill="auto"/>
            <w:noWrap/>
            <w:vAlign w:val="bottom"/>
            <w:hideMark/>
          </w:tcPr>
          <w:p w14:paraId="5EA7A2A4" w14:textId="77777777" w:rsidR="004D42B6" w:rsidRPr="004D42B6" w:rsidRDefault="004D42B6" w:rsidP="004D42B6">
            <w:pPr>
              <w:jc w:val="center"/>
              <w:rPr>
                <w:rFonts w:ascii="Times New Roman" w:eastAsia="Times New Roman" w:hAnsi="Times New Roman" w:cs="Times New Roman"/>
                <w:color w:val="000000"/>
                <w:sz w:val="18"/>
                <w:szCs w:val="18"/>
                <w:lang w:val="en-US" w:eastAsia="es-MX"/>
              </w:rPr>
            </w:pPr>
            <w:r w:rsidRPr="004D42B6">
              <w:rPr>
                <w:rFonts w:ascii="Times New Roman" w:eastAsia="Times New Roman" w:hAnsi="Times New Roman" w:cs="Times New Roman"/>
                <w:color w:val="000000"/>
                <w:sz w:val="18"/>
                <w:szCs w:val="18"/>
                <w:lang w:val="en-US" w:eastAsia="es-MX"/>
              </w:rPr>
              <w:t>VEN</w:t>
            </w:r>
          </w:p>
        </w:tc>
      </w:tr>
    </w:tbl>
    <w:p w14:paraId="03E810AC" w14:textId="5FA08A20" w:rsidR="004D42B6" w:rsidRDefault="004D42B6" w:rsidP="004D42B6">
      <w:pPr>
        <w:pStyle w:val="Prrafodelista"/>
        <w:ind w:left="0"/>
        <w:jc w:val="both"/>
        <w:rPr>
          <w:rFonts w:ascii="Times New Roman" w:hAnsi="Times New Roman" w:cs="Times New Roman"/>
          <w:b/>
          <w:bCs/>
          <w:lang w:val="en-US"/>
        </w:rPr>
      </w:pPr>
    </w:p>
    <w:p w14:paraId="2CDFCF7C" w14:textId="21278411" w:rsidR="007140F9" w:rsidRDefault="007140F9" w:rsidP="004D42B6">
      <w:pPr>
        <w:pStyle w:val="Prrafodelista"/>
        <w:ind w:left="0"/>
        <w:jc w:val="both"/>
        <w:rPr>
          <w:rFonts w:ascii="Times New Roman" w:hAnsi="Times New Roman" w:cs="Times New Roman"/>
          <w:b/>
          <w:bCs/>
          <w:lang w:val="en-US"/>
        </w:rPr>
      </w:pPr>
    </w:p>
    <w:p w14:paraId="0402469D" w14:textId="588AC967" w:rsidR="007140F9" w:rsidRPr="004D42B6" w:rsidRDefault="007140F9" w:rsidP="004D42B6">
      <w:pPr>
        <w:pStyle w:val="Prrafodelista"/>
        <w:ind w:left="0"/>
        <w:jc w:val="both"/>
        <w:rPr>
          <w:rFonts w:ascii="Times New Roman" w:hAnsi="Times New Roman" w:cs="Times New Roman"/>
          <w:b/>
          <w:bCs/>
          <w:lang w:val="en-US"/>
        </w:rPr>
      </w:pPr>
      <w:r>
        <w:rPr>
          <w:rFonts w:ascii="Times New Roman" w:hAnsi="Times New Roman" w:cs="Times New Roman"/>
          <w:b/>
          <w:bCs/>
          <w:lang w:val="en-US"/>
        </w:rPr>
        <w:t>References</w:t>
      </w:r>
    </w:p>
    <w:p w14:paraId="392DD43B" w14:textId="56375B39" w:rsidR="00877589" w:rsidRPr="007140F9" w:rsidRDefault="00877589">
      <w:pPr>
        <w:rPr>
          <w:rFonts w:ascii="Times New Roman" w:hAnsi="Times New Roman" w:cs="Times New Roman"/>
          <w:lang w:val="en-US"/>
        </w:rPr>
      </w:pPr>
    </w:p>
    <w:p w14:paraId="454C46D3"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Bahadori</w:t>
      </w:r>
      <w:proofErr w:type="spellEnd"/>
      <w:r w:rsidRPr="007140F9">
        <w:rPr>
          <w:rFonts w:ascii="Times New Roman" w:hAnsi="Times New Roman" w:cs="Times New Roman"/>
          <w:lang w:val="en-US"/>
        </w:rPr>
        <w:t xml:space="preserve">, A., </w:t>
      </w:r>
      <w:proofErr w:type="spellStart"/>
      <w:r w:rsidRPr="007140F9">
        <w:rPr>
          <w:rFonts w:ascii="Times New Roman" w:hAnsi="Times New Roman" w:cs="Times New Roman"/>
          <w:lang w:val="en-US"/>
        </w:rPr>
        <w:t>Nwaoha</w:t>
      </w:r>
      <w:proofErr w:type="spellEnd"/>
      <w:r w:rsidRPr="007140F9">
        <w:rPr>
          <w:rFonts w:ascii="Times New Roman" w:hAnsi="Times New Roman" w:cs="Times New Roman"/>
          <w:lang w:val="en-US"/>
        </w:rPr>
        <w:t xml:space="preserve">, C., &amp; Clark, M. W. (2014). </w:t>
      </w:r>
      <w:r w:rsidRPr="007140F9">
        <w:rPr>
          <w:rFonts w:ascii="Times New Roman" w:hAnsi="Times New Roman" w:cs="Times New Roman"/>
          <w:i/>
          <w:iCs/>
          <w:lang w:val="en-US"/>
        </w:rPr>
        <w:t>Dictionary of Oil, Gas and Petrochemical Processing</w:t>
      </w:r>
      <w:r w:rsidRPr="007140F9">
        <w:rPr>
          <w:rFonts w:ascii="Times New Roman" w:hAnsi="Times New Roman" w:cs="Times New Roman"/>
          <w:lang w:val="en-US"/>
        </w:rPr>
        <w:t>. Boca Raton: Taylor and Francis Group.</w:t>
      </w:r>
    </w:p>
    <w:p w14:paraId="1A45D93B"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Dahlström</w:t>
      </w:r>
      <w:proofErr w:type="spellEnd"/>
      <w:r w:rsidRPr="007140F9">
        <w:rPr>
          <w:rFonts w:ascii="Times New Roman" w:hAnsi="Times New Roman" w:cs="Times New Roman"/>
          <w:lang w:val="en-US"/>
        </w:rPr>
        <w:t xml:space="preserve">, K., &amp; Ekins, P. (2006). Combining economic and environmental dimensions: Value chain analysis of UK iron and steel flows. </w:t>
      </w:r>
      <w:r w:rsidRPr="007140F9">
        <w:rPr>
          <w:rFonts w:ascii="Times New Roman" w:hAnsi="Times New Roman" w:cs="Times New Roman"/>
          <w:i/>
          <w:iCs/>
          <w:lang w:val="en-US"/>
        </w:rPr>
        <w:t xml:space="preserve">Ecological </w:t>
      </w:r>
      <w:proofErr w:type="gramStart"/>
      <w:r w:rsidRPr="007140F9">
        <w:rPr>
          <w:rFonts w:ascii="Times New Roman" w:hAnsi="Times New Roman" w:cs="Times New Roman"/>
          <w:i/>
          <w:iCs/>
          <w:lang w:val="en-US"/>
        </w:rPr>
        <w:t>Economics</w:t>
      </w:r>
      <w:r w:rsidRPr="007140F9">
        <w:rPr>
          <w:rFonts w:ascii="Times New Roman" w:hAnsi="Times New Roman" w:cs="Times New Roman"/>
          <w:lang w:val="en-US"/>
        </w:rPr>
        <w:t>(</w:t>
      </w:r>
      <w:proofErr w:type="gramEnd"/>
      <w:r w:rsidRPr="007140F9">
        <w:rPr>
          <w:rFonts w:ascii="Times New Roman" w:hAnsi="Times New Roman" w:cs="Times New Roman"/>
          <w:lang w:val="en-US"/>
        </w:rPr>
        <w:t xml:space="preserve">58), 507-519. </w:t>
      </w:r>
    </w:p>
    <w:p w14:paraId="04AB7857"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Devold</w:t>
      </w:r>
      <w:proofErr w:type="spellEnd"/>
      <w:r w:rsidRPr="007140F9">
        <w:rPr>
          <w:rFonts w:ascii="Times New Roman" w:hAnsi="Times New Roman" w:cs="Times New Roman"/>
          <w:lang w:val="en-US"/>
        </w:rPr>
        <w:t xml:space="preserve">, H. (2013). </w:t>
      </w:r>
      <w:r w:rsidRPr="007140F9">
        <w:rPr>
          <w:rFonts w:ascii="Times New Roman" w:hAnsi="Times New Roman" w:cs="Times New Roman"/>
          <w:i/>
          <w:iCs/>
          <w:lang w:val="en-US"/>
        </w:rPr>
        <w:t>Oil and gas production handbook: An introduction to oil and gas production, transport, refining and petrochemical industry</w:t>
      </w:r>
      <w:r w:rsidRPr="007140F9">
        <w:rPr>
          <w:rFonts w:ascii="Times New Roman" w:hAnsi="Times New Roman" w:cs="Times New Roman"/>
          <w:lang w:val="en-US"/>
        </w:rPr>
        <w:t>. Oslo: ABB.</w:t>
      </w:r>
    </w:p>
    <w:p w14:paraId="41345528"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Diario</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Oficial</w:t>
      </w:r>
      <w:proofErr w:type="spellEnd"/>
      <w:r w:rsidRPr="007140F9">
        <w:rPr>
          <w:rFonts w:ascii="Times New Roman" w:hAnsi="Times New Roman" w:cs="Times New Roman"/>
          <w:lang w:val="en-US"/>
        </w:rPr>
        <w:t xml:space="preserve"> de la </w:t>
      </w:r>
      <w:proofErr w:type="spellStart"/>
      <w:r w:rsidRPr="007140F9">
        <w:rPr>
          <w:rFonts w:ascii="Times New Roman" w:hAnsi="Times New Roman" w:cs="Times New Roman"/>
          <w:lang w:val="en-US"/>
        </w:rPr>
        <w:t>Federación</w:t>
      </w:r>
      <w:proofErr w:type="spellEnd"/>
      <w:r w:rsidRPr="007140F9">
        <w:rPr>
          <w:rFonts w:ascii="Times New Roman" w:hAnsi="Times New Roman" w:cs="Times New Roman"/>
          <w:lang w:val="en-US"/>
        </w:rPr>
        <w:t xml:space="preserve"> México. (2007). </w:t>
      </w:r>
      <w:proofErr w:type="spellStart"/>
      <w:r w:rsidRPr="007140F9">
        <w:rPr>
          <w:rFonts w:ascii="Times New Roman" w:hAnsi="Times New Roman" w:cs="Times New Roman"/>
          <w:i/>
          <w:iCs/>
          <w:lang w:val="en-US"/>
        </w:rPr>
        <w:t>Notas</w:t>
      </w:r>
      <w:proofErr w:type="spellEnd"/>
      <w:r w:rsidRPr="007140F9">
        <w:rPr>
          <w:rFonts w:ascii="Times New Roman" w:hAnsi="Times New Roman" w:cs="Times New Roman"/>
          <w:i/>
          <w:iCs/>
          <w:lang w:val="en-US"/>
        </w:rPr>
        <w:t xml:space="preserve"> </w:t>
      </w:r>
      <w:proofErr w:type="spellStart"/>
      <w:r w:rsidRPr="007140F9">
        <w:rPr>
          <w:rFonts w:ascii="Times New Roman" w:hAnsi="Times New Roman" w:cs="Times New Roman"/>
          <w:i/>
          <w:iCs/>
          <w:lang w:val="en-US"/>
        </w:rPr>
        <w:t>explicativas</w:t>
      </w:r>
      <w:proofErr w:type="spellEnd"/>
      <w:r w:rsidRPr="007140F9">
        <w:rPr>
          <w:rFonts w:ascii="Times New Roman" w:hAnsi="Times New Roman" w:cs="Times New Roman"/>
          <w:i/>
          <w:iCs/>
          <w:lang w:val="en-US"/>
        </w:rPr>
        <w:t xml:space="preserve"> de las </w:t>
      </w:r>
      <w:proofErr w:type="spellStart"/>
      <w:r w:rsidRPr="007140F9">
        <w:rPr>
          <w:rFonts w:ascii="Times New Roman" w:hAnsi="Times New Roman" w:cs="Times New Roman"/>
          <w:i/>
          <w:iCs/>
          <w:lang w:val="en-US"/>
        </w:rPr>
        <w:t>reglas</w:t>
      </w:r>
      <w:proofErr w:type="spellEnd"/>
      <w:r w:rsidRPr="007140F9">
        <w:rPr>
          <w:rFonts w:ascii="Times New Roman" w:hAnsi="Times New Roman" w:cs="Times New Roman"/>
          <w:i/>
          <w:iCs/>
          <w:lang w:val="en-US"/>
        </w:rPr>
        <w:t xml:space="preserve"> </w:t>
      </w:r>
      <w:proofErr w:type="spellStart"/>
      <w:r w:rsidRPr="007140F9">
        <w:rPr>
          <w:rFonts w:ascii="Times New Roman" w:hAnsi="Times New Roman" w:cs="Times New Roman"/>
          <w:i/>
          <w:iCs/>
          <w:lang w:val="en-US"/>
        </w:rPr>
        <w:t>generales</w:t>
      </w:r>
      <w:proofErr w:type="spellEnd"/>
      <w:r w:rsidRPr="007140F9">
        <w:rPr>
          <w:rFonts w:ascii="Times New Roman" w:hAnsi="Times New Roman" w:cs="Times New Roman"/>
          <w:i/>
          <w:iCs/>
          <w:lang w:val="en-US"/>
        </w:rPr>
        <w:t xml:space="preserve"> para la </w:t>
      </w:r>
      <w:proofErr w:type="spellStart"/>
      <w:r w:rsidRPr="007140F9">
        <w:rPr>
          <w:rFonts w:ascii="Times New Roman" w:hAnsi="Times New Roman" w:cs="Times New Roman"/>
          <w:i/>
          <w:iCs/>
          <w:lang w:val="en-US"/>
        </w:rPr>
        <w:t>aplicación</w:t>
      </w:r>
      <w:proofErr w:type="spellEnd"/>
      <w:r w:rsidRPr="007140F9">
        <w:rPr>
          <w:rFonts w:ascii="Times New Roman" w:hAnsi="Times New Roman" w:cs="Times New Roman"/>
          <w:i/>
          <w:iCs/>
          <w:lang w:val="en-US"/>
        </w:rPr>
        <w:t xml:space="preserve"> de la </w:t>
      </w:r>
      <w:proofErr w:type="spellStart"/>
      <w:r w:rsidRPr="007140F9">
        <w:rPr>
          <w:rFonts w:ascii="Times New Roman" w:hAnsi="Times New Roman" w:cs="Times New Roman"/>
          <w:i/>
          <w:iCs/>
          <w:lang w:val="en-US"/>
        </w:rPr>
        <w:t>tarifa</w:t>
      </w:r>
      <w:proofErr w:type="spellEnd"/>
      <w:r w:rsidRPr="007140F9">
        <w:rPr>
          <w:rFonts w:ascii="Times New Roman" w:hAnsi="Times New Roman" w:cs="Times New Roman"/>
          <w:i/>
          <w:iCs/>
          <w:lang w:val="en-US"/>
        </w:rPr>
        <w:t xml:space="preserve"> de la Ley de los </w:t>
      </w:r>
      <w:proofErr w:type="spellStart"/>
      <w:r w:rsidRPr="007140F9">
        <w:rPr>
          <w:rFonts w:ascii="Times New Roman" w:hAnsi="Times New Roman" w:cs="Times New Roman"/>
          <w:i/>
          <w:iCs/>
          <w:lang w:val="en-US"/>
        </w:rPr>
        <w:t>Impuestos</w:t>
      </w:r>
      <w:proofErr w:type="spellEnd"/>
      <w:r w:rsidRPr="007140F9">
        <w:rPr>
          <w:rFonts w:ascii="Times New Roman" w:hAnsi="Times New Roman" w:cs="Times New Roman"/>
          <w:i/>
          <w:iCs/>
          <w:lang w:val="en-US"/>
        </w:rPr>
        <w:t xml:space="preserve"> </w:t>
      </w:r>
      <w:proofErr w:type="spellStart"/>
      <w:r w:rsidRPr="007140F9">
        <w:rPr>
          <w:rFonts w:ascii="Times New Roman" w:hAnsi="Times New Roman" w:cs="Times New Roman"/>
          <w:i/>
          <w:iCs/>
          <w:lang w:val="en-US"/>
        </w:rPr>
        <w:t>Generales</w:t>
      </w:r>
      <w:proofErr w:type="spellEnd"/>
      <w:r w:rsidRPr="007140F9">
        <w:rPr>
          <w:rFonts w:ascii="Times New Roman" w:hAnsi="Times New Roman" w:cs="Times New Roman"/>
          <w:i/>
          <w:iCs/>
          <w:lang w:val="en-US"/>
        </w:rPr>
        <w:t xml:space="preserve"> de </w:t>
      </w:r>
      <w:proofErr w:type="spellStart"/>
      <w:r w:rsidRPr="007140F9">
        <w:rPr>
          <w:rFonts w:ascii="Times New Roman" w:hAnsi="Times New Roman" w:cs="Times New Roman"/>
          <w:i/>
          <w:iCs/>
          <w:lang w:val="en-US"/>
        </w:rPr>
        <w:t>Importación</w:t>
      </w:r>
      <w:proofErr w:type="spellEnd"/>
      <w:r w:rsidRPr="007140F9">
        <w:rPr>
          <w:rFonts w:ascii="Times New Roman" w:hAnsi="Times New Roman" w:cs="Times New Roman"/>
          <w:lang w:val="en-US"/>
        </w:rPr>
        <w:t xml:space="preserve">. Ciudad de México: </w:t>
      </w:r>
      <w:proofErr w:type="spellStart"/>
      <w:r w:rsidRPr="007140F9">
        <w:rPr>
          <w:rFonts w:ascii="Times New Roman" w:hAnsi="Times New Roman" w:cs="Times New Roman"/>
          <w:lang w:val="en-US"/>
        </w:rPr>
        <w:t>Diario</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Oficial</w:t>
      </w:r>
      <w:proofErr w:type="spellEnd"/>
      <w:r w:rsidRPr="007140F9">
        <w:rPr>
          <w:rFonts w:ascii="Times New Roman" w:hAnsi="Times New Roman" w:cs="Times New Roman"/>
          <w:lang w:val="en-US"/>
        </w:rPr>
        <w:t xml:space="preserve"> de la </w:t>
      </w:r>
      <w:proofErr w:type="spellStart"/>
      <w:r w:rsidRPr="007140F9">
        <w:rPr>
          <w:rFonts w:ascii="Times New Roman" w:hAnsi="Times New Roman" w:cs="Times New Roman"/>
          <w:lang w:val="en-US"/>
        </w:rPr>
        <w:t>Federación</w:t>
      </w:r>
      <w:proofErr w:type="spellEnd"/>
      <w:r w:rsidRPr="007140F9">
        <w:rPr>
          <w:rFonts w:ascii="Times New Roman" w:hAnsi="Times New Roman" w:cs="Times New Roman"/>
          <w:lang w:val="en-US"/>
        </w:rPr>
        <w:t>.</w:t>
      </w:r>
    </w:p>
    <w:p w14:paraId="0FB3B82D"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lastRenderedPageBreak/>
        <w:t>Egirani</w:t>
      </w:r>
      <w:proofErr w:type="spellEnd"/>
      <w:r w:rsidRPr="007140F9">
        <w:rPr>
          <w:rFonts w:ascii="Times New Roman" w:hAnsi="Times New Roman" w:cs="Times New Roman"/>
          <w:lang w:val="en-US"/>
        </w:rPr>
        <w:t xml:space="preserve">, D., Latif, M., </w:t>
      </w:r>
      <w:proofErr w:type="spellStart"/>
      <w:r w:rsidRPr="007140F9">
        <w:rPr>
          <w:rFonts w:ascii="Times New Roman" w:hAnsi="Times New Roman" w:cs="Times New Roman"/>
          <w:lang w:val="en-US"/>
        </w:rPr>
        <w:t>Poyi</w:t>
      </w:r>
      <w:proofErr w:type="spellEnd"/>
      <w:r w:rsidRPr="007140F9">
        <w:rPr>
          <w:rFonts w:ascii="Times New Roman" w:hAnsi="Times New Roman" w:cs="Times New Roman"/>
          <w:lang w:val="en-US"/>
        </w:rPr>
        <w:t xml:space="preserve">, N., </w:t>
      </w:r>
      <w:proofErr w:type="spellStart"/>
      <w:r w:rsidRPr="007140F9">
        <w:rPr>
          <w:rFonts w:ascii="Times New Roman" w:hAnsi="Times New Roman" w:cs="Times New Roman"/>
          <w:lang w:val="en-US"/>
        </w:rPr>
        <w:t>Wessey</w:t>
      </w:r>
      <w:proofErr w:type="spellEnd"/>
      <w:r w:rsidRPr="007140F9">
        <w:rPr>
          <w:rFonts w:ascii="Times New Roman" w:hAnsi="Times New Roman" w:cs="Times New Roman"/>
          <w:lang w:val="en-US"/>
        </w:rPr>
        <w:t xml:space="preserve">, N., &amp; </w:t>
      </w:r>
      <w:proofErr w:type="spellStart"/>
      <w:r w:rsidRPr="007140F9">
        <w:rPr>
          <w:rFonts w:ascii="Times New Roman" w:hAnsi="Times New Roman" w:cs="Times New Roman"/>
          <w:lang w:val="en-US"/>
        </w:rPr>
        <w:t>Acharjee</w:t>
      </w:r>
      <w:proofErr w:type="spellEnd"/>
      <w:r w:rsidRPr="007140F9">
        <w:rPr>
          <w:rFonts w:ascii="Times New Roman" w:hAnsi="Times New Roman" w:cs="Times New Roman"/>
          <w:lang w:val="en-US"/>
        </w:rPr>
        <w:t xml:space="preserve">, S. (2018). </w:t>
      </w:r>
      <w:proofErr w:type="gramStart"/>
      <w:r w:rsidRPr="007140F9">
        <w:rPr>
          <w:rFonts w:ascii="Times New Roman" w:hAnsi="Times New Roman" w:cs="Times New Roman"/>
          <w:lang w:val="en-US"/>
        </w:rPr>
        <w:t>Genesis,</w:t>
      </w:r>
      <w:proofErr w:type="gramEnd"/>
      <w:r w:rsidRPr="007140F9">
        <w:rPr>
          <w:rFonts w:ascii="Times New Roman" w:hAnsi="Times New Roman" w:cs="Times New Roman"/>
          <w:lang w:val="en-US"/>
        </w:rPr>
        <w:t xml:space="preserve"> uses and environment implications of iron oxides and ores. In </w:t>
      </w:r>
      <w:r w:rsidRPr="007140F9">
        <w:rPr>
          <w:rFonts w:ascii="Times New Roman" w:hAnsi="Times New Roman" w:cs="Times New Roman"/>
          <w:i/>
          <w:iCs/>
          <w:lang w:val="en-US"/>
        </w:rPr>
        <w:t>Iron ores and iron oxide materials</w:t>
      </w:r>
      <w:r w:rsidRPr="007140F9">
        <w:rPr>
          <w:rFonts w:ascii="Times New Roman" w:hAnsi="Times New Roman" w:cs="Times New Roman"/>
          <w:lang w:val="en-US"/>
        </w:rPr>
        <w:t xml:space="preserve">. London: </w:t>
      </w:r>
      <w:proofErr w:type="spellStart"/>
      <w:r w:rsidRPr="007140F9">
        <w:rPr>
          <w:rFonts w:ascii="Times New Roman" w:hAnsi="Times New Roman" w:cs="Times New Roman"/>
          <w:lang w:val="en-US"/>
        </w:rPr>
        <w:t>IntechOpen</w:t>
      </w:r>
      <w:proofErr w:type="spellEnd"/>
      <w:r w:rsidRPr="007140F9">
        <w:rPr>
          <w:rFonts w:ascii="Times New Roman" w:hAnsi="Times New Roman" w:cs="Times New Roman"/>
          <w:lang w:val="en-US"/>
        </w:rPr>
        <w:t>.</w:t>
      </w:r>
    </w:p>
    <w:p w14:paraId="7CAD4540" w14:textId="263F8F51"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Food and Agriculture Organization (FAO). (2020). FAOSTAT. Detailed Trade Matrix. Retrieved from http://www.fao.org/faostat/en/#data/TM.  Retrieved September 1, 2020</w:t>
      </w:r>
    </w:p>
    <w:p w14:paraId="1E469D37"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Gaulier</w:t>
      </w:r>
      <w:proofErr w:type="spellEnd"/>
      <w:r w:rsidRPr="007140F9">
        <w:rPr>
          <w:rFonts w:ascii="Times New Roman" w:hAnsi="Times New Roman" w:cs="Times New Roman"/>
          <w:lang w:val="en-US"/>
        </w:rPr>
        <w:t xml:space="preserve">, G., &amp; </w:t>
      </w:r>
      <w:proofErr w:type="spellStart"/>
      <w:r w:rsidRPr="007140F9">
        <w:rPr>
          <w:rFonts w:ascii="Times New Roman" w:hAnsi="Times New Roman" w:cs="Times New Roman"/>
          <w:lang w:val="en-US"/>
        </w:rPr>
        <w:t>Zignago</w:t>
      </w:r>
      <w:proofErr w:type="spellEnd"/>
      <w:r w:rsidRPr="007140F9">
        <w:rPr>
          <w:rFonts w:ascii="Times New Roman" w:hAnsi="Times New Roman" w:cs="Times New Roman"/>
          <w:lang w:val="en-US"/>
        </w:rPr>
        <w:t xml:space="preserve">, S. (2010). BACI: International Trade Database at the Product Level. In </w:t>
      </w:r>
      <w:r w:rsidRPr="007140F9">
        <w:rPr>
          <w:rFonts w:ascii="Times New Roman" w:hAnsi="Times New Roman" w:cs="Times New Roman"/>
          <w:i/>
          <w:iCs/>
          <w:lang w:val="en-US"/>
        </w:rPr>
        <w:t>CEPII Working Paper No. 2010-23</w:t>
      </w:r>
      <w:r w:rsidRPr="007140F9">
        <w:rPr>
          <w:rFonts w:ascii="Times New Roman" w:hAnsi="Times New Roman" w:cs="Times New Roman"/>
          <w:lang w:val="en-US"/>
        </w:rPr>
        <w:t xml:space="preserve">. Paris: Centre </w:t>
      </w:r>
      <w:proofErr w:type="spellStart"/>
      <w:r w:rsidRPr="007140F9">
        <w:rPr>
          <w:rFonts w:ascii="Times New Roman" w:hAnsi="Times New Roman" w:cs="Times New Roman"/>
          <w:lang w:val="en-US"/>
        </w:rPr>
        <w:t>d'Etudes</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Prospectives</w:t>
      </w:r>
      <w:proofErr w:type="spellEnd"/>
      <w:r w:rsidRPr="007140F9">
        <w:rPr>
          <w:rFonts w:ascii="Times New Roman" w:hAnsi="Times New Roman" w:cs="Times New Roman"/>
          <w:lang w:val="en-US"/>
        </w:rPr>
        <w:t xml:space="preserve"> et </w:t>
      </w:r>
      <w:proofErr w:type="spellStart"/>
      <w:r w:rsidRPr="007140F9">
        <w:rPr>
          <w:rFonts w:ascii="Times New Roman" w:hAnsi="Times New Roman" w:cs="Times New Roman"/>
          <w:lang w:val="en-US"/>
        </w:rPr>
        <w:t>d'Informations</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Internationales</w:t>
      </w:r>
      <w:proofErr w:type="spellEnd"/>
      <w:r w:rsidRPr="007140F9">
        <w:rPr>
          <w:rFonts w:ascii="Times New Roman" w:hAnsi="Times New Roman" w:cs="Times New Roman"/>
          <w:lang w:val="en-US"/>
        </w:rPr>
        <w:t>.</w:t>
      </w:r>
    </w:p>
    <w:p w14:paraId="160A0F4A"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 xml:space="preserve">Instituto </w:t>
      </w:r>
      <w:proofErr w:type="spellStart"/>
      <w:r w:rsidRPr="007140F9">
        <w:rPr>
          <w:rFonts w:ascii="Times New Roman" w:hAnsi="Times New Roman" w:cs="Times New Roman"/>
          <w:lang w:val="en-US"/>
        </w:rPr>
        <w:t>Petroquímico</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Argentino</w:t>
      </w:r>
      <w:proofErr w:type="spellEnd"/>
      <w:r w:rsidRPr="007140F9">
        <w:rPr>
          <w:rFonts w:ascii="Times New Roman" w:hAnsi="Times New Roman" w:cs="Times New Roman"/>
          <w:lang w:val="en-US"/>
        </w:rPr>
        <w:t xml:space="preserve">. (2011). </w:t>
      </w:r>
      <w:proofErr w:type="spellStart"/>
      <w:r w:rsidRPr="007140F9">
        <w:rPr>
          <w:rFonts w:ascii="Times New Roman" w:hAnsi="Times New Roman" w:cs="Times New Roman"/>
          <w:i/>
          <w:iCs/>
          <w:lang w:val="en-US"/>
        </w:rPr>
        <w:t>Información</w:t>
      </w:r>
      <w:proofErr w:type="spellEnd"/>
      <w:r w:rsidRPr="007140F9">
        <w:rPr>
          <w:rFonts w:ascii="Times New Roman" w:hAnsi="Times New Roman" w:cs="Times New Roman"/>
          <w:i/>
          <w:iCs/>
          <w:lang w:val="en-US"/>
        </w:rPr>
        <w:t xml:space="preserve"> </w:t>
      </w:r>
      <w:proofErr w:type="spellStart"/>
      <w:r w:rsidRPr="007140F9">
        <w:rPr>
          <w:rFonts w:ascii="Times New Roman" w:hAnsi="Times New Roman" w:cs="Times New Roman"/>
          <w:i/>
          <w:iCs/>
          <w:lang w:val="en-US"/>
        </w:rPr>
        <w:t>Estadística</w:t>
      </w:r>
      <w:proofErr w:type="spellEnd"/>
      <w:r w:rsidRPr="007140F9">
        <w:rPr>
          <w:rFonts w:ascii="Times New Roman" w:hAnsi="Times New Roman" w:cs="Times New Roman"/>
          <w:i/>
          <w:iCs/>
          <w:lang w:val="en-US"/>
        </w:rPr>
        <w:t xml:space="preserve"> de la </w:t>
      </w:r>
      <w:proofErr w:type="spellStart"/>
      <w:r w:rsidRPr="007140F9">
        <w:rPr>
          <w:rFonts w:ascii="Times New Roman" w:hAnsi="Times New Roman" w:cs="Times New Roman"/>
          <w:i/>
          <w:iCs/>
          <w:lang w:val="en-US"/>
        </w:rPr>
        <w:t>Industria</w:t>
      </w:r>
      <w:proofErr w:type="spellEnd"/>
      <w:r w:rsidRPr="007140F9">
        <w:rPr>
          <w:rFonts w:ascii="Times New Roman" w:hAnsi="Times New Roman" w:cs="Times New Roman"/>
          <w:i/>
          <w:iCs/>
          <w:lang w:val="en-US"/>
        </w:rPr>
        <w:t xml:space="preserve"> </w:t>
      </w:r>
      <w:proofErr w:type="spellStart"/>
      <w:r w:rsidRPr="007140F9">
        <w:rPr>
          <w:rFonts w:ascii="Times New Roman" w:hAnsi="Times New Roman" w:cs="Times New Roman"/>
          <w:i/>
          <w:iCs/>
          <w:lang w:val="en-US"/>
        </w:rPr>
        <w:t>Petroquímica</w:t>
      </w:r>
      <w:proofErr w:type="spellEnd"/>
      <w:r w:rsidRPr="007140F9">
        <w:rPr>
          <w:rFonts w:ascii="Times New Roman" w:hAnsi="Times New Roman" w:cs="Times New Roman"/>
          <w:i/>
          <w:iCs/>
          <w:lang w:val="en-US"/>
        </w:rPr>
        <w:t xml:space="preserve"> y </w:t>
      </w:r>
      <w:proofErr w:type="spellStart"/>
      <w:r w:rsidRPr="007140F9">
        <w:rPr>
          <w:rFonts w:ascii="Times New Roman" w:hAnsi="Times New Roman" w:cs="Times New Roman"/>
          <w:i/>
          <w:iCs/>
          <w:lang w:val="en-US"/>
        </w:rPr>
        <w:t>Química</w:t>
      </w:r>
      <w:proofErr w:type="spellEnd"/>
      <w:r w:rsidRPr="007140F9">
        <w:rPr>
          <w:rFonts w:ascii="Times New Roman" w:hAnsi="Times New Roman" w:cs="Times New Roman"/>
          <w:i/>
          <w:iCs/>
          <w:lang w:val="en-US"/>
        </w:rPr>
        <w:t xml:space="preserve"> de la Argentina</w:t>
      </w:r>
      <w:r w:rsidRPr="007140F9">
        <w:rPr>
          <w:rFonts w:ascii="Times New Roman" w:hAnsi="Times New Roman" w:cs="Times New Roman"/>
          <w:lang w:val="en-US"/>
        </w:rPr>
        <w:t xml:space="preserve">. Buenos Aires: Instituto </w:t>
      </w:r>
      <w:proofErr w:type="spellStart"/>
      <w:r w:rsidRPr="007140F9">
        <w:rPr>
          <w:rFonts w:ascii="Times New Roman" w:hAnsi="Times New Roman" w:cs="Times New Roman"/>
          <w:lang w:val="en-US"/>
        </w:rPr>
        <w:t>Petroquímico</w:t>
      </w:r>
      <w:proofErr w:type="spellEnd"/>
      <w:r w:rsidRPr="007140F9">
        <w:rPr>
          <w:rFonts w:ascii="Times New Roman" w:hAnsi="Times New Roman" w:cs="Times New Roman"/>
          <w:lang w:val="en-US"/>
        </w:rPr>
        <w:t xml:space="preserve"> </w:t>
      </w:r>
      <w:proofErr w:type="spellStart"/>
      <w:r w:rsidRPr="007140F9">
        <w:rPr>
          <w:rFonts w:ascii="Times New Roman" w:hAnsi="Times New Roman" w:cs="Times New Roman"/>
          <w:lang w:val="en-US"/>
        </w:rPr>
        <w:t>Argentino</w:t>
      </w:r>
      <w:proofErr w:type="spellEnd"/>
      <w:r w:rsidRPr="007140F9">
        <w:rPr>
          <w:rFonts w:ascii="Times New Roman" w:hAnsi="Times New Roman" w:cs="Times New Roman"/>
          <w:lang w:val="en-US"/>
        </w:rPr>
        <w:t>.</w:t>
      </w:r>
    </w:p>
    <w:p w14:paraId="1AF9483A"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Nippon Slag Association (NSA). (2020). Chemical characteristics of iron and steel slag. Retrieved from http://www.slg.jp/e/slag/character.html</w:t>
      </w:r>
    </w:p>
    <w:p w14:paraId="68549157"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Pauliuk</w:t>
      </w:r>
      <w:proofErr w:type="spellEnd"/>
      <w:r w:rsidRPr="007140F9">
        <w:rPr>
          <w:rFonts w:ascii="Times New Roman" w:hAnsi="Times New Roman" w:cs="Times New Roman"/>
          <w:lang w:val="en-US"/>
        </w:rPr>
        <w:t xml:space="preserve">, S., Wang, T., &amp; Müller, D. (2013). Steel all over the world: Estimating in-use stocks of iron for 200 countries. </w:t>
      </w:r>
      <w:r w:rsidRPr="007140F9">
        <w:rPr>
          <w:rFonts w:ascii="Times New Roman" w:hAnsi="Times New Roman" w:cs="Times New Roman"/>
          <w:i/>
          <w:iCs/>
          <w:lang w:val="en-US"/>
        </w:rPr>
        <w:t xml:space="preserve">Resources, Conservation and </w:t>
      </w:r>
      <w:proofErr w:type="gramStart"/>
      <w:r w:rsidRPr="007140F9">
        <w:rPr>
          <w:rFonts w:ascii="Times New Roman" w:hAnsi="Times New Roman" w:cs="Times New Roman"/>
          <w:i/>
          <w:iCs/>
          <w:lang w:val="en-US"/>
        </w:rPr>
        <w:t>Recycling</w:t>
      </w:r>
      <w:r w:rsidRPr="007140F9">
        <w:rPr>
          <w:rFonts w:ascii="Times New Roman" w:hAnsi="Times New Roman" w:cs="Times New Roman"/>
          <w:lang w:val="en-US"/>
        </w:rPr>
        <w:t>(</w:t>
      </w:r>
      <w:proofErr w:type="gramEnd"/>
      <w:r w:rsidRPr="007140F9">
        <w:rPr>
          <w:rFonts w:ascii="Times New Roman" w:hAnsi="Times New Roman" w:cs="Times New Roman"/>
          <w:lang w:val="en-US"/>
        </w:rPr>
        <w:t xml:space="preserve">71), 22-30. </w:t>
      </w:r>
    </w:p>
    <w:p w14:paraId="0F58A042"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proofErr w:type="spellStart"/>
      <w:r w:rsidRPr="007140F9">
        <w:rPr>
          <w:rFonts w:ascii="Times New Roman" w:hAnsi="Times New Roman" w:cs="Times New Roman"/>
          <w:lang w:val="en-US"/>
        </w:rPr>
        <w:t>Soulier</w:t>
      </w:r>
      <w:proofErr w:type="spellEnd"/>
      <w:r w:rsidRPr="007140F9">
        <w:rPr>
          <w:rFonts w:ascii="Times New Roman" w:hAnsi="Times New Roman" w:cs="Times New Roman"/>
          <w:lang w:val="en-US"/>
        </w:rPr>
        <w:t xml:space="preserve">, M., </w:t>
      </w:r>
      <w:proofErr w:type="spellStart"/>
      <w:r w:rsidRPr="007140F9">
        <w:rPr>
          <w:rFonts w:ascii="Times New Roman" w:hAnsi="Times New Roman" w:cs="Times New Roman"/>
          <w:lang w:val="en-US"/>
        </w:rPr>
        <w:t>Glöser-Chahoud</w:t>
      </w:r>
      <w:proofErr w:type="spellEnd"/>
      <w:r w:rsidRPr="007140F9">
        <w:rPr>
          <w:rFonts w:ascii="Times New Roman" w:hAnsi="Times New Roman" w:cs="Times New Roman"/>
          <w:lang w:val="en-US"/>
        </w:rPr>
        <w:t xml:space="preserve">, S., </w:t>
      </w:r>
      <w:proofErr w:type="spellStart"/>
      <w:r w:rsidRPr="007140F9">
        <w:rPr>
          <w:rFonts w:ascii="Times New Roman" w:hAnsi="Times New Roman" w:cs="Times New Roman"/>
          <w:lang w:val="en-US"/>
        </w:rPr>
        <w:t>Goldmann</w:t>
      </w:r>
      <w:proofErr w:type="spellEnd"/>
      <w:r w:rsidRPr="007140F9">
        <w:rPr>
          <w:rFonts w:ascii="Times New Roman" w:hAnsi="Times New Roman" w:cs="Times New Roman"/>
          <w:lang w:val="en-US"/>
        </w:rPr>
        <w:t xml:space="preserve">, D., &amp; </w:t>
      </w:r>
      <w:proofErr w:type="spellStart"/>
      <w:r w:rsidRPr="007140F9">
        <w:rPr>
          <w:rFonts w:ascii="Times New Roman" w:hAnsi="Times New Roman" w:cs="Times New Roman"/>
          <w:lang w:val="en-US"/>
        </w:rPr>
        <w:t>Tercero</w:t>
      </w:r>
      <w:proofErr w:type="spellEnd"/>
      <w:r w:rsidRPr="007140F9">
        <w:rPr>
          <w:rFonts w:ascii="Times New Roman" w:hAnsi="Times New Roman" w:cs="Times New Roman"/>
          <w:lang w:val="en-US"/>
        </w:rPr>
        <w:t xml:space="preserve"> Espinoza, L. A. (2018). Dynamic Analysis of European Copper Flows. </w:t>
      </w:r>
      <w:r w:rsidRPr="007140F9">
        <w:rPr>
          <w:rFonts w:ascii="Times New Roman" w:hAnsi="Times New Roman" w:cs="Times New Roman"/>
          <w:i/>
          <w:iCs/>
          <w:lang w:val="en-US"/>
        </w:rPr>
        <w:t xml:space="preserve">Resources, Conservation and </w:t>
      </w:r>
      <w:proofErr w:type="gramStart"/>
      <w:r w:rsidRPr="007140F9">
        <w:rPr>
          <w:rFonts w:ascii="Times New Roman" w:hAnsi="Times New Roman" w:cs="Times New Roman"/>
          <w:i/>
          <w:iCs/>
          <w:lang w:val="en-US"/>
        </w:rPr>
        <w:t>Recycling</w:t>
      </w:r>
      <w:r w:rsidRPr="007140F9">
        <w:rPr>
          <w:rFonts w:ascii="Times New Roman" w:hAnsi="Times New Roman" w:cs="Times New Roman"/>
          <w:lang w:val="en-US"/>
        </w:rPr>
        <w:t>(</w:t>
      </w:r>
      <w:proofErr w:type="gramEnd"/>
      <w:r w:rsidRPr="007140F9">
        <w:rPr>
          <w:rFonts w:ascii="Times New Roman" w:hAnsi="Times New Roman" w:cs="Times New Roman"/>
          <w:lang w:val="en-US"/>
        </w:rPr>
        <w:t xml:space="preserve">129), 143-152. </w:t>
      </w:r>
    </w:p>
    <w:p w14:paraId="5608BBCC"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 xml:space="preserve">Ullmann, F. (2011). </w:t>
      </w:r>
      <w:r w:rsidRPr="007140F9">
        <w:rPr>
          <w:rFonts w:ascii="Times New Roman" w:hAnsi="Times New Roman" w:cs="Times New Roman"/>
          <w:i/>
          <w:iCs/>
          <w:lang w:val="en-US"/>
        </w:rPr>
        <w:t>Ullmann's Encyclopedia of Industrial Chemistry</w:t>
      </w:r>
      <w:r w:rsidRPr="007140F9">
        <w:rPr>
          <w:rFonts w:ascii="Times New Roman" w:hAnsi="Times New Roman" w:cs="Times New Roman"/>
          <w:lang w:val="en-US"/>
        </w:rPr>
        <w:t>. Weinheim: Wiley-VCH.</w:t>
      </w:r>
    </w:p>
    <w:p w14:paraId="28196750"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 xml:space="preserve">Wang, T., Muller, D. B., &amp; </w:t>
      </w:r>
      <w:proofErr w:type="spellStart"/>
      <w:r w:rsidRPr="007140F9">
        <w:rPr>
          <w:rFonts w:ascii="Times New Roman" w:hAnsi="Times New Roman" w:cs="Times New Roman"/>
          <w:lang w:val="en-US"/>
        </w:rPr>
        <w:t>Graedel</w:t>
      </w:r>
      <w:proofErr w:type="spellEnd"/>
      <w:r w:rsidRPr="007140F9">
        <w:rPr>
          <w:rFonts w:ascii="Times New Roman" w:hAnsi="Times New Roman" w:cs="Times New Roman"/>
          <w:lang w:val="en-US"/>
        </w:rPr>
        <w:t xml:space="preserve">, T. E. (2007). Forging the Anthropogenic Iron Cycle. </w:t>
      </w:r>
      <w:r w:rsidRPr="007140F9">
        <w:rPr>
          <w:rFonts w:ascii="Times New Roman" w:hAnsi="Times New Roman" w:cs="Times New Roman"/>
          <w:i/>
          <w:iCs/>
          <w:lang w:val="en-US"/>
        </w:rPr>
        <w:t>Environmental Science &amp; Technology, 41</w:t>
      </w:r>
      <w:r w:rsidRPr="007140F9">
        <w:rPr>
          <w:rFonts w:ascii="Times New Roman" w:hAnsi="Times New Roman" w:cs="Times New Roman"/>
          <w:lang w:val="en-US"/>
        </w:rPr>
        <w:t xml:space="preserve">(14), 5120-5129. </w:t>
      </w:r>
    </w:p>
    <w:p w14:paraId="719D389C" w14:textId="77777777" w:rsidR="007140F9" w:rsidRPr="007140F9" w:rsidRDefault="007140F9" w:rsidP="007140F9">
      <w:pPr>
        <w:autoSpaceDE w:val="0"/>
        <w:autoSpaceDN w:val="0"/>
        <w:adjustRightInd w:val="0"/>
        <w:ind w:left="720" w:hanging="720"/>
        <w:rPr>
          <w:rFonts w:ascii="Times New Roman" w:hAnsi="Times New Roman" w:cs="Times New Roman"/>
          <w:lang w:val="en-US"/>
        </w:rPr>
      </w:pPr>
      <w:r w:rsidRPr="007140F9">
        <w:rPr>
          <w:rFonts w:ascii="Times New Roman" w:hAnsi="Times New Roman" w:cs="Times New Roman"/>
          <w:lang w:val="en-US"/>
        </w:rPr>
        <w:t>World Integrated Trade Solutions. (2020). Product Nomenclature and Concordances. Retrieved from http://wits.worldbank.org/</w:t>
      </w:r>
    </w:p>
    <w:p w14:paraId="24B36C5B" w14:textId="77777777" w:rsidR="00D736C4" w:rsidRPr="007140F9" w:rsidRDefault="00D736C4" w:rsidP="00D736C4">
      <w:pPr>
        <w:spacing w:line="360" w:lineRule="auto"/>
        <w:jc w:val="both"/>
        <w:rPr>
          <w:rFonts w:ascii="Times New Roman" w:hAnsi="Times New Roman" w:cs="Times New Roman"/>
          <w:lang w:val="en-US"/>
        </w:rPr>
      </w:pPr>
    </w:p>
    <w:sectPr w:rsidR="00D736C4" w:rsidRPr="007140F9">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A6B3B7" w14:textId="77777777" w:rsidR="00671395" w:rsidRDefault="00671395" w:rsidP="00F652E0">
      <w:r>
        <w:separator/>
      </w:r>
    </w:p>
  </w:endnote>
  <w:endnote w:type="continuationSeparator" w:id="0">
    <w:p w14:paraId="3556696A" w14:textId="77777777" w:rsidR="00671395" w:rsidRDefault="00671395" w:rsidP="00F65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17631528"/>
      <w:docPartObj>
        <w:docPartGallery w:val="Page Numbers (Bottom of Page)"/>
        <w:docPartUnique/>
      </w:docPartObj>
    </w:sdtPr>
    <w:sdtEndPr>
      <w:rPr>
        <w:rFonts w:ascii="Times New Roman" w:hAnsi="Times New Roman" w:cs="Times New Roman"/>
      </w:rPr>
    </w:sdtEndPr>
    <w:sdtContent>
      <w:p w14:paraId="29400538" w14:textId="78620D5C" w:rsidR="00F652E0" w:rsidRPr="00F652E0" w:rsidRDefault="00F652E0">
        <w:pPr>
          <w:pStyle w:val="Piedepgina"/>
          <w:jc w:val="right"/>
          <w:rPr>
            <w:rFonts w:ascii="Times New Roman" w:hAnsi="Times New Roman" w:cs="Times New Roman"/>
          </w:rPr>
        </w:pPr>
        <w:r w:rsidRPr="00F652E0">
          <w:rPr>
            <w:rFonts w:ascii="Times New Roman" w:hAnsi="Times New Roman" w:cs="Times New Roman"/>
          </w:rPr>
          <w:fldChar w:fldCharType="begin"/>
        </w:r>
        <w:r w:rsidRPr="00F652E0">
          <w:rPr>
            <w:rFonts w:ascii="Times New Roman" w:hAnsi="Times New Roman" w:cs="Times New Roman"/>
          </w:rPr>
          <w:instrText>PAGE   \* MERGEFORMAT</w:instrText>
        </w:r>
        <w:r w:rsidRPr="00F652E0">
          <w:rPr>
            <w:rFonts w:ascii="Times New Roman" w:hAnsi="Times New Roman" w:cs="Times New Roman"/>
          </w:rPr>
          <w:fldChar w:fldCharType="separate"/>
        </w:r>
        <w:r w:rsidRPr="00F652E0">
          <w:rPr>
            <w:rFonts w:ascii="Times New Roman" w:hAnsi="Times New Roman" w:cs="Times New Roman"/>
          </w:rPr>
          <w:t>2</w:t>
        </w:r>
        <w:r w:rsidRPr="00F652E0">
          <w:rPr>
            <w:rFonts w:ascii="Times New Roman" w:hAnsi="Times New Roman" w:cs="Times New Roman"/>
          </w:rPr>
          <w:fldChar w:fldCharType="end"/>
        </w:r>
      </w:p>
    </w:sdtContent>
  </w:sdt>
  <w:p w14:paraId="2E715F7A" w14:textId="77777777" w:rsidR="00F652E0" w:rsidRDefault="00F652E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9D2BE40" w14:textId="77777777" w:rsidR="00671395" w:rsidRDefault="00671395" w:rsidP="00F652E0">
      <w:r>
        <w:separator/>
      </w:r>
    </w:p>
  </w:footnote>
  <w:footnote w:type="continuationSeparator" w:id="0">
    <w:p w14:paraId="4ADC23ED" w14:textId="77777777" w:rsidR="00671395" w:rsidRDefault="00671395" w:rsidP="00F652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278E2"/>
    <w:multiLevelType w:val="hybridMultilevel"/>
    <w:tmpl w:val="929C1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Q1NDWwMDcytjQwtjBV0lEKTi0uzszPAykwqgUAF1kz8ywAAAA="/>
  </w:docVars>
  <w:rsids>
    <w:rsidRoot w:val="00B3700C"/>
    <w:rsid w:val="001375A3"/>
    <w:rsid w:val="0020610D"/>
    <w:rsid w:val="002C64D7"/>
    <w:rsid w:val="003368B3"/>
    <w:rsid w:val="003F16BB"/>
    <w:rsid w:val="004D42B6"/>
    <w:rsid w:val="004E299B"/>
    <w:rsid w:val="005042BA"/>
    <w:rsid w:val="0054367A"/>
    <w:rsid w:val="005674F3"/>
    <w:rsid w:val="00671395"/>
    <w:rsid w:val="0068368E"/>
    <w:rsid w:val="006F55FD"/>
    <w:rsid w:val="007140F9"/>
    <w:rsid w:val="007430C4"/>
    <w:rsid w:val="007E174B"/>
    <w:rsid w:val="00861C0A"/>
    <w:rsid w:val="00877589"/>
    <w:rsid w:val="009C1764"/>
    <w:rsid w:val="00B21206"/>
    <w:rsid w:val="00B3700C"/>
    <w:rsid w:val="00CC29FC"/>
    <w:rsid w:val="00D736C4"/>
    <w:rsid w:val="00E5644E"/>
    <w:rsid w:val="00F652E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D73D5F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00C"/>
    <w:pPr>
      <w:spacing w:after="0" w:line="240" w:lineRule="auto"/>
    </w:pPr>
    <w:rPr>
      <w:sz w:val="24"/>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3700C"/>
    <w:pPr>
      <w:ind w:left="720"/>
      <w:contextualSpacing/>
    </w:pPr>
    <w:rPr>
      <w:lang w:val="es-ES_tradnl"/>
    </w:rPr>
  </w:style>
  <w:style w:type="paragraph" w:styleId="Bibliografa">
    <w:name w:val="Bibliography"/>
    <w:basedOn w:val="Normal"/>
    <w:next w:val="Normal"/>
    <w:uiPriority w:val="37"/>
    <w:unhideWhenUsed/>
    <w:rsid w:val="00D736C4"/>
    <w:pPr>
      <w:spacing w:after="160" w:line="259" w:lineRule="auto"/>
    </w:pPr>
    <w:rPr>
      <w:sz w:val="22"/>
      <w:szCs w:val="22"/>
      <w:lang w:val="en-US"/>
    </w:rPr>
  </w:style>
  <w:style w:type="character" w:styleId="Hipervnculo">
    <w:name w:val="Hyperlink"/>
    <w:basedOn w:val="Fuentedeprrafopredeter"/>
    <w:uiPriority w:val="99"/>
    <w:unhideWhenUsed/>
    <w:rsid w:val="00D736C4"/>
    <w:rPr>
      <w:color w:val="0563C1" w:themeColor="hyperlink"/>
      <w:u w:val="single"/>
    </w:rPr>
  </w:style>
  <w:style w:type="paragraph" w:styleId="Encabezado">
    <w:name w:val="header"/>
    <w:basedOn w:val="Normal"/>
    <w:link w:val="EncabezadoCar"/>
    <w:uiPriority w:val="99"/>
    <w:unhideWhenUsed/>
    <w:rsid w:val="00F652E0"/>
    <w:pPr>
      <w:tabs>
        <w:tab w:val="center" w:pos="4419"/>
        <w:tab w:val="right" w:pos="8838"/>
      </w:tabs>
    </w:pPr>
  </w:style>
  <w:style w:type="character" w:customStyle="1" w:styleId="EncabezadoCar">
    <w:name w:val="Encabezado Car"/>
    <w:basedOn w:val="Fuentedeprrafopredeter"/>
    <w:link w:val="Encabezado"/>
    <w:uiPriority w:val="99"/>
    <w:rsid w:val="00F652E0"/>
    <w:rPr>
      <w:sz w:val="24"/>
      <w:szCs w:val="24"/>
      <w:lang w:val="es-ES"/>
    </w:rPr>
  </w:style>
  <w:style w:type="paragraph" w:styleId="Piedepgina">
    <w:name w:val="footer"/>
    <w:basedOn w:val="Normal"/>
    <w:link w:val="PiedepginaCar"/>
    <w:uiPriority w:val="99"/>
    <w:unhideWhenUsed/>
    <w:rsid w:val="00F652E0"/>
    <w:pPr>
      <w:tabs>
        <w:tab w:val="center" w:pos="4419"/>
        <w:tab w:val="right" w:pos="8838"/>
      </w:tabs>
    </w:pPr>
  </w:style>
  <w:style w:type="character" w:customStyle="1" w:styleId="PiedepginaCar">
    <w:name w:val="Pie de página Car"/>
    <w:basedOn w:val="Fuentedeprrafopredeter"/>
    <w:link w:val="Piedepgina"/>
    <w:uiPriority w:val="99"/>
    <w:rsid w:val="00F652E0"/>
    <w:rPr>
      <w:sz w:val="24"/>
      <w:szCs w:val="24"/>
      <w:lang w:val="es-ES"/>
    </w:rPr>
  </w:style>
  <w:style w:type="character" w:styleId="Refdecomentario">
    <w:name w:val="annotation reference"/>
    <w:basedOn w:val="Fuentedeprrafopredeter"/>
    <w:uiPriority w:val="99"/>
    <w:semiHidden/>
    <w:unhideWhenUsed/>
    <w:rsid w:val="00861C0A"/>
    <w:rPr>
      <w:sz w:val="16"/>
      <w:szCs w:val="16"/>
    </w:rPr>
  </w:style>
  <w:style w:type="paragraph" w:styleId="Textocomentario">
    <w:name w:val="annotation text"/>
    <w:basedOn w:val="Normal"/>
    <w:link w:val="TextocomentarioCar"/>
    <w:uiPriority w:val="99"/>
    <w:semiHidden/>
    <w:unhideWhenUsed/>
    <w:rsid w:val="00861C0A"/>
    <w:rPr>
      <w:sz w:val="20"/>
      <w:szCs w:val="20"/>
    </w:rPr>
  </w:style>
  <w:style w:type="character" w:customStyle="1" w:styleId="TextocomentarioCar">
    <w:name w:val="Texto comentario Car"/>
    <w:basedOn w:val="Fuentedeprrafopredeter"/>
    <w:link w:val="Textocomentario"/>
    <w:uiPriority w:val="99"/>
    <w:semiHidden/>
    <w:rsid w:val="00861C0A"/>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861C0A"/>
    <w:rPr>
      <w:b/>
      <w:bCs/>
    </w:rPr>
  </w:style>
  <w:style w:type="character" w:customStyle="1" w:styleId="AsuntodelcomentarioCar">
    <w:name w:val="Asunto del comentario Car"/>
    <w:basedOn w:val="TextocomentarioCar"/>
    <w:link w:val="Asuntodelcomentario"/>
    <w:uiPriority w:val="99"/>
    <w:semiHidden/>
    <w:rsid w:val="00861C0A"/>
    <w:rPr>
      <w:b/>
      <w:bCs/>
      <w:sz w:val="20"/>
      <w:szCs w:val="20"/>
      <w:lang w:val="es-ES"/>
    </w:rPr>
  </w:style>
  <w:style w:type="paragraph" w:styleId="Textodeglobo">
    <w:name w:val="Balloon Text"/>
    <w:basedOn w:val="Normal"/>
    <w:link w:val="TextodegloboCar"/>
    <w:uiPriority w:val="99"/>
    <w:semiHidden/>
    <w:unhideWhenUsed/>
    <w:rsid w:val="00861C0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861C0A"/>
    <w:rPr>
      <w:rFonts w:ascii="Segoe U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27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Bah14</b:Tag>
    <b:SourceType>Book</b:SourceType>
    <b:Guid>{57A0705A-0452-4B5C-96C2-602271B062EC}</b:Guid>
    <b:Title>Dictionary of Oil, Gas and Petrochemical Processing</b:Title>
    <b:Year>2014</b:Year>
    <b:City>Boca Raton</b:City>
    <b:Publisher>Taylor and Francis Group</b:Publisher>
    <b:Author>
      <b:Author>
        <b:NameList>
          <b:Person>
            <b:Last>Bahadori</b:Last>
            <b:First>A</b:First>
          </b:Person>
          <b:Person>
            <b:Last>Nwaoha</b:Last>
            <b:First>C</b:First>
          </b:Person>
          <b:Person>
            <b:Last>Clark</b:Last>
            <b:Middle>W</b:Middle>
            <b:First>M</b:First>
          </b:Person>
        </b:NameList>
      </b:Author>
    </b:Author>
    <b:RefOrder>1</b:RefOrder>
  </b:Source>
  <b:Source>
    <b:Tag>Dia07</b:Tag>
    <b:SourceType>Book</b:SourceType>
    <b:Guid>{87B13D70-86FB-418D-B51B-2CE689D8292A}</b:Guid>
    <b:Author>
      <b:Author>
        <b:Corporate>Diario Oficial de la Federación</b:Corporate>
      </b:Author>
    </b:Author>
    <b:Title>Notas explicativas de las reglas generales para la aplicación de la tarifa de la Ley de los Impuestos Generales de Importación</b:Title>
    <b:Year>2007</b:Year>
    <b:City>Ciudad de México</b:City>
    <b:Publisher>Diario Oficial de la Federación</b:Publisher>
    <b:RefOrder>2</b:RefOrder>
  </b:Source>
  <b:Source>
    <b:Tag>Ins11</b:Tag>
    <b:SourceType>Book</b:SourceType>
    <b:Guid>{7D9D6241-D701-4411-86D0-01875D20C37A}</b:Guid>
    <b:Author>
      <b:Author>
        <b:Corporate>Instituto Petroquímico Argentino</b:Corporate>
      </b:Author>
    </b:Author>
    <b:Title>Información Estadística de la Industria Petroquímica y Química de la Argentina</b:Title>
    <b:Year>2011</b:Year>
    <b:City>Buenos Aires</b:City>
    <b:Publisher>Instituto Petroquímico Argentino</b:Publisher>
    <b:RefOrder>3</b:RefOrder>
  </b:Source>
  <b:Source>
    <b:Tag>Dev13</b:Tag>
    <b:SourceType>Book</b:SourceType>
    <b:Guid>{F9947CB9-66F2-4BF2-9886-0D2C99355B2A}</b:Guid>
    <b:Title>Oil and gas production handbook: An introduction to oil and gas production, transport, refining and petrochemical industry</b:Title>
    <b:Year>2013</b:Year>
    <b:City>Oslo</b:City>
    <b:Publisher>ABB</b:Publisher>
    <b:Author>
      <b:Author>
        <b:NameList>
          <b:Person>
            <b:Last>Devold</b:Last>
            <b:First>H</b:First>
          </b:Person>
        </b:NameList>
      </b:Author>
    </b:Author>
    <b:RefOrder>4</b:RefOrder>
  </b:Source>
  <b:Source>
    <b:Tag>Ull11</b:Tag>
    <b:SourceType>Book</b:SourceType>
    <b:Guid>{52E75596-4E70-4295-89D4-91E5F9F42F6E}</b:Guid>
    <b:Title>Ullmann's Encyclopedia of Industrial Chemistry</b:Title>
    <b:Year>2011</b:Year>
    <b:City>Weinheim</b:City>
    <b:Publisher>Wiley-VCH</b:Publisher>
    <b:Author>
      <b:Author>
        <b:NameList>
          <b:Person>
            <b:Last>Ullmann</b:Last>
            <b:First>F</b:First>
          </b:Person>
        </b:NameList>
      </b:Author>
    </b:Author>
    <b:RefOrder>5</b:RefOrder>
  </b:Source>
  <b:Source>
    <b:Tag>Hid11</b:Tag>
    <b:SourceType>JournalArticle</b:SourceType>
    <b:Guid>{3D499D36-60DE-4C74-A651-96FEC8DBD813}</b:Guid>
    <b:Title>The iron and steel industry: a global market perspective</b:Title>
    <b:Year>2011</b:Year>
    <b:JournalName>Gospodarka Surowcami Mineralnymi</b:JournalName>
    <b:Pages>1-27</b:Pages>
    <b:Author>
      <b:Author>
        <b:NameList>
          <b:Person>
            <b:Last>Hidalgo</b:Last>
            <b:First>Ignacio</b:First>
          </b:Person>
          <b:Person>
            <b:Last>Kaminski</b:Last>
            <b:First>J</b:First>
          </b:Person>
        </b:NameList>
      </b:Author>
    </b:Author>
    <b:Volume>27</b:Volume>
    <b:Issue>3</b:Issue>
    <b:RefOrder>6</b:RefOrder>
  </b:Source>
  <b:Source>
    <b:Tag>Pau13</b:Tag>
    <b:SourceType>JournalArticle</b:SourceType>
    <b:Guid>{17A85CFC-F1B5-41EA-832A-6292F3717A41}</b:Guid>
    <b:Title>Steel all over the world: Estimating in-use stocks of iron for 200 countries</b:Title>
    <b:JournalName>Resources, Conservation and Recycling</b:JournalName>
    <b:Year>2013</b:Year>
    <b:Pages>22-30</b:Pages>
    <b:Author>
      <b:Author>
        <b:NameList>
          <b:Person>
            <b:Last>Pauliuk</b:Last>
            <b:First>S</b:First>
          </b:Person>
          <b:Person>
            <b:Last>Wang</b:Last>
            <b:First>T</b:First>
          </b:Person>
          <b:Person>
            <b:Last>Muller</b:Last>
            <b:First>D</b:First>
          </b:Person>
        </b:NameList>
      </b:Author>
    </b:Author>
    <b:Issue>71</b:Issue>
    <b:RefOrder>7</b:RefOrder>
  </b:Source>
  <b:Source>
    <b:Tag>Glo13</b:Tag>
    <b:SourceType>JournalArticle</b:SourceType>
    <b:Guid>{43D8DF89-E0D2-485F-A59F-2FD7C29EB306}</b:Guid>
    <b:Title>Dynamic Analysis of Global Copper Flows. Global Stocks, Postconsumer Material Flows, Recycling Indicators, and Uncertainty Evaluation</b:Title>
    <b:JournalName>Environmental Science and Technology</b:JournalName>
    <b:Year>2013</b:Year>
    <b:Pages>6564-6572</b:Pages>
    <b:Author>
      <b:Author>
        <b:NameList>
          <b:Person>
            <b:Last>Gloser</b:Last>
            <b:First>S</b:First>
          </b:Person>
          <b:Person>
            <b:Last>Soulier</b:Last>
            <b:First>M</b:First>
          </b:Person>
          <b:Person>
            <b:Last>Tercero Espinoza</b:Last>
            <b:First>L</b:First>
          </b:Person>
        </b:NameList>
      </b:Author>
    </b:Author>
    <b:Issue>47</b:Issue>
    <b:RefOrder>8</b:RefOrder>
  </b:Source>
  <b:Source>
    <b:Tag>Sou18</b:Tag>
    <b:SourceType>JournalArticle</b:SourceType>
    <b:Guid>{BEB61668-6AE3-4A97-9563-D33CFA56F730}</b:Guid>
    <b:Title>Dynamic Analysis of European Copper Flows</b:Title>
    <b:JournalName>Resources, Conservation and Recycling</b:JournalName>
    <b:Year>2018</b:Year>
    <b:Pages>143-152</b:Pages>
    <b:Author>
      <b:Author>
        <b:NameList>
          <b:Person>
            <b:Last>Soulier</b:Last>
            <b:First>M</b:First>
          </b:Person>
          <b:Person>
            <b:Last>Gloser</b:Last>
            <b:First>S</b:First>
          </b:Person>
          <b:Person>
            <b:Last>Goldmann</b:Last>
            <b:First>D</b:First>
          </b:Person>
          <b:Person>
            <b:Last>Tercero Espinoza</b:Last>
            <b:First>L</b:First>
          </b:Person>
        </b:NameList>
      </b:Author>
    </b:Author>
    <b:Issue>129</b:Issue>
    <b:RefOrder>9</b:RefOrder>
  </b:Source>
  <b:Source>
    <b:Tag>Wan07</b:Tag>
    <b:SourceType>JournalArticle</b:SourceType>
    <b:Guid>{41B42BBA-BDA4-4711-A6D6-BFC74B71F4F4}</b:Guid>
    <b:Title>Forging the Anthropogenic Iron Cycle</b:Title>
    <b:JournalName>Environmental Science and Technology</b:JournalName>
    <b:Year>2007</b:Year>
    <b:Pages>5120-5129</b:Pages>
    <b:Author>
      <b:Author>
        <b:NameList>
          <b:Person>
            <b:Last>Wang</b:Last>
            <b:First>T</b:First>
          </b:Person>
          <b:Person>
            <b:Last>Muller</b:Last>
            <b:First>D</b:First>
          </b:Person>
          <b:Person>
            <b:Last>Graedel</b:Last>
            <b:First>T</b:First>
          </b:Person>
        </b:NameList>
      </b:Author>
    </b:Author>
    <b:Issue>41</b:Issue>
    <b:RefOrder>10</b:RefOrder>
  </b:Source>
  <b:Source>
    <b:Tag>Egi18</b:Tag>
    <b:SourceType>BookSection</b:SourceType>
    <b:Guid>{A6639206-16B5-4B86-A17D-08146E4D1362}</b:Guid>
    <b:Title>Genesis, uses and environment implications of iron oxides and ores</b:Title>
    <b:Year>2018</b:Year>
    <b:Pages>23-38</b:Pages>
    <b:BookTitle>Iron ores and iron oxide materials</b:BookTitle>
    <b:City>London</b:City>
    <b:Publisher>IntechOpen</b:Publisher>
    <b:Author>
      <b:Author>
        <b:NameList>
          <b:Person>
            <b:Last>Egirani</b:Last>
            <b:First>D</b:First>
          </b:Person>
          <b:Person>
            <b:Last>Latif</b:Last>
            <b:First>M</b:First>
          </b:Person>
          <b:Person>
            <b:Last>Poyi</b:Last>
            <b:First>N</b:First>
          </b:Person>
          <b:Person>
            <b:Last>Wessey</b:Last>
            <b:First>N</b:First>
          </b:Person>
          <b:Person>
            <b:Last>Acharjee</b:Last>
            <b:First>S</b:First>
          </b:Person>
        </b:NameList>
      </b:Author>
      <b:BookAuthor>
        <b:NameList>
          <b:Person>
            <b:Last>Shatokha</b:Last>
            <b:First>V</b:First>
          </b:Person>
        </b:NameList>
      </b:BookAuthor>
    </b:Author>
    <b:RefOrder>11</b:RefOrder>
  </b:Source>
  <b:Source>
    <b:Tag>Aso20</b:Tag>
    <b:SourceType>DocumentFromInternetSite</b:SourceType>
    <b:Guid>{827D183B-9904-416E-8406-C02B01D757CD}</b:Guid>
    <b:Title>Steelmaking Process</b:Title>
    <b:Year>2020</b:Year>
    <b:Author>
      <b:Author>
        <b:Corporate>Asociación Latinoamericana del Acero (ALACERO)</b:Corporate>
      </b:Author>
    </b:Author>
    <b:Month>febrero</b:Month>
    <b:Day>15</b:Day>
    <b:URL>https://www.alacero.org/en/content/steel-making-process</b:URL>
    <b:RefOrder>12</b:RefOrder>
  </b:Source>
  <b:Source>
    <b:Tag>Cop20</b:Tag>
    <b:SourceType>InternetSite</b:SourceType>
    <b:Guid>{762B87D6-6507-4A96-B2DA-498D9010E14D}</b:Guid>
    <b:Author>
      <b:Author>
        <b:Corporate>Copper Development Association (CDA)</b:Corporate>
      </b:Author>
    </b:Author>
    <b:Title>European Copper Industry</b:Title>
    <b:Year>2020</b:Year>
    <b:Month>febrero</b:Month>
    <b:Day>14</b:Day>
    <b:URL>https://copperalliance.org.uk/copper-industry/european-copper-industry/</b:URL>
    <b:RefOrder>13</b:RefOrder>
  </b:Source>
  <b:Source>
    <b:Tag>Nip20</b:Tag>
    <b:SourceType>InternetSite</b:SourceType>
    <b:Guid>{FE333568-E93E-4CFD-8857-C62C1169DB14}</b:Guid>
    <b:Author>
      <b:Author>
        <b:Corporate>Nippon Slag Association (NSA)</b:Corporate>
      </b:Author>
    </b:Author>
    <b:Title>Chemical characteristics of iron and steel slag</b:Title>
    <b:Year>2020</b:Year>
    <b:Month>febrero</b:Month>
    <b:Day>22</b:Day>
    <b:URL>http://www.slg.jp/e/slag/character.html</b:URL>
    <b:RefOrder>14</b:RefOrder>
  </b:Source>
  <b:Source>
    <b:Tag>Gau10</b:Tag>
    <b:SourceType>Misc</b:SourceType>
    <b:Guid>{8DE67FF2-A4E2-494B-AEF6-1E3BBB9057C4}</b:Guid>
    <b:Title>BACI: International Trade Database at the Product-level</b:Title>
    <b:Year>2010</b:Year>
    <b:PublicationTitle>CEPII Working Paper No. 2010-23</b:PublicationTitle>
    <b:City>Paris</b:City>
    <b:Publisher>CEPII</b:Publisher>
    <b:Author>
      <b:Author>
        <b:NameList>
          <b:Person>
            <b:Last>Gaulier</b:Last>
            <b:First>G</b:First>
          </b:Person>
          <b:Person>
            <b:Last>Zignago</b:Last>
            <b:First>S</b:First>
          </b:Person>
        </b:NameList>
      </b:Author>
    </b:Author>
    <b:RefOrder>15</b:RefOrder>
  </b:Source>
  <b:Source>
    <b:Tag>Dah06</b:Tag>
    <b:SourceType>JournalArticle</b:SourceType>
    <b:Guid>{D83C1A35-2754-434C-820A-AA1F373F5A20}</b:Guid>
    <b:Title>Combining economic and environmental dimensions: Value chain analysis of UK iron and steel flows</b:Title>
    <b:Year>2006</b:Year>
    <b:JournalName>Ecological Economics</b:JournalName>
    <b:Pages>507-519</b:Pages>
    <b:Author>
      <b:Author>
        <b:NameList>
          <b:Person>
            <b:Last>Dahlstrom</b:Last>
            <b:First>K</b:First>
          </b:Person>
          <b:Person>
            <b:Last>Ekins</b:Last>
            <b:First>P</b:First>
          </b:Person>
        </b:NameList>
      </b:Author>
    </b:Author>
    <b:Issue>58</b:Issue>
    <b:RefOrder>16</b:RefOrder>
  </b:Source>
  <b:Source>
    <b:Tag>FAO20</b:Tag>
    <b:SourceType>InternetSite</b:SourceType>
    <b:Guid>{98976472-06AC-4C03-9A27-8DA79D60B55E}</b:Guid>
    <b:Title>Detailed Trade Matrix</b:Title>
    <b:Year>2020</b:Year>
    <b:Month>september</b:Month>
    <b:Day>1</b:Day>
    <b:Author>
      <b:Author>
        <b:Corporate>FAOSTAT</b:Corporate>
      </b:Author>
    </b:Author>
    <b:URL>http://www.fao.org/faostat/en/#data/TM</b:URL>
    <b:RefOrder>1</b:RefOrder>
  </b:Source>
</b:Sources>
</file>

<file path=customXml/itemProps1.xml><?xml version="1.0" encoding="utf-8"?>
<ds:datastoreItem xmlns:ds="http://schemas.openxmlformats.org/officeDocument/2006/customXml" ds:itemID="{6804B926-8D75-4EF5-A745-F33480913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2362</Words>
  <Characters>12357</Characters>
  <Application>Microsoft Office Word</Application>
  <DocSecurity>0</DocSecurity>
  <Lines>537</Lines>
  <Paragraphs>432</Paragraphs>
  <ScaleCrop>false</ScaleCrop>
  <Company/>
  <LinksUpToDate>false</LinksUpToDate>
  <CharactersWithSpaces>14287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2021-03-09T17:10:00Z</dcterms:created>
  <dcterms:modified xsi:type="dcterms:W3CDTF">2021-03-29T19:06:00Z</dcterms:modified>
</cp:coreProperties>
</file>