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504F68"/>
    <w:p w14:paraId="01B75FB4">
      <w:pPr>
        <w:jc w:val="center"/>
        <w:rPr>
          <w:rFonts w:hint="default"/>
          <w:b/>
          <w:bCs/>
          <w:sz w:val="32"/>
          <w:szCs w:val="32"/>
          <w:lang w:val="en-US"/>
        </w:rPr>
      </w:pPr>
      <w:r>
        <w:rPr>
          <w:rFonts w:hint="default"/>
          <w:b/>
          <w:bCs/>
          <w:sz w:val="32"/>
          <w:szCs w:val="32"/>
          <w:lang w:val="en-US"/>
        </w:rPr>
        <w:t>Supplementary materials</w:t>
      </w:r>
      <w:bookmarkStart w:id="1" w:name="_GoBack"/>
      <w:bookmarkEnd w:id="1"/>
    </w:p>
    <w:p w14:paraId="49B91D93">
      <w:pPr>
        <w:jc w:val="center"/>
        <w:rPr>
          <w:rFonts w:hint="default"/>
          <w:b/>
          <w:bCs/>
          <w:sz w:val="32"/>
          <w:szCs w:val="32"/>
          <w:lang w:val="en-US"/>
        </w:rPr>
      </w:pPr>
    </w:p>
    <w:p w14:paraId="77F0EB59">
      <w:pPr>
        <w:spacing w:before="120" w:after="120" w:line="360" w:lineRule="auto"/>
        <w:jc w:val="both"/>
        <w:rPr>
          <w:rFonts w:hint="default" w:eastAsia="Calibri" w:asciiTheme="majorBidi" w:hAnsiTheme="majorBidi" w:cstheme="majorBidi"/>
          <w:b/>
          <w:bCs/>
          <w:kern w:val="0"/>
          <w:sz w:val="20"/>
          <w:szCs w:val="20"/>
          <w:lang w:val="en-US"/>
          <w14:ligatures w14:val="none"/>
        </w:rPr>
      </w:pPr>
      <w:r>
        <w:rPr>
          <w:rFonts w:hint="default" w:eastAsia="Calibri" w:asciiTheme="majorBidi" w:hAnsiTheme="majorBidi"/>
          <w:b/>
          <w:bCs/>
          <w:kern w:val="0"/>
          <w:sz w:val="20"/>
          <w:szCs w:val="20"/>
          <w:lang w:val="en-GB"/>
          <w14:ligatures w14:val="none"/>
        </w:rPr>
        <w:t>Table (1): Demographic and Clinical Characteristics of the Studied Groups</w:t>
      </w:r>
      <w:r>
        <w:rPr>
          <w:rFonts w:hint="default" w:eastAsia="Calibri" w:asciiTheme="majorBidi" w:hAnsiTheme="majorBidi"/>
          <w:b/>
          <w:bCs/>
          <w:kern w:val="0"/>
          <w:sz w:val="20"/>
          <w:szCs w:val="20"/>
          <w:lang w:val="en-US"/>
          <w14:ligatures w14:val="none"/>
        </w:rPr>
        <w:t>:</w:t>
      </w:r>
    </w:p>
    <w:tbl>
      <w:tblPr>
        <w:tblStyle w:val="4"/>
        <w:tblW w:w="90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2"/>
        <w:gridCol w:w="77"/>
        <w:gridCol w:w="2078"/>
        <w:gridCol w:w="726"/>
        <w:gridCol w:w="1120"/>
        <w:gridCol w:w="846"/>
        <w:gridCol w:w="923"/>
        <w:gridCol w:w="769"/>
        <w:gridCol w:w="846"/>
      </w:tblGrid>
      <w:tr w14:paraId="2F7AB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3847" w:type="dxa"/>
            <w:gridSpan w:val="3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A0BAD96">
            <w:pPr>
              <w:spacing w:after="0" w:line="240" w:lineRule="auto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46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 w14:paraId="0B10DEE1">
            <w:pPr>
              <w:spacing w:after="0" w:line="276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HD cases</w:t>
            </w:r>
          </w:p>
          <w:p w14:paraId="0DF10AC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(N=42)</w:t>
            </w:r>
          </w:p>
        </w:tc>
        <w:tc>
          <w:tcPr>
            <w:tcW w:w="1769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 w14:paraId="6E025BC2">
            <w:pPr>
              <w:spacing w:after="0" w:line="276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Controls</w:t>
            </w:r>
          </w:p>
          <w:p w14:paraId="132E4CA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(N=42)</w:t>
            </w:r>
          </w:p>
        </w:tc>
        <w:tc>
          <w:tcPr>
            <w:tcW w:w="769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 w14:paraId="3169B05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Test value</w:t>
            </w:r>
          </w:p>
        </w:tc>
        <w:tc>
          <w:tcPr>
            <w:tcW w:w="846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 w14:paraId="72407FF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p- value</w:t>
            </w:r>
          </w:p>
        </w:tc>
      </w:tr>
      <w:tr w14:paraId="6F416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  <w:jc w:val="center"/>
        </w:trPr>
        <w:tc>
          <w:tcPr>
            <w:tcW w:w="3847" w:type="dxa"/>
            <w:gridSpan w:val="3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219B464">
            <w:pPr>
              <w:spacing w:after="0" w:line="240" w:lineRule="auto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F2A083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11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A890B8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%</w:t>
            </w:r>
          </w:p>
        </w:tc>
        <w:tc>
          <w:tcPr>
            <w:tcW w:w="84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68D12A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92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D10DF1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%</w:t>
            </w:r>
          </w:p>
        </w:tc>
        <w:tc>
          <w:tcPr>
            <w:tcW w:w="769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748F54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6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B4A5F9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4D50E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1692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D6E64CF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Gender:</w:t>
            </w:r>
          </w:p>
        </w:tc>
        <w:tc>
          <w:tcPr>
            <w:tcW w:w="2155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F1E2FF7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Female</w:t>
            </w:r>
          </w:p>
        </w:tc>
        <w:tc>
          <w:tcPr>
            <w:tcW w:w="72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422FD9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24</w:t>
            </w:r>
          </w:p>
        </w:tc>
        <w:tc>
          <w:tcPr>
            <w:tcW w:w="11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D680C4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57.1%</w:t>
            </w:r>
          </w:p>
        </w:tc>
        <w:tc>
          <w:tcPr>
            <w:tcW w:w="84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BAC126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22</w:t>
            </w:r>
          </w:p>
        </w:tc>
        <w:tc>
          <w:tcPr>
            <w:tcW w:w="92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34BCB9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52.4%</w:t>
            </w:r>
          </w:p>
        </w:tc>
        <w:tc>
          <w:tcPr>
            <w:tcW w:w="769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BCCE03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0.192</w:t>
            </w:r>
          </w:p>
        </w:tc>
        <w:tc>
          <w:tcPr>
            <w:tcW w:w="846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DCD700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0.661</w:t>
            </w: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‡</w:t>
            </w:r>
          </w:p>
        </w:tc>
      </w:tr>
      <w:tr w14:paraId="4E879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1692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0DCBE4E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55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F7D87C9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Male</w:t>
            </w:r>
          </w:p>
        </w:tc>
        <w:tc>
          <w:tcPr>
            <w:tcW w:w="72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DCEEE8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11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6A0A57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42.9%</w:t>
            </w:r>
          </w:p>
        </w:tc>
        <w:tc>
          <w:tcPr>
            <w:tcW w:w="84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BF81DC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92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89AE51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47.6%</w:t>
            </w:r>
          </w:p>
        </w:tc>
        <w:tc>
          <w:tcPr>
            <w:tcW w:w="769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E4392F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6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954352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3E4C1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jc w:val="center"/>
        </w:trPr>
        <w:tc>
          <w:tcPr>
            <w:tcW w:w="169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4FB2BEF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Age (years):</w:t>
            </w:r>
          </w:p>
        </w:tc>
        <w:tc>
          <w:tcPr>
            <w:tcW w:w="2155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2D13A4E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Mean± SD</w:t>
            </w:r>
          </w:p>
          <w:p w14:paraId="4FB68AF1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Min.–Max.</w:t>
            </w:r>
          </w:p>
        </w:tc>
        <w:tc>
          <w:tcPr>
            <w:tcW w:w="1846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8FD19C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bookmarkStart w:id="0" w:name="_Hlk165289902"/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10.41± 3.29</w:t>
            </w:r>
          </w:p>
          <w:bookmarkEnd w:id="0"/>
          <w:p w14:paraId="10D2425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3.3- 16</w:t>
            </w:r>
          </w:p>
        </w:tc>
        <w:tc>
          <w:tcPr>
            <w:tcW w:w="1769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D4861D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9.52± 2.83</w:t>
            </w:r>
          </w:p>
          <w:p w14:paraId="0CDE6B9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3- 15</w:t>
            </w:r>
          </w:p>
        </w:tc>
        <w:tc>
          <w:tcPr>
            <w:tcW w:w="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D9C193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1.315</w:t>
            </w:r>
          </w:p>
        </w:tc>
        <w:tc>
          <w:tcPr>
            <w:tcW w:w="84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BD17A4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0.192</w:t>
            </w: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#</w:t>
            </w:r>
          </w:p>
        </w:tc>
      </w:tr>
      <w:tr w14:paraId="1D702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1692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2F1E257">
            <w:pPr>
              <w:spacing w:after="0" w:line="240" w:lineRule="auto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Socioeconomics</w:t>
            </w:r>
          </w:p>
          <w:p w14:paraId="07CDEDAE">
            <w:pPr>
              <w:spacing w:after="0" w:line="240" w:lineRule="auto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55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223CF6E">
            <w:pPr>
              <w:spacing w:after="0" w:line="240" w:lineRule="auto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High </w:t>
            </w:r>
          </w:p>
        </w:tc>
        <w:tc>
          <w:tcPr>
            <w:tcW w:w="72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2D970A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1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AC45BC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4.8%</w:t>
            </w:r>
          </w:p>
        </w:tc>
        <w:tc>
          <w:tcPr>
            <w:tcW w:w="84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A02350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2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1B9A69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2.4%</w:t>
            </w:r>
          </w:p>
        </w:tc>
        <w:tc>
          <w:tcPr>
            <w:tcW w:w="769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062D7E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0.354</w:t>
            </w:r>
          </w:p>
        </w:tc>
        <w:tc>
          <w:tcPr>
            <w:tcW w:w="846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A3990A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&gt;0.999</w:t>
            </w: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MC‡</w:t>
            </w:r>
          </w:p>
        </w:tc>
      </w:tr>
      <w:tr w14:paraId="3DD33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1692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4B16EA1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55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5EDF6B2">
            <w:pPr>
              <w:spacing w:after="0" w:line="240" w:lineRule="auto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Low </w:t>
            </w:r>
          </w:p>
        </w:tc>
        <w:tc>
          <w:tcPr>
            <w:tcW w:w="72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51DED3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24</w:t>
            </w:r>
          </w:p>
        </w:tc>
        <w:tc>
          <w:tcPr>
            <w:tcW w:w="11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8216B8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57.1%</w:t>
            </w:r>
          </w:p>
        </w:tc>
        <w:tc>
          <w:tcPr>
            <w:tcW w:w="84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5272E7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25</w:t>
            </w:r>
          </w:p>
        </w:tc>
        <w:tc>
          <w:tcPr>
            <w:tcW w:w="92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B2ED1A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59.5%</w:t>
            </w:r>
          </w:p>
        </w:tc>
        <w:tc>
          <w:tcPr>
            <w:tcW w:w="769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E2D59D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6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CDB8D9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51CC7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1692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5DD1B53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55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E6DEC90">
            <w:pPr>
              <w:spacing w:after="0" w:line="240" w:lineRule="auto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72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A1906A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11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D20692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38.1%</w:t>
            </w:r>
          </w:p>
        </w:tc>
        <w:tc>
          <w:tcPr>
            <w:tcW w:w="84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F6E605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92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872064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38.1%</w:t>
            </w:r>
          </w:p>
        </w:tc>
        <w:tc>
          <w:tcPr>
            <w:tcW w:w="769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4E6700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6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966A4C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6369B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1692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591D4F1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Primary diagnosis</w:t>
            </w:r>
          </w:p>
          <w:p w14:paraId="6AB10167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55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38FADD4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Atypical HUS</w:t>
            </w:r>
          </w:p>
        </w:tc>
        <w:tc>
          <w:tcPr>
            <w:tcW w:w="72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A0C569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1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66297A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9.5%</w:t>
            </w:r>
          </w:p>
        </w:tc>
        <w:tc>
          <w:tcPr>
            <w:tcW w:w="1769" w:type="dxa"/>
            <w:gridSpan w:val="2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B3490D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69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07B543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846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AA5BDA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14:paraId="61B5A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1692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ECE54E0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55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C9AF044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Bartter syndrome</w:t>
            </w:r>
          </w:p>
        </w:tc>
        <w:tc>
          <w:tcPr>
            <w:tcW w:w="72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F0037D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1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66B3CD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2.4%</w:t>
            </w:r>
          </w:p>
        </w:tc>
        <w:tc>
          <w:tcPr>
            <w:tcW w:w="1769" w:type="dxa"/>
            <w:gridSpan w:val="2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CC0B10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9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753BDE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6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2A8D30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7D76D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1692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1479A78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55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2FDC2DC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Prune belly syndrome</w:t>
            </w:r>
          </w:p>
        </w:tc>
        <w:tc>
          <w:tcPr>
            <w:tcW w:w="72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C2966E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1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B5CDAC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2.4%</w:t>
            </w:r>
          </w:p>
        </w:tc>
        <w:tc>
          <w:tcPr>
            <w:tcW w:w="1769" w:type="dxa"/>
            <w:gridSpan w:val="2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414E1B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9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02379A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6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BFFC00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53483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1692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6C5118D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55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13F1B3F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Chronic interstitial nephritis</w:t>
            </w:r>
          </w:p>
        </w:tc>
        <w:tc>
          <w:tcPr>
            <w:tcW w:w="72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D05359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1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BE6163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4.8%</w:t>
            </w:r>
          </w:p>
        </w:tc>
        <w:tc>
          <w:tcPr>
            <w:tcW w:w="1769" w:type="dxa"/>
            <w:gridSpan w:val="2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8D901B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9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8232AD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6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82F226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389D0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1692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A94AAF3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55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46EDAE2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CKD recurrent stones</w:t>
            </w:r>
          </w:p>
        </w:tc>
        <w:tc>
          <w:tcPr>
            <w:tcW w:w="72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BCFE93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1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231D58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2.4%</w:t>
            </w:r>
          </w:p>
        </w:tc>
        <w:tc>
          <w:tcPr>
            <w:tcW w:w="1769" w:type="dxa"/>
            <w:gridSpan w:val="2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CA8F34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9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889D9C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6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B73E82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62F89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1692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FE2E165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55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DEDC464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Congenital atrophic kidneys</w:t>
            </w:r>
          </w:p>
        </w:tc>
        <w:tc>
          <w:tcPr>
            <w:tcW w:w="72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594355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1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1CE9AE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2.4%</w:t>
            </w:r>
          </w:p>
        </w:tc>
        <w:tc>
          <w:tcPr>
            <w:tcW w:w="1769" w:type="dxa"/>
            <w:gridSpan w:val="2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96EE51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9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E58CD8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6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FD2544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59D6C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1692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A34AC78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55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1C95FD2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Glomerulopathy </w:t>
            </w: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Nephrotic syndrome</w:t>
            </w:r>
          </w:p>
        </w:tc>
        <w:tc>
          <w:tcPr>
            <w:tcW w:w="72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56DC82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8</w:t>
            </w:r>
          </w:p>
        </w:tc>
        <w:tc>
          <w:tcPr>
            <w:tcW w:w="11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FA4DB0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19</w:t>
            </w: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%</w:t>
            </w:r>
          </w:p>
        </w:tc>
        <w:tc>
          <w:tcPr>
            <w:tcW w:w="1769" w:type="dxa"/>
            <w:gridSpan w:val="2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B74FA2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9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1AE0AC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6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CE149B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67E14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1692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0FE3ECB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55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4BBB050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 xml:space="preserve">Nephrocalcinosis </w:t>
            </w:r>
          </w:p>
        </w:tc>
        <w:tc>
          <w:tcPr>
            <w:tcW w:w="72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F67BA3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1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960937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2.4%</w:t>
            </w:r>
          </w:p>
        </w:tc>
        <w:tc>
          <w:tcPr>
            <w:tcW w:w="1769" w:type="dxa"/>
            <w:gridSpan w:val="2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D9CA3D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9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D4674E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6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30091A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79901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1692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F2CC9B8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55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4437116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Neurogenic bladder</w:t>
            </w:r>
          </w:p>
        </w:tc>
        <w:tc>
          <w:tcPr>
            <w:tcW w:w="72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A56194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11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414B32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14.3%</w:t>
            </w:r>
          </w:p>
        </w:tc>
        <w:tc>
          <w:tcPr>
            <w:tcW w:w="1769" w:type="dxa"/>
            <w:gridSpan w:val="2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E7ACC9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9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808A0C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6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E0C511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4A6C9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1692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1835BF2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55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76B38C7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Obstructive uropathy</w:t>
            </w:r>
          </w:p>
        </w:tc>
        <w:tc>
          <w:tcPr>
            <w:tcW w:w="72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76E14F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1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52820E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7.1%</w:t>
            </w:r>
          </w:p>
        </w:tc>
        <w:tc>
          <w:tcPr>
            <w:tcW w:w="1769" w:type="dxa"/>
            <w:gridSpan w:val="2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4A65E0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9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D72663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6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8C8623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402E2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1692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C84B5D0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55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A3FBCF6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Polycystic kidney</w:t>
            </w:r>
          </w:p>
        </w:tc>
        <w:tc>
          <w:tcPr>
            <w:tcW w:w="72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A40FF6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1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A92408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2.4%</w:t>
            </w:r>
          </w:p>
        </w:tc>
        <w:tc>
          <w:tcPr>
            <w:tcW w:w="1769" w:type="dxa"/>
            <w:gridSpan w:val="2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C6EB94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9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EC7582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6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08D84D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0A3F5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1692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B9457ED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55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4FE121E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SLE</w:t>
            </w:r>
          </w:p>
        </w:tc>
        <w:tc>
          <w:tcPr>
            <w:tcW w:w="72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209B57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1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9840C7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7.1%</w:t>
            </w:r>
          </w:p>
        </w:tc>
        <w:tc>
          <w:tcPr>
            <w:tcW w:w="1769" w:type="dxa"/>
            <w:gridSpan w:val="2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F3C16D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9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F44532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6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B35CE7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77C6D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1692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C05E067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55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87EA342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Unexplained renal failure</w:t>
            </w:r>
          </w:p>
        </w:tc>
        <w:tc>
          <w:tcPr>
            <w:tcW w:w="72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D4A24F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11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07A149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23.8%</w:t>
            </w:r>
          </w:p>
        </w:tc>
        <w:tc>
          <w:tcPr>
            <w:tcW w:w="1769" w:type="dxa"/>
            <w:gridSpan w:val="2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95F91D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9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6A9831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6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26AD70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781A7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jc w:val="center"/>
        </w:trPr>
        <w:tc>
          <w:tcPr>
            <w:tcW w:w="169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FD85F0C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Dialysis duration (years):</w:t>
            </w:r>
          </w:p>
        </w:tc>
        <w:tc>
          <w:tcPr>
            <w:tcW w:w="2155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B2A921D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Median (IQR)</w:t>
            </w:r>
          </w:p>
          <w:p w14:paraId="5AC3437F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Min.–Max.</w:t>
            </w:r>
          </w:p>
        </w:tc>
        <w:tc>
          <w:tcPr>
            <w:tcW w:w="1846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F0D5F0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2.0 (1.0–5.0)</w:t>
            </w:r>
          </w:p>
          <w:p w14:paraId="1D187C4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6 months- 12 years</w:t>
            </w:r>
          </w:p>
        </w:tc>
        <w:tc>
          <w:tcPr>
            <w:tcW w:w="1769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F64AC8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43C614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84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B6BF81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14:paraId="18556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jc w:val="center"/>
        </w:trPr>
        <w:tc>
          <w:tcPr>
            <w:tcW w:w="169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955AA10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KT/V</w:t>
            </w:r>
          </w:p>
        </w:tc>
        <w:tc>
          <w:tcPr>
            <w:tcW w:w="2155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669D8E4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Median (IQR)</w:t>
            </w:r>
          </w:p>
          <w:p w14:paraId="15B27BB2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Min.–Max.</w:t>
            </w:r>
          </w:p>
        </w:tc>
        <w:tc>
          <w:tcPr>
            <w:tcW w:w="1846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B401F7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1.1 (0.9–1.3)</w:t>
            </w:r>
          </w:p>
          <w:p w14:paraId="66044D8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0.7- 1.7</w:t>
            </w:r>
          </w:p>
        </w:tc>
        <w:tc>
          <w:tcPr>
            <w:tcW w:w="1769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E20304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3E9F38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84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12F8D8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14:paraId="3FE10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  <w:jc w:val="center"/>
        </w:trPr>
        <w:tc>
          <w:tcPr>
            <w:tcW w:w="1769" w:type="dxa"/>
            <w:gridSpan w:val="2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7A0C3EB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Weight (Kg)</w:t>
            </w:r>
          </w:p>
        </w:tc>
        <w:tc>
          <w:tcPr>
            <w:tcW w:w="207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D89165D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Mean± SD</w:t>
            </w:r>
          </w:p>
        </w:tc>
        <w:tc>
          <w:tcPr>
            <w:tcW w:w="1846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F2BE1B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30.84± 11.6</w:t>
            </w:r>
          </w:p>
        </w:tc>
        <w:tc>
          <w:tcPr>
            <w:tcW w:w="1769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17E69D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41.57± 12.26</w:t>
            </w:r>
          </w:p>
        </w:tc>
        <w:tc>
          <w:tcPr>
            <w:tcW w:w="769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9B03B5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4.121</w:t>
            </w:r>
          </w:p>
        </w:tc>
        <w:tc>
          <w:tcPr>
            <w:tcW w:w="846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8E0922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#</w:t>
            </w:r>
          </w:p>
          <w:p w14:paraId="1A54BCF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1259B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  <w:jc w:val="center"/>
        </w:trPr>
        <w:tc>
          <w:tcPr>
            <w:tcW w:w="1769" w:type="dxa"/>
            <w:gridSpan w:val="2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806FF87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F85BEEC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Min.–Max.</w:t>
            </w:r>
          </w:p>
        </w:tc>
        <w:tc>
          <w:tcPr>
            <w:tcW w:w="1846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8FA5E9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11.0–56.0</w:t>
            </w:r>
          </w:p>
        </w:tc>
        <w:tc>
          <w:tcPr>
            <w:tcW w:w="1769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80CA90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18–75.0</w:t>
            </w:r>
          </w:p>
        </w:tc>
        <w:tc>
          <w:tcPr>
            <w:tcW w:w="769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8BDD61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6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5CA70E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0149C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  <w:jc w:val="center"/>
        </w:trPr>
        <w:tc>
          <w:tcPr>
            <w:tcW w:w="1769" w:type="dxa"/>
            <w:gridSpan w:val="2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7522BD6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Height (cm)</w:t>
            </w:r>
          </w:p>
        </w:tc>
        <w:tc>
          <w:tcPr>
            <w:tcW w:w="207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6687FB7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Median (IQR)</w:t>
            </w:r>
          </w:p>
        </w:tc>
        <w:tc>
          <w:tcPr>
            <w:tcW w:w="1846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1F87A8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130.75 (120–142)</w:t>
            </w:r>
          </w:p>
        </w:tc>
        <w:tc>
          <w:tcPr>
            <w:tcW w:w="1769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48262B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137 (131.0–148.0)</w:t>
            </w:r>
          </w:p>
        </w:tc>
        <w:tc>
          <w:tcPr>
            <w:tcW w:w="769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911EB1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2.466</w:t>
            </w:r>
          </w:p>
        </w:tc>
        <w:tc>
          <w:tcPr>
            <w:tcW w:w="846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F7568D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0.014</w:t>
            </w: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╪</w:t>
            </w:r>
          </w:p>
          <w:p w14:paraId="5643C78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1B52D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  <w:jc w:val="center"/>
        </w:trPr>
        <w:tc>
          <w:tcPr>
            <w:tcW w:w="1769" w:type="dxa"/>
            <w:gridSpan w:val="2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6E974A7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52CE557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Min.–Max.</w:t>
            </w:r>
          </w:p>
        </w:tc>
        <w:tc>
          <w:tcPr>
            <w:tcW w:w="1846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667023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90–165</w:t>
            </w:r>
          </w:p>
        </w:tc>
        <w:tc>
          <w:tcPr>
            <w:tcW w:w="1769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8CC3A8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100.0–155.0</w:t>
            </w:r>
          </w:p>
        </w:tc>
        <w:tc>
          <w:tcPr>
            <w:tcW w:w="769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DEE9C1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6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5E6338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0DBCD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  <w:jc w:val="center"/>
        </w:trPr>
        <w:tc>
          <w:tcPr>
            <w:tcW w:w="1769" w:type="dxa"/>
            <w:gridSpan w:val="2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4BA4AF5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BMI (Kg/m</w:t>
            </w: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207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9DA73F8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Median (IQR)</w:t>
            </w:r>
          </w:p>
        </w:tc>
        <w:tc>
          <w:tcPr>
            <w:tcW w:w="1846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C9FB83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17.0 (15.6–19.0)</w:t>
            </w:r>
          </w:p>
        </w:tc>
        <w:tc>
          <w:tcPr>
            <w:tcW w:w="1769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66A64D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21.35 (19.5–24.0)</w:t>
            </w:r>
          </w:p>
        </w:tc>
        <w:tc>
          <w:tcPr>
            <w:tcW w:w="769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AAAECD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4.963</w:t>
            </w:r>
          </w:p>
        </w:tc>
        <w:tc>
          <w:tcPr>
            <w:tcW w:w="846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A4D979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╪</w:t>
            </w:r>
          </w:p>
        </w:tc>
      </w:tr>
      <w:tr w14:paraId="2428D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  <w:jc w:val="center"/>
        </w:trPr>
        <w:tc>
          <w:tcPr>
            <w:tcW w:w="1769" w:type="dxa"/>
            <w:gridSpan w:val="2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FE701BC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C3A42D7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Min.–Max.</w:t>
            </w:r>
          </w:p>
        </w:tc>
        <w:tc>
          <w:tcPr>
            <w:tcW w:w="1846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2231F2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11.0–31.8</w:t>
            </w:r>
          </w:p>
        </w:tc>
        <w:tc>
          <w:tcPr>
            <w:tcW w:w="1769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86DF38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15.0–33.0</w:t>
            </w:r>
          </w:p>
        </w:tc>
        <w:tc>
          <w:tcPr>
            <w:tcW w:w="769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D255BC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6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D3E254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0771D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  <w:jc w:val="center"/>
        </w:trPr>
        <w:tc>
          <w:tcPr>
            <w:tcW w:w="1769" w:type="dxa"/>
            <w:gridSpan w:val="2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E804F3E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MAC (cm)</w:t>
            </w:r>
          </w:p>
        </w:tc>
        <w:tc>
          <w:tcPr>
            <w:tcW w:w="207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B6CDDBC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Median (IQR)</w:t>
            </w:r>
          </w:p>
        </w:tc>
        <w:tc>
          <w:tcPr>
            <w:tcW w:w="1846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A83317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19 (18–24)</w:t>
            </w:r>
          </w:p>
        </w:tc>
        <w:tc>
          <w:tcPr>
            <w:tcW w:w="1769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60D769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27.0 (23.0–35.0)</w:t>
            </w:r>
          </w:p>
        </w:tc>
        <w:tc>
          <w:tcPr>
            <w:tcW w:w="769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D8BB9A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5.545</w:t>
            </w:r>
          </w:p>
        </w:tc>
        <w:tc>
          <w:tcPr>
            <w:tcW w:w="846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45E0EF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╪</w:t>
            </w:r>
          </w:p>
        </w:tc>
      </w:tr>
      <w:tr w14:paraId="460B2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  <w:jc w:val="center"/>
        </w:trPr>
        <w:tc>
          <w:tcPr>
            <w:tcW w:w="1769" w:type="dxa"/>
            <w:gridSpan w:val="2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5A46D75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007F581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Min.–Max.</w:t>
            </w:r>
          </w:p>
        </w:tc>
        <w:tc>
          <w:tcPr>
            <w:tcW w:w="1846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C61FAB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10.0–31.0</w:t>
            </w:r>
          </w:p>
        </w:tc>
        <w:tc>
          <w:tcPr>
            <w:tcW w:w="1769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5DC997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15.0–35.0</w:t>
            </w:r>
          </w:p>
        </w:tc>
        <w:tc>
          <w:tcPr>
            <w:tcW w:w="769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AF9822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6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102733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2AD82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  <w:jc w:val="center"/>
        </w:trPr>
        <w:tc>
          <w:tcPr>
            <w:tcW w:w="1769" w:type="dxa"/>
            <w:gridSpan w:val="2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5788CB2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SFC (mm)</w:t>
            </w:r>
          </w:p>
        </w:tc>
        <w:tc>
          <w:tcPr>
            <w:tcW w:w="207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CBA60C7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Mean± SD</w:t>
            </w:r>
          </w:p>
        </w:tc>
        <w:tc>
          <w:tcPr>
            <w:tcW w:w="1846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51FA38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19.38± 6.57</w:t>
            </w:r>
          </w:p>
        </w:tc>
        <w:tc>
          <w:tcPr>
            <w:tcW w:w="1769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9D09DB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24.79± 5.42</w:t>
            </w:r>
          </w:p>
        </w:tc>
        <w:tc>
          <w:tcPr>
            <w:tcW w:w="769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3409B5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4.113</w:t>
            </w:r>
          </w:p>
        </w:tc>
        <w:tc>
          <w:tcPr>
            <w:tcW w:w="846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093B16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#</w:t>
            </w:r>
          </w:p>
          <w:p w14:paraId="1D0A2FC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096FE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  <w:jc w:val="center"/>
        </w:trPr>
        <w:tc>
          <w:tcPr>
            <w:tcW w:w="1769" w:type="dxa"/>
            <w:gridSpan w:val="2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09042F6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965A6CA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Min.–Max.</w:t>
            </w:r>
          </w:p>
        </w:tc>
        <w:tc>
          <w:tcPr>
            <w:tcW w:w="1846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BBC81E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9.0–30.0</w:t>
            </w:r>
          </w:p>
        </w:tc>
        <w:tc>
          <w:tcPr>
            <w:tcW w:w="1769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9D051C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13.0–35.0</w:t>
            </w:r>
          </w:p>
        </w:tc>
        <w:tc>
          <w:tcPr>
            <w:tcW w:w="769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7DD6D5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6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4B7C79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52210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  <w:jc w:val="center"/>
        </w:trPr>
        <w:tc>
          <w:tcPr>
            <w:tcW w:w="1769" w:type="dxa"/>
            <w:gridSpan w:val="2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5A1E853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WC (cm)</w:t>
            </w:r>
          </w:p>
        </w:tc>
        <w:tc>
          <w:tcPr>
            <w:tcW w:w="207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F5A7059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Median (IQR)</w:t>
            </w:r>
          </w:p>
        </w:tc>
        <w:tc>
          <w:tcPr>
            <w:tcW w:w="1846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B94E90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62.0 (57.0–69.0)</w:t>
            </w:r>
          </w:p>
        </w:tc>
        <w:tc>
          <w:tcPr>
            <w:tcW w:w="1769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ABBFA6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62.0 (55.0–66.0)</w:t>
            </w:r>
          </w:p>
        </w:tc>
        <w:tc>
          <w:tcPr>
            <w:tcW w:w="769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881DA8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7.193</w:t>
            </w:r>
          </w:p>
        </w:tc>
        <w:tc>
          <w:tcPr>
            <w:tcW w:w="846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8A8F47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0.427</w:t>
            </w: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╪</w:t>
            </w:r>
          </w:p>
          <w:p w14:paraId="14B72C0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1D9F8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  <w:jc w:val="center"/>
        </w:trPr>
        <w:tc>
          <w:tcPr>
            <w:tcW w:w="1769" w:type="dxa"/>
            <w:gridSpan w:val="2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9398EF8">
            <w:pPr>
              <w:spacing w:after="0" w:line="240" w:lineRule="auto"/>
              <w:rPr>
                <w:rFonts w:hint="default" w:ascii="Times New Roman" w:hAnsi="Times New Roman" w:eastAsia="Calibri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02EB150">
            <w:pPr>
              <w:spacing w:after="0" w:line="240" w:lineRule="auto"/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Min.–Max.</w:t>
            </w:r>
          </w:p>
        </w:tc>
        <w:tc>
          <w:tcPr>
            <w:tcW w:w="1846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A550F2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color w:val="000000"/>
                <w:kern w:val="0"/>
                <w:sz w:val="20"/>
                <w:szCs w:val="20"/>
                <w14:ligatures w14:val="none"/>
              </w:rPr>
              <w:t>20.0–95.0</w:t>
            </w:r>
          </w:p>
        </w:tc>
        <w:tc>
          <w:tcPr>
            <w:tcW w:w="1769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C32EA6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Calibri" w:cs="Times New Roman"/>
                <w:color w:val="000000"/>
                <w:kern w:val="0"/>
                <w:sz w:val="20"/>
                <w:szCs w:val="20"/>
                <w14:ligatures w14:val="none"/>
              </w:rPr>
              <w:t>48.0–71.0</w:t>
            </w:r>
          </w:p>
        </w:tc>
        <w:tc>
          <w:tcPr>
            <w:tcW w:w="769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857B48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6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7B59EF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6F5666E6">
      <w:pPr>
        <w:spacing w:after="200" w:line="276" w:lineRule="auto"/>
        <w:ind w:right="-990" w:firstLine="160" w:firstLineChars="100"/>
        <w:rPr>
          <w:rFonts w:hint="default" w:ascii="Times New Roman" w:hAnsi="Times New Roman" w:eastAsia="Calibri" w:cs="Times New Roman"/>
          <w:kern w:val="0"/>
          <w:sz w:val="16"/>
          <w:szCs w:val="16"/>
          <w:lang w:val="en-US"/>
          <w14:ligatures w14:val="none"/>
        </w:rPr>
      </w:pPr>
      <w:r>
        <w:rPr>
          <w:rFonts w:ascii="Times New Roman" w:hAnsi="Times New Roman" w:eastAsia="Calibri" w:cs="Times New Roman"/>
          <w:kern w:val="0"/>
          <w:sz w:val="16"/>
          <w:szCs w:val="16"/>
          <w14:ligatures w14:val="none"/>
        </w:rPr>
        <w:t xml:space="preserve">p&gt;0.05 is non-significant; p≤0.05 is significant. #Student T test, , </w:t>
      </w:r>
      <w:r>
        <w:rPr>
          <w:rFonts w:ascii="Times New Roman" w:hAnsi="Times New Roman" w:eastAsia="Calibri" w:cs="Times New Roman"/>
          <w:kern w:val="0"/>
          <w:sz w:val="16"/>
          <w:szCs w:val="16"/>
          <w:vertAlign w:val="superscript"/>
          <w14:ligatures w14:val="none"/>
        </w:rPr>
        <w:t>╪</w:t>
      </w:r>
      <w:r>
        <w:rPr>
          <w:rFonts w:ascii="Times New Roman" w:hAnsi="Times New Roman" w:eastAsia="Calibri" w:cs="Times New Roman"/>
          <w:kern w:val="0"/>
          <w:sz w:val="16"/>
          <w:szCs w:val="16"/>
          <w14:ligatures w14:val="none"/>
        </w:rPr>
        <w:t xml:space="preserve"> Mann- Whitney U test, </w:t>
      </w:r>
      <w:r>
        <w:rPr>
          <w:rFonts w:ascii="Times New Roman" w:hAnsi="Times New Roman" w:eastAsia="Calibri" w:cs="Times New Roman"/>
          <w:kern w:val="0"/>
          <w:sz w:val="16"/>
          <w:szCs w:val="16"/>
          <w:vertAlign w:val="superscript"/>
          <w14:ligatures w14:val="none"/>
        </w:rPr>
        <w:t>‡</w:t>
      </w:r>
      <w:r>
        <w:rPr>
          <w:rFonts w:ascii="Times New Roman" w:hAnsi="Times New Roman" w:eastAsia="Calibri" w:cs="Times New Roman"/>
          <w:kern w:val="0"/>
          <w:sz w:val="16"/>
          <w:szCs w:val="16"/>
          <w14:ligatures w14:val="none"/>
        </w:rPr>
        <w:t>Chi-square test, BMI: Body Mass Index</w:t>
      </w:r>
      <w:r>
        <w:rPr>
          <w:rFonts w:hint="default" w:ascii="Times New Roman" w:hAnsi="Times New Roman" w:eastAsia="Calibri" w:cs="Times New Roman"/>
          <w:kern w:val="0"/>
          <w:sz w:val="16"/>
          <w:szCs w:val="16"/>
          <w:lang w:val="en-US"/>
          <w14:ligatures w14:val="none"/>
        </w:rPr>
        <w:t>.</w:t>
      </w:r>
    </w:p>
    <w:p w14:paraId="064930F6">
      <w:pPr>
        <w:spacing w:after="200" w:line="276" w:lineRule="auto"/>
        <w:ind w:right="-990" w:firstLine="160" w:firstLineChars="100"/>
        <w:rPr>
          <w:rFonts w:eastAsia="Calibri" w:asciiTheme="majorBidi" w:hAnsiTheme="majorBidi" w:cstheme="majorBidi"/>
          <w:kern w:val="0"/>
          <w:sz w:val="20"/>
          <w:szCs w:val="20"/>
          <w:lang w:val="en-GB"/>
          <w14:ligatures w14:val="none"/>
        </w:rPr>
      </w:pPr>
      <w:r>
        <w:rPr>
          <w:rFonts w:ascii="Times New Roman" w:hAnsi="Times New Roman" w:eastAsia="Calibri" w:cs="Times New Roman"/>
          <w:kern w:val="0"/>
          <w:sz w:val="16"/>
          <w:szCs w:val="16"/>
          <w14:ligatures w14:val="none"/>
        </w:rPr>
        <w:t xml:space="preserve"> MAC: Mid-Arm Circumference, SFC:</w:t>
      </w:r>
      <w:r>
        <w:rPr>
          <w:rFonts w:ascii="Calibri" w:hAnsi="Calibri" w:eastAsia="Calibri" w:cs="Arial"/>
          <w:kern w:val="0"/>
          <w:sz w:val="16"/>
          <w:szCs w:val="16"/>
          <w14:ligatures w14:val="none"/>
        </w:rPr>
        <w:t xml:space="preserve"> </w:t>
      </w:r>
      <w:r>
        <w:rPr>
          <w:rFonts w:ascii="Times New Roman" w:hAnsi="Times New Roman" w:eastAsia="Calibri" w:cs="Times New Roman"/>
          <w:kern w:val="0"/>
          <w:sz w:val="16"/>
          <w:szCs w:val="16"/>
          <w14:ligatures w14:val="none"/>
        </w:rPr>
        <w:t>Subcutaneous Fat Caliper, WC: Waist Circumference</w:t>
      </w:r>
    </w:p>
    <w:p w14:paraId="2AC94355">
      <w:pPr>
        <w:autoSpaceDE w:val="0"/>
        <w:autoSpaceDN w:val="0"/>
        <w:adjustRightInd w:val="0"/>
        <w:spacing w:before="120" w:after="120" w:line="360" w:lineRule="auto"/>
        <w:jc w:val="both"/>
        <w:rPr>
          <w:rFonts w:eastAsia="Calibri" w:asciiTheme="majorBidi" w:hAnsiTheme="majorBidi" w:cstheme="majorBidi"/>
          <w:b/>
          <w:bCs/>
          <w:kern w:val="0"/>
          <w:sz w:val="20"/>
          <w:szCs w:val="20"/>
          <w14:ligatures w14:val="none"/>
        </w:rPr>
      </w:pPr>
    </w:p>
    <w:p w14:paraId="64CBDA1F">
      <w:pPr>
        <w:spacing w:before="120" w:after="120" w:line="360" w:lineRule="auto"/>
        <w:jc w:val="both"/>
        <w:outlineLvl w:val="1"/>
        <w:rPr>
          <w:rFonts w:eastAsia="Calibri" w:asciiTheme="majorBidi" w:hAnsiTheme="majorBidi" w:cstheme="majorBidi"/>
          <w:b/>
          <w:bCs/>
          <w:kern w:val="0"/>
          <w:sz w:val="20"/>
          <w:szCs w:val="20"/>
          <w14:ligatures w14:val="none"/>
        </w:rPr>
      </w:pPr>
    </w:p>
    <w:p w14:paraId="381BD74D">
      <w:pPr>
        <w:spacing w:before="120" w:after="120" w:line="360" w:lineRule="auto"/>
        <w:jc w:val="both"/>
        <w:outlineLvl w:val="1"/>
        <w:rPr>
          <w:rFonts w:eastAsia="Calibri" w:asciiTheme="majorBidi" w:hAnsiTheme="majorBidi" w:cstheme="majorBidi"/>
          <w:b/>
          <w:bCs/>
          <w:kern w:val="0"/>
          <w:sz w:val="20"/>
          <w:szCs w:val="20"/>
          <w14:ligatures w14:val="none"/>
        </w:rPr>
      </w:pPr>
    </w:p>
    <w:p w14:paraId="5541D943">
      <w:pPr>
        <w:spacing w:before="120" w:after="120" w:line="360" w:lineRule="auto"/>
        <w:jc w:val="both"/>
        <w:outlineLvl w:val="1"/>
        <w:rPr>
          <w:rFonts w:eastAsia="Calibri" w:asciiTheme="majorBidi" w:hAnsiTheme="majorBidi" w:cstheme="majorBidi"/>
          <w:b/>
          <w:bCs/>
          <w:kern w:val="0"/>
          <w:sz w:val="20"/>
          <w:szCs w:val="20"/>
          <w14:ligatures w14:val="none"/>
        </w:rPr>
      </w:pPr>
      <w:r>
        <w:rPr>
          <w:rFonts w:eastAsia="Calibri" w:asciiTheme="majorBidi" w:hAnsiTheme="majorBidi" w:cstheme="majorBidi"/>
          <w:b/>
          <w:bCs/>
          <w:kern w:val="0"/>
          <w:sz w:val="20"/>
          <w:szCs w:val="20"/>
          <w14:ligatures w14:val="none"/>
        </w:rPr>
        <w:t>Correlation of Muscle</w:t>
      </w:r>
      <w:r>
        <w:rPr>
          <w:rFonts w:hint="default" w:eastAsia="Calibri" w:asciiTheme="majorBidi" w:hAnsiTheme="majorBidi" w:cstheme="majorBidi"/>
          <w:b/>
          <w:bCs/>
          <w:kern w:val="0"/>
          <w:sz w:val="20"/>
          <w:szCs w:val="20"/>
          <w:lang w:val="en-US"/>
          <w14:ligatures w14:val="none"/>
        </w:rPr>
        <w:t xml:space="preserve"> </w:t>
      </w:r>
      <w:r>
        <w:rPr>
          <w:rFonts w:eastAsia="Calibri" w:asciiTheme="majorBidi" w:hAnsiTheme="majorBidi" w:cstheme="majorBidi"/>
          <w:b/>
          <w:bCs/>
          <w:kern w:val="0"/>
          <w:sz w:val="20"/>
          <w:szCs w:val="20"/>
          <w14:ligatures w14:val="none"/>
        </w:rPr>
        <w:t>with Clinical, Nutritional, and Laboratory Parameters in Children on Hemodialysis</w:t>
      </w:r>
    </w:p>
    <w:p w14:paraId="79A2C96A">
      <w:pPr>
        <w:spacing w:before="120" w:after="120" w:line="360" w:lineRule="auto"/>
        <w:jc w:val="both"/>
        <w:outlineLvl w:val="1"/>
        <w:rPr>
          <w:rFonts w:eastAsia="Calibri" w:asciiTheme="majorBidi" w:hAnsiTheme="majorBidi" w:cstheme="majorBidi"/>
          <w:kern w:val="0"/>
          <w:sz w:val="20"/>
          <w:szCs w:val="20"/>
          <w:lang w:val="en-GB"/>
          <w14:ligatures w14:val="none"/>
        </w:rPr>
      </w:pPr>
      <w:r>
        <w:rPr>
          <w:rFonts w:eastAsia="Calibri" w:asciiTheme="majorBidi" w:hAnsiTheme="majorBidi" w:cstheme="majorBidi"/>
          <w:kern w:val="0"/>
          <w:sz w:val="20"/>
          <w:szCs w:val="20"/>
          <w:lang w:val="en-GB"/>
          <w14:ligatures w14:val="none"/>
        </w:rPr>
        <w:t>As shown in Table 5, association analysis illustrated that total caloric intake was positively related to muscle thickness, including rectus femoris (r = 0.573, p &lt; 0.001), vastus intermedius (r = 0.486, p = 0.001), vastus medialis (r = 0.422, p = 0.006), and vastus lateralis (r = 0.290, p = 0.066). In addition, protein intake showed significant positive correlations with rectus femoris (r = 0.427, p = 0.005), vastus intermedius (r = 0.444, p = 0.004), vastus medialis (r = 0.514, p = 0.001), and vastus lateralis (r = 0.354, p = 0.023).</w:t>
      </w:r>
    </w:p>
    <w:p w14:paraId="740AFF5B">
      <w:pPr>
        <w:spacing w:before="120" w:after="120" w:line="360" w:lineRule="auto"/>
        <w:jc w:val="both"/>
        <w:outlineLvl w:val="1"/>
        <w:rPr>
          <w:rFonts w:eastAsia="Calibri" w:asciiTheme="majorBidi" w:hAnsiTheme="majorBidi" w:cstheme="majorBidi"/>
          <w:kern w:val="0"/>
          <w:sz w:val="20"/>
          <w:szCs w:val="20"/>
          <w:lang w:val="en-GB"/>
          <w14:ligatures w14:val="none"/>
        </w:rPr>
      </w:pPr>
      <w:r>
        <w:rPr>
          <w:rFonts w:eastAsia="Calibri" w:asciiTheme="majorBidi" w:hAnsiTheme="majorBidi" w:cstheme="majorBidi"/>
          <w:kern w:val="0"/>
          <w:sz w:val="20"/>
          <w:szCs w:val="20"/>
          <w:lang w:val="en-GB"/>
          <w14:ligatures w14:val="none"/>
        </w:rPr>
        <w:t>Renal function markers, particularly creatinine, were positively correlated with all muscle thickness measurements: rectus femoris (r = 0.604, p &lt; 0.001), vastus intermedius (r = 0.480, p = 0.001), vastus medialis (r = 0.526, p &lt; 0.001), and vastus lateralis (r = 0.467, p = 0.002). Other laboratory parameters, including total protein, albumin, calcium, phosphorus, UA, and lipid profile, showed no significant correlations with muscle thickness.</w:t>
      </w:r>
    </w:p>
    <w:p w14:paraId="404FB042">
      <w:pPr>
        <w:spacing w:after="0" w:line="240" w:lineRule="auto"/>
        <w:ind w:right="-1141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  <w:r>
        <w:rPr>
          <w:rFonts w:asciiTheme="majorBidi" w:hAnsiTheme="majorBidi" w:cstheme="majorBidi"/>
          <w:b/>
          <w:bCs/>
          <w:sz w:val="20"/>
          <w:szCs w:val="20"/>
          <w:lang w:bidi="ar-EG"/>
        </w:rPr>
        <w:t>Table (5): Correlation of muscle thickness with clinical, nutritional, and laboratory parameters in hemodialysis children.</w:t>
      </w:r>
    </w:p>
    <w:tbl>
      <w:tblPr>
        <w:tblStyle w:val="4"/>
        <w:tblW w:w="10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0"/>
        <w:gridCol w:w="810"/>
        <w:gridCol w:w="990"/>
        <w:gridCol w:w="990"/>
        <w:gridCol w:w="993"/>
        <w:gridCol w:w="807"/>
        <w:gridCol w:w="1080"/>
        <w:gridCol w:w="8"/>
        <w:gridCol w:w="892"/>
        <w:gridCol w:w="1080"/>
      </w:tblGrid>
      <w:tr w14:paraId="2E436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610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C299BAF">
            <w:pPr>
              <w:spacing w:after="0" w:line="240" w:lineRule="auto"/>
              <w:jc w:val="center"/>
              <w:textAlignment w:val="top"/>
              <w:rPr>
                <w:rFonts w:hint="default" w:ascii="Times New Roman" w:hAnsi="Times New Roman" w:eastAsia="Calibri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 w14:paraId="73465BE4">
            <w:pPr>
              <w:spacing w:after="0" w:line="240" w:lineRule="auto"/>
              <w:jc w:val="center"/>
              <w:textAlignment w:val="top"/>
              <w:rPr>
                <w:rFonts w:hint="default" w:ascii="Times New Roman" w:hAnsi="Times New Roman" w:eastAsia="Calibri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sz w:val="20"/>
                <w:szCs w:val="20"/>
              </w:rPr>
              <w:t>Rectus femoris thickness (mm)</w:t>
            </w:r>
          </w:p>
        </w:tc>
        <w:tc>
          <w:tcPr>
            <w:tcW w:w="1983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 w14:paraId="6D40396E">
            <w:pPr>
              <w:spacing w:after="0" w:line="240" w:lineRule="auto"/>
              <w:jc w:val="center"/>
              <w:textAlignment w:val="top"/>
              <w:rPr>
                <w:rFonts w:hint="default" w:ascii="Times New Roman" w:hAnsi="Times New Roman" w:eastAsia="Calibri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sz w:val="20"/>
                <w:szCs w:val="20"/>
              </w:rPr>
              <w:t>Vastus intermedius (mm)</w:t>
            </w:r>
          </w:p>
        </w:tc>
        <w:tc>
          <w:tcPr>
            <w:tcW w:w="1895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 w14:paraId="53E817B0">
            <w:pPr>
              <w:spacing w:after="0" w:line="240" w:lineRule="auto"/>
              <w:jc w:val="center"/>
              <w:textAlignment w:val="top"/>
              <w:rPr>
                <w:rFonts w:hint="default" w:ascii="Times New Roman" w:hAnsi="Times New Roman" w:eastAsia="Calibri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sz w:val="20"/>
                <w:szCs w:val="20"/>
              </w:rPr>
              <w:t>Vastus medialis (mm)</w:t>
            </w:r>
          </w:p>
        </w:tc>
        <w:tc>
          <w:tcPr>
            <w:tcW w:w="1972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 w14:paraId="09E195FB">
            <w:pPr>
              <w:spacing w:after="0" w:line="240" w:lineRule="auto"/>
              <w:jc w:val="center"/>
              <w:textAlignment w:val="top"/>
              <w:rPr>
                <w:rFonts w:hint="default" w:ascii="Times New Roman" w:hAnsi="Times New Roman" w:eastAsia="Calibri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sz w:val="20"/>
                <w:szCs w:val="20"/>
              </w:rPr>
              <w:t>Vastus lateralis (mm)</w:t>
            </w:r>
          </w:p>
        </w:tc>
      </w:tr>
      <w:tr w14:paraId="0A01C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  <w:jc w:val="center"/>
        </w:trPr>
        <w:tc>
          <w:tcPr>
            <w:tcW w:w="2610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AA8E65E">
            <w:pPr>
              <w:spacing w:after="0" w:line="240" w:lineRule="auto"/>
              <w:jc w:val="center"/>
              <w:textAlignment w:val="top"/>
              <w:rPr>
                <w:rFonts w:hint="default" w:ascii="Times New Roman" w:hAnsi="Times New Roman" w:eastAsia="Calibri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C9A9EBB">
            <w:pPr>
              <w:spacing w:after="0" w:line="240" w:lineRule="auto"/>
              <w:jc w:val="center"/>
              <w:textAlignment w:val="top"/>
              <w:rPr>
                <w:rFonts w:hint="default" w:ascii="Times New Roman" w:hAnsi="Times New Roman" w:eastAsia="Calibri" w:cs="Times New Roman"/>
                <w:b/>
                <w:i/>
                <w:iCs/>
                <w:color w:val="000000"/>
                <w:sz w:val="20"/>
                <w:szCs w:val="20"/>
                <w:lang w:bidi="ar-EG"/>
              </w:rPr>
            </w:pPr>
            <w:r>
              <w:rPr>
                <w:rFonts w:hint="default" w:ascii="Times New Roman" w:hAnsi="Times New Roman" w:eastAsia="Calibri" w:cs="Times New Roman"/>
                <w:b/>
                <w:i/>
                <w:iCs/>
                <w:color w:val="000000"/>
                <w:sz w:val="20"/>
                <w:szCs w:val="20"/>
                <w:lang w:bidi="ar-EG"/>
              </w:rPr>
              <w:t>r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2C84C12">
            <w:pPr>
              <w:spacing w:after="0" w:line="240" w:lineRule="auto"/>
              <w:jc w:val="center"/>
              <w:textAlignment w:val="top"/>
              <w:rPr>
                <w:rFonts w:hint="default" w:ascii="Times New Roman" w:hAnsi="Times New Roman" w:eastAsia="Calibri" w:cs="Times New Roman"/>
                <w:b/>
                <w:i/>
                <w:iCs/>
                <w:color w:val="000000"/>
                <w:sz w:val="20"/>
                <w:szCs w:val="20"/>
                <w:lang w:bidi="ar-EG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91B03D0">
            <w:pPr>
              <w:spacing w:after="0" w:line="240" w:lineRule="auto"/>
              <w:jc w:val="center"/>
              <w:textAlignment w:val="top"/>
              <w:rPr>
                <w:rFonts w:hint="default" w:ascii="Times New Roman" w:hAnsi="Times New Roman" w:eastAsia="Calibri" w:cs="Times New Roman"/>
                <w:b/>
                <w:i/>
                <w:iCs/>
                <w:color w:val="000000"/>
                <w:sz w:val="20"/>
                <w:szCs w:val="20"/>
                <w:lang w:bidi="ar-EG"/>
              </w:rPr>
            </w:pPr>
            <w:r>
              <w:rPr>
                <w:rFonts w:hint="default" w:ascii="Times New Roman" w:hAnsi="Times New Roman" w:eastAsia="Calibri" w:cs="Times New Roman"/>
                <w:b/>
                <w:i/>
                <w:iCs/>
                <w:color w:val="000000"/>
                <w:sz w:val="20"/>
                <w:szCs w:val="20"/>
                <w:lang w:bidi="ar-EG"/>
              </w:rPr>
              <w:t>r</w:t>
            </w:r>
          </w:p>
        </w:tc>
        <w:tc>
          <w:tcPr>
            <w:tcW w:w="99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C6E2205">
            <w:pPr>
              <w:spacing w:after="0" w:line="240" w:lineRule="auto"/>
              <w:jc w:val="center"/>
              <w:textAlignment w:val="top"/>
              <w:rPr>
                <w:rFonts w:hint="default" w:ascii="Times New Roman" w:hAnsi="Times New Roman" w:eastAsia="Calibri" w:cs="Times New Roman"/>
                <w:b/>
                <w:i/>
                <w:iCs/>
                <w:color w:val="000000"/>
                <w:sz w:val="20"/>
                <w:szCs w:val="20"/>
                <w:lang w:bidi="ar-EG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8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81C1A65">
            <w:pPr>
              <w:spacing w:after="0" w:line="240" w:lineRule="auto"/>
              <w:jc w:val="center"/>
              <w:textAlignment w:val="top"/>
              <w:rPr>
                <w:rFonts w:hint="default" w:ascii="Times New Roman" w:hAnsi="Times New Roman" w:eastAsia="Calibri" w:cs="Times New Roman"/>
                <w:b/>
                <w:i/>
                <w:iCs/>
                <w:color w:val="000000"/>
                <w:sz w:val="20"/>
                <w:szCs w:val="20"/>
                <w:lang w:bidi="ar-EG"/>
              </w:rPr>
            </w:pPr>
            <w:r>
              <w:rPr>
                <w:rFonts w:hint="default" w:ascii="Times New Roman" w:hAnsi="Times New Roman" w:eastAsia="Calibri" w:cs="Times New Roman"/>
                <w:b/>
                <w:i/>
                <w:iCs/>
                <w:color w:val="000000"/>
                <w:sz w:val="20"/>
                <w:szCs w:val="20"/>
                <w:lang w:bidi="ar-EG"/>
              </w:rPr>
              <w:t>r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92D62D7">
            <w:pPr>
              <w:spacing w:after="0" w:line="240" w:lineRule="auto"/>
              <w:jc w:val="center"/>
              <w:textAlignment w:val="top"/>
              <w:rPr>
                <w:rFonts w:hint="default" w:ascii="Times New Roman" w:hAnsi="Times New Roman" w:eastAsia="Calibri" w:cs="Times New Roman"/>
                <w:b/>
                <w:i/>
                <w:iCs/>
                <w:color w:val="000000"/>
                <w:sz w:val="20"/>
                <w:szCs w:val="20"/>
                <w:lang w:bidi="ar-EG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900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D35BD41">
            <w:pPr>
              <w:spacing w:after="0" w:line="240" w:lineRule="auto"/>
              <w:jc w:val="center"/>
              <w:textAlignment w:val="top"/>
              <w:rPr>
                <w:rFonts w:hint="default" w:ascii="Times New Roman" w:hAnsi="Times New Roman" w:eastAsia="Calibri" w:cs="Times New Roman"/>
                <w:b/>
                <w:i/>
                <w:iCs/>
                <w:color w:val="000000"/>
                <w:sz w:val="20"/>
                <w:szCs w:val="20"/>
                <w:lang w:bidi="ar-EG"/>
              </w:rPr>
            </w:pPr>
            <w:r>
              <w:rPr>
                <w:rFonts w:hint="default" w:ascii="Times New Roman" w:hAnsi="Times New Roman" w:eastAsia="Calibri" w:cs="Times New Roman"/>
                <w:b/>
                <w:i/>
                <w:iCs/>
                <w:color w:val="000000"/>
                <w:sz w:val="20"/>
                <w:szCs w:val="20"/>
                <w:lang w:bidi="ar-EG"/>
              </w:rPr>
              <w:t>r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1AA36B6">
            <w:pPr>
              <w:spacing w:after="0" w:line="240" w:lineRule="auto"/>
              <w:jc w:val="center"/>
              <w:textAlignment w:val="top"/>
              <w:rPr>
                <w:rFonts w:hint="default" w:ascii="Times New Roman" w:hAnsi="Times New Roman" w:eastAsia="Calibri" w:cs="Times New Roman"/>
                <w:b/>
                <w:i/>
                <w:iCs/>
                <w:color w:val="000000"/>
                <w:sz w:val="20"/>
                <w:szCs w:val="20"/>
                <w:lang w:bidi="ar-EG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14:paraId="3B656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26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0E1062B">
            <w:pPr>
              <w:spacing w:after="0" w:line="240" w:lineRule="auto"/>
              <w:textAlignment w:val="top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 Age (years)</w:t>
            </w:r>
          </w:p>
        </w:tc>
        <w:tc>
          <w:tcPr>
            <w:tcW w:w="8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3B6638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0.048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7143B6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0.767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E38E20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-0.011</w:t>
            </w:r>
          </w:p>
        </w:tc>
        <w:tc>
          <w:tcPr>
            <w:tcW w:w="99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743CBB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0.945</w:t>
            </w:r>
          </w:p>
        </w:tc>
        <w:tc>
          <w:tcPr>
            <w:tcW w:w="8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EEABC3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E426AA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0.696</w:t>
            </w:r>
          </w:p>
        </w:tc>
        <w:tc>
          <w:tcPr>
            <w:tcW w:w="900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5038EF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490A06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0.760</w:t>
            </w:r>
          </w:p>
        </w:tc>
      </w:tr>
      <w:tr w14:paraId="4ECBB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26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CFB6F20">
            <w:pPr>
              <w:spacing w:after="0" w:line="240" w:lineRule="auto"/>
              <w:textAlignment w:val="top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Dialysis duration (years)</w:t>
            </w:r>
          </w:p>
        </w:tc>
        <w:tc>
          <w:tcPr>
            <w:tcW w:w="8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4E2E6B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0.106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FB97D8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0.510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A12753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-0.030</w:t>
            </w:r>
          </w:p>
        </w:tc>
        <w:tc>
          <w:tcPr>
            <w:tcW w:w="99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127CDD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0.852</w:t>
            </w:r>
          </w:p>
        </w:tc>
        <w:tc>
          <w:tcPr>
            <w:tcW w:w="8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F11A66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-0.099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3296E5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0.540</w:t>
            </w:r>
          </w:p>
        </w:tc>
        <w:tc>
          <w:tcPr>
            <w:tcW w:w="900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77B174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-0.153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838316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0.339</w:t>
            </w:r>
          </w:p>
        </w:tc>
      </w:tr>
      <w:tr w14:paraId="3B1AC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26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759021B">
            <w:pPr>
              <w:spacing w:after="0" w:line="240" w:lineRule="auto"/>
              <w:textAlignment w:val="top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BMI</w:t>
            </w:r>
          </w:p>
        </w:tc>
        <w:tc>
          <w:tcPr>
            <w:tcW w:w="8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CB2C23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0D0995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0.647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D9823C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0.164</w:t>
            </w:r>
          </w:p>
        </w:tc>
        <w:tc>
          <w:tcPr>
            <w:tcW w:w="99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0A2775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0.299</w:t>
            </w:r>
          </w:p>
        </w:tc>
        <w:tc>
          <w:tcPr>
            <w:tcW w:w="8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3C8445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4F2258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0.744</w:t>
            </w:r>
          </w:p>
        </w:tc>
        <w:tc>
          <w:tcPr>
            <w:tcW w:w="900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89786A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0.159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815E5B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0.314</w:t>
            </w:r>
          </w:p>
        </w:tc>
      </w:tr>
      <w:tr w14:paraId="02C43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26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E1EE3AE">
            <w:pPr>
              <w:spacing w:after="0" w:line="240" w:lineRule="auto"/>
              <w:textAlignment w:val="top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KT/V</w:t>
            </w:r>
          </w:p>
        </w:tc>
        <w:tc>
          <w:tcPr>
            <w:tcW w:w="8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211402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0.098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AD7365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0.536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D4C927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-0.187</w:t>
            </w:r>
          </w:p>
        </w:tc>
        <w:tc>
          <w:tcPr>
            <w:tcW w:w="99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D9B46E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0.236</w:t>
            </w:r>
          </w:p>
        </w:tc>
        <w:tc>
          <w:tcPr>
            <w:tcW w:w="8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8FAFE4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-0.070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FFAC4C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0.661</w:t>
            </w:r>
          </w:p>
        </w:tc>
        <w:tc>
          <w:tcPr>
            <w:tcW w:w="900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25C33C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-0.128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63A39B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0.420</w:t>
            </w:r>
          </w:p>
        </w:tc>
      </w:tr>
      <w:tr w14:paraId="1B46C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26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DC6CE8D">
            <w:pPr>
              <w:spacing w:after="0" w:line="240" w:lineRule="auto"/>
              <w:textAlignment w:val="top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Total calories</w:t>
            </w:r>
          </w:p>
        </w:tc>
        <w:tc>
          <w:tcPr>
            <w:tcW w:w="8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EEED84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0.573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BEB2F1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879B03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0.486</w:t>
            </w:r>
          </w:p>
        </w:tc>
        <w:tc>
          <w:tcPr>
            <w:tcW w:w="99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F6AE0D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8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23F5E7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0.422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4169E1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900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2BCBDE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0.290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DCEA2C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0.066</w:t>
            </w:r>
          </w:p>
        </w:tc>
      </w:tr>
      <w:tr w14:paraId="3466C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26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4D13E80">
            <w:pPr>
              <w:spacing w:after="0" w:line="240" w:lineRule="auto"/>
              <w:textAlignment w:val="top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Protein intake</w:t>
            </w:r>
          </w:p>
        </w:tc>
        <w:tc>
          <w:tcPr>
            <w:tcW w:w="8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A57777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0.427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88FB8B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CAE618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0.444</w:t>
            </w:r>
          </w:p>
        </w:tc>
        <w:tc>
          <w:tcPr>
            <w:tcW w:w="99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8E06D7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8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4D3ED4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0.514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141C8F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00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3C7198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0.354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82AFE3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0.023</w:t>
            </w:r>
          </w:p>
        </w:tc>
      </w:tr>
      <w:tr w14:paraId="1DC39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26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4E72310">
            <w:pPr>
              <w:spacing w:after="0" w:line="240" w:lineRule="auto"/>
              <w:textAlignment w:val="top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Fat intake</w:t>
            </w:r>
          </w:p>
        </w:tc>
        <w:tc>
          <w:tcPr>
            <w:tcW w:w="8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238F6C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-0.208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E60F61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0.191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8CD54C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-0.191</w:t>
            </w:r>
          </w:p>
        </w:tc>
        <w:tc>
          <w:tcPr>
            <w:tcW w:w="99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83A254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0.231</w:t>
            </w:r>
          </w:p>
        </w:tc>
        <w:tc>
          <w:tcPr>
            <w:tcW w:w="8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9B48CC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-0.099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E89776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0.540</w:t>
            </w:r>
          </w:p>
        </w:tc>
        <w:tc>
          <w:tcPr>
            <w:tcW w:w="900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AB74ED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-0.187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5594BF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0.242</w:t>
            </w:r>
          </w:p>
        </w:tc>
      </w:tr>
      <w:tr w14:paraId="7983C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26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386852B">
            <w:pPr>
              <w:spacing w:after="0" w:line="240" w:lineRule="auto"/>
              <w:textAlignment w:val="top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Creatinine (mg/dL)</w:t>
            </w:r>
          </w:p>
        </w:tc>
        <w:tc>
          <w:tcPr>
            <w:tcW w:w="8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AAFAC5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0.604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073913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C96143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0.480</w:t>
            </w:r>
          </w:p>
        </w:tc>
        <w:tc>
          <w:tcPr>
            <w:tcW w:w="99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4924EC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8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BE52F7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0.526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25AB5C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900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CFC936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0.467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0B060F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0.002</w:t>
            </w:r>
          </w:p>
        </w:tc>
      </w:tr>
      <w:tr w14:paraId="4E662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26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02A7D2D">
            <w:pPr>
              <w:spacing w:after="0" w:line="240" w:lineRule="auto"/>
              <w:textAlignment w:val="top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BUN (mg/dL)</w:t>
            </w:r>
          </w:p>
        </w:tc>
        <w:tc>
          <w:tcPr>
            <w:tcW w:w="8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910F79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AF770A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0.960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1A9F98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0.260</w:t>
            </w:r>
          </w:p>
        </w:tc>
        <w:tc>
          <w:tcPr>
            <w:tcW w:w="99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0D7A7A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0.096</w:t>
            </w:r>
          </w:p>
        </w:tc>
        <w:tc>
          <w:tcPr>
            <w:tcW w:w="8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C47C78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0.130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8BE444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0.411</w:t>
            </w:r>
          </w:p>
        </w:tc>
        <w:tc>
          <w:tcPr>
            <w:tcW w:w="900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64F625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0.198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E7D77B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0.210</w:t>
            </w:r>
          </w:p>
        </w:tc>
      </w:tr>
      <w:tr w14:paraId="1810D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26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EEBC032">
            <w:pPr>
              <w:spacing w:after="0" w:line="240" w:lineRule="auto"/>
              <w:textAlignment w:val="top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HB (g/dL)</w:t>
            </w:r>
          </w:p>
        </w:tc>
        <w:tc>
          <w:tcPr>
            <w:tcW w:w="8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539241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C297B3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0.661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E68BB2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-0.145</w:t>
            </w:r>
          </w:p>
        </w:tc>
        <w:tc>
          <w:tcPr>
            <w:tcW w:w="99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2DFCC2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0.360</w:t>
            </w:r>
          </w:p>
        </w:tc>
        <w:tc>
          <w:tcPr>
            <w:tcW w:w="8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EA72AC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-0.024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E224E1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0.882</w:t>
            </w:r>
          </w:p>
        </w:tc>
        <w:tc>
          <w:tcPr>
            <w:tcW w:w="900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519E09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-0.157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CC9781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0.321</w:t>
            </w:r>
          </w:p>
        </w:tc>
      </w:tr>
      <w:tr w14:paraId="3EFC7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26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99C5485">
            <w:pPr>
              <w:spacing w:after="0" w:line="240" w:lineRule="auto"/>
              <w:textAlignment w:val="top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Total protein (g/dL)</w:t>
            </w:r>
          </w:p>
        </w:tc>
        <w:tc>
          <w:tcPr>
            <w:tcW w:w="8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D63463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0.202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48A566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0.200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A2232E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0.110</w:t>
            </w:r>
          </w:p>
        </w:tc>
        <w:tc>
          <w:tcPr>
            <w:tcW w:w="99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D08385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0.489</w:t>
            </w:r>
          </w:p>
        </w:tc>
        <w:tc>
          <w:tcPr>
            <w:tcW w:w="8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F671D3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0.195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1D8306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0.215</w:t>
            </w:r>
          </w:p>
        </w:tc>
        <w:tc>
          <w:tcPr>
            <w:tcW w:w="900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DC6ABF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9BF67C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0.839</w:t>
            </w:r>
          </w:p>
        </w:tc>
      </w:tr>
      <w:tr w14:paraId="7DE1D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26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7B90A98">
            <w:pPr>
              <w:spacing w:after="0" w:line="240" w:lineRule="auto"/>
              <w:textAlignment w:val="top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Albumin (g/dL)</w:t>
            </w:r>
          </w:p>
        </w:tc>
        <w:tc>
          <w:tcPr>
            <w:tcW w:w="8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0D8518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0.226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5BC2F2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0.149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F6A1B8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0.212</w:t>
            </w:r>
          </w:p>
        </w:tc>
        <w:tc>
          <w:tcPr>
            <w:tcW w:w="99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4AFBA0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0.178</w:t>
            </w:r>
          </w:p>
        </w:tc>
        <w:tc>
          <w:tcPr>
            <w:tcW w:w="8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480752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0.134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F1B7ED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0.399</w:t>
            </w:r>
          </w:p>
        </w:tc>
        <w:tc>
          <w:tcPr>
            <w:tcW w:w="900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CDDA28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0.231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DB0ACC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0.141</w:t>
            </w:r>
          </w:p>
        </w:tc>
      </w:tr>
      <w:tr w14:paraId="06FC3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26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C2222C1">
            <w:pPr>
              <w:spacing w:after="0" w:line="240" w:lineRule="auto"/>
              <w:textAlignment w:val="top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Ca (mg/dL)</w:t>
            </w:r>
          </w:p>
        </w:tc>
        <w:tc>
          <w:tcPr>
            <w:tcW w:w="8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49C234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-0.160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5011FA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0.318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726FAA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-0.091</w:t>
            </w:r>
          </w:p>
        </w:tc>
        <w:tc>
          <w:tcPr>
            <w:tcW w:w="99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D6A444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0.573</w:t>
            </w:r>
          </w:p>
        </w:tc>
        <w:tc>
          <w:tcPr>
            <w:tcW w:w="8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0CA952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-0.133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6C839C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0.408</w:t>
            </w:r>
          </w:p>
        </w:tc>
        <w:tc>
          <w:tcPr>
            <w:tcW w:w="900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A5D6DD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-0.220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D4CD10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0.166</w:t>
            </w:r>
          </w:p>
        </w:tc>
      </w:tr>
      <w:tr w14:paraId="3BA02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26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595F3D0">
            <w:pPr>
              <w:spacing w:after="0" w:line="240" w:lineRule="auto"/>
              <w:textAlignment w:val="top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Ph. (mg/dL)</w:t>
            </w:r>
          </w:p>
        </w:tc>
        <w:tc>
          <w:tcPr>
            <w:tcW w:w="8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4B72E0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0.084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26EB17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0.602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B9B0F0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0.255</w:t>
            </w:r>
          </w:p>
        </w:tc>
        <w:tc>
          <w:tcPr>
            <w:tcW w:w="99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69C4F7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0.108</w:t>
            </w:r>
          </w:p>
        </w:tc>
        <w:tc>
          <w:tcPr>
            <w:tcW w:w="8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5A2675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2637B4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0.987</w:t>
            </w:r>
          </w:p>
        </w:tc>
        <w:tc>
          <w:tcPr>
            <w:tcW w:w="900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D7C2FC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0.165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040A90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0.303</w:t>
            </w:r>
          </w:p>
        </w:tc>
      </w:tr>
      <w:tr w14:paraId="1118C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26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 w14:paraId="0AEE4E6E">
            <w:pPr>
              <w:spacing w:after="0" w:line="240" w:lineRule="auto"/>
              <w:textAlignment w:val="top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Uric acid (mg/dL)</w:t>
            </w:r>
          </w:p>
        </w:tc>
        <w:tc>
          <w:tcPr>
            <w:tcW w:w="8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343969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0.091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2F52DB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0.687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2E8BAD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-0.158</w:t>
            </w:r>
          </w:p>
        </w:tc>
        <w:tc>
          <w:tcPr>
            <w:tcW w:w="99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0554F51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0.482</w:t>
            </w:r>
          </w:p>
        </w:tc>
        <w:tc>
          <w:tcPr>
            <w:tcW w:w="8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74B778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-0.201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5355FC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0.369</w:t>
            </w:r>
          </w:p>
        </w:tc>
        <w:tc>
          <w:tcPr>
            <w:tcW w:w="900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BA7C75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-0.086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E97D02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0.704</w:t>
            </w:r>
          </w:p>
        </w:tc>
      </w:tr>
      <w:tr w14:paraId="22023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26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 w14:paraId="7E70CE6E">
            <w:pPr>
              <w:spacing w:after="0" w:line="240" w:lineRule="auto"/>
              <w:textAlignment w:val="top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Cholesterol (mg/dL)</w:t>
            </w:r>
          </w:p>
        </w:tc>
        <w:tc>
          <w:tcPr>
            <w:tcW w:w="8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48AC496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-0.078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488963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0.697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56F76C6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-0.092</w:t>
            </w:r>
          </w:p>
        </w:tc>
        <w:tc>
          <w:tcPr>
            <w:tcW w:w="99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6D05D27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0.648</w:t>
            </w:r>
          </w:p>
        </w:tc>
        <w:tc>
          <w:tcPr>
            <w:tcW w:w="8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3687B3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-0.037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A4BF89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0.856</w:t>
            </w:r>
          </w:p>
        </w:tc>
        <w:tc>
          <w:tcPr>
            <w:tcW w:w="900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3F8BE21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-0.097</w:t>
            </w:r>
          </w:p>
        </w:tc>
        <w:tc>
          <w:tcPr>
            <w:tcW w:w="10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746D592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0.630</w:t>
            </w:r>
          </w:p>
        </w:tc>
      </w:tr>
    </w:tbl>
    <w:p w14:paraId="24BC6A1E">
      <w:pPr>
        <w:spacing w:after="0" w:line="240" w:lineRule="auto"/>
        <w:ind w:left="-426" w:right="-836" w:firstLine="696"/>
        <w:jc w:val="both"/>
        <w:rPr>
          <w:rFonts w:eastAsia="Calibri" w:asciiTheme="majorBidi" w:hAnsiTheme="majorBidi" w:cstheme="majorBidi"/>
          <w:b/>
          <w:bCs/>
          <w:color w:val="000000"/>
          <w:kern w:val="28"/>
          <w:sz w:val="20"/>
          <w:szCs w:val="20"/>
          <w14:ligatures w14:val="none"/>
        </w:rPr>
      </w:pPr>
      <w:r>
        <w:rPr>
          <w:rFonts w:ascii="Times New Roman" w:hAnsi="Times New Roman" w:eastAsia="Calibri" w:cs="Times New Roman"/>
          <w:bCs/>
          <w:sz w:val="20"/>
          <w:szCs w:val="20"/>
          <w:lang w:bidi="ar-EG"/>
        </w:rPr>
        <w:t>p&gt;0.05 is non-significant, *p≤0.05 is significant, **p≤0.01 is highly significant,</w:t>
      </w:r>
      <w:r>
        <w:rPr>
          <w:rFonts w:hint="default" w:ascii="Times New Roman" w:hAnsi="Times New Roman" w:eastAsia="Calibri"/>
          <w:bCs/>
          <w:sz w:val="20"/>
          <w:szCs w:val="20"/>
        </w:rPr>
        <w:t>r: Spearman correlation coefficient</w:t>
      </w:r>
    </w:p>
    <w:p w14:paraId="4C9791FD">
      <w:pPr>
        <w:rPr>
          <w:rFonts w:hint="default"/>
          <w:lang w:val="en-US"/>
        </w:rPr>
      </w:pPr>
    </w:p>
    <w:p w14:paraId="35572D0A">
      <w:pPr>
        <w:rPr>
          <w:rFonts w:hint="default"/>
          <w:lang w:val="en-US"/>
        </w:rPr>
      </w:pPr>
    </w:p>
    <w:p w14:paraId="53FB936E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r>
        <w:rPr>
          <w:rFonts w:asciiTheme="majorBidi" w:hAnsiTheme="majorBidi" w:cstheme="majorBidi"/>
          <w:b/>
          <w:bCs/>
          <w:sz w:val="24"/>
          <w:szCs w:val="24"/>
          <w:lang w:bidi="ar-EG"/>
        </w:rPr>
        <w:t>Table (</w:t>
      </w:r>
      <w:r>
        <w:rPr>
          <w:rFonts w:hint="default" w:asciiTheme="majorBidi" w:hAnsiTheme="majorBidi" w:cstheme="majorBidi"/>
          <w:b/>
          <w:bCs/>
          <w:sz w:val="24"/>
          <w:szCs w:val="24"/>
          <w:lang w:val="en-US" w:bidi="ar-EG"/>
        </w:rPr>
        <w:t>8</w:t>
      </w:r>
      <w:r>
        <w:rPr>
          <w:rFonts w:asciiTheme="majorBidi" w:hAnsiTheme="majorBidi" w:cstheme="majorBidi"/>
          <w:b/>
          <w:bCs/>
          <w:sz w:val="24"/>
          <w:szCs w:val="24"/>
          <w:lang w:bidi="ar-EG"/>
        </w:rPr>
        <w:t>): Validity (AUC, sensitivity, specificity) of Muscle in detection of malnutrition.</w:t>
      </w:r>
    </w:p>
    <w:tbl>
      <w:tblPr>
        <w:tblStyle w:val="5"/>
        <w:tblW w:w="10829" w:type="dxa"/>
        <w:tblInd w:w="-1350" w:type="dxa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0"/>
        <w:gridCol w:w="1134"/>
        <w:gridCol w:w="1296"/>
        <w:gridCol w:w="1418"/>
        <w:gridCol w:w="891"/>
        <w:gridCol w:w="990"/>
        <w:gridCol w:w="900"/>
        <w:gridCol w:w="1050"/>
      </w:tblGrid>
      <w:tr w14:paraId="7C6A1B11"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3150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</w:tcPr>
          <w:p w14:paraId="7553B707">
            <w:pPr>
              <w:spacing w:after="0" w:line="24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  <w:vAlign w:val="center"/>
          </w:tcPr>
          <w:p w14:paraId="27A1801B">
            <w:pPr>
              <w:spacing w:after="0" w:line="24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zh-CN"/>
              </w:rPr>
              <w:t>Best cut off</w:t>
            </w:r>
          </w:p>
        </w:tc>
        <w:tc>
          <w:tcPr>
            <w:tcW w:w="1296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  <w:vAlign w:val="center"/>
          </w:tcPr>
          <w:p w14:paraId="79BC4952">
            <w:pPr>
              <w:spacing w:after="0" w:line="24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zh-CN"/>
              </w:rPr>
              <w:t>Sensitivity</w:t>
            </w:r>
          </w:p>
        </w:tc>
        <w:tc>
          <w:tcPr>
            <w:tcW w:w="1418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  <w:vAlign w:val="center"/>
          </w:tcPr>
          <w:p w14:paraId="4755D3DD">
            <w:pPr>
              <w:spacing w:after="0" w:line="24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zh-CN"/>
              </w:rPr>
              <w:t>Specificity</w:t>
            </w:r>
          </w:p>
        </w:tc>
        <w:tc>
          <w:tcPr>
            <w:tcW w:w="891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  <w:vAlign w:val="center"/>
          </w:tcPr>
          <w:p w14:paraId="42AD8F8A">
            <w:pPr>
              <w:spacing w:after="0" w:line="24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zh-CN"/>
              </w:rPr>
              <w:t>PPV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  <w:vAlign w:val="center"/>
          </w:tcPr>
          <w:p w14:paraId="17687B33">
            <w:pPr>
              <w:spacing w:after="0" w:line="24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zh-CN"/>
              </w:rPr>
              <w:t>NPV</w:t>
            </w:r>
          </w:p>
        </w:tc>
        <w:tc>
          <w:tcPr>
            <w:tcW w:w="900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  <w:vAlign w:val="center"/>
          </w:tcPr>
          <w:p w14:paraId="1E4B13BE">
            <w:pPr>
              <w:spacing w:after="0" w:line="24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AUC</w:t>
            </w:r>
          </w:p>
        </w:tc>
        <w:tc>
          <w:tcPr>
            <w:tcW w:w="1050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  <w:vAlign w:val="center"/>
          </w:tcPr>
          <w:p w14:paraId="41412D0D">
            <w:pPr>
              <w:spacing w:after="0" w:line="24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</w:tr>
      <w:tr w14:paraId="58283917"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</w:trPr>
        <w:tc>
          <w:tcPr>
            <w:tcW w:w="3150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</w:tcPr>
          <w:p w14:paraId="0D9D6918">
            <w:pPr>
              <w:spacing w:after="0"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color w:val="000000"/>
              </w:rPr>
              <w:t>Rectus femoris thickne</w:t>
            </w:r>
            <w:r>
              <w:rPr>
                <w:rFonts w:asciiTheme="majorBidi" w:hAnsiTheme="majorBidi" w:cstheme="majorBidi"/>
                <w:b w:val="0"/>
                <w:bCs w:val="0"/>
                <w:color w:val="000000"/>
              </w:rPr>
              <w:t>ss (mm)</w:t>
            </w:r>
          </w:p>
        </w:tc>
        <w:tc>
          <w:tcPr>
            <w:tcW w:w="1134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</w:tcPr>
          <w:p w14:paraId="6AD5726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10.4</w:t>
            </w:r>
          </w:p>
        </w:tc>
        <w:tc>
          <w:tcPr>
            <w:tcW w:w="1296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</w:tcPr>
          <w:p w14:paraId="19925AC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</w:p>
        </w:tc>
        <w:tc>
          <w:tcPr>
            <w:tcW w:w="1418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</w:tcPr>
          <w:p w14:paraId="1EB0F58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48%</w:t>
            </w:r>
          </w:p>
        </w:tc>
        <w:tc>
          <w:tcPr>
            <w:tcW w:w="891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</w:tcPr>
          <w:p w14:paraId="05C8449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</w:rPr>
              <w:t>18.8%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</w:tcPr>
          <w:p w14:paraId="6EFB203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</w:p>
        </w:tc>
        <w:tc>
          <w:tcPr>
            <w:tcW w:w="900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</w:tcPr>
          <w:p w14:paraId="330F47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0.731</w:t>
            </w:r>
          </w:p>
        </w:tc>
        <w:tc>
          <w:tcPr>
            <w:tcW w:w="1050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</w:tcPr>
          <w:p w14:paraId="6C2B67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color w:val="000000"/>
                <w:lang w:eastAsia="zh-CN"/>
              </w:rPr>
              <w:t>&lt;0.001</w:t>
            </w:r>
          </w:p>
        </w:tc>
      </w:tr>
      <w:tr w14:paraId="1A551DA3"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3150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</w:tcBorders>
            <w:shd w:val="clear" w:color="auto" w:fill="FFFFFF"/>
          </w:tcPr>
          <w:p w14:paraId="017FFB34">
            <w:pPr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color w:val="000000"/>
              </w:rPr>
            </w:pPr>
            <w:r>
              <w:rPr>
                <w:rFonts w:asciiTheme="majorBidi" w:hAnsiTheme="majorBidi" w:cstheme="majorBidi"/>
                <w:b w:val="0"/>
                <w:bCs w:val="0"/>
                <w:color w:val="000000"/>
              </w:rPr>
              <w:t>Vastus intermedius (mm)</w:t>
            </w:r>
          </w:p>
        </w:tc>
        <w:tc>
          <w:tcPr>
            <w:tcW w:w="1134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</w:tcBorders>
            <w:shd w:val="clear" w:color="auto" w:fill="FFFFFF"/>
          </w:tcPr>
          <w:p w14:paraId="25D4B47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8.3</w:t>
            </w:r>
          </w:p>
        </w:tc>
        <w:tc>
          <w:tcPr>
            <w:tcW w:w="1296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</w:tcBorders>
            <w:shd w:val="clear" w:color="auto" w:fill="FFFFFF"/>
          </w:tcPr>
          <w:p w14:paraId="6C1CD48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88.9%</w:t>
            </w:r>
          </w:p>
        </w:tc>
        <w:tc>
          <w:tcPr>
            <w:tcW w:w="1418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</w:tcBorders>
            <w:shd w:val="clear" w:color="auto" w:fill="FFFFFF"/>
          </w:tcPr>
          <w:p w14:paraId="291268C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61.3%</w:t>
            </w:r>
          </w:p>
        </w:tc>
        <w:tc>
          <w:tcPr>
            <w:tcW w:w="891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</w:tcBorders>
            <w:shd w:val="clear" w:color="auto" w:fill="FFFFFF"/>
          </w:tcPr>
          <w:p w14:paraId="424B0DE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21.6%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</w:tcBorders>
            <w:shd w:val="clear" w:color="auto" w:fill="FFFFFF"/>
          </w:tcPr>
          <w:p w14:paraId="546084A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97.9%</w:t>
            </w:r>
          </w:p>
        </w:tc>
        <w:tc>
          <w:tcPr>
            <w:tcW w:w="900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</w:tcBorders>
            <w:shd w:val="clear" w:color="auto" w:fill="FFFFFF"/>
          </w:tcPr>
          <w:p w14:paraId="15CD9D3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0.705</w:t>
            </w:r>
          </w:p>
        </w:tc>
        <w:tc>
          <w:tcPr>
            <w:tcW w:w="1050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</w:tcBorders>
            <w:shd w:val="clear" w:color="auto" w:fill="FFFFFF"/>
          </w:tcPr>
          <w:p w14:paraId="0C14F05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color w:val="000000"/>
                <w:lang w:eastAsia="zh-CN"/>
              </w:rPr>
              <w:t>0.012</w:t>
            </w:r>
          </w:p>
        </w:tc>
      </w:tr>
      <w:tr w14:paraId="3589433E"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3150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</w:tcPr>
          <w:p w14:paraId="15F6CF4E">
            <w:pPr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color w:val="000000"/>
              </w:rPr>
            </w:pPr>
            <w:r>
              <w:rPr>
                <w:rFonts w:asciiTheme="majorBidi" w:hAnsiTheme="majorBidi" w:cstheme="majorBidi"/>
                <w:b w:val="0"/>
                <w:bCs w:val="0"/>
                <w:color w:val="000000"/>
              </w:rPr>
              <w:t>Vastus medialis (mm)</w:t>
            </w:r>
          </w:p>
        </w:tc>
        <w:tc>
          <w:tcPr>
            <w:tcW w:w="1134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</w:tcPr>
          <w:p w14:paraId="387BA69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14.4</w:t>
            </w:r>
          </w:p>
        </w:tc>
        <w:tc>
          <w:tcPr>
            <w:tcW w:w="1296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</w:tcPr>
          <w:p w14:paraId="7AB3FFF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77.8%</w:t>
            </w:r>
          </w:p>
        </w:tc>
        <w:tc>
          <w:tcPr>
            <w:tcW w:w="1418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</w:tcPr>
          <w:p w14:paraId="666ECD1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61.3%</w:t>
            </w:r>
          </w:p>
        </w:tc>
        <w:tc>
          <w:tcPr>
            <w:tcW w:w="891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</w:tcPr>
          <w:p w14:paraId="43BFC87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19.4%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</w:tcPr>
          <w:p w14:paraId="2F79A1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95.8%</w:t>
            </w:r>
          </w:p>
        </w:tc>
        <w:tc>
          <w:tcPr>
            <w:tcW w:w="900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</w:tcPr>
          <w:p w14:paraId="683078D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0.678</w:t>
            </w:r>
          </w:p>
        </w:tc>
        <w:tc>
          <w:tcPr>
            <w:tcW w:w="1050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insideH w:val="single" w:sz="4" w:space="0"/>
            </w:tcBorders>
            <w:shd w:val="clear" w:color="auto" w:fill="FFFFFF"/>
          </w:tcPr>
          <w:p w14:paraId="2698232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color w:val="000000"/>
                <w:lang w:eastAsia="zh-CN"/>
              </w:rPr>
              <w:t>0.032</w:t>
            </w:r>
          </w:p>
        </w:tc>
      </w:tr>
      <w:tr w14:paraId="1FA78A72"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3150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</w:tcBorders>
            <w:shd w:val="clear" w:color="auto" w:fill="FFFFFF"/>
          </w:tcPr>
          <w:p w14:paraId="15CD0F87">
            <w:pPr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color w:val="000000"/>
              </w:rPr>
            </w:pPr>
            <w:r>
              <w:rPr>
                <w:rFonts w:asciiTheme="majorBidi" w:hAnsiTheme="majorBidi" w:cstheme="majorBidi"/>
                <w:b w:val="0"/>
                <w:bCs w:val="0"/>
                <w:color w:val="000000"/>
              </w:rPr>
              <w:t>Vastus lateralis (mm)</w:t>
            </w:r>
          </w:p>
        </w:tc>
        <w:tc>
          <w:tcPr>
            <w:tcW w:w="1134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</w:tcBorders>
            <w:shd w:val="clear" w:color="auto" w:fill="FFFFFF"/>
          </w:tcPr>
          <w:p w14:paraId="76D970C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20.6</w:t>
            </w:r>
          </w:p>
        </w:tc>
        <w:tc>
          <w:tcPr>
            <w:tcW w:w="1296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</w:tcBorders>
            <w:shd w:val="clear" w:color="auto" w:fill="FFFFFF"/>
          </w:tcPr>
          <w:p w14:paraId="0EC962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</w:p>
        </w:tc>
        <w:tc>
          <w:tcPr>
            <w:tcW w:w="1418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</w:tcBorders>
            <w:shd w:val="clear" w:color="auto" w:fill="FFFFFF"/>
          </w:tcPr>
          <w:p w14:paraId="5ED8B1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52%</w:t>
            </w:r>
          </w:p>
        </w:tc>
        <w:tc>
          <w:tcPr>
            <w:tcW w:w="891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</w:tcBorders>
            <w:shd w:val="clear" w:color="auto" w:fill="FFFFFF"/>
          </w:tcPr>
          <w:p w14:paraId="3A10B44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20%</w:t>
            </w:r>
          </w:p>
        </w:tc>
        <w:tc>
          <w:tcPr>
            <w:tcW w:w="990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</w:tcBorders>
            <w:shd w:val="clear" w:color="auto" w:fill="FFFFFF"/>
          </w:tcPr>
          <w:p w14:paraId="2DE1E25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</w:p>
        </w:tc>
        <w:tc>
          <w:tcPr>
            <w:tcW w:w="900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</w:tcBorders>
            <w:shd w:val="clear" w:color="auto" w:fill="FFFFFF"/>
          </w:tcPr>
          <w:p w14:paraId="4DB4DA7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0.736</w:t>
            </w:r>
          </w:p>
        </w:tc>
        <w:tc>
          <w:tcPr>
            <w:tcW w:w="1050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</w:tcBorders>
            <w:shd w:val="clear" w:color="auto" w:fill="FFFFFF"/>
          </w:tcPr>
          <w:p w14:paraId="2E2D6C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color w:val="000000"/>
                <w:lang w:eastAsia="zh-CN"/>
              </w:rPr>
              <w:t>0.001</w:t>
            </w:r>
          </w:p>
        </w:tc>
      </w:tr>
    </w:tbl>
    <w:p w14:paraId="1EB157DE">
      <w:pPr>
        <w:spacing w:after="0" w:line="240" w:lineRule="auto"/>
        <w:ind w:left="-1260"/>
        <w:jc w:val="both"/>
        <w:rPr>
          <w:rFonts w:ascii="Times New Roman" w:hAnsi="Times New Roman" w:eastAsia="Calibri" w:cs="Times New Roman"/>
          <w:lang w:eastAsia="zh-CN" w:bidi="ar-EG"/>
        </w:rPr>
      </w:pPr>
      <w:r>
        <w:rPr>
          <w:rFonts w:ascii="Times New Roman" w:hAnsi="Times New Roman" w:eastAsia="Calibri" w:cs="Times New Roman"/>
          <w:lang w:eastAsia="zh-CN" w:bidi="ar-EG"/>
        </w:rPr>
        <w:t xml:space="preserve">ROC: Receiver operating characteristic, AUC: Area Under a Curve, NPV: Negative predictive value, </w:t>
      </w:r>
    </w:p>
    <w:p w14:paraId="2D951403">
      <w:pPr>
        <w:spacing w:after="0" w:line="240" w:lineRule="auto"/>
        <w:ind w:left="-1260"/>
        <w:jc w:val="both"/>
        <w:rPr>
          <w:rFonts w:ascii="Times New Roman" w:hAnsi="Times New Roman" w:eastAsia="Calibri" w:cs="Times New Roman"/>
          <w:lang w:eastAsia="zh-CN" w:bidi="ar-EG"/>
        </w:rPr>
      </w:pPr>
      <w:r>
        <w:rPr>
          <w:rFonts w:ascii="Times New Roman" w:hAnsi="Times New Roman" w:eastAsia="Calibri" w:cs="Times New Roman"/>
          <w:lang w:eastAsia="zh-CN" w:bidi="ar-EG"/>
        </w:rPr>
        <w:t xml:space="preserve">PPV: Positive predictive value </w:t>
      </w:r>
    </w:p>
    <w:p w14:paraId="664F3423">
      <w:pPr>
        <w:rPr>
          <w:rFonts w:hint="default"/>
          <w:lang w:val="en-US"/>
        </w:rPr>
      </w:pPr>
    </w:p>
    <w:p w14:paraId="307714CB">
      <w:pPr>
        <w:rPr>
          <w:rFonts w:hint="cs" w:cstheme="minorBidi"/>
          <w:lang w:val="en-US" w:bidi="ar-EG"/>
        </w:rPr>
      </w:pPr>
    </w:p>
    <w:p w14:paraId="03A4017C">
      <w:pPr>
        <w:jc w:val="center"/>
        <w:rPr>
          <w:rFonts w:hint="default"/>
          <w:b/>
          <w:bCs/>
          <w:lang w:val="en-US"/>
        </w:rPr>
      </w:pPr>
      <w:r>
        <w:rPr>
          <w:rFonts w:hint="default"/>
          <w:b/>
          <w:bCs/>
          <w:lang w:val="en-US"/>
        </w:rPr>
        <w:t>Figures</w:t>
      </w:r>
    </w:p>
    <w:p w14:paraId="67D11BEE">
      <w:pPr>
        <w:jc w:val="center"/>
        <w:rPr>
          <w:rFonts w:hint="default"/>
          <w:b/>
          <w:bCs/>
          <w:lang w:val="en-US"/>
        </w:rPr>
      </w:pPr>
    </w:p>
    <w:p w14:paraId="4F745C80">
      <w:pPr>
        <w:jc w:val="center"/>
        <w:rPr>
          <w:rFonts w:hint="default"/>
          <w:b/>
          <w:bCs/>
          <w:lang w:val="en-US"/>
        </w:rPr>
      </w:pPr>
    </w:p>
    <w:p w14:paraId="634D51B6">
      <w:pPr>
        <w:rPr>
          <w:rFonts w:hint="default" w:cstheme="minorBidi"/>
          <w:b/>
          <w:bCs/>
          <w:lang w:val="en-US" w:bidi="ar-EG"/>
        </w:rPr>
      </w:pPr>
      <w:r>
        <w:rPr>
          <w:rFonts w:hint="default" w:cstheme="minorBidi"/>
          <w:b/>
          <w:bCs/>
          <w:lang w:val="en-US" w:bidi="ar-EG"/>
        </w:rPr>
        <w:t>Figure 2:</w:t>
      </w:r>
      <w:r>
        <w:rPr>
          <w:rFonts w:hint="default"/>
          <w:b/>
          <w:bCs/>
          <w:lang w:val="en-US"/>
        </w:rPr>
        <w:t>Ultrasound image of right thigh muscle thickness measurement in hemodualysis patient</w:t>
      </w:r>
    </w:p>
    <w:p w14:paraId="28F91253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Transverse ultrasound image of right mid thigh in hemodialysis patient shows 1.sub cutaneous fat thickness 2.Rectus femoris thickness 3.Vastus intermedius thickness  4.Vastus lateralis thickness</w:t>
      </w:r>
    </w:p>
    <w:p w14:paraId="55925F90">
      <w:pPr>
        <w:rPr>
          <w:rFonts w:hint="default"/>
          <w:b w:val="0"/>
          <w:bCs w:val="0"/>
          <w:lang w:val="en-US"/>
        </w:rPr>
      </w:pPr>
    </w:p>
    <w:p w14:paraId="217AC015">
      <w:pPr>
        <w:rPr>
          <w:rFonts w:hint="default"/>
          <w:b w:val="0"/>
          <w:bCs w:val="0"/>
          <w:lang w:val="en-US"/>
        </w:rPr>
      </w:pPr>
      <w:r>
        <w:rPr>
          <w:rFonts w:hint="default"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-5080</wp:posOffset>
            </wp:positionH>
            <wp:positionV relativeFrom="paragraph">
              <wp:posOffset>12065</wp:posOffset>
            </wp:positionV>
            <wp:extent cx="4824730" cy="3618865"/>
            <wp:effectExtent l="0" t="0" r="6350" b="8255"/>
            <wp:wrapNone/>
            <wp:docPr id="2" name="Picture 2" descr="WhatsApp Image 2025-09-26 at 10.13.15 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WhatsApp Image 2025-09-26 at 10.13.15 AM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4730" cy="3618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1EC6D2">
      <w:pPr>
        <w:rPr>
          <w:rFonts w:hint="default"/>
          <w:lang w:val="en-US"/>
        </w:rPr>
      </w:pPr>
    </w:p>
    <w:p w14:paraId="5FB891D6">
      <w:pPr>
        <w:rPr>
          <w:rFonts w:hint="cs" w:cstheme="minorBidi"/>
          <w:lang w:val="en-US" w:bidi="ar-EG"/>
        </w:rPr>
      </w:pPr>
    </w:p>
    <w:p w14:paraId="6C394609">
      <w:pPr>
        <w:rPr>
          <w:rFonts w:hint="cs" w:cstheme="minorBidi"/>
          <w:lang w:val="en-US" w:bidi="ar-EG"/>
        </w:rPr>
      </w:pPr>
    </w:p>
    <w:p w14:paraId="1F8431FD">
      <w:pPr>
        <w:rPr>
          <w:rFonts w:hint="cs" w:cstheme="minorBidi"/>
          <w:lang w:val="en-US" w:bidi="ar-EG"/>
        </w:rPr>
      </w:pPr>
    </w:p>
    <w:p w14:paraId="7D17272C">
      <w:pPr>
        <w:rPr>
          <w:rFonts w:hint="cs" w:cstheme="minorBidi"/>
          <w:lang w:val="en-US" w:bidi="ar-EG"/>
        </w:rPr>
      </w:pPr>
    </w:p>
    <w:p w14:paraId="13E806D9">
      <w:pPr>
        <w:rPr>
          <w:rFonts w:hint="cs" w:cstheme="minorBidi"/>
          <w:lang w:val="en-US" w:bidi="ar-EG"/>
        </w:rPr>
      </w:pPr>
    </w:p>
    <w:p w14:paraId="3F355C3F">
      <w:pPr>
        <w:rPr>
          <w:rFonts w:hint="cs" w:cstheme="minorBidi"/>
          <w:lang w:val="en-US" w:bidi="ar-EG"/>
        </w:rPr>
      </w:pPr>
    </w:p>
    <w:p w14:paraId="5B592403">
      <w:pPr>
        <w:rPr>
          <w:rFonts w:hint="cs" w:cstheme="minorBidi"/>
          <w:lang w:val="en-US" w:bidi="ar-EG"/>
        </w:rPr>
      </w:pPr>
    </w:p>
    <w:p w14:paraId="0B8D82BF">
      <w:pPr>
        <w:rPr>
          <w:rFonts w:hint="cs" w:cstheme="minorBidi"/>
          <w:lang w:val="en-US" w:bidi="ar-EG"/>
        </w:rPr>
      </w:pPr>
    </w:p>
    <w:p w14:paraId="7E637607">
      <w:pPr>
        <w:rPr>
          <w:rFonts w:hint="cs" w:cstheme="minorBidi"/>
          <w:lang w:val="en-US" w:bidi="ar-EG"/>
        </w:rPr>
      </w:pPr>
    </w:p>
    <w:p w14:paraId="08D59E79">
      <w:pPr>
        <w:rPr>
          <w:rFonts w:hint="cs" w:cstheme="minorBidi"/>
          <w:lang w:val="en-US" w:bidi="ar-EG"/>
        </w:rPr>
      </w:pPr>
    </w:p>
    <w:p w14:paraId="60732641">
      <w:pPr>
        <w:rPr>
          <w:rFonts w:hint="cs" w:cstheme="minorBidi"/>
          <w:lang w:val="en-US" w:bidi="ar-EG"/>
        </w:rPr>
      </w:pPr>
    </w:p>
    <w:p w14:paraId="0EE9E514">
      <w:pPr>
        <w:rPr>
          <w:rFonts w:hint="cs" w:cstheme="minorBidi"/>
          <w:lang w:val="en-US" w:bidi="ar-EG"/>
        </w:rPr>
      </w:pPr>
    </w:p>
    <w:p w14:paraId="6C42ACC4">
      <w:pPr>
        <w:rPr>
          <w:rFonts w:hint="cs" w:cstheme="minorBidi"/>
          <w:lang w:val="en-US" w:bidi="ar-EG"/>
        </w:rPr>
      </w:pPr>
    </w:p>
    <w:p w14:paraId="756F956B">
      <w:pPr>
        <w:rPr>
          <w:rFonts w:hint="cs" w:cstheme="minorBidi"/>
          <w:lang w:val="en-US" w:bidi="ar-EG"/>
        </w:rPr>
      </w:pPr>
    </w:p>
    <w:p w14:paraId="4BD6F1D3">
      <w:pPr>
        <w:rPr>
          <w:rFonts w:hint="cs" w:cstheme="minorBidi"/>
          <w:lang w:val="en-US" w:bidi="ar-EG"/>
        </w:rPr>
      </w:pPr>
    </w:p>
    <w:p w14:paraId="5345F230">
      <w:pPr>
        <w:rPr>
          <w:rFonts w:hint="cs" w:cstheme="minorBidi"/>
          <w:lang w:val="en-US" w:bidi="ar-EG"/>
        </w:rPr>
      </w:pPr>
    </w:p>
    <w:p w14:paraId="33295D97">
      <w:pPr>
        <w:rPr>
          <w:rFonts w:hint="cs" w:cstheme="minorBidi"/>
          <w:lang w:val="en-US" w:bidi="ar-EG"/>
        </w:rPr>
      </w:pPr>
    </w:p>
    <w:p w14:paraId="33340E99">
      <w:pPr>
        <w:rPr>
          <w:rFonts w:hint="cs" w:cstheme="minorBidi"/>
          <w:lang w:val="en-US" w:bidi="ar-EG"/>
        </w:rPr>
      </w:pPr>
    </w:p>
    <w:p w14:paraId="3EA2F601">
      <w:pPr>
        <w:rPr>
          <w:rFonts w:hint="cs" w:cstheme="minorBidi"/>
          <w:lang w:val="en-US" w:bidi="ar-EG"/>
        </w:rPr>
      </w:pPr>
    </w:p>
    <w:p w14:paraId="54FD0DA8">
      <w:pPr>
        <w:rPr>
          <w:rFonts w:hint="cs" w:cstheme="minorBidi"/>
          <w:lang w:val="en-US" w:bidi="ar-EG"/>
        </w:rPr>
      </w:pPr>
    </w:p>
    <w:p w14:paraId="1D6EB26B">
      <w:pPr>
        <w:rPr>
          <w:rFonts w:hint="cs" w:cstheme="minorBidi"/>
          <w:lang w:val="en-US" w:bidi="ar-EG"/>
        </w:rPr>
      </w:pPr>
    </w:p>
    <w:p w14:paraId="6ADA5E63">
      <w:pPr>
        <w:rPr>
          <w:rFonts w:hint="cs" w:cstheme="minorBidi"/>
          <w:lang w:val="en-US" w:bidi="ar-EG"/>
        </w:rPr>
      </w:pPr>
    </w:p>
    <w:p w14:paraId="683ABC1A">
      <w:pPr>
        <w:rPr>
          <w:rFonts w:hint="cs" w:cstheme="minorBidi"/>
          <w:lang w:val="en-US" w:bidi="ar-EG"/>
        </w:rPr>
      </w:pPr>
    </w:p>
    <w:p w14:paraId="5657B98F">
      <w:pPr>
        <w:rPr>
          <w:rFonts w:hint="default"/>
          <w:b/>
          <w:bCs/>
          <w:lang w:val="en-US"/>
        </w:rPr>
      </w:pPr>
      <w:r>
        <w:rPr>
          <w:rFonts w:hint="default" w:cstheme="minorBidi"/>
          <w:b/>
          <w:bCs/>
          <w:lang w:val="en-US" w:bidi="ar-EG"/>
        </w:rPr>
        <w:t>Figure 3:</w:t>
      </w:r>
      <w:r>
        <w:rPr>
          <w:rFonts w:hint="default"/>
          <w:b/>
          <w:bCs/>
          <w:lang w:val="en-US"/>
        </w:rPr>
        <w:t>Right thigh quadriceps muscle thickness and fat thickness in control</w:t>
      </w:r>
    </w:p>
    <w:p w14:paraId="10269EF9">
      <w:pPr>
        <w:rPr>
          <w:rFonts w:hint="default"/>
          <w:b/>
          <w:bCs/>
          <w:lang w:val="en-US"/>
        </w:rPr>
      </w:pPr>
    </w:p>
    <w:p w14:paraId="3483DAF4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Transverse ultrasound image of right mid thigh in control subject shows 1.sub cutaneous fat thickness 2.Rectus femoris thickness 3.Vastus intermedius thickness  4.Vastus lateralis thickness</w:t>
      </w:r>
    </w:p>
    <w:p w14:paraId="43AF6161">
      <w:pPr>
        <w:rPr>
          <w:rFonts w:hint="default"/>
          <w:b w:val="0"/>
          <w:bCs w:val="0"/>
          <w:lang w:val="en-US"/>
        </w:rPr>
      </w:pPr>
      <w:r>
        <w:rPr>
          <w:rFonts w:hint="cs" w:cstheme="minorBidi"/>
          <w:b/>
          <w:bCs/>
          <w:lang w:val="en-US" w:bidi="ar-EG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137160</wp:posOffset>
            </wp:positionH>
            <wp:positionV relativeFrom="paragraph">
              <wp:posOffset>137160</wp:posOffset>
            </wp:positionV>
            <wp:extent cx="4912360" cy="4056380"/>
            <wp:effectExtent l="0" t="0" r="10160" b="12700"/>
            <wp:wrapNone/>
            <wp:docPr id="1" name="Picture 1" descr="WhatsApp Image 2025-09-26 at 10.12.39 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WhatsApp Image 2025-09-26 at 10.12.39 AM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12360" cy="4056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BB0CCB">
      <w:pPr>
        <w:rPr>
          <w:rFonts w:hint="default"/>
          <w:b w:val="0"/>
          <w:bCs w:val="0"/>
          <w:lang w:val="en-US"/>
        </w:rPr>
      </w:pPr>
    </w:p>
    <w:p w14:paraId="3BB6A339">
      <w:pPr>
        <w:rPr>
          <w:rFonts w:hint="default"/>
          <w:b w:val="0"/>
          <w:bCs w:val="0"/>
          <w:lang w:val="en-US"/>
        </w:rPr>
      </w:pPr>
    </w:p>
    <w:p w14:paraId="432901CE">
      <w:pPr>
        <w:rPr>
          <w:rFonts w:hint="default"/>
          <w:b w:val="0"/>
          <w:bCs w:val="0"/>
          <w:lang w:val="en-US"/>
        </w:rPr>
      </w:pPr>
    </w:p>
    <w:p w14:paraId="29B30304">
      <w:pPr>
        <w:rPr>
          <w:rFonts w:hint="default"/>
          <w:b w:val="0"/>
          <w:bCs w:val="0"/>
          <w:lang w:val="en-US"/>
        </w:rPr>
      </w:pPr>
    </w:p>
    <w:p w14:paraId="416C8AEB">
      <w:pPr>
        <w:rPr>
          <w:rFonts w:hint="default"/>
          <w:b w:val="0"/>
          <w:bCs w:val="0"/>
          <w:lang w:val="en-US"/>
        </w:rPr>
      </w:pPr>
    </w:p>
    <w:p w14:paraId="1EF589F7">
      <w:pPr>
        <w:rPr>
          <w:rFonts w:hint="default"/>
          <w:b w:val="0"/>
          <w:bCs w:val="0"/>
          <w:lang w:val="en-US"/>
        </w:rPr>
      </w:pPr>
    </w:p>
    <w:p w14:paraId="307452BC">
      <w:pPr>
        <w:rPr>
          <w:rFonts w:hint="default"/>
          <w:b w:val="0"/>
          <w:bCs w:val="0"/>
          <w:lang w:val="en-US"/>
        </w:rPr>
      </w:pPr>
    </w:p>
    <w:p w14:paraId="3BD2C2A7">
      <w:pPr>
        <w:rPr>
          <w:rFonts w:hint="default"/>
          <w:b w:val="0"/>
          <w:bCs w:val="0"/>
          <w:lang w:val="en-US"/>
        </w:rPr>
      </w:pPr>
    </w:p>
    <w:p w14:paraId="144609AD">
      <w:pPr>
        <w:rPr>
          <w:rFonts w:hint="default"/>
          <w:b w:val="0"/>
          <w:bCs w:val="0"/>
          <w:lang w:val="en-US"/>
        </w:rPr>
      </w:pPr>
    </w:p>
    <w:p w14:paraId="5CC38034">
      <w:pPr>
        <w:rPr>
          <w:rFonts w:hint="default"/>
          <w:b w:val="0"/>
          <w:bCs w:val="0"/>
          <w:lang w:val="en-US"/>
        </w:rPr>
      </w:pPr>
    </w:p>
    <w:p w14:paraId="42A0A4F9">
      <w:pPr>
        <w:rPr>
          <w:rFonts w:hint="default"/>
          <w:b w:val="0"/>
          <w:bCs w:val="0"/>
          <w:lang w:val="en-US"/>
        </w:rPr>
      </w:pPr>
    </w:p>
    <w:p w14:paraId="6DFAC1DB">
      <w:pPr>
        <w:rPr>
          <w:rFonts w:hint="default"/>
          <w:b w:val="0"/>
          <w:bCs w:val="0"/>
          <w:lang w:val="en-US"/>
        </w:rPr>
      </w:pPr>
    </w:p>
    <w:p w14:paraId="119CA59F">
      <w:pPr>
        <w:rPr>
          <w:rFonts w:hint="default"/>
          <w:b w:val="0"/>
          <w:bCs w:val="0"/>
          <w:lang w:val="en-US"/>
        </w:rPr>
      </w:pPr>
    </w:p>
    <w:p w14:paraId="5F21D3D8">
      <w:pPr>
        <w:rPr>
          <w:rFonts w:hint="default"/>
          <w:b w:val="0"/>
          <w:bCs w:val="0"/>
          <w:lang w:val="en-US"/>
        </w:rPr>
      </w:pPr>
    </w:p>
    <w:p w14:paraId="6E4DC56C">
      <w:pPr>
        <w:rPr>
          <w:rFonts w:hint="default"/>
          <w:b w:val="0"/>
          <w:bCs w:val="0"/>
          <w:lang w:val="en-US"/>
        </w:rPr>
      </w:pPr>
    </w:p>
    <w:p w14:paraId="5CFF6EA1">
      <w:pPr>
        <w:rPr>
          <w:rFonts w:hint="default"/>
          <w:b w:val="0"/>
          <w:bCs w:val="0"/>
          <w:lang w:val="en-US"/>
        </w:rPr>
      </w:pPr>
    </w:p>
    <w:p w14:paraId="6CB9AB41">
      <w:pPr>
        <w:rPr>
          <w:rFonts w:hint="default"/>
          <w:b w:val="0"/>
          <w:bCs w:val="0"/>
          <w:lang w:val="en-US"/>
        </w:rPr>
      </w:pPr>
    </w:p>
    <w:p w14:paraId="17D8D727">
      <w:pPr>
        <w:rPr>
          <w:rFonts w:hint="default"/>
          <w:b w:val="0"/>
          <w:bCs w:val="0"/>
          <w:lang w:val="en-US"/>
        </w:rPr>
      </w:pPr>
    </w:p>
    <w:p w14:paraId="77014D78">
      <w:pPr>
        <w:rPr>
          <w:rFonts w:hint="default"/>
          <w:b w:val="0"/>
          <w:bCs w:val="0"/>
          <w:lang w:val="en-US"/>
        </w:rPr>
      </w:pPr>
    </w:p>
    <w:p w14:paraId="34DC41B9">
      <w:pPr>
        <w:rPr>
          <w:rFonts w:hint="default"/>
          <w:b w:val="0"/>
          <w:bCs w:val="0"/>
          <w:lang w:val="en-US"/>
        </w:rPr>
      </w:pPr>
    </w:p>
    <w:p w14:paraId="07C6BE3B">
      <w:pPr>
        <w:rPr>
          <w:rFonts w:hint="default"/>
          <w:b w:val="0"/>
          <w:bCs w:val="0"/>
          <w:lang w:val="en-US"/>
        </w:rPr>
      </w:pPr>
    </w:p>
    <w:p w14:paraId="316D1CB5">
      <w:pPr>
        <w:rPr>
          <w:rFonts w:hint="default"/>
          <w:b w:val="0"/>
          <w:bCs w:val="0"/>
          <w:lang w:val="en-US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506A4"/>
    <w:rsid w:val="381506A4"/>
    <w:rsid w:val="6DC33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99"/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Plain Table 2"/>
    <w:basedOn w:val="3"/>
    <w:qFormat/>
    <w:uiPriority w:val="42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2026-01-02T22:55:00Z</dcterms:created>
  <dc:creator>Aml Gohary</dc:creator>
  <cp:lastModifiedBy>Aml Gohary</cp:lastModifiedBy>
  <dcterms:modified xsi:type="dcterms:W3CDTF">2026-01-03T00:18:45Z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478151A466A54907A77E33D733006BBA_11</vt:lpwstr>
  </property>
</Properties>
</file>