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14EE" w14:textId="4C1651B2" w:rsidR="00225EF6" w:rsidRPr="00225EF6" w:rsidRDefault="00225EF6">
      <w:pPr>
        <w:rPr>
          <w:rFonts w:ascii="Times New Roman" w:hAnsi="Times New Roman" w:cs="Times New Roman"/>
          <w:b/>
          <w:bCs/>
        </w:rPr>
      </w:pPr>
      <w:r w:rsidRPr="00225EF6">
        <w:rPr>
          <w:rFonts w:ascii="Times New Roman" w:hAnsi="Times New Roman" w:cs="Times New Roman"/>
          <w:b/>
          <w:bCs/>
        </w:rPr>
        <w:t>Appendices</w:t>
      </w:r>
    </w:p>
    <w:p w14:paraId="50BAC994" w14:textId="408F46E2" w:rsidR="00941CD2" w:rsidRDefault="00225EF6">
      <w:pPr>
        <w:rPr>
          <w:rFonts w:ascii="Times New Roman" w:hAnsi="Times New Roman" w:cs="Times New Roman"/>
        </w:rPr>
      </w:pPr>
      <w:r w:rsidRPr="00225EF6">
        <w:rPr>
          <w:rFonts w:ascii="Times New Roman" w:hAnsi="Times New Roman" w:cs="Times New Roman"/>
        </w:rPr>
        <w:t>Appendix</w:t>
      </w:r>
      <w:r w:rsidR="00D27DBE" w:rsidRPr="00225EF6">
        <w:rPr>
          <w:rFonts w:ascii="Times New Roman" w:hAnsi="Times New Roman" w:cs="Times New Roman"/>
        </w:rPr>
        <w:t xml:space="preserve"> 1. Policy Stages and the Role of Political Knowledge Regimes (PKRs)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6027"/>
      </w:tblGrid>
      <w:tr w:rsidR="003C6D94" w:rsidRPr="003C6D94" w14:paraId="18B8E347" w14:textId="77777777" w:rsidTr="003C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EE47A9" w14:textId="77777777" w:rsidR="003C6D94" w:rsidRPr="003C6D94" w:rsidRDefault="003C6D94" w:rsidP="003C6D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Policy stage</w:t>
            </w:r>
          </w:p>
        </w:tc>
        <w:tc>
          <w:tcPr>
            <w:tcW w:w="0" w:type="auto"/>
            <w:hideMark/>
          </w:tcPr>
          <w:p w14:paraId="723FE81F" w14:textId="77777777" w:rsidR="003C6D94" w:rsidRPr="003C6D94" w:rsidRDefault="003C6D94" w:rsidP="003C6D9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Role of the PKR</w:t>
            </w:r>
          </w:p>
        </w:tc>
      </w:tr>
      <w:tr w:rsidR="003C6D94" w:rsidRPr="003C6D94" w14:paraId="461FA53D" w14:textId="77777777" w:rsidTr="003C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F3D192" w14:textId="77777777" w:rsidR="003C6D94" w:rsidRPr="003C6D94" w:rsidRDefault="003C6D94" w:rsidP="003C6D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Problem definition</w:t>
            </w:r>
          </w:p>
        </w:tc>
        <w:tc>
          <w:tcPr>
            <w:tcW w:w="0" w:type="auto"/>
            <w:hideMark/>
          </w:tcPr>
          <w:p w14:paraId="2FBB790D" w14:textId="77777777" w:rsidR="003C6D94" w:rsidRPr="003C6D94" w:rsidRDefault="003C6D94" w:rsidP="003C6D9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Determines what is recognized as a public problem</w:t>
            </w:r>
          </w:p>
        </w:tc>
      </w:tr>
      <w:tr w:rsidR="003C6D94" w:rsidRPr="003C6D94" w14:paraId="6F0616C4" w14:textId="77777777" w:rsidTr="003C6D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2F3DF" w14:textId="77777777" w:rsidR="003C6D94" w:rsidRPr="003C6D94" w:rsidRDefault="003C6D94" w:rsidP="003C6D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Diagnosis</w:t>
            </w:r>
          </w:p>
        </w:tc>
        <w:tc>
          <w:tcPr>
            <w:tcW w:w="0" w:type="auto"/>
            <w:hideMark/>
          </w:tcPr>
          <w:p w14:paraId="3D227C44" w14:textId="77777777" w:rsidR="003C6D94" w:rsidRPr="003C6D94" w:rsidRDefault="003C6D94" w:rsidP="003C6D9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Selects which evidence, data, and theories are considered relevant</w:t>
            </w:r>
          </w:p>
        </w:tc>
      </w:tr>
      <w:tr w:rsidR="003C6D94" w:rsidRPr="003C6D94" w14:paraId="656114CB" w14:textId="77777777" w:rsidTr="003C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443C7" w14:textId="77777777" w:rsidR="003C6D94" w:rsidRPr="003C6D94" w:rsidRDefault="003C6D94" w:rsidP="003C6D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Policy design</w:t>
            </w:r>
          </w:p>
        </w:tc>
        <w:tc>
          <w:tcPr>
            <w:tcW w:w="0" w:type="auto"/>
            <w:hideMark/>
          </w:tcPr>
          <w:p w14:paraId="53C91CC2" w14:textId="77777777" w:rsidR="003C6D94" w:rsidRPr="003C6D94" w:rsidRDefault="003C6D94" w:rsidP="003C6D9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Prioritizes policy solutions and legitimizes expert actors</w:t>
            </w:r>
          </w:p>
        </w:tc>
      </w:tr>
      <w:tr w:rsidR="003C6D94" w:rsidRPr="003C6D94" w14:paraId="67D243A6" w14:textId="77777777" w:rsidTr="003C6D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67932D" w14:textId="77777777" w:rsidR="003C6D94" w:rsidRPr="003C6D94" w:rsidRDefault="003C6D94" w:rsidP="003C6D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Implementation</w:t>
            </w:r>
          </w:p>
        </w:tc>
        <w:tc>
          <w:tcPr>
            <w:tcW w:w="0" w:type="auto"/>
            <w:hideMark/>
          </w:tcPr>
          <w:p w14:paraId="1886009D" w14:textId="77777777" w:rsidR="003C6D94" w:rsidRPr="003C6D94" w:rsidRDefault="003C6D94" w:rsidP="003C6D9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Establishes standards, indicators, and methodological frameworks</w:t>
            </w:r>
          </w:p>
        </w:tc>
      </w:tr>
      <w:tr w:rsidR="003C6D94" w:rsidRPr="003C6D94" w14:paraId="0B55F0E6" w14:textId="77777777" w:rsidTr="003C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7A357D" w14:textId="77777777" w:rsidR="003C6D94" w:rsidRPr="003C6D94" w:rsidRDefault="003C6D94" w:rsidP="003C6D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Evaluation</w:t>
            </w:r>
          </w:p>
        </w:tc>
        <w:tc>
          <w:tcPr>
            <w:tcW w:w="0" w:type="auto"/>
            <w:hideMark/>
          </w:tcPr>
          <w:p w14:paraId="5362AB64" w14:textId="77777777" w:rsidR="003C6D94" w:rsidRPr="003C6D94" w:rsidRDefault="003C6D94" w:rsidP="003C6D9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6D94">
              <w:rPr>
                <w:rFonts w:ascii="Times New Roman" w:hAnsi="Times New Roman" w:cs="Times New Roman"/>
              </w:rPr>
              <w:t>Defines what counts as policy success or failure</w:t>
            </w:r>
          </w:p>
        </w:tc>
      </w:tr>
    </w:tbl>
    <w:p w14:paraId="7D0E6965" w14:textId="7EE37865" w:rsidR="00225EF6" w:rsidRDefault="003C6D94">
      <w:pPr>
        <w:rPr>
          <w:rFonts w:ascii="Times New Roman" w:hAnsi="Times New Roman" w:cs="Times New Roman"/>
        </w:rPr>
      </w:pPr>
      <w:r w:rsidRPr="003C6D94">
        <w:rPr>
          <w:rFonts w:ascii="Times New Roman" w:hAnsi="Times New Roman" w:cs="Times New Roman"/>
        </w:rPr>
        <w:t>Source:</w:t>
      </w:r>
      <w:r>
        <w:rPr>
          <w:rFonts w:ascii="Times New Roman" w:hAnsi="Times New Roman" w:cs="Times New Roman"/>
        </w:rPr>
        <w:t xml:space="preserve"> Own</w:t>
      </w:r>
      <w:r w:rsidRPr="003C6D94">
        <w:rPr>
          <w:rFonts w:ascii="Times New Roman" w:hAnsi="Times New Roman" w:cs="Times New Roman"/>
        </w:rPr>
        <w:t xml:space="preserve"> elaboration.</w:t>
      </w:r>
    </w:p>
    <w:p w14:paraId="5D5F0F93" w14:textId="77777777" w:rsidR="00C3060C" w:rsidRDefault="00C3060C">
      <w:pPr>
        <w:rPr>
          <w:rFonts w:ascii="Times New Roman" w:hAnsi="Times New Roman" w:cs="Times New Roman"/>
        </w:rPr>
      </w:pPr>
    </w:p>
    <w:p w14:paraId="57166F91" w14:textId="65A06E8C" w:rsidR="00C3060C" w:rsidRDefault="00C3060C">
      <w:pPr>
        <w:rPr>
          <w:rFonts w:ascii="Times New Roman" w:hAnsi="Times New Roman" w:cs="Times New Roman"/>
        </w:rPr>
      </w:pPr>
      <w:r w:rsidRPr="00225EF6">
        <w:rPr>
          <w:rFonts w:ascii="Times New Roman" w:hAnsi="Times New Roman" w:cs="Times New Roman"/>
        </w:rPr>
        <w:t xml:space="preserve">Appendix </w:t>
      </w:r>
      <w:r>
        <w:rPr>
          <w:rFonts w:ascii="Times New Roman" w:hAnsi="Times New Roman" w:cs="Times New Roman"/>
        </w:rPr>
        <w:t>2</w:t>
      </w:r>
      <w:r w:rsidRPr="00225EF6">
        <w:rPr>
          <w:rFonts w:ascii="Times New Roman" w:hAnsi="Times New Roman" w:cs="Times New Roman"/>
        </w:rPr>
        <w:t xml:space="preserve">. </w:t>
      </w:r>
      <w:r w:rsidRPr="00C3060C">
        <w:rPr>
          <w:rFonts w:ascii="Times New Roman" w:hAnsi="Times New Roman" w:cs="Times New Roman"/>
        </w:rPr>
        <w:t>Variations Across Types of Political Knowledge Regimes (PKRs)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87"/>
        <w:gridCol w:w="3075"/>
        <w:gridCol w:w="3864"/>
      </w:tblGrid>
      <w:tr w:rsidR="00E9483F" w:rsidRPr="00E9483F" w14:paraId="669EFEFF" w14:textId="77777777" w:rsidTr="00E94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D40677" w14:textId="77777777" w:rsidR="00E9483F" w:rsidRPr="00E9483F" w:rsidRDefault="00E9483F" w:rsidP="00E9483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Type of PKR</w:t>
            </w:r>
          </w:p>
        </w:tc>
        <w:tc>
          <w:tcPr>
            <w:tcW w:w="0" w:type="auto"/>
            <w:hideMark/>
          </w:tcPr>
          <w:p w14:paraId="2108CEAF" w14:textId="77777777" w:rsidR="00E9483F" w:rsidRPr="00E9483F" w:rsidRDefault="00E9483F" w:rsidP="00E9483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Legitimation of knowledge</w:t>
            </w:r>
          </w:p>
        </w:tc>
        <w:tc>
          <w:tcPr>
            <w:tcW w:w="0" w:type="auto"/>
            <w:hideMark/>
          </w:tcPr>
          <w:p w14:paraId="69EDE60A" w14:textId="77777777" w:rsidR="00E9483F" w:rsidRPr="00E9483F" w:rsidRDefault="00E9483F" w:rsidP="00E9483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Expected coordination pattern</w:t>
            </w:r>
          </w:p>
        </w:tc>
      </w:tr>
      <w:tr w:rsidR="00E9483F" w:rsidRPr="00E9483F" w14:paraId="7C1C0137" w14:textId="77777777" w:rsidTr="00E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97604" w14:textId="77777777" w:rsidR="00E9483F" w:rsidRPr="00E9483F" w:rsidRDefault="00E9483F" w:rsidP="00E9483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Technocracy</w:t>
            </w:r>
          </w:p>
        </w:tc>
        <w:tc>
          <w:tcPr>
            <w:tcW w:w="0" w:type="auto"/>
            <w:hideMark/>
          </w:tcPr>
          <w:p w14:paraId="0C21818D" w14:textId="77777777" w:rsidR="00E9483F" w:rsidRPr="00E9483F" w:rsidRDefault="00E9483F" w:rsidP="00E948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High valuation of experts; strong epistemic delegation</w:t>
            </w:r>
          </w:p>
        </w:tc>
        <w:tc>
          <w:tcPr>
            <w:tcW w:w="0" w:type="auto"/>
            <w:hideMark/>
          </w:tcPr>
          <w:p w14:paraId="7C73A8B4" w14:textId="77777777" w:rsidR="00E9483F" w:rsidRPr="00E9483F" w:rsidRDefault="00E9483F" w:rsidP="00E948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Positive, evidence-based coordination; high level of integration in reforms</w:t>
            </w:r>
          </w:p>
        </w:tc>
      </w:tr>
      <w:tr w:rsidR="00E9483F" w:rsidRPr="00E9483F" w14:paraId="4A909964" w14:textId="77777777" w:rsidTr="00E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6796B0" w14:textId="77777777" w:rsidR="00E9483F" w:rsidRPr="00E9483F" w:rsidRDefault="00E9483F" w:rsidP="00E9483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Plebeian majoritarianism</w:t>
            </w:r>
          </w:p>
        </w:tc>
        <w:tc>
          <w:tcPr>
            <w:tcW w:w="0" w:type="auto"/>
            <w:hideMark/>
          </w:tcPr>
          <w:p w14:paraId="760CB394" w14:textId="77777777" w:rsidR="00E9483F" w:rsidRPr="00E9483F" w:rsidRDefault="00E9483F" w:rsidP="00E948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Knowledge subordinated to the interests of the dominant party</w:t>
            </w:r>
          </w:p>
        </w:tc>
        <w:tc>
          <w:tcPr>
            <w:tcW w:w="0" w:type="auto"/>
            <w:hideMark/>
          </w:tcPr>
          <w:p w14:paraId="60522635" w14:textId="77777777" w:rsidR="00E9483F" w:rsidRPr="00E9483F" w:rsidRDefault="00E9483F" w:rsidP="00E948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High intra-governmental coordination; low intersectoral openness</w:t>
            </w:r>
          </w:p>
        </w:tc>
      </w:tr>
      <w:tr w:rsidR="00E9483F" w:rsidRPr="00E9483F" w14:paraId="377D50C5" w14:textId="77777777" w:rsidTr="00E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97EE0" w14:textId="77777777" w:rsidR="00E9483F" w:rsidRPr="00E9483F" w:rsidRDefault="00E9483F" w:rsidP="00E9483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Technocratic pluralism</w:t>
            </w:r>
          </w:p>
        </w:tc>
        <w:tc>
          <w:tcPr>
            <w:tcW w:w="0" w:type="auto"/>
            <w:hideMark/>
          </w:tcPr>
          <w:p w14:paraId="0C652049" w14:textId="77777777" w:rsidR="00E9483F" w:rsidRPr="00E9483F" w:rsidRDefault="00E9483F" w:rsidP="00E948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Competition among expert paradigms</w:t>
            </w:r>
          </w:p>
        </w:tc>
        <w:tc>
          <w:tcPr>
            <w:tcW w:w="0" w:type="auto"/>
            <w:hideMark/>
          </w:tcPr>
          <w:p w14:paraId="1E9439E2" w14:textId="77777777" w:rsidR="00E9483F" w:rsidRPr="00E9483F" w:rsidRDefault="00E9483F" w:rsidP="00E948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Coordination contingent on institutional design; deliberative potential</w:t>
            </w:r>
          </w:p>
        </w:tc>
      </w:tr>
      <w:tr w:rsidR="00E9483F" w:rsidRPr="00E9483F" w14:paraId="56F2E3B5" w14:textId="77777777" w:rsidTr="00E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905BD9" w14:textId="77777777" w:rsidR="00E9483F" w:rsidRPr="00E9483F" w:rsidRDefault="00E9483F" w:rsidP="00E9483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Plebeian pluralism</w:t>
            </w:r>
          </w:p>
        </w:tc>
        <w:tc>
          <w:tcPr>
            <w:tcW w:w="0" w:type="auto"/>
            <w:hideMark/>
          </w:tcPr>
          <w:p w14:paraId="06207C36" w14:textId="77777777" w:rsidR="00E9483F" w:rsidRPr="00E9483F" w:rsidRDefault="00E9483F" w:rsidP="00E948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Low epistemic delegation; politicization of knowledge</w:t>
            </w:r>
          </w:p>
        </w:tc>
        <w:tc>
          <w:tcPr>
            <w:tcW w:w="0" w:type="auto"/>
            <w:hideMark/>
          </w:tcPr>
          <w:p w14:paraId="2749D812" w14:textId="77777777" w:rsidR="00E9483F" w:rsidRPr="00E9483F" w:rsidRDefault="00E9483F" w:rsidP="00E948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483F">
              <w:rPr>
                <w:rFonts w:ascii="Times New Roman" w:hAnsi="Times New Roman" w:cs="Times New Roman"/>
              </w:rPr>
              <w:t>Coordination based on political negotiation and social pressure; risk of fragmentation</w:t>
            </w:r>
          </w:p>
        </w:tc>
      </w:tr>
    </w:tbl>
    <w:p w14:paraId="2C77CF42" w14:textId="17CD9A60" w:rsidR="001B2A29" w:rsidRDefault="001B2A29" w:rsidP="001B2A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A29">
        <w:rPr>
          <w:rFonts w:ascii="Times New Roman" w:hAnsi="Times New Roman" w:cs="Times New Roman"/>
        </w:rPr>
        <w:t>Note: The table illustrates a generalizable analytical principle: the political status attributed to knowledge conditions which forms of intersectoral alignment are deemed legitimate, thereby shaping the prevailing structural pattern of policy coordination.</w:t>
      </w:r>
    </w:p>
    <w:p w14:paraId="5160C0B2" w14:textId="6DC4A842" w:rsidR="007D4516" w:rsidRDefault="007D4516" w:rsidP="001B2A29">
      <w:pPr>
        <w:spacing w:after="0" w:line="240" w:lineRule="auto"/>
        <w:rPr>
          <w:rFonts w:ascii="Times New Roman" w:hAnsi="Times New Roman" w:cs="Times New Roman"/>
        </w:rPr>
      </w:pPr>
      <w:r w:rsidRPr="003C6D94">
        <w:rPr>
          <w:rFonts w:ascii="Times New Roman" w:hAnsi="Times New Roman" w:cs="Times New Roman"/>
        </w:rPr>
        <w:t>Source:</w:t>
      </w:r>
      <w:r>
        <w:rPr>
          <w:rFonts w:ascii="Times New Roman" w:hAnsi="Times New Roman" w:cs="Times New Roman"/>
        </w:rPr>
        <w:t xml:space="preserve"> Own</w:t>
      </w:r>
      <w:r w:rsidRPr="003C6D94">
        <w:rPr>
          <w:rFonts w:ascii="Times New Roman" w:hAnsi="Times New Roman" w:cs="Times New Roman"/>
        </w:rPr>
        <w:t xml:space="preserve"> elaboration.</w:t>
      </w:r>
    </w:p>
    <w:p w14:paraId="4A6F22B1" w14:textId="77777777" w:rsidR="00C3060C" w:rsidRPr="00225EF6" w:rsidRDefault="00C3060C">
      <w:pPr>
        <w:rPr>
          <w:rFonts w:ascii="Times New Roman" w:hAnsi="Times New Roman" w:cs="Times New Roman"/>
        </w:rPr>
      </w:pPr>
    </w:p>
    <w:sectPr w:rsidR="00C3060C" w:rsidRPr="00225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63"/>
    <w:rsid w:val="0018301C"/>
    <w:rsid w:val="001B2A29"/>
    <w:rsid w:val="00225EF6"/>
    <w:rsid w:val="003C6D94"/>
    <w:rsid w:val="003E7748"/>
    <w:rsid w:val="00744CC4"/>
    <w:rsid w:val="007D4516"/>
    <w:rsid w:val="0080742E"/>
    <w:rsid w:val="008278B7"/>
    <w:rsid w:val="00941CD2"/>
    <w:rsid w:val="00AF5D63"/>
    <w:rsid w:val="00C3060C"/>
    <w:rsid w:val="00D27DBE"/>
    <w:rsid w:val="00E6777D"/>
    <w:rsid w:val="00E9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9437"/>
  <w15:chartTrackingRefBased/>
  <w15:docId w15:val="{364EE8B9-F0B5-49E3-A81C-AA5F82A4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D63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3C6D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1310</Characters>
  <Application>Microsoft Office Word</Application>
  <DocSecurity>0</DocSecurity>
  <Lines>31</Lines>
  <Paragraphs>9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Abelardo Garrido Vergara (lgarridov)</dc:creator>
  <cp:keywords/>
  <dc:description/>
  <cp:lastModifiedBy>Luis Abelardo Garrido Vergara (lgarridov)</cp:lastModifiedBy>
  <cp:revision>11</cp:revision>
  <dcterms:created xsi:type="dcterms:W3CDTF">2025-12-25T01:39:00Z</dcterms:created>
  <dcterms:modified xsi:type="dcterms:W3CDTF">2025-12-28T17:26:00Z</dcterms:modified>
</cp:coreProperties>
</file>