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5E12CBCB" w:rsidP="46B6B319" w:rsidRDefault="5E12CBCB" w14:paraId="314DCE62" w14:textId="7BA8286C">
      <w:pPr>
        <w:pStyle w:val="Normal"/>
        <w:rPr>
          <w:rFonts w:ascii="Aptos" w:hAnsi="Aptos" w:eastAsia="Aptos" w:cs="Aptos"/>
          <w:noProof w:val="0"/>
          <w:sz w:val="22"/>
          <w:szCs w:val="22"/>
          <w:lang w:val="en-US"/>
        </w:rPr>
      </w:pPr>
      <w:r w:rsidRPr="46B6B319" w:rsidR="5E12CBCB">
        <w:rPr>
          <w:rFonts w:ascii="Aptos" w:hAnsi="Aptos" w:eastAsia="Aptos" w:cs="Aptos"/>
          <w:b w:val="1"/>
          <w:bCs w:val="1"/>
          <w:noProof w:val="0"/>
          <w:sz w:val="22"/>
          <w:szCs w:val="22"/>
          <w:lang w:val="en-US"/>
        </w:rPr>
        <w:t>T</w:t>
      </w:r>
      <w:r w:rsidRPr="46B6B319" w:rsidR="31DBB2E7">
        <w:rPr>
          <w:rFonts w:ascii="Aptos" w:hAnsi="Aptos" w:eastAsia="Aptos" w:cs="Aptos"/>
          <w:b w:val="1"/>
          <w:bCs w:val="1"/>
          <w:noProof w:val="0"/>
          <w:sz w:val="22"/>
          <w:szCs w:val="22"/>
          <w:lang w:val="en-US"/>
        </w:rPr>
        <w:t>itle</w:t>
      </w:r>
      <w:r w:rsidRPr="46B6B319" w:rsidR="31DBB2E7">
        <w:rPr>
          <w:rFonts w:ascii="Aptos" w:hAnsi="Aptos" w:eastAsia="Aptos" w:cs="Aptos"/>
          <w:b w:val="1"/>
          <w:bCs w:val="1"/>
          <w:noProof w:val="0"/>
          <w:sz w:val="22"/>
          <w:szCs w:val="22"/>
          <w:lang w:val="en-US"/>
        </w:rPr>
        <w:t>:</w:t>
      </w:r>
      <w:r w:rsidRPr="46B6B319" w:rsidR="31DBB2E7">
        <w:rPr>
          <w:rFonts w:ascii="Aptos" w:hAnsi="Aptos" w:eastAsia="Aptos" w:cs="Aptos"/>
          <w:noProof w:val="0"/>
          <w:sz w:val="22"/>
          <w:szCs w:val="22"/>
          <w:lang w:val="en-US"/>
        </w:rPr>
        <w:t xml:space="preserve"> Occupational Therapy–Led Home Modifications and Assistive Devices Versus Exercise Programs for Fall Prevention in Community‑Dwelling Older Adults: A Systematic Review </w:t>
      </w:r>
      <w:r w:rsidRPr="46B6B319" w:rsidR="31DBB2E7">
        <w:rPr>
          <w:rFonts w:ascii="Aptos" w:hAnsi="Aptos" w:eastAsia="Aptos" w:cs="Aptos"/>
          <w:b w:val="1"/>
          <w:bCs w:val="1"/>
          <w:noProof w:val="0"/>
          <w:sz w:val="22"/>
          <w:szCs w:val="22"/>
          <w:lang w:val="en-US"/>
        </w:rPr>
        <w:t>Author:</w:t>
      </w:r>
      <w:r w:rsidRPr="46B6B319" w:rsidR="31DBB2E7">
        <w:rPr>
          <w:rFonts w:ascii="Aptos" w:hAnsi="Aptos" w:eastAsia="Aptos" w:cs="Aptos"/>
          <w:noProof w:val="0"/>
          <w:sz w:val="22"/>
          <w:szCs w:val="22"/>
          <w:lang w:val="en-US"/>
        </w:rPr>
        <w:t xml:space="preserve"> Baraa Barakat, OTD, OTR/L, CPAM, CKTP</w:t>
      </w:r>
    </w:p>
    <w:p w:rsidR="46B6B319" w:rsidP="46B6B319" w:rsidRDefault="46B6B319" w14:paraId="57214108" w14:textId="2D4B7851">
      <w:pPr>
        <w:pStyle w:val="Normal"/>
        <w:rPr>
          <w:rFonts w:ascii="Aptos" w:hAnsi="Aptos" w:eastAsia="Aptos" w:cs="Aptos"/>
          <w:noProof w:val="0"/>
          <w:sz w:val="22"/>
          <w:szCs w:val="22"/>
          <w:lang w:val="en-US"/>
        </w:rPr>
      </w:pPr>
    </w:p>
    <w:p w:rsidR="1BEF1FA4" w:rsidP="46B6B319" w:rsidRDefault="1BEF1FA4" w14:paraId="1798E026" w14:textId="5BD69628">
      <w:pPr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46B6B319" w:rsidR="1BEF1FA4">
        <w:rPr>
          <w:rFonts w:ascii="Times New Roman" w:hAnsi="Times New Roman" w:eastAsia="Times New Roman" w:cs="Times New Roman"/>
          <w:b w:val="1"/>
          <w:bCs w:val="1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Review Matrix</w:t>
      </w:r>
      <w:r w:rsidRPr="46B6B319" w:rsidR="1BEF1FA4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(Sample of 9 Studies)</w:t>
      </w: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1305"/>
        <w:gridCol w:w="570"/>
        <w:gridCol w:w="1730"/>
        <w:gridCol w:w="1466"/>
        <w:gridCol w:w="1361"/>
        <w:gridCol w:w="821"/>
        <w:gridCol w:w="650"/>
        <w:gridCol w:w="1425"/>
      </w:tblGrid>
      <w:tr w:rsidR="46B6B319" w:rsidTr="46B6B319" w14:paraId="02061C56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nil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E6319F2" w14:textId="0C8E038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 xml:space="preserve">Author/Year                   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nil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E4D61DA" w14:textId="38AEF50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>Design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nil"/>
              <w:right w:val="single" w:color="000000" w:themeColor="text1" w:sz="12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92D233B" w14:textId="547BF8C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>Sample</w:t>
            </w:r>
          </w:p>
        </w:tc>
        <w:tc>
          <w:tcPr>
            <w:tcW w:w="1466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EE672E9" w14:textId="2B72B76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>Intervention</w:t>
            </w:r>
          </w:p>
        </w:tc>
        <w:tc>
          <w:tcPr>
            <w:tcW w:w="1361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4870A38" w14:textId="3C501C0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>Comparison</w:t>
            </w:r>
          </w:p>
        </w:tc>
        <w:tc>
          <w:tcPr>
            <w:tcW w:w="821" w:type="dxa"/>
            <w:tcBorders>
              <w:top w:val="single" w:color="000000" w:themeColor="text1" w:sz="12"/>
              <w:left w:val="single" w:color="000000" w:themeColor="text1" w:sz="12"/>
              <w:bottom w:val="single" w:color="000000" w:themeColor="text1" w:sz="12"/>
              <w:right w:val="single" w:color="000000" w:themeColor="text1" w:sz="12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07BF1D8" w14:textId="2B63894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>Outcomes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12"/>
              <w:bottom w:val="nil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988893B" w14:textId="7498086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>Strength of Evidence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nil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B1D3534" w14:textId="04A4276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trike w:val="0"/>
                <w:dstrike w:val="0"/>
                <w:sz w:val="22"/>
                <w:szCs w:val="22"/>
                <w:u w:val="none"/>
                <w:lang w:val="en-US"/>
              </w:rPr>
              <w:t>Notes</w:t>
            </w:r>
          </w:p>
        </w:tc>
      </w:tr>
      <w:tr w:rsidR="46B6B319" w:rsidTr="46B6B319" w14:paraId="0A6D8BA8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16906E6" w14:textId="55E2308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 xml:space="preserve">Caña-Pino &amp; </w:t>
            </w: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Pesado</w:t>
            </w: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-Fernández, 2025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E42BA13" w14:textId="3CCF5F9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4331D9B" w14:textId="2CED85B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Community-dwelling older adults</w:t>
            </w:r>
          </w:p>
        </w:tc>
        <w:tc>
          <w:tcPr>
            <w:tcW w:w="1466" w:type="dxa"/>
            <w:tcBorders>
              <w:top w:val="single" w:color="000000" w:themeColor="text1" w:sz="12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7E59FEE1" w14:textId="2F863F0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OT-led multimodal fall prevention</w:t>
            </w:r>
          </w:p>
        </w:tc>
        <w:tc>
          <w:tcPr>
            <w:tcW w:w="1361" w:type="dxa"/>
            <w:tcBorders>
              <w:top w:val="single" w:color="000000" w:themeColor="text1" w:sz="12"/>
              <w:left w:val="single" w:color="000000" w:themeColor="text1" w:sz="6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7A98020B" w14:textId="06CBF62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Exercise &amp; usual care</w:t>
            </w:r>
          </w:p>
        </w:tc>
        <w:tc>
          <w:tcPr>
            <w:tcW w:w="821" w:type="dxa"/>
            <w:tcBorders>
              <w:top w:val="single" w:color="000000" w:themeColor="text1" w:sz="12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4860656" w14:textId="6067F732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 incidence, ADL participation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61586E9" w14:textId="349062A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High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63BA39D" w14:textId="3B35027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OT interventions reduced falls and improved participation</w:t>
            </w:r>
          </w:p>
        </w:tc>
      </w:tr>
      <w:tr w:rsidR="46B6B319" w:rsidTr="46B6B319" w14:paraId="5E2B6CAC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7474F8C" w14:textId="55FA6C4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Chase et al., 2012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7633CDE4" w14:textId="32FD2D8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95AB4A7" w14:textId="7AEDF9A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Older adults living at home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522D69D" w14:textId="3F44C2C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Home modifications + fall prevention programs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6859BD7" w14:textId="1EEC66BC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No intervention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9ABE257" w14:textId="272A604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Falls, ADL performance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0B02A6A" w14:textId="6FF9164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AB91DF3" w14:textId="5A912FBF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Home modifications improved safety and ADLs</w:t>
            </w:r>
          </w:p>
        </w:tc>
      </w:tr>
      <w:tr w:rsidR="46B6B319" w:rsidTr="46B6B319" w14:paraId="4998FD3C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49D26A3" w14:textId="49B6B05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Stark et al., 2012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C2EAAA0" w14:textId="5DF6554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0F61931" w14:textId="40DC743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Adults with health conditions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08043AF" w14:textId="478EE4C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OT-led home modifications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932A0B7" w14:textId="024A4F6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No intervention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06A45C5" w14:textId="53547F0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Participation, fall risk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A9DA955" w14:textId="4E6B806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BADD65C" w14:textId="5A37BDD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Classic OT evidence for home safety</w:t>
            </w:r>
          </w:p>
        </w:tc>
      </w:tr>
      <w:tr w:rsidR="46B6B319" w:rsidTr="46B6B319" w14:paraId="4E0BBDB3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76B50545" w14:textId="069DE726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Tricco</w:t>
            </w: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 xml:space="preserve"> et al., 2017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B50B454" w14:textId="2E8AFF4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Network Meta-analysis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EE0B8D1" w14:textId="304B822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41,596 participants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109950D" w14:textId="2D8C02D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Exercise + environmental modification + vision care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8B17195" w14:textId="57DD5AD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Usual care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6A9E952" w14:textId="2D2F441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 rate, injurious falls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EA57A38" w14:textId="0294B5C4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High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2404E53" w14:textId="7C71106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Combined interventions most effective</w:t>
            </w:r>
          </w:p>
        </w:tc>
      </w:tr>
      <w:tr w:rsidR="46B6B319" w:rsidTr="46B6B319" w14:paraId="5D9877B4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A95C03B" w14:textId="3167E1A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Sherrington et al., 2017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76252D1" w14:textId="54D62CDF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Meta-analysis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D186E3F" w14:textId="549FA49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&gt;20,000 older adults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37B1AA8" w14:textId="2CDC3E5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Structured exercise programs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C2BDCEF" w14:textId="34004B1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Usual care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B01AA88" w14:textId="4B36EF6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 rate, injurious falls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5CAD4AD" w14:textId="3E90C102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High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596A7D8" w14:textId="4AD50F06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Exercise reduced falls by ~23%</w:t>
            </w:r>
          </w:p>
        </w:tc>
      </w:tr>
      <w:tr w:rsidR="46B6B319" w:rsidTr="46B6B319" w14:paraId="3C97485E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0F3B234" w14:textId="1CF78F7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Dyer et al., 2023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39AA00E" w14:textId="5B7450A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9C9E070" w14:textId="2F8BDCD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Residential aged care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C13F981" w14:textId="056E0E0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Exercise interventions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A3000A0" w14:textId="187FA76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Usual care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622E1FB" w14:textId="659232F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Falls, injuries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EB32729" w14:textId="797A6871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06BD8E0" w14:textId="062FB90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Exercise effective in community, less clear in aged care</w:t>
            </w:r>
          </w:p>
        </w:tc>
      </w:tr>
      <w:tr w:rsidR="46B6B319" w:rsidTr="46B6B319" w14:paraId="329A41A7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B1E99D5" w14:textId="0EB2282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Elliott &amp; Leland, 2018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F8BD240" w14:textId="46465C1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Systematic Review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7CA2EFA" w14:textId="3009A375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Community-dwelling older adults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4A67E682" w14:textId="47F0404F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OT fall-prevention interventions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75EF2945" w14:textId="0991D14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Usual care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41364CD" w14:textId="6B18265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Falls, hospitalization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7880CCF" w14:textId="1C2FF73B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79BC5CB" w14:textId="0747B7C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OT interventions reduced falls, improved independence</w:t>
            </w:r>
          </w:p>
        </w:tc>
      </w:tr>
      <w:tr w:rsidR="46B6B319" w:rsidTr="46B6B319" w14:paraId="2C8D5F45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E9E8889" w14:textId="6837814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Crosby et al., 2023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9F18745" w14:textId="377AF96C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Protocol/Systematic Review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D5B549B" w14:textId="1A554F5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Community-dwelling older adults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7B77153" w14:textId="74D0A5FE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Assistive technology + home modifications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0F8DC4D7" w14:textId="11E0334C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Usual care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988282B" w14:textId="2628E049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Fall-related injuries, independence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33B8C734" w14:textId="530F20E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Moderate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FA8B7EA" w14:textId="57D3B70A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AT/home mods promising</w:t>
            </w:r>
          </w:p>
        </w:tc>
      </w:tr>
      <w:tr w:rsidR="46B6B319" w:rsidTr="46B6B319" w14:paraId="72FE7DD9">
        <w:trPr>
          <w:trHeight w:val="300"/>
        </w:trPr>
        <w:tc>
          <w:tcPr>
            <w:tcW w:w="130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45B81D6" w14:textId="6D50F156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CDC Compendium, 2023</w:t>
            </w:r>
          </w:p>
        </w:tc>
        <w:tc>
          <w:tcPr>
            <w:tcW w:w="57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CDE199B" w14:textId="7AB4AAE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Practice Compendium</w:t>
            </w:r>
          </w:p>
        </w:tc>
        <w:tc>
          <w:tcPr>
            <w:tcW w:w="17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647A988D" w14:textId="40C113B7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Community-dwelling older adults</w:t>
            </w:r>
          </w:p>
        </w:tc>
        <w:tc>
          <w:tcPr>
            <w:tcW w:w="1466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5922737D" w14:textId="22E8D54D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Multicomponent interventions</w:t>
            </w:r>
          </w:p>
        </w:tc>
        <w:tc>
          <w:tcPr>
            <w:tcW w:w="136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72EAC379" w14:textId="674AFD0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Usual care</w:t>
            </w:r>
          </w:p>
        </w:tc>
        <w:tc>
          <w:tcPr>
            <w:tcW w:w="821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7DDC0F57" w14:textId="2CF3CD26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Falls, injurious falls</w:t>
            </w:r>
          </w:p>
        </w:tc>
        <w:tc>
          <w:tcPr>
            <w:tcW w:w="65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1C69D1D9" w14:textId="1AB8AAA3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High</w:t>
            </w:r>
          </w:p>
        </w:tc>
        <w:tc>
          <w:tcPr>
            <w:tcW w:w="142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>
              <w:left w:w="105" w:type="dxa"/>
              <w:right w:w="105" w:type="dxa"/>
            </w:tcMar>
            <w:vAlign w:val="bottom"/>
          </w:tcPr>
          <w:p w:rsidR="46B6B319" w:rsidP="46B6B319" w:rsidRDefault="46B6B319" w14:paraId="2D9FE6DC" w14:textId="6D89D510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46B6B319" w:rsidR="46B6B3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/>
              </w:rPr>
              <w:t>CDC evidence-based recommendations</w:t>
            </w:r>
          </w:p>
        </w:tc>
      </w:tr>
    </w:tbl>
    <w:p w:rsidR="46B6B319" w:rsidP="46B6B319" w:rsidRDefault="46B6B319" w14:paraId="73D7ECB0" w14:textId="70D92E22">
      <w:pPr>
        <w:keepNext w:val="1"/>
        <w:keepLines w:val="1"/>
        <w:bidi w:val="0"/>
        <w:spacing w:before="240" w:beforeAutospacing="off" w:after="240" w:afterAutospacing="off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4761" w:themeColor="accent1" w:themeTint="FF" w:themeShade="BF"/>
          <w:sz w:val="22"/>
          <w:szCs w:val="22"/>
          <w:lang w:val="en-US"/>
        </w:rPr>
      </w:pPr>
    </w:p>
    <w:p w:rsidR="46B6B319" w:rsidP="46B6B319" w:rsidRDefault="46B6B319" w14:paraId="403BABB5" w14:textId="207F475F">
      <w:pPr>
        <w:pStyle w:val="Normal"/>
        <w:rPr>
          <w:rFonts w:ascii="Aptos" w:hAnsi="Aptos" w:eastAsia="Aptos" w:cs="Aptos"/>
          <w:noProof w:val="0"/>
          <w:sz w:val="22"/>
          <w:szCs w:val="22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B68567"/>
    <w:rsid w:val="0EB68567"/>
    <w:rsid w:val="1BEF1FA4"/>
    <w:rsid w:val="31DBB2E7"/>
    <w:rsid w:val="46B6B319"/>
    <w:rsid w:val="50B693C0"/>
    <w:rsid w:val="5E12CBCB"/>
    <w:rsid w:val="60E7E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68567"/>
  <w15:chartTrackingRefBased/>
  <w15:docId w15:val="{47330BE5-AD3E-4A65-A72D-29FECC84368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2025-12-29T23:04:36.9149091Z</dcterms:created>
  <dcterms:modified xsi:type="dcterms:W3CDTF">2025-12-29T23:10:04.1879193Z</dcterms:modified>
  <dc:creator>Baraa Barakat</dc:creator>
  <lastModifiedBy>Baraa Barakat</lastModifiedBy>
</coreProperties>
</file>