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6D70A" w14:textId="77777777" w:rsidR="00AE46CF" w:rsidRPr="00AE46CF" w:rsidRDefault="00AE46CF" w:rsidP="00AE46C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</w:pPr>
      <w:r w:rsidRPr="00AE46CF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 xml:space="preserve">Supplementary Table S1. </w:t>
      </w:r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Sensitivity analyses of the association between organized sport participation and stress-related motivation for physical activity under alternative outcome </w:t>
      </w:r>
      <w:proofErr w:type="spellStart"/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codings</w:t>
      </w:r>
      <w:proofErr w:type="spellEnd"/>
    </w:p>
    <w:p w14:paraId="3824602B" w14:textId="77777777" w:rsidR="00AE46CF" w:rsidRPr="00AE46CF" w:rsidRDefault="00AE46CF" w:rsidP="00AE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AE46CF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Outcome:</w:t>
      </w:r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Stress-related motivation for physical activity</w:t>
      </w:r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br/>
      </w:r>
      <w:r w:rsidRPr="00AE46CF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Exposure:</w:t>
      </w:r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Organized sport participation (Yes vs No)</w:t>
      </w:r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br/>
      </w:r>
      <w:r w:rsidRPr="00AE46CF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Data:</w:t>
      </w:r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</w:t>
      </w:r>
      <w:proofErr w:type="spellStart"/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ENAFyD</w:t>
      </w:r>
      <w:proofErr w:type="spellEnd"/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2024 (unweighted)</w:t>
      </w:r>
    </w:p>
    <w:tbl>
      <w:tblPr>
        <w:tblW w:w="5181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2895"/>
        <w:gridCol w:w="680"/>
        <w:gridCol w:w="1728"/>
      </w:tblGrid>
      <w:tr w:rsidR="00AE46CF" w:rsidRPr="00AE46CF" w14:paraId="5BA1D161" w14:textId="77777777" w:rsidTr="00AE46CF">
        <w:trPr>
          <w:tblHeader/>
          <w:tblCellSpacing w:w="15" w:type="dxa"/>
        </w:trPr>
        <w:tc>
          <w:tcPr>
            <w:tcW w:w="2081" w:type="pct"/>
            <w:tcBorders>
              <w:top w:val="single" w:sz="4" w:space="0" w:color="auto"/>
            </w:tcBorders>
            <w:vAlign w:val="center"/>
            <w:hideMark/>
          </w:tcPr>
          <w:p w14:paraId="668A1AAD" w14:textId="77777777" w:rsidR="00AE46CF" w:rsidRPr="00AE46CF" w:rsidRDefault="00AE46CF" w:rsidP="00AE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MX"/>
                <w14:ligatures w14:val="none"/>
              </w:rPr>
              <w:t>Scenario</w:t>
            </w:r>
          </w:p>
        </w:tc>
        <w:tc>
          <w:tcPr>
            <w:tcW w:w="1564" w:type="pct"/>
            <w:tcBorders>
              <w:top w:val="single" w:sz="4" w:space="0" w:color="auto"/>
            </w:tcBorders>
            <w:vAlign w:val="center"/>
            <w:hideMark/>
          </w:tcPr>
          <w:p w14:paraId="5B2E3C82" w14:textId="77777777" w:rsidR="00AE46CF" w:rsidRPr="00AE46CF" w:rsidRDefault="00AE46CF" w:rsidP="00AE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MX"/>
                <w14:ligatures w14:val="none"/>
              </w:rPr>
              <w:t>Outcome definition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  <w:hideMark/>
          </w:tcPr>
          <w:p w14:paraId="17D42304" w14:textId="77777777" w:rsidR="00AE46CF" w:rsidRPr="00AE46CF" w:rsidRDefault="00AE46CF" w:rsidP="00AE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MX"/>
                <w14:ligatures w14:val="none"/>
              </w:rPr>
              <w:t>N</w:t>
            </w:r>
          </w:p>
        </w:tc>
        <w:tc>
          <w:tcPr>
            <w:tcW w:w="919" w:type="pct"/>
            <w:tcBorders>
              <w:top w:val="single" w:sz="4" w:space="0" w:color="auto"/>
            </w:tcBorders>
            <w:vAlign w:val="center"/>
            <w:hideMark/>
          </w:tcPr>
          <w:p w14:paraId="4050177C" w14:textId="77777777" w:rsidR="00AE46CF" w:rsidRPr="00AE46CF" w:rsidRDefault="00AE46CF" w:rsidP="00AE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s-MX"/>
                <w14:ligatures w14:val="none"/>
              </w:rPr>
              <w:t>OR (95% CI)</w:t>
            </w:r>
          </w:p>
        </w:tc>
      </w:tr>
      <w:tr w:rsidR="00AE46CF" w:rsidRPr="00AE46CF" w14:paraId="25A2B2CE" w14:textId="77777777" w:rsidTr="00AE46CF">
        <w:trPr>
          <w:tblCellSpacing w:w="15" w:type="dxa"/>
        </w:trPr>
        <w:tc>
          <w:tcPr>
            <w:tcW w:w="2081" w:type="pct"/>
            <w:tcBorders>
              <w:top w:val="single" w:sz="4" w:space="0" w:color="auto"/>
            </w:tcBorders>
            <w:vAlign w:val="center"/>
            <w:hideMark/>
          </w:tcPr>
          <w:p w14:paraId="69EA4E34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S1 – Complete-case (main analysis)</w:t>
            </w:r>
          </w:p>
        </w:tc>
        <w:tc>
          <w:tcPr>
            <w:tcW w:w="1564" w:type="pct"/>
            <w:tcBorders>
              <w:top w:val="single" w:sz="4" w:space="0" w:color="auto"/>
            </w:tcBorders>
            <w:vAlign w:val="center"/>
            <w:hideMark/>
          </w:tcPr>
          <w:p w14:paraId="5CC7042B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proofErr w:type="gramStart"/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Yes</w:t>
            </w:r>
            <w:proofErr w:type="gramEnd"/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 xml:space="preserve"> vs No, missing excluded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  <w:hideMark/>
          </w:tcPr>
          <w:p w14:paraId="59F7D94F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2,651</w:t>
            </w:r>
          </w:p>
        </w:tc>
        <w:tc>
          <w:tcPr>
            <w:tcW w:w="919" w:type="pct"/>
            <w:tcBorders>
              <w:top w:val="single" w:sz="4" w:space="0" w:color="auto"/>
            </w:tcBorders>
            <w:vAlign w:val="center"/>
            <w:hideMark/>
          </w:tcPr>
          <w:p w14:paraId="145896ED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0.51 (0.44–0.60)</w:t>
            </w:r>
          </w:p>
        </w:tc>
      </w:tr>
      <w:tr w:rsidR="00AE46CF" w:rsidRPr="00AE46CF" w14:paraId="7878568E" w14:textId="77777777" w:rsidTr="00AE46CF">
        <w:trPr>
          <w:tblCellSpacing w:w="15" w:type="dxa"/>
        </w:trPr>
        <w:tc>
          <w:tcPr>
            <w:tcW w:w="2081" w:type="pct"/>
            <w:vAlign w:val="center"/>
            <w:hideMark/>
          </w:tcPr>
          <w:p w14:paraId="6DB23EDB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S2 – Missing coded as “No”</w:t>
            </w:r>
          </w:p>
        </w:tc>
        <w:tc>
          <w:tcPr>
            <w:tcW w:w="1564" w:type="pct"/>
            <w:vAlign w:val="center"/>
            <w:hideMark/>
          </w:tcPr>
          <w:p w14:paraId="6A225656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proofErr w:type="gramStart"/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Yes</w:t>
            </w:r>
            <w:proofErr w:type="gramEnd"/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 xml:space="preserve"> vs </w:t>
            </w:r>
            <w:proofErr w:type="spellStart"/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No+Missing</w:t>
            </w:r>
            <w:proofErr w:type="spellEnd"/>
          </w:p>
        </w:tc>
        <w:tc>
          <w:tcPr>
            <w:tcW w:w="355" w:type="pct"/>
            <w:vAlign w:val="center"/>
            <w:hideMark/>
          </w:tcPr>
          <w:p w14:paraId="425707F8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4,150</w:t>
            </w:r>
          </w:p>
        </w:tc>
        <w:tc>
          <w:tcPr>
            <w:tcW w:w="919" w:type="pct"/>
            <w:vAlign w:val="center"/>
            <w:hideMark/>
          </w:tcPr>
          <w:p w14:paraId="1FD9900F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0.58 (0.51–0.67)</w:t>
            </w:r>
          </w:p>
        </w:tc>
      </w:tr>
      <w:tr w:rsidR="00AE46CF" w:rsidRPr="00AE46CF" w14:paraId="78966FE6" w14:textId="77777777" w:rsidTr="00AE46CF">
        <w:trPr>
          <w:tblCellSpacing w:w="15" w:type="dxa"/>
        </w:trPr>
        <w:tc>
          <w:tcPr>
            <w:tcW w:w="2081" w:type="pct"/>
            <w:vAlign w:val="center"/>
            <w:hideMark/>
          </w:tcPr>
          <w:p w14:paraId="3B9D6DE3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S3 – Missing coded as “Yes”</w:t>
            </w:r>
          </w:p>
        </w:tc>
        <w:tc>
          <w:tcPr>
            <w:tcW w:w="1564" w:type="pct"/>
            <w:vAlign w:val="center"/>
            <w:hideMark/>
          </w:tcPr>
          <w:p w14:paraId="218D7150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proofErr w:type="spellStart"/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Yes+Missing</w:t>
            </w:r>
            <w:proofErr w:type="spellEnd"/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 xml:space="preserve"> vs No</w:t>
            </w:r>
          </w:p>
        </w:tc>
        <w:tc>
          <w:tcPr>
            <w:tcW w:w="355" w:type="pct"/>
            <w:vAlign w:val="center"/>
            <w:hideMark/>
          </w:tcPr>
          <w:p w14:paraId="4A40C75B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4,150</w:t>
            </w:r>
          </w:p>
        </w:tc>
        <w:tc>
          <w:tcPr>
            <w:tcW w:w="919" w:type="pct"/>
            <w:vAlign w:val="center"/>
            <w:hideMark/>
          </w:tcPr>
          <w:p w14:paraId="322CB7DD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0.65 (0.57–0.74)</w:t>
            </w:r>
          </w:p>
        </w:tc>
      </w:tr>
      <w:tr w:rsidR="00AE46CF" w:rsidRPr="00AE46CF" w14:paraId="370F1CDB" w14:textId="77777777" w:rsidTr="00AE46CF">
        <w:trPr>
          <w:tblCellSpacing w:w="15" w:type="dxa"/>
        </w:trPr>
        <w:tc>
          <w:tcPr>
            <w:tcW w:w="2081" w:type="pct"/>
            <w:vAlign w:val="center"/>
            <w:hideMark/>
          </w:tcPr>
          <w:p w14:paraId="3E4FC9DC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S4 – Inverted outcome (complete-case)</w:t>
            </w:r>
          </w:p>
        </w:tc>
        <w:tc>
          <w:tcPr>
            <w:tcW w:w="1564" w:type="pct"/>
            <w:vAlign w:val="center"/>
            <w:hideMark/>
          </w:tcPr>
          <w:p w14:paraId="15FFC7C7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No vs Yes</w:t>
            </w:r>
          </w:p>
        </w:tc>
        <w:tc>
          <w:tcPr>
            <w:tcW w:w="355" w:type="pct"/>
            <w:vAlign w:val="center"/>
            <w:hideMark/>
          </w:tcPr>
          <w:p w14:paraId="109FE261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2,651</w:t>
            </w:r>
          </w:p>
        </w:tc>
        <w:tc>
          <w:tcPr>
            <w:tcW w:w="919" w:type="pct"/>
            <w:vAlign w:val="center"/>
            <w:hideMark/>
          </w:tcPr>
          <w:p w14:paraId="60BC68D8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1.95 (1.66–2.28)</w:t>
            </w:r>
          </w:p>
        </w:tc>
      </w:tr>
      <w:tr w:rsidR="00AE46CF" w:rsidRPr="00AE46CF" w14:paraId="5F5CD57E" w14:textId="77777777" w:rsidTr="00AE46CF">
        <w:trPr>
          <w:tblCellSpacing w:w="15" w:type="dxa"/>
        </w:trPr>
        <w:tc>
          <w:tcPr>
            <w:tcW w:w="2081" w:type="pct"/>
            <w:tcBorders>
              <w:bottom w:val="single" w:sz="4" w:space="0" w:color="auto"/>
            </w:tcBorders>
            <w:vAlign w:val="center"/>
            <w:hideMark/>
          </w:tcPr>
          <w:p w14:paraId="59D2D719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S5 – Inverted outcome (missing as No)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vAlign w:val="center"/>
            <w:hideMark/>
          </w:tcPr>
          <w:p w14:paraId="0892B63F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proofErr w:type="spellStart"/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No+Missing</w:t>
            </w:r>
            <w:proofErr w:type="spellEnd"/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 xml:space="preserve"> vs Yes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  <w:hideMark/>
          </w:tcPr>
          <w:p w14:paraId="7F665265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4,150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  <w:hideMark/>
          </w:tcPr>
          <w:p w14:paraId="1373DFC9" w14:textId="77777777" w:rsidR="00AE46CF" w:rsidRPr="00AE46CF" w:rsidRDefault="00AE46CF" w:rsidP="00AE4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</w:pPr>
            <w:r w:rsidRPr="00AE46CF">
              <w:rPr>
                <w:rFonts w:ascii="Times New Roman" w:eastAsia="Times New Roman" w:hAnsi="Times New Roman" w:cs="Times New Roman"/>
                <w:kern w:val="0"/>
                <w:lang w:val="en-US" w:eastAsia="es-MX"/>
                <w14:ligatures w14:val="none"/>
              </w:rPr>
              <w:t>1.71 (1.49–1.96)</w:t>
            </w:r>
          </w:p>
        </w:tc>
      </w:tr>
    </w:tbl>
    <w:p w14:paraId="2C64B462" w14:textId="29A3FEAD" w:rsidR="00AE46CF" w:rsidRPr="00AE46CF" w:rsidRDefault="00AE46CF" w:rsidP="00AE4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AE46CF">
        <w:rPr>
          <w:rFonts w:ascii="Times New Roman" w:eastAsia="Times New Roman" w:hAnsi="Times New Roman" w:cs="Times New Roman"/>
          <w:b/>
          <w:bCs/>
          <w:kern w:val="0"/>
          <w:lang w:val="en-US" w:eastAsia="es-MX"/>
          <w14:ligatures w14:val="none"/>
        </w:rPr>
        <w:t>Note:</w:t>
      </w:r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All models were adjusted for sex, age group, socioeconomic status, and area of residence. Odds ratios &gt;1 in inverted scenarios reflect the mathematical inverse of the main outcome coding.</w:t>
      </w:r>
    </w:p>
    <w:p w14:paraId="36172498" w14:textId="1962CBE1" w:rsidR="00AE46CF" w:rsidRPr="00AE46CF" w:rsidRDefault="00AE46CF" w:rsidP="00AE4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</w:pPr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Sensitivity analyses were conducted using alternative </w:t>
      </w:r>
      <w:proofErr w:type="spellStart"/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>codings</w:t>
      </w:r>
      <w:proofErr w:type="spellEnd"/>
      <w:r w:rsidRPr="00AE46CF">
        <w:rPr>
          <w:rFonts w:ascii="Times New Roman" w:eastAsia="Times New Roman" w:hAnsi="Times New Roman" w:cs="Times New Roman"/>
          <w:kern w:val="0"/>
          <w:lang w:val="en-US" w:eastAsia="es-MX"/>
          <w14:ligatures w14:val="none"/>
        </w:rPr>
        <w:t xml:space="preserve"> of the stress-related motivation outcome, including treating missing responses as “no” or “yes” and inverting the outcome definition. Across all plausible scenarios, the association between organized sport participation and stress-related motivation remained consistent in direction and magnitude, supporting the robustness of the main findings (Supplementary Table S1).</w:t>
      </w:r>
    </w:p>
    <w:p w14:paraId="14F2EB03" w14:textId="77777777" w:rsidR="00EA2E84" w:rsidRPr="00AE46CF" w:rsidRDefault="00EA2E84">
      <w:pPr>
        <w:rPr>
          <w:rFonts w:ascii="Times New Roman" w:hAnsi="Times New Roman" w:cs="Times New Roman"/>
          <w:lang w:val="en-US"/>
        </w:rPr>
      </w:pPr>
    </w:p>
    <w:sectPr w:rsidR="00EA2E84" w:rsidRPr="00AE46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4FF"/>
    <w:multiLevelType w:val="multilevel"/>
    <w:tmpl w:val="6B2C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7390C"/>
    <w:multiLevelType w:val="multilevel"/>
    <w:tmpl w:val="9A34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7476A"/>
    <w:multiLevelType w:val="multilevel"/>
    <w:tmpl w:val="EB8E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F0984"/>
    <w:multiLevelType w:val="multilevel"/>
    <w:tmpl w:val="5AD4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7578D"/>
    <w:multiLevelType w:val="multilevel"/>
    <w:tmpl w:val="0BBE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43148"/>
    <w:multiLevelType w:val="multilevel"/>
    <w:tmpl w:val="A7CE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82AE5"/>
    <w:multiLevelType w:val="multilevel"/>
    <w:tmpl w:val="A44A1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677BBA"/>
    <w:multiLevelType w:val="multilevel"/>
    <w:tmpl w:val="A908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68224">
    <w:abstractNumId w:val="6"/>
  </w:num>
  <w:num w:numId="2" w16cid:durableId="1155073750">
    <w:abstractNumId w:val="4"/>
  </w:num>
  <w:num w:numId="3" w16cid:durableId="1119564210">
    <w:abstractNumId w:val="7"/>
  </w:num>
  <w:num w:numId="4" w16cid:durableId="1939945906">
    <w:abstractNumId w:val="3"/>
  </w:num>
  <w:num w:numId="5" w16cid:durableId="1823233983">
    <w:abstractNumId w:val="2"/>
  </w:num>
  <w:num w:numId="6" w16cid:durableId="722023800">
    <w:abstractNumId w:val="5"/>
  </w:num>
  <w:num w:numId="7" w16cid:durableId="225992349">
    <w:abstractNumId w:val="1"/>
  </w:num>
  <w:num w:numId="8" w16cid:durableId="112782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CF"/>
    <w:rsid w:val="00015921"/>
    <w:rsid w:val="00035F57"/>
    <w:rsid w:val="000B1041"/>
    <w:rsid w:val="000D339C"/>
    <w:rsid w:val="00103B7E"/>
    <w:rsid w:val="00112FC7"/>
    <w:rsid w:val="00142B82"/>
    <w:rsid w:val="00142DBE"/>
    <w:rsid w:val="001C0257"/>
    <w:rsid w:val="001D563B"/>
    <w:rsid w:val="001D60B2"/>
    <w:rsid w:val="002217B0"/>
    <w:rsid w:val="0022551A"/>
    <w:rsid w:val="002335E9"/>
    <w:rsid w:val="00241A73"/>
    <w:rsid w:val="002477D5"/>
    <w:rsid w:val="003502D2"/>
    <w:rsid w:val="00363619"/>
    <w:rsid w:val="003901C5"/>
    <w:rsid w:val="00411D2C"/>
    <w:rsid w:val="00445FC6"/>
    <w:rsid w:val="004852AB"/>
    <w:rsid w:val="004D4925"/>
    <w:rsid w:val="004E3B2B"/>
    <w:rsid w:val="004E4A1B"/>
    <w:rsid w:val="00501074"/>
    <w:rsid w:val="00516080"/>
    <w:rsid w:val="00552A68"/>
    <w:rsid w:val="00585B70"/>
    <w:rsid w:val="005903B9"/>
    <w:rsid w:val="005B5793"/>
    <w:rsid w:val="005C348D"/>
    <w:rsid w:val="005E1D5E"/>
    <w:rsid w:val="00604A6D"/>
    <w:rsid w:val="00612612"/>
    <w:rsid w:val="006447BF"/>
    <w:rsid w:val="006577A0"/>
    <w:rsid w:val="00686E54"/>
    <w:rsid w:val="006E4B1B"/>
    <w:rsid w:val="00716DA9"/>
    <w:rsid w:val="00784C02"/>
    <w:rsid w:val="007C7212"/>
    <w:rsid w:val="007E04E1"/>
    <w:rsid w:val="007F581E"/>
    <w:rsid w:val="008109EB"/>
    <w:rsid w:val="00833274"/>
    <w:rsid w:val="008B2F54"/>
    <w:rsid w:val="008D110E"/>
    <w:rsid w:val="00997BCF"/>
    <w:rsid w:val="009D2268"/>
    <w:rsid w:val="009D448D"/>
    <w:rsid w:val="009F1F10"/>
    <w:rsid w:val="00A03368"/>
    <w:rsid w:val="00A04F60"/>
    <w:rsid w:val="00A24D8D"/>
    <w:rsid w:val="00A323B4"/>
    <w:rsid w:val="00A60273"/>
    <w:rsid w:val="00A65891"/>
    <w:rsid w:val="00A8658F"/>
    <w:rsid w:val="00AC3F35"/>
    <w:rsid w:val="00AE46CF"/>
    <w:rsid w:val="00B0388D"/>
    <w:rsid w:val="00B10266"/>
    <w:rsid w:val="00B670AF"/>
    <w:rsid w:val="00B711BE"/>
    <w:rsid w:val="00BC3FC7"/>
    <w:rsid w:val="00BD3C0C"/>
    <w:rsid w:val="00BD6044"/>
    <w:rsid w:val="00BE0EFE"/>
    <w:rsid w:val="00C612CE"/>
    <w:rsid w:val="00C66DA3"/>
    <w:rsid w:val="00D85227"/>
    <w:rsid w:val="00DC61CF"/>
    <w:rsid w:val="00E73183"/>
    <w:rsid w:val="00EA2E84"/>
    <w:rsid w:val="00F0384F"/>
    <w:rsid w:val="00F74D13"/>
    <w:rsid w:val="00FB70D5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F081"/>
  <w15:chartTrackingRefBased/>
  <w15:docId w15:val="{5D6F27F0-6DF0-5A41-A48C-69FE22B8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E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E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6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6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46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46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46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46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46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46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46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46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46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AE46CF"/>
    <w:rPr>
      <w:b/>
      <w:bCs/>
    </w:rPr>
  </w:style>
  <w:style w:type="character" w:styleId="nfasis">
    <w:name w:val="Emphasis"/>
    <w:basedOn w:val="Fuentedeprrafopredeter"/>
    <w:uiPriority w:val="20"/>
    <w:qFormat/>
    <w:rsid w:val="00AE46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1172</Characters>
  <Application>Microsoft Office Word</Application>
  <DocSecurity>0</DocSecurity>
  <Lines>45</Lines>
  <Paragraphs>36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Josivaldo De Souza Lima</dc:creator>
  <cp:keywords/>
  <dc:description/>
  <cp:lastModifiedBy>Josivaldo De Souza Lima</cp:lastModifiedBy>
  <cp:revision>1</cp:revision>
  <dcterms:created xsi:type="dcterms:W3CDTF">2026-01-01T20:26:00Z</dcterms:created>
  <dcterms:modified xsi:type="dcterms:W3CDTF">2026-01-01T20:30:00Z</dcterms:modified>
</cp:coreProperties>
</file>