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F4694" w14:textId="08C8FAC5" w:rsidR="00B72CF7" w:rsidRDefault="00B72CF7" w:rsidP="00F65C94">
      <w:pPr>
        <w:spacing w:line="480" w:lineRule="auto"/>
        <w:rPr>
          <w:rFonts w:ascii="Arial" w:hAnsi="Arial" w:cs="Arial"/>
        </w:rPr>
      </w:pPr>
      <w:r>
        <w:rPr>
          <w:noProof/>
        </w:rPr>
        <w:drawing>
          <wp:inline distT="0" distB="0" distL="0" distR="0" wp14:anchorId="74BE4B59" wp14:editId="519BFD60">
            <wp:extent cx="5943600" cy="5726430"/>
            <wp:effectExtent l="0" t="0" r="0" b="0"/>
            <wp:docPr id="2129217872" name="Picture 4"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217872" name="Picture 4" descr="A screenshot of a computer screen&#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5726430"/>
                    </a:xfrm>
                    <a:prstGeom prst="rect">
                      <a:avLst/>
                    </a:prstGeom>
                    <a:noFill/>
                    <a:ln>
                      <a:noFill/>
                    </a:ln>
                  </pic:spPr>
                </pic:pic>
              </a:graphicData>
            </a:graphic>
          </wp:inline>
        </w:drawing>
      </w:r>
    </w:p>
    <w:p w14:paraId="20D7B239" w14:textId="77777777" w:rsidR="000B721B" w:rsidRPr="000B721B" w:rsidRDefault="000B721B" w:rsidP="00F65C94">
      <w:pPr>
        <w:spacing w:line="480" w:lineRule="auto"/>
        <w:rPr>
          <w:rFonts w:ascii="Arial" w:hAnsi="Arial" w:cs="Arial"/>
        </w:rPr>
      </w:pPr>
      <w:r w:rsidRPr="000B721B">
        <w:rPr>
          <w:rFonts w:ascii="Arial" w:hAnsi="Arial" w:cs="Arial"/>
          <w:b/>
          <w:bCs/>
        </w:rPr>
        <w:t xml:space="preserve">Sup Figure 1. Detailed Correlation of </w:t>
      </w:r>
      <w:r w:rsidRPr="000B721B">
        <w:rPr>
          <w:rFonts w:ascii="Arial" w:hAnsi="Arial" w:cs="Arial"/>
          <w:b/>
          <w:bCs/>
          <w:i/>
          <w:iCs/>
        </w:rPr>
        <w:t>BRCA1</w:t>
      </w:r>
      <w:r w:rsidRPr="000B721B">
        <w:rPr>
          <w:rFonts w:ascii="Arial" w:hAnsi="Arial" w:cs="Arial"/>
          <w:b/>
          <w:bCs/>
        </w:rPr>
        <w:t xml:space="preserve"> and </w:t>
      </w:r>
      <w:r w:rsidRPr="000B721B">
        <w:rPr>
          <w:rFonts w:ascii="Arial" w:hAnsi="Arial" w:cs="Arial"/>
          <w:b/>
          <w:bCs/>
          <w:i/>
          <w:iCs/>
        </w:rPr>
        <w:t>BRCA2</w:t>
      </w:r>
      <w:r w:rsidRPr="000B721B">
        <w:rPr>
          <w:rFonts w:ascii="Arial" w:hAnsi="Arial" w:cs="Arial"/>
          <w:b/>
          <w:bCs/>
        </w:rPr>
        <w:t xml:space="preserve"> with the Immune Microenvironment. </w:t>
      </w:r>
      <w:r w:rsidRPr="000B721B">
        <w:rPr>
          <w:rFonts w:ascii="Arial" w:hAnsi="Arial" w:cs="Arial"/>
        </w:rPr>
        <w:t xml:space="preserve">Heatmap showing the correlation of </w:t>
      </w:r>
      <w:r w:rsidRPr="000B721B">
        <w:rPr>
          <w:rFonts w:ascii="Arial" w:hAnsi="Arial" w:cs="Arial"/>
          <w:i/>
          <w:iCs/>
        </w:rPr>
        <w:t xml:space="preserve">BRCA1 </w:t>
      </w:r>
      <w:r w:rsidRPr="000B721B">
        <w:rPr>
          <w:rFonts w:ascii="Arial" w:hAnsi="Arial" w:cs="Arial"/>
        </w:rPr>
        <w:t>transcript levels with immune cells estimated using the (</w:t>
      </w:r>
      <w:r w:rsidRPr="000B721B">
        <w:rPr>
          <w:rFonts w:ascii="Arial" w:hAnsi="Arial" w:cs="Arial"/>
          <w:b/>
          <w:bCs/>
        </w:rPr>
        <w:t>A</w:t>
      </w:r>
      <w:r w:rsidRPr="000B721B">
        <w:rPr>
          <w:rFonts w:ascii="Arial" w:hAnsi="Arial" w:cs="Arial"/>
        </w:rPr>
        <w:t>) CIBERSORT deconvolution algorithm or (</w:t>
      </w:r>
      <w:r w:rsidRPr="000B721B">
        <w:rPr>
          <w:rFonts w:ascii="Arial" w:hAnsi="Arial" w:cs="Arial"/>
          <w:b/>
          <w:bCs/>
        </w:rPr>
        <w:t>B</w:t>
      </w:r>
      <w:r w:rsidRPr="000B721B">
        <w:rPr>
          <w:rFonts w:ascii="Arial" w:hAnsi="Arial" w:cs="Arial"/>
        </w:rPr>
        <w:t xml:space="preserve">) the MCPcounter abundance scoring method. Heatmap showing the correlation of </w:t>
      </w:r>
      <w:r w:rsidRPr="000B721B">
        <w:rPr>
          <w:rFonts w:ascii="Arial" w:hAnsi="Arial" w:cs="Arial"/>
          <w:i/>
          <w:iCs/>
        </w:rPr>
        <w:t xml:space="preserve">BRCA2 </w:t>
      </w:r>
      <w:r w:rsidRPr="000B721B">
        <w:rPr>
          <w:rFonts w:ascii="Arial" w:hAnsi="Arial" w:cs="Arial"/>
        </w:rPr>
        <w:t>transcript levels with immune cells estimated using the (</w:t>
      </w:r>
      <w:r w:rsidRPr="000B721B">
        <w:rPr>
          <w:rFonts w:ascii="Arial" w:hAnsi="Arial" w:cs="Arial"/>
          <w:b/>
          <w:bCs/>
        </w:rPr>
        <w:t>C</w:t>
      </w:r>
      <w:r w:rsidRPr="000B721B">
        <w:rPr>
          <w:rFonts w:ascii="Arial" w:hAnsi="Arial" w:cs="Arial"/>
        </w:rPr>
        <w:t>) CIBERSORT deconvolution algorithm or (</w:t>
      </w:r>
      <w:r w:rsidRPr="000B721B">
        <w:rPr>
          <w:rFonts w:ascii="Arial" w:hAnsi="Arial" w:cs="Arial"/>
          <w:b/>
          <w:bCs/>
        </w:rPr>
        <w:t>D</w:t>
      </w:r>
      <w:r w:rsidRPr="000B721B">
        <w:rPr>
          <w:rFonts w:ascii="Arial" w:hAnsi="Arial" w:cs="Arial"/>
        </w:rPr>
        <w:t xml:space="preserve">) the MCPcounter abundance scoring method. </w:t>
      </w:r>
    </w:p>
    <w:p w14:paraId="21AD2A79" w14:textId="77777777" w:rsidR="00B72CF7" w:rsidRDefault="00B72CF7" w:rsidP="00F65C94">
      <w:pPr>
        <w:spacing w:line="480" w:lineRule="auto"/>
        <w:rPr>
          <w:rFonts w:ascii="Arial" w:hAnsi="Arial" w:cs="Arial"/>
        </w:rPr>
      </w:pPr>
    </w:p>
    <w:p w14:paraId="032ED6E3" w14:textId="086BAE3D" w:rsidR="002513D6" w:rsidRDefault="009B08A6" w:rsidP="002513D6">
      <w:pPr>
        <w:spacing w:line="480" w:lineRule="auto"/>
        <w:rPr>
          <w:rFonts w:ascii="Arial" w:hAnsi="Arial" w:cs="Arial"/>
          <w:b/>
          <w:bCs/>
        </w:rPr>
      </w:pPr>
      <w:r>
        <w:rPr>
          <w:noProof/>
        </w:rPr>
        <w:lastRenderedPageBreak/>
        <w:drawing>
          <wp:inline distT="0" distB="0" distL="0" distR="0" wp14:anchorId="593F4085" wp14:editId="7B8842C4">
            <wp:extent cx="3511550" cy="3745230"/>
            <wp:effectExtent l="0" t="0" r="0" b="7620"/>
            <wp:docPr id="16111048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11550" cy="3745230"/>
                    </a:xfrm>
                    <a:prstGeom prst="rect">
                      <a:avLst/>
                    </a:prstGeom>
                    <a:noFill/>
                    <a:ln>
                      <a:noFill/>
                    </a:ln>
                  </pic:spPr>
                </pic:pic>
              </a:graphicData>
            </a:graphic>
          </wp:inline>
        </w:drawing>
      </w:r>
    </w:p>
    <w:p w14:paraId="7181FAF1" w14:textId="225F75B5" w:rsidR="002513D6" w:rsidRPr="00C10A12" w:rsidRDefault="002513D6" w:rsidP="002513D6">
      <w:pPr>
        <w:spacing w:line="480" w:lineRule="auto"/>
        <w:rPr>
          <w:rFonts w:ascii="Arial" w:hAnsi="Arial" w:cs="Arial"/>
        </w:rPr>
      </w:pPr>
      <w:r w:rsidRPr="002513D6">
        <w:rPr>
          <w:rFonts w:ascii="Arial" w:hAnsi="Arial" w:cs="Arial"/>
          <w:b/>
          <w:bCs/>
        </w:rPr>
        <w:t>Sup Figure 2. Fusion Protein Landscape Across Breast Tissue Cohorts.</w:t>
      </w:r>
      <w:r w:rsidRPr="002513D6">
        <w:rPr>
          <w:rFonts w:ascii="Arial" w:hAnsi="Arial" w:cs="Arial"/>
        </w:rPr>
        <w:t xml:space="preserve"> Box plots showing the number of high-confidence fusion proteins predicted to generate neoantigens detected across Tumor, Adjacent Normal (Adj_Norm), Distant Normal (Dis_Norm), and prophylactic normal breast (PNT) tissue samples. The box represents the interquartile range (IQR), the line within the box is the median, and whiskers extend to 1.5 times the IQR. Dots represent outliers.</w:t>
      </w:r>
      <w:r w:rsidR="00C10A12">
        <w:rPr>
          <w:rFonts w:ascii="Arial" w:hAnsi="Arial" w:cs="Arial"/>
        </w:rPr>
        <w:t xml:space="preserve"> </w:t>
      </w:r>
      <w:r w:rsidR="00C10A12" w:rsidRPr="00C10A12">
        <w:rPr>
          <w:rFonts w:ascii="Arial" w:hAnsi="Arial" w:cs="Arial"/>
        </w:rPr>
        <w:t>Overall differences were evaluated by Kruskal–Wallis test. Paired Wilcoxon signed-rank tests were used for post-hoc pairwise comparisons (p-values shown</w:t>
      </w:r>
      <w:r w:rsidR="0057792B">
        <w:rPr>
          <w:rFonts w:ascii="Arial" w:hAnsi="Arial" w:cs="Arial"/>
        </w:rPr>
        <w:t xml:space="preserve"> without multiple test correction</w:t>
      </w:r>
      <w:r w:rsidR="00C10A12" w:rsidRPr="00C10A12">
        <w:rPr>
          <w:rFonts w:ascii="Arial" w:hAnsi="Arial" w:cs="Arial"/>
        </w:rPr>
        <w:t>).</w:t>
      </w:r>
    </w:p>
    <w:p w14:paraId="606CB882" w14:textId="45EF34A2" w:rsidR="00B508A0" w:rsidRDefault="00B508A0">
      <w:pPr>
        <w:spacing w:line="259" w:lineRule="auto"/>
        <w:rPr>
          <w:rFonts w:ascii="Arial" w:hAnsi="Arial" w:cs="Arial"/>
        </w:rPr>
      </w:pPr>
      <w:r>
        <w:rPr>
          <w:rFonts w:ascii="Arial" w:hAnsi="Arial" w:cs="Arial"/>
        </w:rPr>
        <w:br w:type="page"/>
      </w:r>
    </w:p>
    <w:p w14:paraId="04C309CA" w14:textId="1B421DF9" w:rsidR="00B508A0" w:rsidRPr="002513D6" w:rsidRDefault="00B508A0" w:rsidP="002513D6">
      <w:pPr>
        <w:spacing w:line="480" w:lineRule="auto"/>
        <w:rPr>
          <w:rFonts w:ascii="Arial" w:hAnsi="Arial" w:cs="Arial"/>
        </w:rPr>
      </w:pPr>
      <w:r>
        <w:rPr>
          <w:noProof/>
        </w:rPr>
        <w:lastRenderedPageBreak/>
        <w:drawing>
          <wp:inline distT="0" distB="0" distL="0" distR="0" wp14:anchorId="43C78F4B" wp14:editId="51AC58A6">
            <wp:extent cx="5429250" cy="8229600"/>
            <wp:effectExtent l="0" t="0" r="0" b="0"/>
            <wp:docPr id="20121446" name="Picture 6"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1446" name="Picture 6" descr="A screenshot of a graph&#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29250" cy="8229600"/>
                    </a:xfrm>
                    <a:prstGeom prst="rect">
                      <a:avLst/>
                    </a:prstGeom>
                    <a:noFill/>
                    <a:ln>
                      <a:noFill/>
                    </a:ln>
                  </pic:spPr>
                </pic:pic>
              </a:graphicData>
            </a:graphic>
          </wp:inline>
        </w:drawing>
      </w:r>
    </w:p>
    <w:p w14:paraId="07E5067E" w14:textId="38C5D2BA" w:rsidR="00B508A0" w:rsidRPr="00B508A0" w:rsidRDefault="00B508A0" w:rsidP="00B508A0">
      <w:pPr>
        <w:spacing w:line="480" w:lineRule="auto"/>
        <w:rPr>
          <w:rFonts w:ascii="Arial" w:hAnsi="Arial" w:cs="Arial"/>
        </w:rPr>
      </w:pPr>
      <w:r w:rsidRPr="001D3F92">
        <w:rPr>
          <w:rFonts w:ascii="Arial" w:hAnsi="Arial" w:cs="Arial"/>
          <w:b/>
          <w:bCs/>
        </w:rPr>
        <w:lastRenderedPageBreak/>
        <w:t xml:space="preserve">Supplementary Figure </w:t>
      </w:r>
      <w:r w:rsidRPr="00B508A0">
        <w:rPr>
          <w:rFonts w:ascii="Arial" w:hAnsi="Arial" w:cs="Arial"/>
          <w:b/>
          <w:bCs/>
        </w:rPr>
        <w:t>3. Tumor-Specific Upregulation of Top 5 Lead Candidate Antigens.</w:t>
      </w:r>
      <w:r>
        <w:rPr>
          <w:rFonts w:ascii="Arial" w:hAnsi="Arial" w:cs="Arial"/>
        </w:rPr>
        <w:t xml:space="preserve"> </w:t>
      </w:r>
      <w:r w:rsidRPr="00B508A0">
        <w:rPr>
          <w:rFonts w:ascii="Arial" w:hAnsi="Arial" w:cs="Arial"/>
        </w:rPr>
        <w:t>Violin plots demonstrating the expression (Log2 Fold Change) of the five prioritized lead candidate genes (</w:t>
      </w:r>
      <w:r w:rsidRPr="00B508A0">
        <w:rPr>
          <w:rFonts w:ascii="Arial" w:hAnsi="Arial" w:cs="Arial"/>
          <w:b/>
          <w:bCs/>
        </w:rPr>
        <w:t>A</w:t>
      </w:r>
      <w:r w:rsidRPr="00B508A0">
        <w:rPr>
          <w:rFonts w:ascii="Arial" w:hAnsi="Arial" w:cs="Arial"/>
        </w:rPr>
        <w:t xml:space="preserve">) </w:t>
      </w:r>
      <w:r w:rsidRPr="00B508A0">
        <w:rPr>
          <w:rFonts w:ascii="Arial" w:hAnsi="Arial" w:cs="Arial"/>
          <w:i/>
          <w:iCs/>
        </w:rPr>
        <w:t xml:space="preserve">LEMD1, </w:t>
      </w:r>
      <w:r w:rsidRPr="00B508A0">
        <w:rPr>
          <w:rFonts w:ascii="Arial" w:hAnsi="Arial" w:cs="Arial"/>
        </w:rPr>
        <w:t>(</w:t>
      </w:r>
      <w:r w:rsidRPr="00B508A0">
        <w:rPr>
          <w:rFonts w:ascii="Arial" w:hAnsi="Arial" w:cs="Arial"/>
          <w:b/>
          <w:bCs/>
        </w:rPr>
        <w:t>B</w:t>
      </w:r>
      <w:r w:rsidRPr="00B508A0">
        <w:rPr>
          <w:rFonts w:ascii="Arial" w:hAnsi="Arial" w:cs="Arial"/>
        </w:rPr>
        <w:t xml:space="preserve">) </w:t>
      </w:r>
      <w:r w:rsidRPr="00B508A0">
        <w:rPr>
          <w:rFonts w:ascii="Arial" w:hAnsi="Arial" w:cs="Arial"/>
          <w:i/>
          <w:iCs/>
        </w:rPr>
        <w:t xml:space="preserve">EPYC, </w:t>
      </w:r>
      <w:r w:rsidRPr="00B508A0">
        <w:rPr>
          <w:rFonts w:ascii="Arial" w:hAnsi="Arial" w:cs="Arial"/>
        </w:rPr>
        <w:t>(</w:t>
      </w:r>
      <w:r w:rsidRPr="00B508A0">
        <w:rPr>
          <w:rFonts w:ascii="Arial" w:hAnsi="Arial" w:cs="Arial"/>
          <w:b/>
          <w:bCs/>
        </w:rPr>
        <w:t>C</w:t>
      </w:r>
      <w:r w:rsidRPr="00B508A0">
        <w:rPr>
          <w:rFonts w:ascii="Arial" w:hAnsi="Arial" w:cs="Arial"/>
        </w:rPr>
        <w:t xml:space="preserve">) </w:t>
      </w:r>
      <w:r w:rsidRPr="00B508A0">
        <w:rPr>
          <w:rFonts w:ascii="Arial" w:hAnsi="Arial" w:cs="Arial"/>
          <w:i/>
          <w:iCs/>
        </w:rPr>
        <w:t>H3C13,</w:t>
      </w:r>
      <w:r w:rsidRPr="00B508A0">
        <w:rPr>
          <w:rFonts w:ascii="Arial" w:hAnsi="Arial" w:cs="Arial"/>
        </w:rPr>
        <w:t xml:space="preserve"> (</w:t>
      </w:r>
      <w:r w:rsidRPr="00B508A0">
        <w:rPr>
          <w:rFonts w:ascii="Arial" w:hAnsi="Arial" w:cs="Arial"/>
          <w:b/>
          <w:bCs/>
        </w:rPr>
        <w:t>D</w:t>
      </w:r>
      <w:r w:rsidRPr="00B508A0">
        <w:rPr>
          <w:rFonts w:ascii="Arial" w:hAnsi="Arial" w:cs="Arial"/>
        </w:rPr>
        <w:t xml:space="preserve">) </w:t>
      </w:r>
      <w:r w:rsidRPr="00B508A0">
        <w:rPr>
          <w:rFonts w:ascii="Arial" w:hAnsi="Arial" w:cs="Arial"/>
          <w:i/>
          <w:iCs/>
        </w:rPr>
        <w:t>H3C14</w:t>
      </w:r>
      <w:r w:rsidRPr="00B508A0">
        <w:rPr>
          <w:rFonts w:ascii="Arial" w:hAnsi="Arial" w:cs="Arial"/>
        </w:rPr>
        <w:t>, and</w:t>
      </w:r>
      <w:r w:rsidRPr="00B508A0">
        <w:rPr>
          <w:rFonts w:ascii="Arial" w:hAnsi="Arial" w:cs="Arial"/>
          <w:i/>
          <w:iCs/>
        </w:rPr>
        <w:t xml:space="preserve"> </w:t>
      </w:r>
      <w:r w:rsidRPr="00B508A0">
        <w:rPr>
          <w:rFonts w:ascii="Arial" w:hAnsi="Arial" w:cs="Arial"/>
        </w:rPr>
        <w:t xml:space="preserve"> (</w:t>
      </w:r>
      <w:r w:rsidRPr="00B508A0">
        <w:rPr>
          <w:rFonts w:ascii="Arial" w:hAnsi="Arial" w:cs="Arial"/>
          <w:b/>
          <w:bCs/>
        </w:rPr>
        <w:t>E</w:t>
      </w:r>
      <w:r w:rsidRPr="00B508A0">
        <w:rPr>
          <w:rFonts w:ascii="Arial" w:hAnsi="Arial" w:cs="Arial"/>
        </w:rPr>
        <w:t xml:space="preserve">) </w:t>
      </w:r>
      <w:r w:rsidRPr="00B508A0">
        <w:rPr>
          <w:rFonts w:ascii="Arial" w:hAnsi="Arial" w:cs="Arial"/>
          <w:i/>
          <w:iCs/>
        </w:rPr>
        <w:t>H4C15</w:t>
      </w:r>
      <w:r w:rsidRPr="00B508A0">
        <w:rPr>
          <w:rFonts w:ascii="Arial" w:hAnsi="Arial" w:cs="Arial"/>
        </w:rPr>
        <w:t xml:space="preserve"> across the four breast tissue cohorts: Tumor, Adjacent Normal (Adj_Norm), Distant Normal (Dis_Norm), and Prophylactic normal breast tissue (PNT). P-values represent the Kruskal-Wallis test for differences across all four groups. The box represents the interquartile range (IQR), the line within the box is the median, and whiskers extend to 1.5 times the interquartile range (IQR).</w:t>
      </w:r>
    </w:p>
    <w:p w14:paraId="0873F651" w14:textId="33CEBDBB" w:rsidR="00B508A0" w:rsidRDefault="00B508A0">
      <w:pPr>
        <w:spacing w:line="259" w:lineRule="auto"/>
        <w:rPr>
          <w:rFonts w:ascii="Arial" w:hAnsi="Arial" w:cs="Arial"/>
        </w:rPr>
      </w:pPr>
      <w:r>
        <w:rPr>
          <w:rFonts w:ascii="Arial" w:hAnsi="Arial" w:cs="Arial"/>
        </w:rPr>
        <w:br w:type="page"/>
      </w:r>
    </w:p>
    <w:p w14:paraId="3F3DBA55" w14:textId="2F060706" w:rsidR="002D2860" w:rsidRDefault="00B508A0" w:rsidP="00F65C94">
      <w:pPr>
        <w:spacing w:line="480" w:lineRule="auto"/>
        <w:rPr>
          <w:rFonts w:ascii="Arial" w:hAnsi="Arial" w:cs="Arial"/>
        </w:rPr>
      </w:pPr>
      <w:r>
        <w:rPr>
          <w:noProof/>
        </w:rPr>
        <w:lastRenderedPageBreak/>
        <w:drawing>
          <wp:inline distT="0" distB="0" distL="0" distR="0" wp14:anchorId="1C92FF83" wp14:editId="6044FD0A">
            <wp:extent cx="5943600" cy="2055495"/>
            <wp:effectExtent l="0" t="0" r="0" b="1905"/>
            <wp:docPr id="705698472" name="Picture 5" descr="A graph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698472" name="Picture 5" descr="A graph with numbers and text&#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055495"/>
                    </a:xfrm>
                    <a:prstGeom prst="rect">
                      <a:avLst/>
                    </a:prstGeom>
                    <a:noFill/>
                    <a:ln>
                      <a:noFill/>
                    </a:ln>
                  </pic:spPr>
                </pic:pic>
              </a:graphicData>
            </a:graphic>
          </wp:inline>
        </w:drawing>
      </w:r>
    </w:p>
    <w:p w14:paraId="66B9FF9E" w14:textId="0846B473" w:rsidR="00CE39D8" w:rsidRDefault="001D3F92" w:rsidP="00CE39D8">
      <w:pPr>
        <w:spacing w:line="480" w:lineRule="auto"/>
        <w:rPr>
          <w:rFonts w:ascii="Arial" w:hAnsi="Arial" w:cs="Arial"/>
        </w:rPr>
      </w:pPr>
      <w:r w:rsidRPr="001D3F92">
        <w:rPr>
          <w:rFonts w:ascii="Arial" w:hAnsi="Arial" w:cs="Arial"/>
          <w:b/>
          <w:bCs/>
        </w:rPr>
        <w:t xml:space="preserve">Supplementary Figure </w:t>
      </w:r>
      <w:r w:rsidR="00B508A0">
        <w:rPr>
          <w:rFonts w:ascii="Arial" w:hAnsi="Arial" w:cs="Arial"/>
          <w:b/>
          <w:bCs/>
        </w:rPr>
        <w:t>4</w:t>
      </w:r>
      <w:r w:rsidRPr="001D3F92">
        <w:rPr>
          <w:rFonts w:ascii="Arial" w:hAnsi="Arial" w:cs="Arial"/>
          <w:b/>
          <w:bCs/>
        </w:rPr>
        <w:t>.</w:t>
      </w:r>
      <w:r>
        <w:rPr>
          <w:rFonts w:ascii="Arial" w:hAnsi="Arial" w:cs="Arial"/>
        </w:rPr>
        <w:t xml:space="preserve"> </w:t>
      </w:r>
      <w:r w:rsidR="00CE39D8" w:rsidRPr="00CE39D8">
        <w:rPr>
          <w:rFonts w:ascii="Arial" w:hAnsi="Arial" w:cs="Arial"/>
          <w:b/>
          <w:bCs/>
        </w:rPr>
        <w:t xml:space="preserve">Preclinical Validation of Lead Candidate Genes in a </w:t>
      </w:r>
      <w:r w:rsidR="00CE39D8" w:rsidRPr="00CE39D8">
        <w:rPr>
          <w:rFonts w:ascii="Arial" w:hAnsi="Arial" w:cs="Arial"/>
          <w:b/>
          <w:bCs/>
          <w:i/>
          <w:iCs/>
        </w:rPr>
        <w:t>Brca1</w:t>
      </w:r>
      <w:r w:rsidR="00CE39D8" w:rsidRPr="00CE39D8">
        <w:rPr>
          <w:rFonts w:ascii="Arial" w:hAnsi="Arial" w:cs="Arial"/>
          <w:b/>
          <w:bCs/>
        </w:rPr>
        <w:t xml:space="preserve">-Deficient Mouse Model. </w:t>
      </w:r>
      <w:r w:rsidR="00CE39D8" w:rsidRPr="00CE39D8">
        <w:rPr>
          <w:rFonts w:ascii="Arial" w:hAnsi="Arial" w:cs="Arial"/>
        </w:rPr>
        <w:t>(</w:t>
      </w:r>
      <w:r w:rsidR="00CE39D8" w:rsidRPr="00CE39D8">
        <w:rPr>
          <w:rFonts w:ascii="Arial" w:hAnsi="Arial" w:cs="Arial"/>
          <w:b/>
          <w:bCs/>
        </w:rPr>
        <w:t>A</w:t>
      </w:r>
      <w:r w:rsidR="00CE39D8" w:rsidRPr="00CE39D8">
        <w:rPr>
          <w:rFonts w:ascii="Arial" w:hAnsi="Arial" w:cs="Arial"/>
        </w:rPr>
        <w:t>) Bar chart illustrating the high protein sequence identity (conservation) between the human and mouse homologs for the five prioritized lead candidates: LEMD1, EPYC, H3C13, H3C14, and H4C15.(</w:t>
      </w:r>
      <w:r w:rsidR="00CE39D8" w:rsidRPr="00CE39D8">
        <w:rPr>
          <w:rFonts w:ascii="Arial" w:hAnsi="Arial" w:cs="Arial"/>
          <w:b/>
          <w:bCs/>
        </w:rPr>
        <w:t>B</w:t>
      </w:r>
      <w:r w:rsidR="00CE39D8" w:rsidRPr="00CE39D8">
        <w:rPr>
          <w:rFonts w:ascii="Arial" w:hAnsi="Arial" w:cs="Arial"/>
        </w:rPr>
        <w:t xml:space="preserve">) Bar chart showing the differential gene expression (Log2 Fold Change) of the five mouse homologs in </w:t>
      </w:r>
      <w:r w:rsidR="00CE39D8" w:rsidRPr="00CE39D8">
        <w:rPr>
          <w:rFonts w:ascii="Arial" w:hAnsi="Arial" w:cs="Arial"/>
          <w:i/>
          <w:iCs/>
        </w:rPr>
        <w:t>Brca1</w:t>
      </w:r>
      <w:r w:rsidR="00CE39D8" w:rsidRPr="00CE39D8">
        <w:rPr>
          <w:rFonts w:ascii="Arial" w:hAnsi="Arial" w:cs="Arial"/>
        </w:rPr>
        <w:t xml:space="preserve">-deficient tumors relative to </w:t>
      </w:r>
      <w:r w:rsidR="00CE39D8" w:rsidRPr="00CE39D8">
        <w:rPr>
          <w:rFonts w:ascii="Arial" w:hAnsi="Arial" w:cs="Arial"/>
          <w:i/>
          <w:iCs/>
        </w:rPr>
        <w:t>Brca1</w:t>
      </w:r>
      <w:r w:rsidR="00CE39D8" w:rsidRPr="00CE39D8">
        <w:rPr>
          <w:rFonts w:ascii="Arial" w:hAnsi="Arial" w:cs="Arial"/>
        </w:rPr>
        <w:t xml:space="preserve">-proficient control tumors. </w:t>
      </w:r>
    </w:p>
    <w:p w14:paraId="5C9F4641" w14:textId="65572512" w:rsidR="00C42AFF" w:rsidRDefault="00C42AFF">
      <w:pPr>
        <w:spacing w:line="259" w:lineRule="auto"/>
        <w:rPr>
          <w:rFonts w:ascii="Arial" w:hAnsi="Arial" w:cs="Arial"/>
        </w:rPr>
      </w:pPr>
      <w:r>
        <w:rPr>
          <w:rFonts w:ascii="Arial" w:hAnsi="Arial" w:cs="Arial"/>
        </w:rPr>
        <w:br w:type="page"/>
      </w:r>
    </w:p>
    <w:p w14:paraId="5B360E3C" w14:textId="30D5E136" w:rsidR="00C42AFF" w:rsidRPr="00CE39D8" w:rsidRDefault="00C42AFF" w:rsidP="00CE39D8">
      <w:pPr>
        <w:spacing w:line="480" w:lineRule="auto"/>
        <w:rPr>
          <w:rFonts w:ascii="Arial" w:hAnsi="Arial" w:cs="Arial"/>
        </w:rPr>
      </w:pPr>
      <w:r w:rsidRPr="00C42AFF">
        <w:rPr>
          <w:rFonts w:ascii="Arial" w:hAnsi="Arial" w:cs="Arial"/>
          <w:noProof/>
        </w:rPr>
        <w:lastRenderedPageBreak/>
        <w:drawing>
          <wp:inline distT="0" distB="0" distL="0" distR="0" wp14:anchorId="182DAEAF" wp14:editId="4000498E">
            <wp:extent cx="4674118" cy="2182372"/>
            <wp:effectExtent l="0" t="0" r="0" b="8890"/>
            <wp:docPr id="3" name="Picture 2" descr="A graph of a number of objects&#10;&#10;AI-generated content may be incorrect.">
              <a:extLst xmlns:a="http://schemas.openxmlformats.org/drawingml/2006/main">
                <a:ext uri="{FF2B5EF4-FFF2-40B4-BE49-F238E27FC236}">
                  <a16:creationId xmlns:a16="http://schemas.microsoft.com/office/drawing/2014/main" id="{410FB5ED-E4CE-700E-143D-217EE3E4E5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of a number of objects&#10;&#10;AI-generated content may be incorrect.">
                      <a:extLst>
                        <a:ext uri="{FF2B5EF4-FFF2-40B4-BE49-F238E27FC236}">
                          <a16:creationId xmlns:a16="http://schemas.microsoft.com/office/drawing/2014/main" id="{410FB5ED-E4CE-700E-143D-217EE3E4E5D8}"/>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74118" cy="2182372"/>
                    </a:xfrm>
                    <a:prstGeom prst="rect">
                      <a:avLst/>
                    </a:prstGeom>
                  </pic:spPr>
                </pic:pic>
              </a:graphicData>
            </a:graphic>
          </wp:inline>
        </w:drawing>
      </w:r>
    </w:p>
    <w:p w14:paraId="713633AC" w14:textId="630BCAFA" w:rsidR="001D3F92" w:rsidRPr="00C42AFF" w:rsidRDefault="00C42AFF" w:rsidP="00C42AFF">
      <w:pPr>
        <w:spacing w:line="480" w:lineRule="auto"/>
        <w:rPr>
          <w:rFonts w:ascii="Arial" w:hAnsi="Arial" w:cs="Arial"/>
        </w:rPr>
      </w:pPr>
      <w:r w:rsidRPr="001D3F92">
        <w:rPr>
          <w:rFonts w:ascii="Arial" w:hAnsi="Arial" w:cs="Arial"/>
          <w:b/>
          <w:bCs/>
        </w:rPr>
        <w:t xml:space="preserve">Supplementary Figure </w:t>
      </w:r>
      <w:r w:rsidR="00B508A0">
        <w:rPr>
          <w:rFonts w:ascii="Arial" w:hAnsi="Arial" w:cs="Arial"/>
          <w:b/>
          <w:bCs/>
        </w:rPr>
        <w:t>5</w:t>
      </w:r>
      <w:r w:rsidRPr="001D3F92">
        <w:rPr>
          <w:rFonts w:ascii="Arial" w:hAnsi="Arial" w:cs="Arial"/>
          <w:b/>
          <w:bCs/>
        </w:rPr>
        <w:t>.</w:t>
      </w:r>
      <w:r>
        <w:rPr>
          <w:rFonts w:ascii="Arial" w:hAnsi="Arial" w:cs="Arial"/>
          <w:b/>
          <w:bCs/>
        </w:rPr>
        <w:t xml:space="preserve"> </w:t>
      </w:r>
      <w:r w:rsidRPr="00C42AFF">
        <w:rPr>
          <w:rFonts w:ascii="Arial" w:hAnsi="Arial" w:cs="Arial"/>
          <w:b/>
          <w:bCs/>
        </w:rPr>
        <w:t>Somatic Mutation and Neoantigen Burden in the TCGA BRCA1-Carrier Cohort.</w:t>
      </w:r>
      <w:r>
        <w:rPr>
          <w:rFonts w:ascii="Arial" w:hAnsi="Arial" w:cs="Arial"/>
          <w:b/>
          <w:bCs/>
        </w:rPr>
        <w:t xml:space="preserve"> </w:t>
      </w:r>
      <w:r w:rsidRPr="00C42AFF">
        <w:rPr>
          <w:rFonts w:ascii="Arial" w:hAnsi="Arial" w:cs="Arial"/>
        </w:rPr>
        <w:t>Violin plots comparing tumors from BRCA1 germline mutation carriers to non-carrier tumors from the TCGA breast cancer cohort.</w:t>
      </w:r>
      <w:r>
        <w:rPr>
          <w:rFonts w:ascii="Arial" w:hAnsi="Arial" w:cs="Arial"/>
        </w:rPr>
        <w:t xml:space="preserve"> </w:t>
      </w:r>
      <w:r w:rsidRPr="00C42AFF">
        <w:rPr>
          <w:rFonts w:ascii="Arial" w:hAnsi="Arial" w:cs="Arial"/>
        </w:rPr>
        <w:t>(</w:t>
      </w:r>
      <w:r w:rsidRPr="00C42AFF">
        <w:rPr>
          <w:rFonts w:ascii="Arial" w:hAnsi="Arial" w:cs="Arial"/>
          <w:b/>
          <w:bCs/>
        </w:rPr>
        <w:t>A</w:t>
      </w:r>
      <w:r w:rsidRPr="00C42AFF">
        <w:rPr>
          <w:rFonts w:ascii="Arial" w:hAnsi="Arial" w:cs="Arial"/>
        </w:rPr>
        <w:t>) Comparison of the total somatic mutation count. (</w:t>
      </w:r>
      <w:r w:rsidRPr="00C42AFF">
        <w:rPr>
          <w:rFonts w:ascii="Arial" w:hAnsi="Arial" w:cs="Arial"/>
          <w:b/>
          <w:bCs/>
        </w:rPr>
        <w:t>B</w:t>
      </w:r>
      <w:r w:rsidRPr="00C42AFF">
        <w:rPr>
          <w:rFonts w:ascii="Arial" w:hAnsi="Arial" w:cs="Arial"/>
        </w:rPr>
        <w:t xml:space="preserve">) Comparison of the predicted neoepitope count (9-mer). Each dot represents an individual tumor sample. The violin plot shows the density distribution of the data, and the p-value is from a two-sample </w:t>
      </w:r>
      <w:r w:rsidRPr="00C42AFF">
        <w:rPr>
          <w:rFonts w:ascii="Arial" w:hAnsi="Arial" w:cs="Arial"/>
          <w:i/>
          <w:iCs/>
        </w:rPr>
        <w:t>t</w:t>
      </w:r>
      <w:r w:rsidRPr="00C42AFF">
        <w:rPr>
          <w:rFonts w:ascii="Arial" w:hAnsi="Arial" w:cs="Arial"/>
        </w:rPr>
        <w:t>-test.</w:t>
      </w:r>
    </w:p>
    <w:sectPr w:rsidR="001D3F92" w:rsidRPr="00C42A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MytDA2NTC0MLC0NDdV0lEKTi0uzszPAykwqwUAcQYZ/CwAAAA="/>
  </w:docVars>
  <w:rsids>
    <w:rsidRoot w:val="00B72CF7"/>
    <w:rsid w:val="00020C84"/>
    <w:rsid w:val="00024037"/>
    <w:rsid w:val="000B721B"/>
    <w:rsid w:val="000C50AE"/>
    <w:rsid w:val="001B76C2"/>
    <w:rsid w:val="001D3F92"/>
    <w:rsid w:val="002513D6"/>
    <w:rsid w:val="0025475A"/>
    <w:rsid w:val="002A037F"/>
    <w:rsid w:val="002D2860"/>
    <w:rsid w:val="00304DCC"/>
    <w:rsid w:val="0033650C"/>
    <w:rsid w:val="003411F1"/>
    <w:rsid w:val="003443F1"/>
    <w:rsid w:val="003C3273"/>
    <w:rsid w:val="00436218"/>
    <w:rsid w:val="00512531"/>
    <w:rsid w:val="0057792B"/>
    <w:rsid w:val="006612F6"/>
    <w:rsid w:val="006F4F90"/>
    <w:rsid w:val="007378C7"/>
    <w:rsid w:val="00784E6A"/>
    <w:rsid w:val="007A2878"/>
    <w:rsid w:val="007E4C80"/>
    <w:rsid w:val="007F1ACE"/>
    <w:rsid w:val="008100D1"/>
    <w:rsid w:val="0082056A"/>
    <w:rsid w:val="0087079A"/>
    <w:rsid w:val="009162AE"/>
    <w:rsid w:val="009305D3"/>
    <w:rsid w:val="0095405F"/>
    <w:rsid w:val="0098272A"/>
    <w:rsid w:val="009B08A6"/>
    <w:rsid w:val="00B07159"/>
    <w:rsid w:val="00B508A0"/>
    <w:rsid w:val="00B72CF7"/>
    <w:rsid w:val="00C00A3F"/>
    <w:rsid w:val="00C10A12"/>
    <w:rsid w:val="00C42AFF"/>
    <w:rsid w:val="00CE39D8"/>
    <w:rsid w:val="00D15A1A"/>
    <w:rsid w:val="00D52C21"/>
    <w:rsid w:val="00D64A14"/>
    <w:rsid w:val="00E42C58"/>
    <w:rsid w:val="00E60EC1"/>
    <w:rsid w:val="00EF3ED7"/>
    <w:rsid w:val="00F501B6"/>
    <w:rsid w:val="00F65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7DB964"/>
  <w15:chartTrackingRefBased/>
  <w15:docId w15:val="{89C57815-6B92-4583-8264-DDB3E7410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2" w:lineRule="atLeast"/>
    </w:pPr>
  </w:style>
  <w:style w:type="paragraph" w:styleId="Heading1">
    <w:name w:val="heading 1"/>
    <w:basedOn w:val="Normal"/>
    <w:next w:val="Normal"/>
    <w:link w:val="Heading1Char"/>
    <w:uiPriority w:val="9"/>
    <w:qFormat/>
    <w:rsid w:val="00B72C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2C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2C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2C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2C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2C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C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C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C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C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2C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2C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2C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2C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2C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C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C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CF7"/>
    <w:rPr>
      <w:rFonts w:eastAsiaTheme="majorEastAsia" w:cstheme="majorBidi"/>
      <w:color w:val="272727" w:themeColor="text1" w:themeTint="D8"/>
    </w:rPr>
  </w:style>
  <w:style w:type="paragraph" w:styleId="Title">
    <w:name w:val="Title"/>
    <w:basedOn w:val="Normal"/>
    <w:next w:val="Normal"/>
    <w:link w:val="TitleChar"/>
    <w:uiPriority w:val="10"/>
    <w:qFormat/>
    <w:rsid w:val="00B72C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C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C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C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CF7"/>
    <w:pPr>
      <w:spacing w:before="160"/>
      <w:jc w:val="center"/>
    </w:pPr>
    <w:rPr>
      <w:i/>
      <w:iCs/>
      <w:color w:val="404040" w:themeColor="text1" w:themeTint="BF"/>
    </w:rPr>
  </w:style>
  <w:style w:type="character" w:customStyle="1" w:styleId="QuoteChar">
    <w:name w:val="Quote Char"/>
    <w:basedOn w:val="DefaultParagraphFont"/>
    <w:link w:val="Quote"/>
    <w:uiPriority w:val="29"/>
    <w:rsid w:val="00B72CF7"/>
    <w:rPr>
      <w:i/>
      <w:iCs/>
      <w:color w:val="404040" w:themeColor="text1" w:themeTint="BF"/>
    </w:rPr>
  </w:style>
  <w:style w:type="paragraph" w:styleId="ListParagraph">
    <w:name w:val="List Paragraph"/>
    <w:basedOn w:val="Normal"/>
    <w:uiPriority w:val="34"/>
    <w:qFormat/>
    <w:rsid w:val="00B72CF7"/>
    <w:pPr>
      <w:ind w:left="720"/>
      <w:contextualSpacing/>
    </w:pPr>
  </w:style>
  <w:style w:type="character" w:styleId="IntenseEmphasis">
    <w:name w:val="Intense Emphasis"/>
    <w:basedOn w:val="DefaultParagraphFont"/>
    <w:uiPriority w:val="21"/>
    <w:qFormat/>
    <w:rsid w:val="00B72CF7"/>
    <w:rPr>
      <w:i/>
      <w:iCs/>
      <w:color w:val="0F4761" w:themeColor="accent1" w:themeShade="BF"/>
    </w:rPr>
  </w:style>
  <w:style w:type="paragraph" w:styleId="IntenseQuote">
    <w:name w:val="Intense Quote"/>
    <w:basedOn w:val="Normal"/>
    <w:next w:val="Normal"/>
    <w:link w:val="IntenseQuoteChar"/>
    <w:uiPriority w:val="30"/>
    <w:qFormat/>
    <w:rsid w:val="00B72C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2CF7"/>
    <w:rPr>
      <w:i/>
      <w:iCs/>
      <w:color w:val="0F4761" w:themeColor="accent1" w:themeShade="BF"/>
    </w:rPr>
  </w:style>
  <w:style w:type="character" w:styleId="IntenseReference">
    <w:name w:val="Intense Reference"/>
    <w:basedOn w:val="DefaultParagraphFont"/>
    <w:uiPriority w:val="32"/>
    <w:qFormat/>
    <w:rsid w:val="00B72CF7"/>
    <w:rPr>
      <w:b/>
      <w:bCs/>
      <w:smallCaps/>
      <w:color w:val="0F4761" w:themeColor="accent1" w:themeShade="BF"/>
      <w:spacing w:val="5"/>
    </w:rPr>
  </w:style>
  <w:style w:type="paragraph" w:styleId="NormalWeb">
    <w:name w:val="Normal (Web)"/>
    <w:basedOn w:val="Normal"/>
    <w:uiPriority w:val="99"/>
    <w:semiHidden/>
    <w:unhideWhenUsed/>
    <w:rsid w:val="00CE39D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C10A1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15863">
      <w:bodyDiv w:val="1"/>
      <w:marLeft w:val="0"/>
      <w:marRight w:val="0"/>
      <w:marTop w:val="0"/>
      <w:marBottom w:val="0"/>
      <w:divBdr>
        <w:top w:val="none" w:sz="0" w:space="0" w:color="auto"/>
        <w:left w:val="none" w:sz="0" w:space="0" w:color="auto"/>
        <w:bottom w:val="none" w:sz="0" w:space="0" w:color="auto"/>
        <w:right w:val="none" w:sz="0" w:space="0" w:color="auto"/>
      </w:divBdr>
    </w:div>
    <w:div w:id="194001924">
      <w:bodyDiv w:val="1"/>
      <w:marLeft w:val="0"/>
      <w:marRight w:val="0"/>
      <w:marTop w:val="0"/>
      <w:marBottom w:val="0"/>
      <w:divBdr>
        <w:top w:val="none" w:sz="0" w:space="0" w:color="auto"/>
        <w:left w:val="none" w:sz="0" w:space="0" w:color="auto"/>
        <w:bottom w:val="none" w:sz="0" w:space="0" w:color="auto"/>
        <w:right w:val="none" w:sz="0" w:space="0" w:color="auto"/>
      </w:divBdr>
    </w:div>
    <w:div w:id="502399834">
      <w:bodyDiv w:val="1"/>
      <w:marLeft w:val="0"/>
      <w:marRight w:val="0"/>
      <w:marTop w:val="0"/>
      <w:marBottom w:val="0"/>
      <w:divBdr>
        <w:top w:val="none" w:sz="0" w:space="0" w:color="auto"/>
        <w:left w:val="none" w:sz="0" w:space="0" w:color="auto"/>
        <w:bottom w:val="none" w:sz="0" w:space="0" w:color="auto"/>
        <w:right w:val="none" w:sz="0" w:space="0" w:color="auto"/>
      </w:divBdr>
    </w:div>
    <w:div w:id="554706659">
      <w:bodyDiv w:val="1"/>
      <w:marLeft w:val="0"/>
      <w:marRight w:val="0"/>
      <w:marTop w:val="0"/>
      <w:marBottom w:val="0"/>
      <w:divBdr>
        <w:top w:val="none" w:sz="0" w:space="0" w:color="auto"/>
        <w:left w:val="none" w:sz="0" w:space="0" w:color="auto"/>
        <w:bottom w:val="none" w:sz="0" w:space="0" w:color="auto"/>
        <w:right w:val="none" w:sz="0" w:space="0" w:color="auto"/>
      </w:divBdr>
    </w:div>
    <w:div w:id="594676240">
      <w:bodyDiv w:val="1"/>
      <w:marLeft w:val="0"/>
      <w:marRight w:val="0"/>
      <w:marTop w:val="0"/>
      <w:marBottom w:val="0"/>
      <w:divBdr>
        <w:top w:val="none" w:sz="0" w:space="0" w:color="auto"/>
        <w:left w:val="none" w:sz="0" w:space="0" w:color="auto"/>
        <w:bottom w:val="none" w:sz="0" w:space="0" w:color="auto"/>
        <w:right w:val="none" w:sz="0" w:space="0" w:color="auto"/>
      </w:divBdr>
    </w:div>
    <w:div w:id="701127988">
      <w:bodyDiv w:val="1"/>
      <w:marLeft w:val="0"/>
      <w:marRight w:val="0"/>
      <w:marTop w:val="0"/>
      <w:marBottom w:val="0"/>
      <w:divBdr>
        <w:top w:val="none" w:sz="0" w:space="0" w:color="auto"/>
        <w:left w:val="none" w:sz="0" w:space="0" w:color="auto"/>
        <w:bottom w:val="none" w:sz="0" w:space="0" w:color="auto"/>
        <w:right w:val="none" w:sz="0" w:space="0" w:color="auto"/>
      </w:divBdr>
    </w:div>
    <w:div w:id="882794812">
      <w:bodyDiv w:val="1"/>
      <w:marLeft w:val="0"/>
      <w:marRight w:val="0"/>
      <w:marTop w:val="0"/>
      <w:marBottom w:val="0"/>
      <w:divBdr>
        <w:top w:val="none" w:sz="0" w:space="0" w:color="auto"/>
        <w:left w:val="none" w:sz="0" w:space="0" w:color="auto"/>
        <w:bottom w:val="none" w:sz="0" w:space="0" w:color="auto"/>
        <w:right w:val="none" w:sz="0" w:space="0" w:color="auto"/>
      </w:divBdr>
    </w:div>
    <w:div w:id="1140656872">
      <w:bodyDiv w:val="1"/>
      <w:marLeft w:val="0"/>
      <w:marRight w:val="0"/>
      <w:marTop w:val="0"/>
      <w:marBottom w:val="0"/>
      <w:divBdr>
        <w:top w:val="none" w:sz="0" w:space="0" w:color="auto"/>
        <w:left w:val="none" w:sz="0" w:space="0" w:color="auto"/>
        <w:bottom w:val="none" w:sz="0" w:space="0" w:color="auto"/>
        <w:right w:val="none" w:sz="0" w:space="0" w:color="auto"/>
      </w:divBdr>
    </w:div>
    <w:div w:id="1804999677">
      <w:bodyDiv w:val="1"/>
      <w:marLeft w:val="0"/>
      <w:marRight w:val="0"/>
      <w:marTop w:val="0"/>
      <w:marBottom w:val="0"/>
      <w:divBdr>
        <w:top w:val="none" w:sz="0" w:space="0" w:color="auto"/>
        <w:left w:val="none" w:sz="0" w:space="0" w:color="auto"/>
        <w:bottom w:val="none" w:sz="0" w:space="0" w:color="auto"/>
        <w:right w:val="none" w:sz="0" w:space="0" w:color="auto"/>
      </w:divBdr>
    </w:div>
    <w:div w:id="2139717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380</Words>
  <Characters>2323</Characters>
  <Application>Microsoft Office Word</Application>
  <DocSecurity>0</DocSecurity>
  <Lines>41</Lines>
  <Paragraphs>5</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Vipin Chelakkot</dc:creator>
  <cp:keywords/>
  <dc:description/>
  <cp:lastModifiedBy>Nilesh Nawale</cp:lastModifiedBy>
  <cp:revision>2</cp:revision>
  <dcterms:created xsi:type="dcterms:W3CDTF">2026-03-04T06:43:00Z</dcterms:created>
  <dcterms:modified xsi:type="dcterms:W3CDTF">2026-03-04T06:43:00Z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a0d133c4-a46f-46fa-adfe-14c1a197274f</vt:lpwstr>
  </property>
</Properties>
</file>