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theme/themeOverride3.xml" ContentType="application/vnd.openxmlformats-officedocument.themeOverride+xml"/>
  <Override PartName="/word/charts/chart5.xml" ContentType="application/vnd.openxmlformats-officedocument.drawingml.chart+xml"/>
  <Override PartName="/word/theme/themeOverride4.xml" ContentType="application/vnd.openxmlformats-officedocument.themeOverride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40E46" w14:textId="23A216AF" w:rsidR="00E11F85" w:rsidRPr="0018040B" w:rsidRDefault="00E11F85" w:rsidP="00E11F85">
      <w:pPr>
        <w:spacing w:after="0" w:line="360" w:lineRule="auto"/>
        <w:jc w:val="center"/>
        <w:rPr>
          <w:rFonts w:cs="Times New Roman"/>
          <w:b/>
          <w:bCs/>
          <w:sz w:val="20"/>
          <w:szCs w:val="20"/>
        </w:rPr>
      </w:pPr>
      <w:r w:rsidRPr="0018040B">
        <w:rPr>
          <w:rFonts w:cs="Times New Roman"/>
          <w:b/>
          <w:bCs/>
          <w:sz w:val="20"/>
          <w:szCs w:val="20"/>
        </w:rPr>
        <w:t xml:space="preserve">Phytochemical Characterization and Biofilm-Inhibitory Activity of </w:t>
      </w:r>
      <w:proofErr w:type="spellStart"/>
      <w:r w:rsidRPr="0018040B">
        <w:rPr>
          <w:rFonts w:cs="Times New Roman"/>
          <w:b/>
          <w:bCs/>
          <w:i/>
          <w:iCs/>
          <w:sz w:val="20"/>
          <w:szCs w:val="20"/>
        </w:rPr>
        <w:t>Sphaerostephanos</w:t>
      </w:r>
      <w:proofErr w:type="spellEnd"/>
      <w:r w:rsidRPr="0018040B">
        <w:rPr>
          <w:rFonts w:cs="Times New Roman"/>
          <w:b/>
          <w:bCs/>
          <w:i/>
          <w:iCs/>
          <w:sz w:val="20"/>
          <w:szCs w:val="20"/>
        </w:rPr>
        <w:t xml:space="preserve"> </w:t>
      </w:r>
      <w:proofErr w:type="spellStart"/>
      <w:r w:rsidRPr="0018040B">
        <w:rPr>
          <w:rFonts w:cs="Times New Roman"/>
          <w:b/>
          <w:bCs/>
          <w:i/>
          <w:iCs/>
          <w:sz w:val="20"/>
          <w:szCs w:val="20"/>
        </w:rPr>
        <w:t>unitus</w:t>
      </w:r>
      <w:proofErr w:type="spellEnd"/>
      <w:r w:rsidRPr="0018040B">
        <w:rPr>
          <w:rFonts w:cs="Times New Roman"/>
          <w:b/>
          <w:bCs/>
          <w:sz w:val="20"/>
          <w:szCs w:val="20"/>
        </w:rPr>
        <w:t xml:space="preserve"> (L.) </w:t>
      </w:r>
      <w:proofErr w:type="spellStart"/>
      <w:r w:rsidRPr="0018040B">
        <w:rPr>
          <w:rFonts w:cs="Times New Roman"/>
          <w:b/>
          <w:bCs/>
          <w:sz w:val="20"/>
          <w:szCs w:val="20"/>
        </w:rPr>
        <w:t>Holttum</w:t>
      </w:r>
      <w:proofErr w:type="spellEnd"/>
      <w:r w:rsidRPr="0018040B">
        <w:rPr>
          <w:rFonts w:cs="Times New Roman"/>
          <w:b/>
          <w:bCs/>
          <w:sz w:val="20"/>
          <w:szCs w:val="20"/>
        </w:rPr>
        <w:t xml:space="preserve"> </w:t>
      </w:r>
    </w:p>
    <w:p w14:paraId="0EF44AA8" w14:textId="77777777" w:rsidR="00E11F85" w:rsidRPr="0018040B" w:rsidRDefault="00E11F85" w:rsidP="00E11F85">
      <w:pPr>
        <w:spacing w:after="0" w:line="360" w:lineRule="auto"/>
        <w:jc w:val="center"/>
        <w:rPr>
          <w:rFonts w:cs="Times New Roman"/>
          <w:sz w:val="20"/>
          <w:szCs w:val="20"/>
        </w:rPr>
      </w:pPr>
      <w:r w:rsidRPr="0018040B">
        <w:rPr>
          <w:rFonts w:cs="Times New Roman"/>
          <w:sz w:val="20"/>
          <w:szCs w:val="20"/>
        </w:rPr>
        <w:t xml:space="preserve">Shivangi Borkotoky </w:t>
      </w:r>
      <w:r w:rsidRPr="0018040B">
        <w:rPr>
          <w:rFonts w:cs="Times New Roman"/>
          <w:sz w:val="20"/>
          <w:szCs w:val="20"/>
          <w:vertAlign w:val="superscript"/>
        </w:rPr>
        <w:t>a</w:t>
      </w:r>
      <w:r w:rsidRPr="0018040B">
        <w:rPr>
          <w:rFonts w:cs="Times New Roman"/>
          <w:sz w:val="20"/>
          <w:szCs w:val="20"/>
        </w:rPr>
        <w:t xml:space="preserve">, Supriyo Sen </w:t>
      </w:r>
      <w:proofErr w:type="spellStart"/>
      <w:r w:rsidRPr="0018040B">
        <w:rPr>
          <w:rFonts w:cs="Times New Roman"/>
          <w:sz w:val="20"/>
          <w:szCs w:val="20"/>
          <w:vertAlign w:val="superscript"/>
        </w:rPr>
        <w:t>a,b</w:t>
      </w:r>
      <w:proofErr w:type="spellEnd"/>
      <w:r w:rsidRPr="0018040B">
        <w:rPr>
          <w:rFonts w:cs="Times New Roman"/>
          <w:sz w:val="20"/>
          <w:szCs w:val="20"/>
        </w:rPr>
        <w:t xml:space="preserve">, Vedant </w:t>
      </w:r>
      <w:proofErr w:type="spellStart"/>
      <w:r w:rsidRPr="0018040B">
        <w:rPr>
          <w:rFonts w:cs="Times New Roman"/>
          <w:sz w:val="20"/>
          <w:szCs w:val="20"/>
        </w:rPr>
        <w:t>Vikrom</w:t>
      </w:r>
      <w:proofErr w:type="spellEnd"/>
      <w:r w:rsidRPr="0018040B">
        <w:rPr>
          <w:rFonts w:cs="Times New Roman"/>
          <w:sz w:val="20"/>
          <w:szCs w:val="20"/>
        </w:rPr>
        <w:t xml:space="preserve"> </w:t>
      </w:r>
      <w:proofErr w:type="spellStart"/>
      <w:r w:rsidRPr="0018040B">
        <w:rPr>
          <w:rFonts w:cs="Times New Roman"/>
          <w:sz w:val="20"/>
          <w:szCs w:val="20"/>
        </w:rPr>
        <w:t>Borah</w:t>
      </w:r>
      <w:r w:rsidRPr="0018040B">
        <w:rPr>
          <w:rFonts w:cs="Times New Roman"/>
          <w:sz w:val="20"/>
          <w:szCs w:val="20"/>
          <w:vertAlign w:val="superscript"/>
        </w:rPr>
        <w:t>a</w:t>
      </w:r>
      <w:proofErr w:type="spellEnd"/>
      <w:r w:rsidRPr="0018040B">
        <w:rPr>
          <w:rFonts w:cs="Times New Roman"/>
          <w:sz w:val="20"/>
          <w:szCs w:val="20"/>
        </w:rPr>
        <w:t>*</w:t>
      </w:r>
    </w:p>
    <w:p w14:paraId="4CE0BD7D" w14:textId="77777777" w:rsidR="00E11F85" w:rsidRPr="0018040B" w:rsidRDefault="00E11F85" w:rsidP="00E11F85">
      <w:pPr>
        <w:spacing w:after="0" w:line="360" w:lineRule="auto"/>
        <w:rPr>
          <w:rFonts w:cs="Times New Roman"/>
          <w:sz w:val="20"/>
          <w:szCs w:val="20"/>
        </w:rPr>
      </w:pPr>
    </w:p>
    <w:p w14:paraId="64D22F90" w14:textId="77777777" w:rsidR="00E11F85" w:rsidRPr="0018040B" w:rsidRDefault="00E11F85" w:rsidP="00E11F85">
      <w:pPr>
        <w:spacing w:after="0" w:line="360" w:lineRule="auto"/>
        <w:jc w:val="center"/>
        <w:rPr>
          <w:rFonts w:cs="Times New Roman"/>
          <w:sz w:val="20"/>
          <w:szCs w:val="20"/>
          <w:lang w:val="en-GB"/>
        </w:rPr>
      </w:pPr>
      <w:r w:rsidRPr="0018040B">
        <w:rPr>
          <w:rFonts w:cs="Times New Roman"/>
          <w:sz w:val="20"/>
          <w:szCs w:val="20"/>
          <w:vertAlign w:val="superscript"/>
          <w:lang w:val="en-GB"/>
        </w:rPr>
        <w:t xml:space="preserve">a </w:t>
      </w:r>
      <w:r w:rsidRPr="0018040B">
        <w:rPr>
          <w:rFonts w:cs="Times New Roman"/>
          <w:sz w:val="20"/>
          <w:szCs w:val="20"/>
          <w:lang w:val="en-GB"/>
        </w:rPr>
        <w:t>Department of Bio-Sciences, School of Life Sciences, Assam Don Bosco University,</w:t>
      </w:r>
    </w:p>
    <w:p w14:paraId="6E778844" w14:textId="77777777" w:rsidR="00E11F85" w:rsidRPr="0018040B" w:rsidRDefault="00E11F85" w:rsidP="00E11F85">
      <w:pPr>
        <w:spacing w:after="0" w:line="360" w:lineRule="auto"/>
        <w:jc w:val="center"/>
        <w:rPr>
          <w:rFonts w:cs="Times New Roman"/>
          <w:sz w:val="20"/>
          <w:szCs w:val="20"/>
          <w:lang w:val="en-GB"/>
        </w:rPr>
      </w:pPr>
      <w:proofErr w:type="spellStart"/>
      <w:r w:rsidRPr="0018040B">
        <w:rPr>
          <w:rFonts w:cs="Times New Roman"/>
          <w:sz w:val="20"/>
          <w:szCs w:val="20"/>
          <w:lang w:val="en-GB"/>
        </w:rPr>
        <w:t>Tapesia</w:t>
      </w:r>
      <w:proofErr w:type="spellEnd"/>
      <w:r w:rsidRPr="0018040B">
        <w:rPr>
          <w:rFonts w:cs="Times New Roman"/>
          <w:sz w:val="20"/>
          <w:szCs w:val="20"/>
          <w:lang w:val="en-GB"/>
        </w:rPr>
        <w:t xml:space="preserve">, </w:t>
      </w:r>
      <w:proofErr w:type="spellStart"/>
      <w:r w:rsidRPr="0018040B">
        <w:rPr>
          <w:rFonts w:cs="Times New Roman"/>
          <w:sz w:val="20"/>
          <w:szCs w:val="20"/>
          <w:lang w:val="en-GB"/>
        </w:rPr>
        <w:t>Sonapur</w:t>
      </w:r>
      <w:proofErr w:type="spellEnd"/>
      <w:r w:rsidRPr="0018040B">
        <w:rPr>
          <w:rFonts w:cs="Times New Roman"/>
          <w:sz w:val="20"/>
          <w:szCs w:val="20"/>
          <w:lang w:val="en-GB"/>
        </w:rPr>
        <w:t xml:space="preserve"> - 784802, Assam, India</w:t>
      </w:r>
    </w:p>
    <w:p w14:paraId="7AB39A8D" w14:textId="77777777" w:rsidR="00E11F85" w:rsidRPr="0018040B" w:rsidRDefault="00E11F85" w:rsidP="00E11F85">
      <w:pPr>
        <w:spacing w:after="0" w:line="360" w:lineRule="auto"/>
        <w:jc w:val="center"/>
        <w:rPr>
          <w:rFonts w:cs="Times New Roman"/>
          <w:sz w:val="20"/>
          <w:szCs w:val="20"/>
          <w:lang w:val="en-GB"/>
        </w:rPr>
      </w:pPr>
      <w:r w:rsidRPr="0018040B">
        <w:rPr>
          <w:rFonts w:cs="Times New Roman"/>
          <w:sz w:val="20"/>
          <w:szCs w:val="20"/>
          <w:vertAlign w:val="superscript"/>
          <w:lang w:val="en-GB"/>
        </w:rPr>
        <w:t>b</w:t>
      </w:r>
      <w:r w:rsidRPr="0018040B">
        <w:rPr>
          <w:rFonts w:cs="Times New Roman"/>
          <w:sz w:val="20"/>
          <w:szCs w:val="20"/>
          <w:lang w:val="en-GB"/>
        </w:rPr>
        <w:t xml:space="preserve"> School of Agriculture, The Royal Global University, Guwahati – Assam, India</w:t>
      </w:r>
    </w:p>
    <w:p w14:paraId="573D0B2F" w14:textId="77777777" w:rsidR="00E11F85" w:rsidRPr="0018040B" w:rsidRDefault="00E11F85" w:rsidP="00E11F85">
      <w:pPr>
        <w:spacing w:after="0" w:line="360" w:lineRule="auto"/>
        <w:jc w:val="center"/>
        <w:rPr>
          <w:rFonts w:cs="Times New Roman"/>
          <w:sz w:val="20"/>
          <w:szCs w:val="20"/>
          <w:lang w:val="en-GB"/>
        </w:rPr>
      </w:pPr>
      <w:r w:rsidRPr="0018040B">
        <w:rPr>
          <w:rFonts w:cs="Times New Roman"/>
          <w:sz w:val="20"/>
          <w:szCs w:val="20"/>
          <w:lang w:val="en-GB"/>
        </w:rPr>
        <w:t>*Corresponding Author</w:t>
      </w:r>
    </w:p>
    <w:p w14:paraId="5BE2DC92" w14:textId="77777777" w:rsidR="00E11F85" w:rsidRPr="0018040B" w:rsidRDefault="00E11F85" w:rsidP="00E11F85">
      <w:pPr>
        <w:spacing w:after="0" w:line="360" w:lineRule="auto"/>
        <w:jc w:val="center"/>
        <w:rPr>
          <w:rFonts w:cs="Times New Roman"/>
          <w:sz w:val="20"/>
          <w:szCs w:val="20"/>
          <w:lang w:val="en-GB"/>
        </w:rPr>
      </w:pPr>
      <w:r w:rsidRPr="0018040B">
        <w:rPr>
          <w:rFonts w:cs="Times New Roman"/>
          <w:sz w:val="20"/>
          <w:szCs w:val="20"/>
          <w:lang w:val="en-GB"/>
        </w:rPr>
        <w:t xml:space="preserve">Email: </w:t>
      </w:r>
      <w:hyperlink r:id="rId7" w:history="1">
        <w:r w:rsidRPr="0018040B">
          <w:rPr>
            <w:rStyle w:val="Hyperlink"/>
            <w:rFonts w:cs="Times New Roman"/>
            <w:sz w:val="20"/>
            <w:szCs w:val="20"/>
            <w:lang w:val="en-GB"/>
          </w:rPr>
          <w:t>vedant.borah@dbuniversity.ac.in</w:t>
        </w:r>
      </w:hyperlink>
      <w:r w:rsidRPr="0018040B">
        <w:rPr>
          <w:rFonts w:cs="Times New Roman"/>
          <w:sz w:val="20"/>
          <w:szCs w:val="20"/>
          <w:lang w:val="en-GB"/>
        </w:rPr>
        <w:t xml:space="preserve">  ORCID: 0000-0002-5116-2072</w:t>
      </w:r>
    </w:p>
    <w:p w14:paraId="00FBA771" w14:textId="77777777" w:rsidR="002F5BDC" w:rsidRPr="0018040B" w:rsidRDefault="002F5BDC">
      <w:pPr>
        <w:rPr>
          <w:rFonts w:cs="Times New Roman"/>
          <w:sz w:val="20"/>
          <w:szCs w:val="20"/>
        </w:rPr>
      </w:pPr>
    </w:p>
    <w:p w14:paraId="09284D08" w14:textId="77777777" w:rsidR="00E11F85" w:rsidRPr="0018040B" w:rsidRDefault="00E11F85">
      <w:pPr>
        <w:rPr>
          <w:rFonts w:cs="Times New Roman"/>
          <w:sz w:val="20"/>
          <w:szCs w:val="20"/>
        </w:rPr>
      </w:pPr>
    </w:p>
    <w:p w14:paraId="1F3901ED" w14:textId="77777777" w:rsidR="00E11F85" w:rsidRPr="0018040B" w:rsidRDefault="00E11F85">
      <w:pPr>
        <w:rPr>
          <w:rFonts w:cs="Times New Roman"/>
          <w:b/>
          <w:bCs/>
          <w:sz w:val="20"/>
          <w:szCs w:val="20"/>
        </w:rPr>
      </w:pPr>
    </w:p>
    <w:p w14:paraId="24A7AF76" w14:textId="7F9CDB2C" w:rsidR="00311536" w:rsidRDefault="00311536" w:rsidP="004B5053">
      <w:pPr>
        <w:spacing w:before="180" w:after="180" w:line="480" w:lineRule="auto"/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</w:pPr>
      <w:r w:rsidRPr="00311536">
        <w:rPr>
          <w:rFonts w:eastAsia="Calibri" w:cs="Times New Roman"/>
          <w:noProof/>
          <w:kern w:val="0"/>
          <w:sz w:val="20"/>
          <w:szCs w:val="20"/>
          <w:lang w:eastAsia="en-IN"/>
          <w14:ligatures w14:val="none"/>
        </w:rPr>
        <w:drawing>
          <wp:inline distT="0" distB="0" distL="0" distR="0" wp14:anchorId="4EB6D301" wp14:editId="56C9BD9B">
            <wp:extent cx="3209925" cy="1781175"/>
            <wp:effectExtent l="0" t="0" r="9525" b="9525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311536">
        <w:rPr>
          <w:rFonts w:eastAsia="Times New Roman" w:cs="Times New Roman"/>
          <w:noProof/>
          <w:color w:val="000000"/>
          <w:kern w:val="0"/>
          <w:sz w:val="20"/>
          <w:szCs w:val="20"/>
          <w:lang w:eastAsia="en-IN"/>
          <w14:ligatures w14:val="none"/>
        </w:rPr>
        <w:t xml:space="preserve">      </w:t>
      </w:r>
      <w:r w:rsidRPr="00311536">
        <w:rPr>
          <w:rFonts w:eastAsia="Times New Roman" w:cs="Times New Roman"/>
          <w:noProof/>
          <w:color w:val="000000"/>
          <w:kern w:val="0"/>
          <w:sz w:val="20"/>
          <w:szCs w:val="20"/>
          <w:lang w:eastAsia="en-IN"/>
          <w14:ligatures w14:val="none"/>
        </w:rPr>
        <w:drawing>
          <wp:inline distT="0" distB="0" distL="0" distR="0" wp14:anchorId="147BC0E6" wp14:editId="6AA3E602">
            <wp:extent cx="2209800" cy="128405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ndard curve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28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Supplementary </w:t>
      </w:r>
      <w:r w:rsidRPr="00311536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>Fig</w:t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 1.</w:t>
      </w:r>
      <w:r w:rsidRPr="00311536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 </w:t>
      </w:r>
      <w:r w:rsidRPr="0018040B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Standard curve of gallic acid for the estimation of total phenolic and tannin content</w:t>
      </w:r>
    </w:p>
    <w:p w14:paraId="354FF2DC" w14:textId="77777777" w:rsidR="008B6BE6" w:rsidRPr="0018040B" w:rsidRDefault="008B6BE6" w:rsidP="004B5053">
      <w:pPr>
        <w:spacing w:before="180" w:after="180" w:line="480" w:lineRule="auto"/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</w:pPr>
    </w:p>
    <w:p w14:paraId="1D78EC00" w14:textId="77777777" w:rsidR="00E35E3B" w:rsidRPr="0018040B" w:rsidRDefault="00311536" w:rsidP="004B5053">
      <w:pPr>
        <w:spacing w:line="480" w:lineRule="auto"/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sectPr w:rsidR="00E35E3B" w:rsidRPr="0018040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18040B">
        <w:rPr>
          <w:rFonts w:cs="Times New Roman"/>
          <w:noProof/>
          <w:sz w:val="20"/>
          <w:szCs w:val="20"/>
          <w:lang w:eastAsia="en-IN"/>
        </w:rPr>
        <w:drawing>
          <wp:inline distT="0" distB="0" distL="0" distR="0" wp14:anchorId="203B9D17" wp14:editId="2A063307">
            <wp:extent cx="3314700" cy="1885950"/>
            <wp:effectExtent l="0" t="0" r="19050" b="1905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18040B">
        <w:rPr>
          <w:rFonts w:cs="Times New Roman"/>
          <w:noProof/>
          <w:sz w:val="20"/>
          <w:szCs w:val="20"/>
          <w:lang w:eastAsia="en-IN"/>
        </w:rPr>
        <w:t xml:space="preserve">    </w:t>
      </w:r>
      <w:r w:rsidRPr="0018040B">
        <w:rPr>
          <w:rFonts w:cs="Times New Roman"/>
          <w:noProof/>
          <w:sz w:val="20"/>
          <w:szCs w:val="20"/>
          <w:lang w:eastAsia="en-IN"/>
        </w:rPr>
        <w:drawing>
          <wp:inline distT="0" distB="0" distL="0" distR="0" wp14:anchorId="4AE06BCF" wp14:editId="1E94BCFE">
            <wp:extent cx="2105025" cy="1142443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ndard curve.jpe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707" cy="114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Supplementary </w:t>
      </w:r>
      <w:r w:rsidRPr="00311536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>Fig</w:t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 2.</w:t>
      </w:r>
      <w:r w:rsidRPr="00311536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 </w:t>
      </w:r>
      <w:r w:rsidRPr="0018040B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Standard curve of </w:t>
      </w:r>
      <w:proofErr w:type="spellStart"/>
      <w:r w:rsidRPr="0018040B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quercitin</w:t>
      </w:r>
      <w:proofErr w:type="spellEnd"/>
      <w:r w:rsidRPr="0018040B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 for the estimation of total flavonoid content</w:t>
      </w:r>
    </w:p>
    <w:p w14:paraId="018FC0CE" w14:textId="1302FD0D" w:rsidR="00311536" w:rsidRPr="0018040B" w:rsidRDefault="00311536" w:rsidP="004B5053">
      <w:pPr>
        <w:spacing w:before="180" w:after="180" w:line="480" w:lineRule="auto"/>
        <w:rPr>
          <w:rFonts w:eastAsia="Times New Roman" w:cs="Times New Roman"/>
          <w:color w:val="000000"/>
          <w:sz w:val="20"/>
          <w:szCs w:val="20"/>
        </w:rPr>
      </w:pPr>
      <w:r w:rsidRPr="0018040B">
        <w:rPr>
          <w:rFonts w:eastAsia="Times New Roman" w:cs="Times New Roman"/>
          <w:noProof/>
          <w:color w:val="000000"/>
          <w:sz w:val="20"/>
          <w:szCs w:val="20"/>
          <w:lang w:eastAsia="en-IN"/>
        </w:rPr>
        <w:lastRenderedPageBreak/>
        <w:drawing>
          <wp:inline distT="0" distB="0" distL="0" distR="0" wp14:anchorId="02E45371" wp14:editId="0C61B6CD">
            <wp:extent cx="2352675" cy="13239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040B">
        <w:rPr>
          <w:rFonts w:eastAsia="Times New Roman" w:cs="Times New Roman"/>
          <w:color w:val="000000"/>
          <w:sz w:val="20"/>
          <w:szCs w:val="20"/>
        </w:rPr>
        <w:t xml:space="preserve">       </w:t>
      </w:r>
      <w:r w:rsidRPr="0018040B">
        <w:rPr>
          <w:rFonts w:cs="Times New Roman"/>
          <w:b/>
          <w:noProof/>
          <w:sz w:val="20"/>
          <w:szCs w:val="20"/>
          <w:lang w:eastAsia="en-IN"/>
        </w:rPr>
        <w:drawing>
          <wp:inline distT="0" distB="0" distL="0" distR="0" wp14:anchorId="1BAE7D8C" wp14:editId="10132F5D">
            <wp:extent cx="3076575" cy="1943100"/>
            <wp:effectExtent l="0" t="0" r="9525" b="1905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Pr="0018040B">
        <w:rPr>
          <w:rFonts w:eastAsia="Times New Roman" w:cs="Times New Roman"/>
          <w:color w:val="000000"/>
          <w:sz w:val="20"/>
          <w:szCs w:val="20"/>
        </w:rPr>
        <w:t xml:space="preserve">                                   </w:t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Supplementary </w:t>
      </w:r>
      <w:r w:rsidRPr="00311536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>Fig</w:t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 3.</w:t>
      </w:r>
      <w:r w:rsidRPr="0018040B">
        <w:rPr>
          <w:rFonts w:cs="Times New Roman"/>
          <w:b/>
          <w:sz w:val="20"/>
          <w:szCs w:val="20"/>
        </w:rPr>
        <w:t xml:space="preserve"> </w:t>
      </w:r>
      <w:r w:rsidRPr="0018040B">
        <w:rPr>
          <w:rFonts w:cs="Times New Roman"/>
          <w:bCs/>
          <w:sz w:val="20"/>
          <w:szCs w:val="20"/>
        </w:rPr>
        <w:t xml:space="preserve">Standard curve of different concentrations (µg/ml) of ascorbic acid and their respective optical density at 517nm for DPPH free radical scavenging activity </w:t>
      </w:r>
    </w:p>
    <w:p w14:paraId="04607905" w14:textId="77777777" w:rsidR="004B5053" w:rsidRPr="0018040B" w:rsidRDefault="004B5053" w:rsidP="004B5053">
      <w:pPr>
        <w:spacing w:line="480" w:lineRule="auto"/>
        <w:rPr>
          <w:rFonts w:cs="Times New Roman"/>
          <w:sz w:val="20"/>
          <w:szCs w:val="20"/>
        </w:rPr>
      </w:pPr>
      <w:r w:rsidRPr="0018040B">
        <w:rPr>
          <w:rFonts w:cs="Times New Roman"/>
          <w:noProof/>
          <w:sz w:val="20"/>
          <w:szCs w:val="20"/>
          <w:lang w:eastAsia="en-IN"/>
        </w:rPr>
        <w:drawing>
          <wp:inline distT="0" distB="0" distL="0" distR="0" wp14:anchorId="5CDEE567" wp14:editId="6E137B01">
            <wp:extent cx="2343150" cy="136207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040B">
        <w:rPr>
          <w:rFonts w:cs="Times New Roman"/>
          <w:sz w:val="20"/>
          <w:szCs w:val="20"/>
        </w:rPr>
        <w:t xml:space="preserve">       </w:t>
      </w:r>
      <w:r w:rsidRPr="0018040B">
        <w:rPr>
          <w:rFonts w:cs="Times New Roman"/>
          <w:b/>
          <w:noProof/>
          <w:sz w:val="20"/>
          <w:szCs w:val="20"/>
          <w:lang w:eastAsia="en-IN"/>
        </w:rPr>
        <w:drawing>
          <wp:inline distT="0" distB="0" distL="0" distR="0" wp14:anchorId="7C62C65A" wp14:editId="74606799">
            <wp:extent cx="2952750" cy="1971675"/>
            <wp:effectExtent l="0" t="0" r="19050" b="9525"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40F5FE7" w14:textId="285AC9C4" w:rsidR="004B5053" w:rsidRPr="0018040B" w:rsidRDefault="004B5053" w:rsidP="004B5053">
      <w:pPr>
        <w:spacing w:after="0" w:line="480" w:lineRule="auto"/>
        <w:rPr>
          <w:rFonts w:cs="Times New Roman"/>
          <w:bCs/>
          <w:sz w:val="20"/>
          <w:szCs w:val="20"/>
        </w:rPr>
      </w:pP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Supplementary </w:t>
      </w:r>
      <w:r w:rsidRPr="00311536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>Fig</w:t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 4.</w:t>
      </w:r>
      <w:r w:rsidRPr="0018040B">
        <w:rPr>
          <w:rFonts w:cs="Times New Roman"/>
          <w:b/>
          <w:sz w:val="20"/>
          <w:szCs w:val="20"/>
        </w:rPr>
        <w:t xml:space="preserve"> </w:t>
      </w:r>
      <w:r w:rsidRPr="0018040B">
        <w:rPr>
          <w:rFonts w:cs="Times New Roman"/>
          <w:bCs/>
          <w:sz w:val="20"/>
          <w:szCs w:val="20"/>
        </w:rPr>
        <w:t>Standard curve of different concentrations (µg/ml) of ascorbic acid and their respective optical density at 570nm for nitric oxide scavenging activity</w:t>
      </w:r>
    </w:p>
    <w:p w14:paraId="38D78476" w14:textId="77777777" w:rsidR="00E35E3B" w:rsidRPr="0018040B" w:rsidRDefault="00E35E3B" w:rsidP="00E35E3B">
      <w:pPr>
        <w:spacing w:after="0" w:line="480" w:lineRule="auto"/>
        <w:rPr>
          <w:rFonts w:cs="Times New Roman"/>
          <w:bCs/>
          <w:sz w:val="20"/>
          <w:szCs w:val="20"/>
        </w:rPr>
      </w:pPr>
      <w:r w:rsidRPr="0018040B">
        <w:rPr>
          <w:rFonts w:cs="Times New Roman"/>
          <w:noProof/>
          <w:sz w:val="20"/>
          <w:szCs w:val="20"/>
          <w:lang w:eastAsia="en-IN"/>
        </w:rPr>
        <w:drawing>
          <wp:anchor distT="0" distB="0" distL="114300" distR="114300" simplePos="0" relativeHeight="251659264" behindDoc="0" locked="0" layoutInCell="1" allowOverlap="1" wp14:anchorId="6EB34A36" wp14:editId="6F32ED3B">
            <wp:simplePos x="0" y="0"/>
            <wp:positionH relativeFrom="margin">
              <wp:posOffset>971550</wp:posOffset>
            </wp:positionH>
            <wp:positionV relativeFrom="paragraph">
              <wp:posOffset>83820</wp:posOffset>
            </wp:positionV>
            <wp:extent cx="3771900" cy="2124075"/>
            <wp:effectExtent l="0" t="0" r="19050" b="9525"/>
            <wp:wrapSquare wrapText="bothSides"/>
            <wp:docPr id="33" name="Chart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017969" w14:textId="77777777" w:rsidR="00E35E3B" w:rsidRPr="0018040B" w:rsidRDefault="00E35E3B" w:rsidP="00E35E3B">
      <w:pPr>
        <w:spacing w:line="480" w:lineRule="auto"/>
        <w:rPr>
          <w:rFonts w:cs="Times New Roman"/>
          <w:sz w:val="20"/>
          <w:szCs w:val="20"/>
        </w:rPr>
      </w:pPr>
      <w:r w:rsidRPr="0018040B">
        <w:rPr>
          <w:rFonts w:cs="Times New Roman"/>
          <w:sz w:val="20"/>
          <w:szCs w:val="20"/>
        </w:rPr>
        <w:t xml:space="preserve">           </w:t>
      </w:r>
    </w:p>
    <w:p w14:paraId="369B831E" w14:textId="77777777" w:rsidR="00E35E3B" w:rsidRPr="0018040B" w:rsidRDefault="00E35E3B" w:rsidP="00E35E3B">
      <w:pPr>
        <w:spacing w:line="480" w:lineRule="auto"/>
        <w:rPr>
          <w:rFonts w:cs="Times New Roman"/>
          <w:sz w:val="20"/>
          <w:szCs w:val="20"/>
        </w:rPr>
      </w:pPr>
    </w:p>
    <w:p w14:paraId="7112B089" w14:textId="77777777" w:rsidR="00E35E3B" w:rsidRPr="0018040B" w:rsidRDefault="00E35E3B" w:rsidP="00E35E3B">
      <w:pPr>
        <w:spacing w:line="480" w:lineRule="auto"/>
        <w:rPr>
          <w:rFonts w:cs="Times New Roman"/>
          <w:b/>
          <w:sz w:val="20"/>
          <w:szCs w:val="20"/>
        </w:rPr>
      </w:pPr>
    </w:p>
    <w:p w14:paraId="50E46136" w14:textId="77777777" w:rsidR="00E35E3B" w:rsidRPr="0018040B" w:rsidRDefault="00E35E3B" w:rsidP="00E35E3B">
      <w:pPr>
        <w:spacing w:line="480" w:lineRule="auto"/>
        <w:rPr>
          <w:rFonts w:cs="Times New Roman"/>
          <w:b/>
          <w:sz w:val="20"/>
          <w:szCs w:val="20"/>
        </w:rPr>
      </w:pPr>
    </w:p>
    <w:p w14:paraId="267517B2" w14:textId="77777777" w:rsidR="0018040B" w:rsidRDefault="0018040B" w:rsidP="00E35E3B">
      <w:pPr>
        <w:spacing w:line="480" w:lineRule="auto"/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</w:pPr>
    </w:p>
    <w:p w14:paraId="1C0F994D" w14:textId="751AD450" w:rsidR="00E35E3B" w:rsidRPr="0018040B" w:rsidRDefault="00E35E3B" w:rsidP="00E35E3B">
      <w:pPr>
        <w:spacing w:line="480" w:lineRule="auto"/>
        <w:rPr>
          <w:rFonts w:cs="Times New Roman"/>
          <w:bCs/>
          <w:sz w:val="20"/>
          <w:szCs w:val="20"/>
        </w:rPr>
        <w:sectPr w:rsidR="00E35E3B" w:rsidRPr="0018040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Supplementary </w:t>
      </w:r>
      <w:r w:rsidRPr="00311536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>Fig</w:t>
      </w:r>
      <w:r w:rsidRPr="0018040B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 5. </w:t>
      </w:r>
      <w:r w:rsidRPr="0018040B">
        <w:rPr>
          <w:rFonts w:cs="Times New Roman"/>
          <w:bCs/>
          <w:sz w:val="20"/>
          <w:szCs w:val="20"/>
        </w:rPr>
        <w:t>Standard curve of different concentrations (µg/ml) of podophyllotoxin and the percent (%) mortality after 24hours of brine shrimp (</w:t>
      </w:r>
      <w:r w:rsidRPr="0018040B">
        <w:rPr>
          <w:rFonts w:cs="Times New Roman"/>
          <w:bCs/>
          <w:i/>
          <w:iCs/>
          <w:sz w:val="20"/>
          <w:szCs w:val="20"/>
        </w:rPr>
        <w:t>Artemia salina</w:t>
      </w:r>
      <w:r w:rsidRPr="0018040B">
        <w:rPr>
          <w:rFonts w:cs="Times New Roman"/>
          <w:bCs/>
          <w:sz w:val="20"/>
          <w:szCs w:val="20"/>
        </w:rPr>
        <w:t>) lethality assay</w:t>
      </w:r>
    </w:p>
    <w:p w14:paraId="0DFAA06A" w14:textId="5AA10D18" w:rsidR="0018040B" w:rsidRPr="0018040B" w:rsidRDefault="0018040B" w:rsidP="0018040B">
      <w:pPr>
        <w:pStyle w:val="NormalWeb"/>
        <w:spacing w:before="0" w:beforeAutospacing="0" w:after="0" w:afterAutospacing="0" w:line="480" w:lineRule="auto"/>
        <w:jc w:val="both"/>
        <w:rPr>
          <w:bCs/>
          <w:sz w:val="20"/>
          <w:szCs w:val="20"/>
        </w:rPr>
      </w:pPr>
      <w:r w:rsidRPr="0018040B">
        <w:rPr>
          <w:b/>
          <w:bCs/>
          <w:sz w:val="20"/>
          <w:szCs w:val="20"/>
        </w:rPr>
        <w:lastRenderedPageBreak/>
        <w:t xml:space="preserve">Supplementary Data. </w:t>
      </w:r>
      <w:r w:rsidRPr="0018040B">
        <w:rPr>
          <w:sz w:val="20"/>
          <w:szCs w:val="20"/>
        </w:rPr>
        <w:t>Biofilm forming capability of the organisms</w:t>
      </w:r>
    </w:p>
    <w:tbl>
      <w:tblPr>
        <w:tblStyle w:val="TableGrid"/>
        <w:tblpPr w:leftFromText="180" w:rightFromText="180" w:vertAnchor="text" w:horzAnchor="margin" w:tblpXSpec="center" w:tblpY="62"/>
        <w:tblW w:w="0" w:type="auto"/>
        <w:tblLook w:val="04A0" w:firstRow="1" w:lastRow="0" w:firstColumn="1" w:lastColumn="0" w:noHBand="0" w:noVBand="1"/>
      </w:tblPr>
      <w:tblGrid>
        <w:gridCol w:w="2805"/>
        <w:gridCol w:w="805"/>
        <w:gridCol w:w="705"/>
        <w:gridCol w:w="791"/>
        <w:gridCol w:w="1983"/>
      </w:tblGrid>
      <w:tr w:rsidR="0018040B" w:rsidRPr="0018040B" w14:paraId="1EDA41DC" w14:textId="77777777" w:rsidTr="008B6BE6">
        <w:tc>
          <w:tcPr>
            <w:tcW w:w="0" w:type="auto"/>
          </w:tcPr>
          <w:p w14:paraId="62E8BFF2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  <w:r w:rsidRPr="0018040B">
              <w:rPr>
                <w:b/>
                <w:sz w:val="20"/>
                <w:szCs w:val="20"/>
              </w:rPr>
              <w:t>Test organism</w:t>
            </w:r>
          </w:p>
        </w:tc>
        <w:tc>
          <w:tcPr>
            <w:tcW w:w="0" w:type="auto"/>
          </w:tcPr>
          <w:p w14:paraId="1618A505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  <w:r w:rsidRPr="0018040B">
              <w:rPr>
                <w:b/>
                <w:sz w:val="20"/>
                <w:szCs w:val="20"/>
              </w:rPr>
              <w:t>OD</w:t>
            </w:r>
            <w:r w:rsidRPr="0018040B">
              <w:rPr>
                <w:b/>
                <w:sz w:val="20"/>
                <w:szCs w:val="20"/>
                <w:vertAlign w:val="subscript"/>
              </w:rPr>
              <w:t>AVG</w:t>
            </w:r>
          </w:p>
        </w:tc>
        <w:tc>
          <w:tcPr>
            <w:tcW w:w="0" w:type="auto"/>
          </w:tcPr>
          <w:p w14:paraId="4A7F7F31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  <w:r w:rsidRPr="0018040B">
              <w:rPr>
                <w:b/>
                <w:sz w:val="20"/>
                <w:szCs w:val="20"/>
              </w:rPr>
              <w:t>Mean</w:t>
            </w:r>
          </w:p>
        </w:tc>
        <w:tc>
          <w:tcPr>
            <w:tcW w:w="0" w:type="auto"/>
          </w:tcPr>
          <w:p w14:paraId="183F547E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  <w:r w:rsidRPr="0018040B">
              <w:rPr>
                <w:b/>
                <w:sz w:val="20"/>
                <w:szCs w:val="20"/>
              </w:rPr>
              <w:t>OD</w:t>
            </w:r>
            <w:r w:rsidRPr="0018040B">
              <w:rPr>
                <w:b/>
                <w:sz w:val="20"/>
                <w:szCs w:val="20"/>
                <w:vertAlign w:val="subscript"/>
              </w:rPr>
              <w:t>CUT</w:t>
            </w:r>
          </w:p>
        </w:tc>
        <w:tc>
          <w:tcPr>
            <w:tcW w:w="0" w:type="auto"/>
          </w:tcPr>
          <w:p w14:paraId="50992982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  <w:r w:rsidRPr="0018040B">
              <w:rPr>
                <w:b/>
                <w:sz w:val="20"/>
                <w:szCs w:val="20"/>
              </w:rPr>
              <w:t>Inference</w:t>
            </w:r>
          </w:p>
        </w:tc>
      </w:tr>
      <w:tr w:rsidR="0018040B" w:rsidRPr="0018040B" w14:paraId="67E6D9B1" w14:textId="77777777" w:rsidTr="008B6BE6">
        <w:tc>
          <w:tcPr>
            <w:tcW w:w="0" w:type="auto"/>
          </w:tcPr>
          <w:p w14:paraId="361D6266" w14:textId="28F6CF1D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i/>
                <w:sz w:val="20"/>
                <w:szCs w:val="20"/>
              </w:rPr>
            </w:pPr>
            <w:r w:rsidRPr="0018040B">
              <w:rPr>
                <w:b/>
                <w:i/>
                <w:sz w:val="20"/>
                <w:szCs w:val="20"/>
              </w:rPr>
              <w:t>S. epidermidis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 w:rsidRPr="0018040B">
              <w:rPr>
                <w:sz w:val="20"/>
                <w:szCs w:val="20"/>
              </w:rPr>
              <w:t>ATCC 35984</w:t>
            </w:r>
          </w:p>
        </w:tc>
        <w:tc>
          <w:tcPr>
            <w:tcW w:w="0" w:type="auto"/>
          </w:tcPr>
          <w:p w14:paraId="2054B5DA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18040B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6CD13B04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18040B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  <w:vMerge w:val="restart"/>
          </w:tcPr>
          <w:p w14:paraId="31D20BF4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</w:p>
          <w:p w14:paraId="62216116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  <w:r w:rsidRPr="0018040B">
              <w:rPr>
                <w:b/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359673D7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18040B">
              <w:rPr>
                <w:sz w:val="20"/>
                <w:szCs w:val="20"/>
              </w:rPr>
              <w:t>Weak Biofilm former</w:t>
            </w:r>
          </w:p>
        </w:tc>
      </w:tr>
      <w:tr w:rsidR="0018040B" w:rsidRPr="0018040B" w14:paraId="3E2F394B" w14:textId="77777777" w:rsidTr="008B6BE6">
        <w:tc>
          <w:tcPr>
            <w:tcW w:w="0" w:type="auto"/>
          </w:tcPr>
          <w:p w14:paraId="1E3A4C4C" w14:textId="0034D620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iCs/>
                <w:sz w:val="20"/>
                <w:szCs w:val="20"/>
              </w:rPr>
            </w:pPr>
            <w:r w:rsidRPr="0018040B">
              <w:rPr>
                <w:b/>
                <w:i/>
                <w:sz w:val="20"/>
                <w:szCs w:val="20"/>
              </w:rPr>
              <w:t>P. aeruginosa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b/>
                <w:iCs/>
                <w:sz w:val="20"/>
                <w:szCs w:val="20"/>
              </w:rPr>
              <w:t>(Clinical isolate)</w:t>
            </w:r>
          </w:p>
        </w:tc>
        <w:tc>
          <w:tcPr>
            <w:tcW w:w="0" w:type="auto"/>
          </w:tcPr>
          <w:p w14:paraId="3D8DAFCA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18040B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7F9DAA5A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18040B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  <w:vMerge/>
          </w:tcPr>
          <w:p w14:paraId="5E9D33F5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</w:tcPr>
          <w:p w14:paraId="4FDF222F" w14:textId="77777777" w:rsidR="0018040B" w:rsidRPr="0018040B" w:rsidRDefault="0018040B" w:rsidP="00814A3E">
            <w:pPr>
              <w:pStyle w:val="NormalWeb"/>
              <w:spacing w:before="0" w:beforeAutospacing="0" w:after="0" w:afterAutospacing="0" w:line="480" w:lineRule="auto"/>
              <w:jc w:val="both"/>
              <w:rPr>
                <w:sz w:val="20"/>
                <w:szCs w:val="20"/>
              </w:rPr>
            </w:pPr>
            <w:r w:rsidRPr="0018040B">
              <w:rPr>
                <w:sz w:val="20"/>
                <w:szCs w:val="20"/>
              </w:rPr>
              <w:t>Strong biofilm former</w:t>
            </w:r>
          </w:p>
        </w:tc>
      </w:tr>
    </w:tbl>
    <w:p w14:paraId="79A2E35D" w14:textId="22EB25EC" w:rsidR="0018040B" w:rsidRPr="0018040B" w:rsidRDefault="0018040B" w:rsidP="0018040B">
      <w:pPr>
        <w:pStyle w:val="NormalWeb"/>
        <w:spacing w:before="0" w:beforeAutospacing="0" w:after="0" w:afterAutospacing="0" w:line="480" w:lineRule="auto"/>
        <w:jc w:val="both"/>
        <w:rPr>
          <w:bCs/>
          <w:sz w:val="20"/>
          <w:szCs w:val="20"/>
        </w:rPr>
      </w:pPr>
    </w:p>
    <w:p w14:paraId="78F972C0" w14:textId="321A9312" w:rsidR="0018040B" w:rsidRPr="0018040B" w:rsidRDefault="008B6BE6" w:rsidP="0018040B">
      <w:pPr>
        <w:pStyle w:val="NormalWeb"/>
        <w:spacing w:before="0" w:beforeAutospacing="0" w:after="0" w:afterAutospacing="0" w:line="480" w:lineRule="auto"/>
        <w:jc w:val="both"/>
        <w:rPr>
          <w:bCs/>
          <w:sz w:val="20"/>
          <w:szCs w:val="20"/>
        </w:rPr>
      </w:pPr>
      <w:r w:rsidRPr="0018040B">
        <w:rPr>
          <w:bCs/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A1236D" wp14:editId="38B2E00A">
                <wp:simplePos x="0" y="0"/>
                <wp:positionH relativeFrom="column">
                  <wp:posOffset>2508250</wp:posOffset>
                </wp:positionH>
                <wp:positionV relativeFrom="paragraph">
                  <wp:posOffset>922655</wp:posOffset>
                </wp:positionV>
                <wp:extent cx="409575" cy="266700"/>
                <wp:effectExtent l="0" t="0" r="28575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C0BBD5" w14:textId="77777777" w:rsidR="0018040B" w:rsidRPr="00A701D1" w:rsidRDefault="0018040B" w:rsidP="0018040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A701D1">
                              <w:rPr>
                                <w:b/>
                                <w:lang w:val="en-US"/>
                              </w:rPr>
                              <w:t>VS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A1236D"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left:0;text-align:left;margin-left:197.5pt;margin-top:72.65pt;width:32.2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" fillcolor="white [3201]" strokeweight=".5pt">
                <v:textbox>
                  <w:txbxContent>
                    <w:p w14:paraId="6BC0BBD5" w14:textId="77777777" w:rsidR="0018040B" w:rsidRPr="00A701D1" w:rsidRDefault="0018040B" w:rsidP="0018040B">
                      <w:pPr>
                        <w:jc w:val="center"/>
                        <w:rPr>
                          <w:lang w:val="en-US"/>
                        </w:rPr>
                      </w:pPr>
                      <w:r w:rsidRPr="00A701D1">
                        <w:rPr>
                          <w:b/>
                          <w:lang w:val="en-US"/>
                        </w:rPr>
                        <w:t>VS</w:t>
                      </w:r>
                    </w:p>
                  </w:txbxContent>
                </v:textbox>
              </v:shape>
            </w:pict>
          </mc:Fallback>
        </mc:AlternateContent>
      </w:r>
      <w:r w:rsidR="0018040B" w:rsidRPr="0018040B">
        <w:rPr>
          <w:bCs/>
          <w:noProof/>
          <w:sz w:val="20"/>
          <w:szCs w:val="20"/>
          <w:lang w:val="en-IN" w:eastAsia="en-IN"/>
        </w:rPr>
        <w:drawing>
          <wp:inline distT="0" distB="0" distL="0" distR="0" wp14:anchorId="516BAD12" wp14:editId="2ADB71BE">
            <wp:extent cx="2686050" cy="1217144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film Quantification - P aeruginosa.jpe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542" cy="121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040B" w:rsidRPr="0018040B">
        <w:rPr>
          <w:bCs/>
          <w:noProof/>
          <w:sz w:val="20"/>
          <w:szCs w:val="20"/>
          <w:lang w:val="en-IN" w:eastAsia="en-IN"/>
        </w:rPr>
        <w:t xml:space="preserve">   </w:t>
      </w:r>
      <w:r w:rsidR="0018040B" w:rsidRPr="0018040B">
        <w:rPr>
          <w:bCs/>
          <w:noProof/>
          <w:sz w:val="20"/>
          <w:szCs w:val="20"/>
          <w:lang w:val="en-IN" w:eastAsia="en-IN"/>
        </w:rPr>
        <w:drawing>
          <wp:inline distT="0" distB="0" distL="0" distR="0" wp14:anchorId="3FA75692" wp14:editId="1C4CF445">
            <wp:extent cx="2682487" cy="1219200"/>
            <wp:effectExtent l="0" t="0" r="381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 epidermidis.jpe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860" cy="122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7A261" w14:textId="4149A312" w:rsidR="008B6BE6" w:rsidRPr="0018040B" w:rsidRDefault="0018040B" w:rsidP="0018040B">
      <w:pPr>
        <w:pStyle w:val="NormalWeb"/>
        <w:spacing w:before="0" w:beforeAutospacing="0" w:after="0" w:afterAutospacing="0" w:line="480" w:lineRule="auto"/>
        <w:jc w:val="both"/>
        <w:rPr>
          <w:sz w:val="20"/>
          <w:szCs w:val="20"/>
        </w:rPr>
      </w:pPr>
      <w:r w:rsidRPr="0018040B">
        <w:rPr>
          <w:b/>
          <w:color w:val="000000"/>
          <w:sz w:val="20"/>
          <w:szCs w:val="20"/>
        </w:rPr>
        <w:t xml:space="preserve">Supplementary </w:t>
      </w:r>
      <w:r w:rsidRPr="00311536">
        <w:rPr>
          <w:b/>
          <w:color w:val="000000"/>
          <w:sz w:val="20"/>
          <w:szCs w:val="20"/>
        </w:rPr>
        <w:t>Fig</w:t>
      </w:r>
      <w:r>
        <w:rPr>
          <w:b/>
          <w:color w:val="000000"/>
          <w:sz w:val="20"/>
          <w:szCs w:val="20"/>
        </w:rPr>
        <w:t xml:space="preserve"> 6.</w:t>
      </w:r>
      <w:r w:rsidRPr="0018040B">
        <w:rPr>
          <w:b/>
          <w:sz w:val="20"/>
          <w:szCs w:val="20"/>
        </w:rPr>
        <w:t xml:space="preserve"> </w:t>
      </w:r>
      <w:r w:rsidRPr="0018040B">
        <w:rPr>
          <w:sz w:val="20"/>
          <w:szCs w:val="20"/>
        </w:rPr>
        <w:t xml:space="preserve">Strong biofilm formation by </w:t>
      </w:r>
      <w:r w:rsidRPr="0018040B">
        <w:rPr>
          <w:i/>
          <w:sz w:val="20"/>
          <w:szCs w:val="20"/>
        </w:rPr>
        <w:t>P. aeruginosa</w:t>
      </w:r>
      <w:r w:rsidRPr="0018040B">
        <w:rPr>
          <w:sz w:val="20"/>
          <w:szCs w:val="20"/>
        </w:rPr>
        <w:t xml:space="preserve"> vs Weak biofilm former </w:t>
      </w:r>
      <w:r w:rsidRPr="0018040B">
        <w:rPr>
          <w:bCs/>
          <w:i/>
          <w:sz w:val="20"/>
          <w:szCs w:val="20"/>
        </w:rPr>
        <w:t xml:space="preserve">S. epidermidis </w:t>
      </w:r>
      <w:r w:rsidRPr="0018040B">
        <w:rPr>
          <w:bCs/>
          <w:sz w:val="20"/>
          <w:szCs w:val="20"/>
        </w:rPr>
        <w:t>ATCC</w:t>
      </w:r>
      <w:r w:rsidRPr="0018040B">
        <w:rPr>
          <w:sz w:val="20"/>
          <w:szCs w:val="20"/>
        </w:rPr>
        <w:t xml:space="preserve"> 35984</w:t>
      </w:r>
    </w:p>
    <w:p w14:paraId="006858FD" w14:textId="77777777" w:rsidR="008B6BE6" w:rsidRPr="00DE73BF" w:rsidRDefault="008B6BE6" w:rsidP="008B6BE6">
      <w:pPr>
        <w:pStyle w:val="NormalWeb"/>
        <w:spacing w:before="0" w:beforeAutospacing="0" w:after="0" w:afterAutospacing="0" w:line="480" w:lineRule="auto"/>
        <w:jc w:val="both"/>
      </w:pPr>
      <w:r w:rsidRPr="00DE73BF">
        <w:rPr>
          <w:noProof/>
          <w:lang w:val="en-IN" w:eastAsia="en-IN"/>
        </w:rPr>
        <w:drawing>
          <wp:inline distT="0" distB="0" distL="0" distR="0" wp14:anchorId="00AF3FCB" wp14:editId="5E2EF28F">
            <wp:extent cx="2312402" cy="120967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A standard 3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818" cy="121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73BF">
        <w:t xml:space="preserve"> </w:t>
      </w:r>
      <w:r w:rsidRPr="00DE73BF">
        <w:rPr>
          <w:noProof/>
          <w:lang w:eastAsia="en-IN"/>
        </w:rPr>
        <w:drawing>
          <wp:inline distT="0" distB="0" distL="0" distR="0" wp14:anchorId="4A1C5169" wp14:editId="3B6BF8F2">
            <wp:extent cx="3019425" cy="1828800"/>
            <wp:effectExtent l="0" t="0" r="9525" b="19050"/>
            <wp:docPr id="40" name="Chart 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3E2A87F9" w14:textId="4C538CC0" w:rsidR="008B6BE6" w:rsidRPr="008B6BE6" w:rsidRDefault="008B6BE6" w:rsidP="008B6BE6">
      <w:pPr>
        <w:pStyle w:val="NormalWeb"/>
        <w:spacing w:before="0" w:beforeAutospacing="0" w:after="0" w:afterAutospacing="0" w:line="480" w:lineRule="auto"/>
        <w:jc w:val="both"/>
        <w:rPr>
          <w:bCs/>
          <w:sz w:val="20"/>
          <w:szCs w:val="20"/>
        </w:rPr>
      </w:pPr>
      <w:r w:rsidRPr="008B6BE6">
        <w:rPr>
          <w:b/>
          <w:color w:val="000000"/>
          <w:sz w:val="20"/>
          <w:szCs w:val="20"/>
        </w:rPr>
        <w:t xml:space="preserve">Supplementary </w:t>
      </w:r>
      <w:r w:rsidRPr="00311536">
        <w:rPr>
          <w:b/>
          <w:color w:val="000000"/>
          <w:sz w:val="20"/>
          <w:szCs w:val="20"/>
        </w:rPr>
        <w:t>Fig</w:t>
      </w:r>
      <w:r w:rsidRPr="008B6BE6">
        <w:rPr>
          <w:b/>
          <w:color w:val="000000"/>
          <w:sz w:val="20"/>
          <w:szCs w:val="20"/>
        </w:rPr>
        <w:t xml:space="preserve"> 7.</w:t>
      </w:r>
      <w:r w:rsidRPr="008B6BE6">
        <w:rPr>
          <w:b/>
          <w:sz w:val="20"/>
          <w:szCs w:val="20"/>
        </w:rPr>
        <w:t xml:space="preserve"> </w:t>
      </w:r>
      <w:r w:rsidRPr="008B6BE6">
        <w:rPr>
          <w:bCs/>
          <w:sz w:val="20"/>
          <w:szCs w:val="20"/>
        </w:rPr>
        <w:t>Standard curve of different concentrations (µg/ml) of BSA and their respective optical density at 650nm for protein estimation</w:t>
      </w:r>
    </w:p>
    <w:p w14:paraId="3932766D" w14:textId="77777777" w:rsidR="00C65601" w:rsidRPr="00DE73BF" w:rsidRDefault="00C65601" w:rsidP="00C65601">
      <w:pPr>
        <w:pStyle w:val="NormalWeb"/>
        <w:spacing w:before="0" w:beforeAutospacing="0" w:after="0" w:afterAutospacing="0" w:line="480" w:lineRule="auto"/>
        <w:jc w:val="both"/>
      </w:pPr>
      <w:r w:rsidRPr="00DE73BF">
        <w:rPr>
          <w:noProof/>
          <w:lang w:val="en-IN" w:eastAsia="en-IN"/>
        </w:rPr>
        <w:drawing>
          <wp:inline distT="0" distB="0" distL="0" distR="0" wp14:anchorId="7D267697" wp14:editId="47A0728B">
            <wp:extent cx="2181225" cy="1066024"/>
            <wp:effectExtent l="0" t="0" r="0" b="127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ucose standard curve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2576" cy="1071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73BF">
        <w:t xml:space="preserve"> </w:t>
      </w:r>
      <w:r w:rsidRPr="00DE73BF">
        <w:rPr>
          <w:noProof/>
          <w:lang w:eastAsia="en-IN"/>
        </w:rPr>
        <w:drawing>
          <wp:inline distT="0" distB="0" distL="0" distR="0" wp14:anchorId="715729B7" wp14:editId="37E84EE9">
            <wp:extent cx="3381375" cy="1524000"/>
            <wp:effectExtent l="0" t="0" r="9525" b="19050"/>
            <wp:docPr id="56" name="Chart 5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5FF60B90" w14:textId="51160DE7" w:rsidR="00C65601" w:rsidRPr="00C65601" w:rsidRDefault="00C65601" w:rsidP="00C65601">
      <w:pPr>
        <w:pStyle w:val="NormalWeb"/>
        <w:spacing w:before="0" w:beforeAutospacing="0" w:after="0" w:afterAutospacing="0" w:line="480" w:lineRule="auto"/>
        <w:jc w:val="both"/>
        <w:rPr>
          <w:bCs/>
          <w:sz w:val="20"/>
          <w:szCs w:val="20"/>
        </w:rPr>
      </w:pPr>
      <w:r w:rsidRPr="00C65601">
        <w:rPr>
          <w:b/>
          <w:color w:val="000000"/>
          <w:sz w:val="20"/>
          <w:szCs w:val="20"/>
        </w:rPr>
        <w:t xml:space="preserve">Supplementary </w:t>
      </w:r>
      <w:r w:rsidRPr="00311536">
        <w:rPr>
          <w:b/>
          <w:color w:val="000000"/>
          <w:sz w:val="20"/>
          <w:szCs w:val="20"/>
        </w:rPr>
        <w:t>Fig</w:t>
      </w:r>
      <w:r w:rsidRPr="00C65601">
        <w:rPr>
          <w:b/>
          <w:color w:val="000000"/>
          <w:sz w:val="20"/>
          <w:szCs w:val="20"/>
        </w:rPr>
        <w:t xml:space="preserve"> 8.</w:t>
      </w:r>
      <w:r w:rsidRPr="00C65601">
        <w:rPr>
          <w:b/>
          <w:sz w:val="20"/>
          <w:szCs w:val="20"/>
        </w:rPr>
        <w:t xml:space="preserve"> </w:t>
      </w:r>
      <w:r w:rsidRPr="00C65601">
        <w:rPr>
          <w:bCs/>
          <w:sz w:val="20"/>
          <w:szCs w:val="20"/>
        </w:rPr>
        <w:t>Standard curve of different concentrations (µg/ml) of glucose and their respective optical density at 490 nm for carbohydrate estimation</w:t>
      </w:r>
    </w:p>
    <w:p w14:paraId="1CC1A030" w14:textId="77777777" w:rsidR="00311536" w:rsidRPr="0018040B" w:rsidRDefault="00311536" w:rsidP="00E35E3B">
      <w:pPr>
        <w:spacing w:before="180" w:after="180" w:line="480" w:lineRule="auto"/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</w:pPr>
    </w:p>
    <w:p w14:paraId="4C1ABA2C" w14:textId="77777777" w:rsidR="00311536" w:rsidRPr="0018040B" w:rsidRDefault="00311536" w:rsidP="00311536">
      <w:pPr>
        <w:spacing w:before="180" w:after="180" w:line="480" w:lineRule="auto"/>
        <w:jc w:val="center"/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</w:pPr>
    </w:p>
    <w:p w14:paraId="082774E2" w14:textId="4F78DACA" w:rsidR="00311536" w:rsidRPr="0018040B" w:rsidRDefault="00311536" w:rsidP="00311536">
      <w:pPr>
        <w:spacing w:before="180" w:after="180" w:line="480" w:lineRule="auto"/>
        <w:jc w:val="center"/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sectPr w:rsidR="00311536" w:rsidRPr="0018040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39F8749" w14:textId="622AF3EA" w:rsidR="00E11F85" w:rsidRPr="0018040B" w:rsidRDefault="00E11F85" w:rsidP="00E11F85">
      <w:pPr>
        <w:spacing w:after="0" w:line="360" w:lineRule="auto"/>
        <w:rPr>
          <w:rFonts w:cs="Times New Roman"/>
          <w:b/>
          <w:bCs/>
          <w:sz w:val="20"/>
          <w:szCs w:val="20"/>
        </w:rPr>
      </w:pPr>
      <w:r w:rsidRPr="0018040B">
        <w:rPr>
          <w:rFonts w:cs="Times New Roman"/>
          <w:b/>
          <w:bCs/>
          <w:sz w:val="20"/>
          <w:szCs w:val="20"/>
        </w:rPr>
        <w:lastRenderedPageBreak/>
        <w:t xml:space="preserve">Supplementary Table 1. </w:t>
      </w:r>
      <w:r w:rsidRPr="0018040B">
        <w:rPr>
          <w:rFonts w:cs="Times New Roman"/>
          <w:sz w:val="20"/>
          <w:szCs w:val="20"/>
        </w:rPr>
        <w:t xml:space="preserve">Extraction yield and qualitative phytochemical composition of different solvent extracts of </w:t>
      </w:r>
      <w:proofErr w:type="spellStart"/>
      <w:r w:rsidRPr="0018040B">
        <w:rPr>
          <w:rFonts w:cs="Times New Roman"/>
          <w:i/>
          <w:iCs/>
          <w:sz w:val="20"/>
          <w:szCs w:val="20"/>
        </w:rPr>
        <w:t>Sphaerostephanos</w:t>
      </w:r>
      <w:proofErr w:type="spellEnd"/>
      <w:r w:rsidRPr="0018040B">
        <w:rPr>
          <w:rFonts w:cs="Times New Roman"/>
          <w:i/>
          <w:iCs/>
          <w:sz w:val="20"/>
          <w:szCs w:val="20"/>
        </w:rPr>
        <w:t xml:space="preserve"> </w:t>
      </w:r>
      <w:proofErr w:type="spellStart"/>
      <w:r w:rsidRPr="0018040B">
        <w:rPr>
          <w:rFonts w:cs="Times New Roman"/>
          <w:i/>
          <w:iCs/>
          <w:sz w:val="20"/>
          <w:szCs w:val="20"/>
        </w:rPr>
        <w:t>unitus</w:t>
      </w:r>
      <w:proofErr w:type="spellEnd"/>
      <w:r w:rsidRPr="0018040B">
        <w:rPr>
          <w:rFonts w:cs="Times New Roman"/>
          <w:sz w:val="20"/>
          <w:szCs w:val="20"/>
        </w:rPr>
        <w:t xml:space="preserve"> (L.) </w:t>
      </w:r>
      <w:proofErr w:type="spellStart"/>
      <w:r w:rsidRPr="0018040B">
        <w:rPr>
          <w:rFonts w:cs="Times New Roman"/>
          <w:sz w:val="20"/>
          <w:szCs w:val="20"/>
        </w:rPr>
        <w:t>Holttum</w:t>
      </w:r>
      <w:proofErr w:type="spellEnd"/>
    </w:p>
    <w:tbl>
      <w:tblPr>
        <w:tblStyle w:val="TableGrid"/>
        <w:tblpPr w:leftFromText="180" w:rightFromText="180" w:horzAnchor="margin" w:tblpY="430"/>
        <w:tblW w:w="142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269"/>
        <w:gridCol w:w="1038"/>
        <w:gridCol w:w="1125"/>
        <w:gridCol w:w="1038"/>
        <w:gridCol w:w="980"/>
        <w:gridCol w:w="1286"/>
        <w:gridCol w:w="1274"/>
        <w:gridCol w:w="1087"/>
        <w:gridCol w:w="1262"/>
        <w:gridCol w:w="1279"/>
        <w:gridCol w:w="1237"/>
      </w:tblGrid>
      <w:tr w:rsidR="00E11F85" w:rsidRPr="0018040B" w14:paraId="782CD484" w14:textId="77777777" w:rsidTr="00814A3E">
        <w:tc>
          <w:tcPr>
            <w:tcW w:w="1418" w:type="dxa"/>
            <w:vMerge w:val="restart"/>
          </w:tcPr>
          <w:p w14:paraId="09C8AC51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Solvent extract</w:t>
            </w:r>
          </w:p>
        </w:tc>
        <w:tc>
          <w:tcPr>
            <w:tcW w:w="1269" w:type="dxa"/>
            <w:vMerge w:val="restart"/>
          </w:tcPr>
          <w:p w14:paraId="7287470F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Yield Percentage (%)</w:t>
            </w:r>
          </w:p>
        </w:tc>
        <w:tc>
          <w:tcPr>
            <w:tcW w:w="11606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ABE0E0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Qualitative Phytochemical test</w:t>
            </w:r>
          </w:p>
        </w:tc>
      </w:tr>
      <w:tr w:rsidR="00E11F85" w:rsidRPr="0018040B" w14:paraId="75E59922" w14:textId="77777777" w:rsidTr="00814A3E">
        <w:tc>
          <w:tcPr>
            <w:tcW w:w="1418" w:type="dxa"/>
            <w:vMerge/>
          </w:tcPr>
          <w:p w14:paraId="6AE1D21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  <w:vMerge/>
          </w:tcPr>
          <w:p w14:paraId="74450222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</w:tcPr>
          <w:p w14:paraId="166FCD7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Alkaloid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</w:tcPr>
          <w:p w14:paraId="5A29EC20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Phenolics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</w:tcPr>
          <w:p w14:paraId="155473AD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Quinone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63E66479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Tannins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14:paraId="18A971BE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Coumarins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377D3C3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Carboxylic acid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14:paraId="5A7B3084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Saponins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14:paraId="43011670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Flavonoids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</w:tcPr>
          <w:p w14:paraId="1BC6A267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Terpenoids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14:paraId="2E51097C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Cardiac Glycosides</w:t>
            </w:r>
          </w:p>
        </w:tc>
      </w:tr>
      <w:tr w:rsidR="00E11F85" w:rsidRPr="0018040B" w14:paraId="35D23377" w14:textId="77777777" w:rsidTr="00814A3E">
        <w:tc>
          <w:tcPr>
            <w:tcW w:w="1418" w:type="dxa"/>
          </w:tcPr>
          <w:p w14:paraId="0430AB4F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Methanol</w:t>
            </w:r>
          </w:p>
        </w:tc>
        <w:tc>
          <w:tcPr>
            <w:tcW w:w="1269" w:type="dxa"/>
          </w:tcPr>
          <w:p w14:paraId="5A28B63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2.75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66E31E84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125" w:type="dxa"/>
            <w:tcBorders>
              <w:top w:val="single" w:sz="4" w:space="0" w:color="auto"/>
            </w:tcBorders>
          </w:tcPr>
          <w:p w14:paraId="3216932F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038" w:type="dxa"/>
            <w:tcBorders>
              <w:top w:val="single" w:sz="4" w:space="0" w:color="auto"/>
            </w:tcBorders>
          </w:tcPr>
          <w:p w14:paraId="271934C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0D09E9A5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86" w:type="dxa"/>
            <w:tcBorders>
              <w:top w:val="single" w:sz="4" w:space="0" w:color="auto"/>
            </w:tcBorders>
          </w:tcPr>
          <w:p w14:paraId="5055196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6BBBB88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87" w:type="dxa"/>
            <w:tcBorders>
              <w:top w:val="single" w:sz="4" w:space="0" w:color="auto"/>
            </w:tcBorders>
          </w:tcPr>
          <w:p w14:paraId="1BA279B8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14:paraId="432452B2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6385621C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14:paraId="0F11B82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</w:tr>
      <w:tr w:rsidR="00E11F85" w:rsidRPr="0018040B" w14:paraId="6164D41A" w14:textId="77777777" w:rsidTr="00814A3E">
        <w:tc>
          <w:tcPr>
            <w:tcW w:w="1418" w:type="dxa"/>
          </w:tcPr>
          <w:p w14:paraId="5C0D35C5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Ethyl Acetate</w:t>
            </w:r>
          </w:p>
        </w:tc>
        <w:tc>
          <w:tcPr>
            <w:tcW w:w="1269" w:type="dxa"/>
          </w:tcPr>
          <w:p w14:paraId="01D4A2BB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1038" w:type="dxa"/>
          </w:tcPr>
          <w:p w14:paraId="5573A371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125" w:type="dxa"/>
          </w:tcPr>
          <w:p w14:paraId="50521924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038" w:type="dxa"/>
          </w:tcPr>
          <w:p w14:paraId="789B6AEB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</w:tcPr>
          <w:p w14:paraId="7D61A85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86" w:type="dxa"/>
          </w:tcPr>
          <w:p w14:paraId="2683EBE5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74" w:type="dxa"/>
          </w:tcPr>
          <w:p w14:paraId="2DFD856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87" w:type="dxa"/>
          </w:tcPr>
          <w:p w14:paraId="71F2EE98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62" w:type="dxa"/>
          </w:tcPr>
          <w:p w14:paraId="0FB82FF0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79" w:type="dxa"/>
          </w:tcPr>
          <w:p w14:paraId="2813C14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37" w:type="dxa"/>
          </w:tcPr>
          <w:p w14:paraId="18E9EE3A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</w:tr>
      <w:tr w:rsidR="00E11F85" w:rsidRPr="0018040B" w14:paraId="0EE4B4ED" w14:textId="77777777" w:rsidTr="00814A3E">
        <w:tc>
          <w:tcPr>
            <w:tcW w:w="1418" w:type="dxa"/>
          </w:tcPr>
          <w:p w14:paraId="7429C9A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Ethanol</w:t>
            </w:r>
          </w:p>
        </w:tc>
        <w:tc>
          <w:tcPr>
            <w:tcW w:w="1269" w:type="dxa"/>
          </w:tcPr>
          <w:p w14:paraId="0229EE34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4.9</w:t>
            </w:r>
          </w:p>
        </w:tc>
        <w:tc>
          <w:tcPr>
            <w:tcW w:w="1038" w:type="dxa"/>
          </w:tcPr>
          <w:p w14:paraId="1DA3EEF9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125" w:type="dxa"/>
          </w:tcPr>
          <w:p w14:paraId="3513952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038" w:type="dxa"/>
          </w:tcPr>
          <w:p w14:paraId="4B4D1F8E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</w:tcPr>
          <w:p w14:paraId="68C05B22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86" w:type="dxa"/>
          </w:tcPr>
          <w:p w14:paraId="36750B4F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74" w:type="dxa"/>
          </w:tcPr>
          <w:p w14:paraId="433F9504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87" w:type="dxa"/>
          </w:tcPr>
          <w:p w14:paraId="79448095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62" w:type="dxa"/>
          </w:tcPr>
          <w:p w14:paraId="5405D4EE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79" w:type="dxa"/>
          </w:tcPr>
          <w:p w14:paraId="7EC6919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37" w:type="dxa"/>
          </w:tcPr>
          <w:p w14:paraId="22CC339C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</w:tr>
      <w:tr w:rsidR="00E11F85" w:rsidRPr="0018040B" w14:paraId="669F904B" w14:textId="77777777" w:rsidTr="00814A3E">
        <w:tc>
          <w:tcPr>
            <w:tcW w:w="1418" w:type="dxa"/>
          </w:tcPr>
          <w:p w14:paraId="76FDA5FC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Acetone</w:t>
            </w:r>
          </w:p>
        </w:tc>
        <w:tc>
          <w:tcPr>
            <w:tcW w:w="1269" w:type="dxa"/>
          </w:tcPr>
          <w:p w14:paraId="7BD5B618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1.2</w:t>
            </w:r>
          </w:p>
        </w:tc>
        <w:tc>
          <w:tcPr>
            <w:tcW w:w="1038" w:type="dxa"/>
          </w:tcPr>
          <w:p w14:paraId="50B7B92B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125" w:type="dxa"/>
          </w:tcPr>
          <w:p w14:paraId="3347899A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038" w:type="dxa"/>
          </w:tcPr>
          <w:p w14:paraId="5A76B0C3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</w:tcPr>
          <w:p w14:paraId="1667FE30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86" w:type="dxa"/>
          </w:tcPr>
          <w:p w14:paraId="2E8F26A5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74" w:type="dxa"/>
          </w:tcPr>
          <w:p w14:paraId="44CA4C0D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87" w:type="dxa"/>
          </w:tcPr>
          <w:p w14:paraId="1FD46CD6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62" w:type="dxa"/>
          </w:tcPr>
          <w:p w14:paraId="3360069D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79" w:type="dxa"/>
          </w:tcPr>
          <w:p w14:paraId="05EA89B5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237" w:type="dxa"/>
          </w:tcPr>
          <w:p w14:paraId="11B1A1F9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+</w:t>
            </w:r>
          </w:p>
        </w:tc>
      </w:tr>
      <w:tr w:rsidR="00E11F85" w:rsidRPr="0018040B" w14:paraId="61993176" w14:textId="77777777" w:rsidTr="00814A3E">
        <w:tc>
          <w:tcPr>
            <w:tcW w:w="1418" w:type="dxa"/>
          </w:tcPr>
          <w:p w14:paraId="126F67FD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Fatty acid-rich fraction</w:t>
            </w:r>
          </w:p>
        </w:tc>
        <w:tc>
          <w:tcPr>
            <w:tcW w:w="1269" w:type="dxa"/>
          </w:tcPr>
          <w:p w14:paraId="56F5071C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Cs/>
                <w:sz w:val="20"/>
                <w:szCs w:val="20"/>
              </w:rPr>
              <w:t>29.6</w:t>
            </w:r>
          </w:p>
        </w:tc>
        <w:tc>
          <w:tcPr>
            <w:tcW w:w="11606" w:type="dxa"/>
            <w:gridSpan w:val="10"/>
          </w:tcPr>
          <w:p w14:paraId="111EB1D7" w14:textId="77777777" w:rsidR="00E11F85" w:rsidRPr="0018040B" w:rsidRDefault="00E11F85" w:rsidP="00814A3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18040B">
              <w:rPr>
                <w:rFonts w:cs="Times New Roman"/>
                <w:sz w:val="20"/>
                <w:szCs w:val="20"/>
              </w:rPr>
              <w:t>nd</w:t>
            </w:r>
            <w:proofErr w:type="spellEnd"/>
          </w:p>
        </w:tc>
      </w:tr>
    </w:tbl>
    <w:p w14:paraId="49F1AF40" w14:textId="77777777" w:rsidR="00E11F85" w:rsidRPr="0018040B" w:rsidRDefault="00E11F85" w:rsidP="00E11F85">
      <w:pPr>
        <w:spacing w:after="0" w:line="360" w:lineRule="auto"/>
        <w:jc w:val="left"/>
        <w:rPr>
          <w:rFonts w:cs="Times New Roman"/>
          <w:sz w:val="20"/>
          <w:szCs w:val="20"/>
        </w:rPr>
      </w:pPr>
      <w:r w:rsidRPr="0018040B">
        <w:rPr>
          <w:rFonts w:cs="Times New Roman"/>
          <w:b/>
          <w:bCs/>
          <w:sz w:val="20"/>
          <w:szCs w:val="20"/>
        </w:rPr>
        <w:t>Note</w:t>
      </w:r>
      <w:r w:rsidRPr="0018040B">
        <w:rPr>
          <w:rFonts w:cs="Times New Roman"/>
          <w:sz w:val="20"/>
          <w:szCs w:val="20"/>
        </w:rPr>
        <w:t>: “+” = present; “–” = absent; “</w:t>
      </w:r>
      <w:proofErr w:type="spellStart"/>
      <w:r w:rsidRPr="0018040B">
        <w:rPr>
          <w:rFonts w:cs="Times New Roman"/>
          <w:sz w:val="20"/>
          <w:szCs w:val="20"/>
        </w:rPr>
        <w:t>nd</w:t>
      </w:r>
      <w:proofErr w:type="spellEnd"/>
      <w:r w:rsidRPr="0018040B">
        <w:rPr>
          <w:rFonts w:cs="Times New Roman"/>
          <w:sz w:val="20"/>
          <w:szCs w:val="20"/>
        </w:rPr>
        <w:t>” = not determined.</w:t>
      </w:r>
      <w:r w:rsidRPr="0018040B">
        <w:rPr>
          <w:rFonts w:cs="Times New Roman"/>
          <w:sz w:val="20"/>
          <w:szCs w:val="20"/>
        </w:rPr>
        <w:br/>
        <w:t>Extraction yield was calculated as (mass of dried extract / mass of starting material) × 100.</w:t>
      </w:r>
    </w:p>
    <w:p w14:paraId="386119F4" w14:textId="77777777" w:rsidR="00A56C86" w:rsidRPr="0018040B" w:rsidRDefault="00A56C86">
      <w:pPr>
        <w:rPr>
          <w:rFonts w:cs="Times New Roman"/>
          <w:sz w:val="20"/>
          <w:szCs w:val="20"/>
        </w:rPr>
        <w:sectPr w:rsidR="00A56C86" w:rsidRPr="0018040B" w:rsidSect="00E11F8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AC4C510" w14:textId="77777777" w:rsidR="00E11F85" w:rsidRPr="0018040B" w:rsidRDefault="00E11F85">
      <w:pPr>
        <w:rPr>
          <w:rFonts w:cs="Times New Roman"/>
          <w:sz w:val="20"/>
          <w:szCs w:val="20"/>
        </w:rPr>
      </w:pPr>
    </w:p>
    <w:p w14:paraId="4FBAB316" w14:textId="6A41C91E" w:rsidR="004F492B" w:rsidRPr="0018040B" w:rsidRDefault="002A5924">
      <w:pPr>
        <w:rPr>
          <w:rFonts w:cs="Times New Roman"/>
          <w:b/>
          <w:bCs/>
          <w:sz w:val="20"/>
          <w:szCs w:val="20"/>
        </w:rPr>
      </w:pPr>
      <w:r w:rsidRPr="0018040B">
        <w:rPr>
          <w:rFonts w:cs="Times New Roman"/>
          <w:b/>
          <w:bCs/>
          <w:sz w:val="20"/>
          <w:szCs w:val="20"/>
        </w:rPr>
        <w:t xml:space="preserve">Supplementary Table 2. Major compounds identified in the fatty acid–rich fraction (Su-F) of </w:t>
      </w:r>
      <w:proofErr w:type="spellStart"/>
      <w:r w:rsidRPr="0018040B">
        <w:rPr>
          <w:rFonts w:cs="Times New Roman"/>
          <w:b/>
          <w:bCs/>
          <w:i/>
          <w:iCs/>
          <w:sz w:val="20"/>
          <w:szCs w:val="20"/>
        </w:rPr>
        <w:t>Sphaerostephanos</w:t>
      </w:r>
      <w:proofErr w:type="spellEnd"/>
      <w:r w:rsidRPr="0018040B">
        <w:rPr>
          <w:rFonts w:cs="Times New Roman"/>
          <w:b/>
          <w:bCs/>
          <w:i/>
          <w:iCs/>
          <w:sz w:val="20"/>
          <w:szCs w:val="20"/>
        </w:rPr>
        <w:t xml:space="preserve"> </w:t>
      </w:r>
      <w:proofErr w:type="spellStart"/>
      <w:r w:rsidRPr="0018040B">
        <w:rPr>
          <w:rFonts w:cs="Times New Roman"/>
          <w:b/>
          <w:bCs/>
          <w:i/>
          <w:iCs/>
          <w:sz w:val="20"/>
          <w:szCs w:val="20"/>
        </w:rPr>
        <w:t>unitus</w:t>
      </w:r>
      <w:proofErr w:type="spellEnd"/>
      <w:r w:rsidRPr="0018040B">
        <w:rPr>
          <w:rFonts w:cs="Times New Roman"/>
          <w:b/>
          <w:bCs/>
          <w:sz w:val="20"/>
          <w:szCs w:val="20"/>
        </w:rPr>
        <w:t xml:space="preserve"> by GC–MS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6"/>
        <w:gridCol w:w="1982"/>
        <w:gridCol w:w="689"/>
        <w:gridCol w:w="1110"/>
        <w:gridCol w:w="868"/>
        <w:gridCol w:w="870"/>
        <w:gridCol w:w="2081"/>
      </w:tblGrid>
      <w:tr w:rsidR="004F492B" w:rsidRPr="0018040B" w14:paraId="66BE8890" w14:textId="77777777" w:rsidTr="00814A3E">
        <w:tc>
          <w:tcPr>
            <w:tcW w:w="0" w:type="auto"/>
            <w:hideMark/>
          </w:tcPr>
          <w:p w14:paraId="015E30D9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RT (min)</w:t>
            </w:r>
          </w:p>
        </w:tc>
        <w:tc>
          <w:tcPr>
            <w:tcW w:w="0" w:type="auto"/>
            <w:hideMark/>
          </w:tcPr>
          <w:p w14:paraId="1584A1B8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Compound</w:t>
            </w:r>
          </w:p>
        </w:tc>
        <w:tc>
          <w:tcPr>
            <w:tcW w:w="0" w:type="auto"/>
            <w:hideMark/>
          </w:tcPr>
          <w:p w14:paraId="1C3CBBC1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MW (Da)</w:t>
            </w:r>
          </w:p>
        </w:tc>
        <w:tc>
          <w:tcPr>
            <w:tcW w:w="0" w:type="auto"/>
            <w:hideMark/>
          </w:tcPr>
          <w:p w14:paraId="60FBAB06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0" w:type="auto"/>
            <w:hideMark/>
          </w:tcPr>
          <w:p w14:paraId="31DCE773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Peak Area % (Σ)</w:t>
            </w:r>
          </w:p>
        </w:tc>
        <w:tc>
          <w:tcPr>
            <w:tcW w:w="0" w:type="auto"/>
            <w:hideMark/>
          </w:tcPr>
          <w:p w14:paraId="02A7F5E8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Norm % (Σ)</w:t>
            </w:r>
          </w:p>
        </w:tc>
        <w:tc>
          <w:tcPr>
            <w:tcW w:w="0" w:type="auto"/>
            <w:hideMark/>
          </w:tcPr>
          <w:p w14:paraId="00917191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4F492B" w:rsidRPr="0018040B" w14:paraId="5B8593BD" w14:textId="77777777" w:rsidTr="00814A3E">
        <w:tc>
          <w:tcPr>
            <w:tcW w:w="0" w:type="auto"/>
            <w:hideMark/>
          </w:tcPr>
          <w:p w14:paraId="3689F8B0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23.58</w:t>
            </w:r>
            <w:r w:rsidRPr="0018040B">
              <w:rPr>
                <w:rFonts w:cs="Times New Roman"/>
                <w:sz w:val="20"/>
                <w:szCs w:val="20"/>
              </w:rPr>
              <w:t xml:space="preserve"> (range </w:t>
            </w:r>
            <w:r w:rsidRPr="0018040B">
              <w:rPr>
                <w:rFonts w:cs="Times New Roman"/>
                <w:b/>
                <w:bCs/>
                <w:sz w:val="20"/>
                <w:szCs w:val="20"/>
              </w:rPr>
              <w:t>22.465–24.661</w:t>
            </w:r>
            <w:r w:rsidRPr="0018040B">
              <w:rPr>
                <w:rFonts w:cs="Times New Roman"/>
                <w:sz w:val="20"/>
                <w:szCs w:val="20"/>
              </w:rPr>
              <w:t>, apex 24.661)</w:t>
            </w:r>
          </w:p>
        </w:tc>
        <w:tc>
          <w:tcPr>
            <w:tcW w:w="0" w:type="auto"/>
            <w:hideMark/>
          </w:tcPr>
          <w:p w14:paraId="661652C0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N-Decanoic acid</w:t>
            </w:r>
          </w:p>
        </w:tc>
        <w:tc>
          <w:tcPr>
            <w:tcW w:w="0" w:type="auto"/>
            <w:hideMark/>
          </w:tcPr>
          <w:p w14:paraId="01716F4A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172</w:t>
            </w:r>
          </w:p>
        </w:tc>
        <w:tc>
          <w:tcPr>
            <w:tcW w:w="0" w:type="auto"/>
            <w:hideMark/>
          </w:tcPr>
          <w:p w14:paraId="77C70DB2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C₁₀H₂₀O₂</w:t>
            </w:r>
          </w:p>
        </w:tc>
        <w:tc>
          <w:tcPr>
            <w:tcW w:w="0" w:type="auto"/>
            <w:hideMark/>
          </w:tcPr>
          <w:p w14:paraId="2A655F20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1.444</w:t>
            </w:r>
          </w:p>
        </w:tc>
        <w:tc>
          <w:tcPr>
            <w:tcW w:w="0" w:type="auto"/>
            <w:hideMark/>
          </w:tcPr>
          <w:p w14:paraId="0DFF1E94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14.88</w:t>
            </w:r>
          </w:p>
        </w:tc>
        <w:tc>
          <w:tcPr>
            <w:tcW w:w="0" w:type="auto"/>
            <w:hideMark/>
          </w:tcPr>
          <w:p w14:paraId="0F44BFFA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Two peaks merged; identical EI spectra.</w:t>
            </w:r>
          </w:p>
        </w:tc>
      </w:tr>
      <w:tr w:rsidR="004F492B" w:rsidRPr="0018040B" w14:paraId="2EE1F3FC" w14:textId="77777777" w:rsidTr="00814A3E">
        <w:tc>
          <w:tcPr>
            <w:tcW w:w="0" w:type="auto"/>
            <w:hideMark/>
          </w:tcPr>
          <w:p w14:paraId="2E81A329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26.832</w:t>
            </w:r>
          </w:p>
        </w:tc>
        <w:tc>
          <w:tcPr>
            <w:tcW w:w="0" w:type="auto"/>
            <w:hideMark/>
          </w:tcPr>
          <w:p w14:paraId="3E5D2C25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proofErr w:type="spellStart"/>
            <w:r w:rsidRPr="0018040B">
              <w:rPr>
                <w:rFonts w:cs="Times New Roman"/>
                <w:sz w:val="20"/>
                <w:szCs w:val="20"/>
              </w:rPr>
              <w:t>Tetradecanoic</w:t>
            </w:r>
            <w:proofErr w:type="spellEnd"/>
            <w:r w:rsidRPr="0018040B">
              <w:rPr>
                <w:rFonts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0" w:type="auto"/>
            <w:hideMark/>
          </w:tcPr>
          <w:p w14:paraId="17734F86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228</w:t>
            </w:r>
          </w:p>
        </w:tc>
        <w:tc>
          <w:tcPr>
            <w:tcW w:w="0" w:type="auto"/>
            <w:hideMark/>
          </w:tcPr>
          <w:p w14:paraId="3DBE977B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C₁₄H₂₈O₂</w:t>
            </w:r>
          </w:p>
        </w:tc>
        <w:tc>
          <w:tcPr>
            <w:tcW w:w="0" w:type="auto"/>
            <w:hideMark/>
          </w:tcPr>
          <w:p w14:paraId="53C60E51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3.037</w:t>
            </w:r>
          </w:p>
        </w:tc>
        <w:tc>
          <w:tcPr>
            <w:tcW w:w="0" w:type="auto"/>
            <w:hideMark/>
          </w:tcPr>
          <w:p w14:paraId="702021F3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31.28</w:t>
            </w:r>
          </w:p>
        </w:tc>
        <w:tc>
          <w:tcPr>
            <w:tcW w:w="0" w:type="auto"/>
            <w:hideMark/>
          </w:tcPr>
          <w:p w14:paraId="1BC35008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Single peak.</w:t>
            </w:r>
          </w:p>
        </w:tc>
      </w:tr>
      <w:tr w:rsidR="004F492B" w:rsidRPr="0018040B" w14:paraId="0C7EBA08" w14:textId="77777777" w:rsidTr="00814A3E">
        <w:tc>
          <w:tcPr>
            <w:tcW w:w="0" w:type="auto"/>
            <w:hideMark/>
          </w:tcPr>
          <w:p w14:paraId="2D59E36A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29.403</w:t>
            </w:r>
          </w:p>
        </w:tc>
        <w:tc>
          <w:tcPr>
            <w:tcW w:w="0" w:type="auto"/>
            <w:hideMark/>
          </w:tcPr>
          <w:p w14:paraId="6C761D51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 xml:space="preserve">13-Methyltetradec-9-enoic acid, </w:t>
            </w:r>
            <w:r w:rsidRPr="0018040B">
              <w:rPr>
                <w:rFonts w:cs="Times New Roman"/>
                <w:b/>
                <w:bCs/>
                <w:sz w:val="20"/>
                <w:szCs w:val="20"/>
              </w:rPr>
              <w:t>methyl ester</w:t>
            </w:r>
          </w:p>
        </w:tc>
        <w:tc>
          <w:tcPr>
            <w:tcW w:w="0" w:type="auto"/>
            <w:hideMark/>
          </w:tcPr>
          <w:p w14:paraId="0A4F9507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254</w:t>
            </w:r>
          </w:p>
        </w:tc>
        <w:tc>
          <w:tcPr>
            <w:tcW w:w="0" w:type="auto"/>
            <w:hideMark/>
          </w:tcPr>
          <w:p w14:paraId="2A14F6E6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C₁₆H₃₀O₂</w:t>
            </w:r>
          </w:p>
        </w:tc>
        <w:tc>
          <w:tcPr>
            <w:tcW w:w="0" w:type="auto"/>
            <w:hideMark/>
          </w:tcPr>
          <w:p w14:paraId="0150A8BB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2.048</w:t>
            </w:r>
          </w:p>
        </w:tc>
        <w:tc>
          <w:tcPr>
            <w:tcW w:w="0" w:type="auto"/>
            <w:hideMark/>
          </w:tcPr>
          <w:p w14:paraId="0E65B2E0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21.09</w:t>
            </w:r>
          </w:p>
        </w:tc>
        <w:tc>
          <w:tcPr>
            <w:tcW w:w="0" w:type="auto"/>
            <w:hideMark/>
          </w:tcPr>
          <w:p w14:paraId="6E8C03E7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Clear FAME ions (m/z 74, 87, 143).</w:t>
            </w:r>
          </w:p>
        </w:tc>
      </w:tr>
      <w:tr w:rsidR="004F492B" w:rsidRPr="0018040B" w14:paraId="687CA9E0" w14:textId="77777777" w:rsidTr="00814A3E">
        <w:tc>
          <w:tcPr>
            <w:tcW w:w="0" w:type="auto"/>
            <w:hideMark/>
          </w:tcPr>
          <w:p w14:paraId="74B37F92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30.769</w:t>
            </w:r>
          </w:p>
        </w:tc>
        <w:tc>
          <w:tcPr>
            <w:tcW w:w="0" w:type="auto"/>
            <w:hideMark/>
          </w:tcPr>
          <w:p w14:paraId="25320CDC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Dodecanoic acid</w:t>
            </w:r>
          </w:p>
        </w:tc>
        <w:tc>
          <w:tcPr>
            <w:tcW w:w="0" w:type="auto"/>
            <w:hideMark/>
          </w:tcPr>
          <w:p w14:paraId="0C24217A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  <w:hideMark/>
          </w:tcPr>
          <w:p w14:paraId="6124F8B8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C₁₂H₂₄O₂</w:t>
            </w:r>
          </w:p>
        </w:tc>
        <w:tc>
          <w:tcPr>
            <w:tcW w:w="0" w:type="auto"/>
            <w:hideMark/>
          </w:tcPr>
          <w:p w14:paraId="62669BE9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9.710</w:t>
            </w:r>
          </w:p>
        </w:tc>
        <w:tc>
          <w:tcPr>
            <w:tcW w:w="0" w:type="auto"/>
            <w:hideMark/>
          </w:tcPr>
          <w:p w14:paraId="15781728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100.00</w:t>
            </w:r>
          </w:p>
        </w:tc>
        <w:tc>
          <w:tcPr>
            <w:tcW w:w="0" w:type="auto"/>
            <w:hideMark/>
          </w:tcPr>
          <w:p w14:paraId="3B1D2762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Base peak (normalization reference).</w:t>
            </w:r>
          </w:p>
        </w:tc>
      </w:tr>
      <w:tr w:rsidR="004F492B" w:rsidRPr="0018040B" w14:paraId="1A47026F" w14:textId="77777777" w:rsidTr="00814A3E">
        <w:tc>
          <w:tcPr>
            <w:tcW w:w="0" w:type="auto"/>
            <w:hideMark/>
          </w:tcPr>
          <w:p w14:paraId="118DD6F6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32.42</w:t>
            </w:r>
            <w:r w:rsidRPr="0018040B">
              <w:rPr>
                <w:rFonts w:cs="Times New Roman"/>
                <w:sz w:val="20"/>
                <w:szCs w:val="20"/>
              </w:rPr>
              <w:t xml:space="preserve"> (range </w:t>
            </w:r>
            <w:r w:rsidRPr="0018040B">
              <w:rPr>
                <w:rFonts w:cs="Times New Roman"/>
                <w:b/>
                <w:bCs/>
                <w:sz w:val="20"/>
                <w:szCs w:val="20"/>
              </w:rPr>
              <w:t>28.853–37.821</w:t>
            </w:r>
            <w:r w:rsidRPr="0018040B">
              <w:rPr>
                <w:rFonts w:cs="Times New Roman"/>
                <w:sz w:val="20"/>
                <w:szCs w:val="20"/>
              </w:rPr>
              <w:t>, apex 32.654)</w:t>
            </w:r>
          </w:p>
        </w:tc>
        <w:tc>
          <w:tcPr>
            <w:tcW w:w="0" w:type="auto"/>
            <w:hideMark/>
          </w:tcPr>
          <w:p w14:paraId="097C5404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Oleic acid</w:t>
            </w:r>
          </w:p>
        </w:tc>
        <w:tc>
          <w:tcPr>
            <w:tcW w:w="0" w:type="auto"/>
            <w:hideMark/>
          </w:tcPr>
          <w:p w14:paraId="01AFDD39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282</w:t>
            </w:r>
          </w:p>
        </w:tc>
        <w:tc>
          <w:tcPr>
            <w:tcW w:w="0" w:type="auto"/>
            <w:hideMark/>
          </w:tcPr>
          <w:p w14:paraId="52C676EC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C₁₈H₃₄O₂</w:t>
            </w:r>
          </w:p>
        </w:tc>
        <w:tc>
          <w:tcPr>
            <w:tcW w:w="0" w:type="auto"/>
            <w:hideMark/>
          </w:tcPr>
          <w:p w14:paraId="22CD23D0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3.702</w:t>
            </w:r>
          </w:p>
        </w:tc>
        <w:tc>
          <w:tcPr>
            <w:tcW w:w="0" w:type="auto"/>
            <w:hideMark/>
          </w:tcPr>
          <w:p w14:paraId="32E3B882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38.12</w:t>
            </w:r>
          </w:p>
        </w:tc>
        <w:tc>
          <w:tcPr>
            <w:tcW w:w="0" w:type="auto"/>
            <w:hideMark/>
          </w:tcPr>
          <w:p w14:paraId="652A13D0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Six-peak cluster merged; same EI fingerprint across RTs.</w:t>
            </w:r>
          </w:p>
        </w:tc>
      </w:tr>
      <w:tr w:rsidR="004F492B" w:rsidRPr="0018040B" w14:paraId="6F9B41C3" w14:textId="77777777" w:rsidTr="00814A3E">
        <w:tc>
          <w:tcPr>
            <w:tcW w:w="0" w:type="auto"/>
            <w:hideMark/>
          </w:tcPr>
          <w:p w14:paraId="31351712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b/>
                <w:bCs/>
                <w:sz w:val="20"/>
                <w:szCs w:val="20"/>
              </w:rPr>
              <w:t>31.059</w:t>
            </w:r>
          </w:p>
        </w:tc>
        <w:tc>
          <w:tcPr>
            <w:tcW w:w="0" w:type="auto"/>
            <w:hideMark/>
          </w:tcPr>
          <w:p w14:paraId="5CC2D099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3-N-Hexylthiolane, S,S-dioxide</w:t>
            </w:r>
          </w:p>
        </w:tc>
        <w:tc>
          <w:tcPr>
            <w:tcW w:w="0" w:type="auto"/>
            <w:hideMark/>
          </w:tcPr>
          <w:p w14:paraId="38C96D3A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204</w:t>
            </w:r>
          </w:p>
        </w:tc>
        <w:tc>
          <w:tcPr>
            <w:tcW w:w="0" w:type="auto"/>
            <w:hideMark/>
          </w:tcPr>
          <w:p w14:paraId="22701646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C₁₀H₂₀O₂S₂</w:t>
            </w:r>
          </w:p>
        </w:tc>
        <w:tc>
          <w:tcPr>
            <w:tcW w:w="0" w:type="auto"/>
            <w:hideMark/>
          </w:tcPr>
          <w:p w14:paraId="41134ADB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0.658</w:t>
            </w:r>
          </w:p>
        </w:tc>
        <w:tc>
          <w:tcPr>
            <w:tcW w:w="0" w:type="auto"/>
            <w:hideMark/>
          </w:tcPr>
          <w:p w14:paraId="1C2B7BB8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>6.77</w:t>
            </w:r>
          </w:p>
        </w:tc>
        <w:tc>
          <w:tcPr>
            <w:tcW w:w="0" w:type="auto"/>
            <w:hideMark/>
          </w:tcPr>
          <w:p w14:paraId="4B35F23F" w14:textId="77777777" w:rsidR="004F492B" w:rsidRPr="0018040B" w:rsidRDefault="004F492B" w:rsidP="00814A3E">
            <w:pPr>
              <w:spacing w:after="160" w:line="259" w:lineRule="auto"/>
              <w:jc w:val="left"/>
              <w:rPr>
                <w:rFonts w:cs="Times New Roman"/>
                <w:sz w:val="20"/>
                <w:szCs w:val="20"/>
              </w:rPr>
            </w:pPr>
            <w:r w:rsidRPr="0018040B">
              <w:rPr>
                <w:rFonts w:cs="Times New Roman"/>
                <w:sz w:val="20"/>
                <w:szCs w:val="20"/>
              </w:rPr>
              <w:t xml:space="preserve">Single peak; non-FA </w:t>
            </w:r>
            <w:proofErr w:type="spellStart"/>
            <w:r w:rsidRPr="0018040B">
              <w:rPr>
                <w:rFonts w:cs="Times New Roman"/>
                <w:sz w:val="20"/>
                <w:szCs w:val="20"/>
              </w:rPr>
              <w:t>sulfur</w:t>
            </w:r>
            <w:proofErr w:type="spellEnd"/>
            <w:r w:rsidRPr="0018040B">
              <w:rPr>
                <w:rFonts w:cs="Times New Roman"/>
                <w:sz w:val="20"/>
                <w:szCs w:val="20"/>
              </w:rPr>
              <w:t xml:space="preserve"> heterocycle.</w:t>
            </w:r>
          </w:p>
        </w:tc>
      </w:tr>
    </w:tbl>
    <w:p w14:paraId="5145E48F" w14:textId="57E71B6C" w:rsidR="004F492B" w:rsidRDefault="00B83A42">
      <w:pPr>
        <w:rPr>
          <w:rFonts w:cs="Times New Roman"/>
          <w:sz w:val="20"/>
          <w:szCs w:val="20"/>
        </w:rPr>
      </w:pPr>
      <w:r w:rsidRPr="0018040B">
        <w:rPr>
          <w:rFonts w:cs="Times New Roman"/>
          <w:b/>
          <w:bCs/>
          <w:sz w:val="20"/>
          <w:szCs w:val="20"/>
        </w:rPr>
        <w:t>Note:</w:t>
      </w:r>
      <w:r w:rsidRPr="0018040B">
        <w:rPr>
          <w:rFonts w:cs="Times New Roman"/>
          <w:sz w:val="20"/>
          <w:szCs w:val="20"/>
        </w:rPr>
        <w:t xml:space="preserve"> Compounds were identified by matching the electron ionization (EI) mass spectra with the NIST 17 MS library at ≥ 90 % similarity. Retention times correspond to a Perkin Elmer Clarus 680/600C GC-MS system (Elite-5 MS column, 60 m × 0.25 mm × 0.25 µm) operated under the conditions described in the main text.</w:t>
      </w:r>
    </w:p>
    <w:p w14:paraId="4DC64DD3" w14:textId="77777777" w:rsidR="00452FBA" w:rsidRDefault="00452FBA">
      <w:pPr>
        <w:rPr>
          <w:rFonts w:cs="Times New Roman"/>
          <w:sz w:val="20"/>
          <w:szCs w:val="20"/>
        </w:rPr>
      </w:pPr>
    </w:p>
    <w:p w14:paraId="0206D965" w14:textId="5BCE99C8" w:rsidR="00452FBA" w:rsidRDefault="00452FBA" w:rsidP="00452FBA">
      <w:pPr>
        <w:jc w:val="center"/>
        <w:rPr>
          <w:rFonts w:cs="Times New Roman"/>
          <w:sz w:val="20"/>
          <w:szCs w:val="20"/>
        </w:rPr>
      </w:pPr>
      <w:r w:rsidRPr="00DE73BF">
        <w:rPr>
          <w:rFonts w:cs="Times New Roman"/>
          <w:noProof/>
          <w:szCs w:val="24"/>
          <w:lang w:eastAsia="en-IN"/>
        </w:rPr>
        <w:drawing>
          <wp:inline distT="0" distB="0" distL="0" distR="0" wp14:anchorId="1FEE804D" wp14:editId="715962AD">
            <wp:extent cx="5637188" cy="2698750"/>
            <wp:effectExtent l="0" t="0" r="1905" b="635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729" cy="2710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8F25F" w14:textId="261F58FA" w:rsidR="00452FBA" w:rsidRPr="0018040B" w:rsidRDefault="00452FBA" w:rsidP="00833358">
      <w:pPr>
        <w:rPr>
          <w:rFonts w:cs="Times New Roman"/>
          <w:sz w:val="20"/>
          <w:szCs w:val="20"/>
        </w:rPr>
      </w:pPr>
      <w:r w:rsidRPr="00C65601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 xml:space="preserve">Supplementary </w:t>
      </w:r>
      <w:r w:rsidRPr="00311536">
        <w:rPr>
          <w:rFonts w:eastAsia="Times New Roman" w:cs="Times New Roman"/>
          <w:b/>
          <w:color w:val="000000"/>
          <w:kern w:val="0"/>
          <w:sz w:val="20"/>
          <w:szCs w:val="20"/>
          <w14:ligatures w14:val="none"/>
        </w:rPr>
        <w:t>Fig</w:t>
      </w:r>
      <w:r w:rsidRPr="00C65601">
        <w:rPr>
          <w:b/>
          <w:color w:val="000000"/>
          <w:sz w:val="20"/>
          <w:szCs w:val="20"/>
        </w:rPr>
        <w:t xml:space="preserve"> </w:t>
      </w:r>
      <w:r>
        <w:rPr>
          <w:b/>
          <w:color w:val="000000"/>
          <w:sz w:val="20"/>
          <w:szCs w:val="20"/>
        </w:rPr>
        <w:t>9</w:t>
      </w:r>
      <w:r w:rsidRPr="00C65601">
        <w:rPr>
          <w:b/>
          <w:color w:val="000000"/>
          <w:sz w:val="20"/>
          <w:szCs w:val="20"/>
        </w:rPr>
        <w:t>.</w:t>
      </w:r>
      <w:r w:rsidR="00DC5671">
        <w:rPr>
          <w:b/>
          <w:color w:val="000000"/>
          <w:sz w:val="20"/>
          <w:szCs w:val="20"/>
        </w:rPr>
        <w:t xml:space="preserve"> </w:t>
      </w:r>
      <w:r w:rsidR="00DC5671" w:rsidRPr="00DC5671">
        <w:rPr>
          <w:bCs/>
          <w:color w:val="000000"/>
          <w:sz w:val="20"/>
          <w:szCs w:val="20"/>
        </w:rPr>
        <w:t xml:space="preserve">GC–MS total ion chromatogram (TIC) of the fatty acid–rich fraction (Su-F) of </w:t>
      </w:r>
      <w:proofErr w:type="spellStart"/>
      <w:r w:rsidR="00DC5671" w:rsidRPr="00DC5671">
        <w:rPr>
          <w:bCs/>
          <w:i/>
          <w:iCs/>
          <w:color w:val="000000"/>
          <w:sz w:val="20"/>
          <w:szCs w:val="20"/>
        </w:rPr>
        <w:t>Sphaerostephanos</w:t>
      </w:r>
      <w:proofErr w:type="spellEnd"/>
      <w:r w:rsidR="00DC5671" w:rsidRPr="00DC5671">
        <w:rPr>
          <w:bCs/>
          <w:i/>
          <w:iCs/>
          <w:color w:val="000000"/>
          <w:sz w:val="20"/>
          <w:szCs w:val="20"/>
        </w:rPr>
        <w:t xml:space="preserve"> </w:t>
      </w:r>
      <w:proofErr w:type="spellStart"/>
      <w:r w:rsidR="00DC5671" w:rsidRPr="00DC5671">
        <w:rPr>
          <w:bCs/>
          <w:i/>
          <w:iCs/>
          <w:color w:val="000000"/>
          <w:sz w:val="20"/>
          <w:szCs w:val="20"/>
        </w:rPr>
        <w:t>unitus</w:t>
      </w:r>
      <w:proofErr w:type="spellEnd"/>
      <w:r w:rsidR="00DC5671" w:rsidRPr="00DC5671">
        <w:rPr>
          <w:bCs/>
          <w:color w:val="000000"/>
          <w:sz w:val="20"/>
          <w:szCs w:val="20"/>
        </w:rPr>
        <w:t xml:space="preserve"> (L.) </w:t>
      </w:r>
      <w:proofErr w:type="spellStart"/>
      <w:r w:rsidR="00DC5671" w:rsidRPr="00DC5671">
        <w:rPr>
          <w:bCs/>
          <w:color w:val="000000"/>
          <w:sz w:val="20"/>
          <w:szCs w:val="20"/>
        </w:rPr>
        <w:t>Holttum</w:t>
      </w:r>
      <w:proofErr w:type="spellEnd"/>
      <w:r w:rsidR="00DC5671" w:rsidRPr="00DC5671">
        <w:rPr>
          <w:bCs/>
          <w:color w:val="000000"/>
          <w:sz w:val="20"/>
          <w:szCs w:val="20"/>
        </w:rPr>
        <w:t>.</w:t>
      </w:r>
    </w:p>
    <w:sectPr w:rsidR="00452FBA" w:rsidRPr="0018040B" w:rsidSect="004F49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389AE" w14:textId="77777777" w:rsidR="00220312" w:rsidRDefault="00220312" w:rsidP="0085299B">
      <w:pPr>
        <w:spacing w:after="0" w:line="240" w:lineRule="auto"/>
      </w:pPr>
      <w:r>
        <w:separator/>
      </w:r>
    </w:p>
  </w:endnote>
  <w:endnote w:type="continuationSeparator" w:id="0">
    <w:p w14:paraId="2F2697F3" w14:textId="77777777" w:rsidR="00220312" w:rsidRDefault="00220312" w:rsidP="00852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3D8A0" w14:textId="77777777" w:rsidR="0085299B" w:rsidRDefault="008529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62022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D83466" w14:textId="04BA4CEF" w:rsidR="0085299B" w:rsidRDefault="0085299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6AEEFC" w14:textId="77777777" w:rsidR="0085299B" w:rsidRDefault="008529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B480F" w14:textId="77777777" w:rsidR="0085299B" w:rsidRDefault="008529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BB38D" w14:textId="77777777" w:rsidR="00220312" w:rsidRDefault="00220312" w:rsidP="0085299B">
      <w:pPr>
        <w:spacing w:after="0" w:line="240" w:lineRule="auto"/>
      </w:pPr>
      <w:r>
        <w:separator/>
      </w:r>
    </w:p>
  </w:footnote>
  <w:footnote w:type="continuationSeparator" w:id="0">
    <w:p w14:paraId="1B4DAF67" w14:textId="77777777" w:rsidR="00220312" w:rsidRDefault="00220312" w:rsidP="00852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CA6DD" w14:textId="77777777" w:rsidR="0085299B" w:rsidRDefault="008529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D221E" w14:textId="77777777" w:rsidR="0085299B" w:rsidRDefault="008529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4C393" w14:textId="77777777" w:rsidR="0085299B" w:rsidRDefault="0085299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173"/>
    <w:rsid w:val="00054B40"/>
    <w:rsid w:val="0018040B"/>
    <w:rsid w:val="00220312"/>
    <w:rsid w:val="002A5924"/>
    <w:rsid w:val="002F5BDC"/>
    <w:rsid w:val="00311536"/>
    <w:rsid w:val="00452FBA"/>
    <w:rsid w:val="004B5053"/>
    <w:rsid w:val="004F492B"/>
    <w:rsid w:val="00520173"/>
    <w:rsid w:val="005911A1"/>
    <w:rsid w:val="006D448A"/>
    <w:rsid w:val="007212B9"/>
    <w:rsid w:val="007915E9"/>
    <w:rsid w:val="00833358"/>
    <w:rsid w:val="0085299B"/>
    <w:rsid w:val="008B6BE6"/>
    <w:rsid w:val="009154E6"/>
    <w:rsid w:val="009502A3"/>
    <w:rsid w:val="00A55F26"/>
    <w:rsid w:val="00A56C86"/>
    <w:rsid w:val="00A72699"/>
    <w:rsid w:val="00B83A42"/>
    <w:rsid w:val="00C65601"/>
    <w:rsid w:val="00D50FDF"/>
    <w:rsid w:val="00D84B53"/>
    <w:rsid w:val="00DC5671"/>
    <w:rsid w:val="00E11F85"/>
    <w:rsid w:val="00E35E3B"/>
    <w:rsid w:val="00E62FAD"/>
    <w:rsid w:val="00F8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F2FE2"/>
  <w15:chartTrackingRefBased/>
  <w15:docId w15:val="{A614C4FA-2FFD-4A3C-9029-F6924EF13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F85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82410"/>
    <w:pPr>
      <w:keepNext/>
      <w:keepLines/>
      <w:spacing w:before="360" w:after="80"/>
      <w:outlineLvl w:val="0"/>
    </w:pPr>
    <w:rPr>
      <w:rFonts w:eastAsiaTheme="majorEastAsia" w:cstheme="majorBidi"/>
      <w:b/>
      <w:color w:val="000000" w:themeColor="text1"/>
      <w:sz w:val="28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82410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82410"/>
    <w:pPr>
      <w:keepNext/>
      <w:keepLines/>
      <w:spacing w:before="160" w:after="80"/>
      <w:outlineLvl w:val="2"/>
    </w:pPr>
    <w:rPr>
      <w:rFonts w:eastAsiaTheme="majorEastAsia" w:cstheme="majorBidi"/>
      <w:i/>
      <w:color w:val="000000" w:themeColor="text1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17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17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17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17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17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17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410"/>
    <w:rPr>
      <w:rFonts w:ascii="Times New Roman" w:eastAsiaTheme="majorEastAsia" w:hAnsi="Times New Roman" w:cstheme="majorBidi"/>
      <w:b/>
      <w:color w:val="000000" w:themeColor="text1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82410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82410"/>
    <w:rPr>
      <w:rFonts w:ascii="Times New Roman" w:eastAsiaTheme="majorEastAsia" w:hAnsi="Times New Roman" w:cstheme="majorBidi"/>
      <w:i/>
      <w:color w:val="000000" w:themeColor="text1"/>
      <w:sz w:val="24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173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173"/>
    <w:rPr>
      <w:rFonts w:eastAsiaTheme="majorEastAsia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173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173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173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173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201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01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17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01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1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0173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5201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01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1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173"/>
    <w:rPr>
      <w:rFonts w:ascii="Times New Roman" w:hAnsi="Times New Roman"/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5201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11F85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E11F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8040B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529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99B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529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99B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2.xml"/><Relationship Id="rId18" Type="http://schemas.openxmlformats.org/officeDocument/2006/relationships/image" Target="media/image3.jpeg"/><Relationship Id="rId26" Type="http://schemas.openxmlformats.org/officeDocument/2006/relationships/chart" Target="charts/chart6.xml"/><Relationship Id="rId3" Type="http://schemas.openxmlformats.org/officeDocument/2006/relationships/settings" Target="settings.xml"/><Relationship Id="rId21" Type="http://schemas.openxmlformats.org/officeDocument/2006/relationships/chart" Target="charts/chart4.xml"/><Relationship Id="rId7" Type="http://schemas.openxmlformats.org/officeDocument/2006/relationships/hyperlink" Target="mailto:vedant.borah@dbuniversity.ac.in" TargetMode="External"/><Relationship Id="rId12" Type="http://schemas.openxmlformats.org/officeDocument/2006/relationships/footer" Target="footer1.xml"/><Relationship Id="rId17" Type="http://schemas.openxmlformats.org/officeDocument/2006/relationships/image" Target="media/image2.jpeg"/><Relationship Id="rId25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chart" Target="charts/chart2.xml"/><Relationship Id="rId20" Type="http://schemas.openxmlformats.org/officeDocument/2006/relationships/image" Target="media/image4.jpeg"/><Relationship Id="rId29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image" Target="media/image5.jpeg"/><Relationship Id="rId28" Type="http://schemas.openxmlformats.org/officeDocument/2006/relationships/chart" Target="charts/chart7.xml"/><Relationship Id="rId10" Type="http://schemas.openxmlformats.org/officeDocument/2006/relationships/header" Target="header1.xml"/><Relationship Id="rId19" Type="http://schemas.openxmlformats.org/officeDocument/2006/relationships/chart" Target="charts/chart3.xm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eader" Target="header3.xml"/><Relationship Id="rId22" Type="http://schemas.openxmlformats.org/officeDocument/2006/relationships/chart" Target="charts/chart5.xml"/><Relationship Id="rId27" Type="http://schemas.openxmlformats.org/officeDocument/2006/relationships/image" Target="media/image8.jpeg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OneDrive\Documents\Documents\PHD\QUANTITATIVE%20ASSAY%20RESULTS\Total%20Flavanoid%20content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Dell\Documents\PHD\DPPH%20Assay.xlsx" TargetMode="External"/><Relationship Id="rId1" Type="http://schemas.openxmlformats.org/officeDocument/2006/relationships/themeOverride" Target="../theme/themeOverride2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Dell\Documents\PHD\Nitric%20oxide%20assay.xlsx" TargetMode="External"/><Relationship Id="rId1" Type="http://schemas.openxmlformats.org/officeDocument/2006/relationships/themeOverride" Target="../theme/themeOverride3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Dell\Documents\PHD\Brine%20shrimp%20assay.xlsx" TargetMode="External"/><Relationship Id="rId1" Type="http://schemas.openxmlformats.org/officeDocument/2006/relationships/themeOverride" Target="../theme/themeOverride4.xm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\OneDrive\Documents\Documents\PHD\QUANTITATIVE%20ASSAY%20RESULTS\Exopolysaccharide%20estimation%20for%20biofilm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OD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42948573564802917"/>
                  <c:y val="-2.2763063707945598E-2"/>
                </c:manualLayout>
              </c:layout>
              <c:numFmt formatCode="General" sourceLinked="0"/>
            </c:trendlineLbl>
          </c:trendline>
          <c:xVal>
            <c:numRef>
              <c:f>Sheet1!$A$2:$A$6</c:f>
              <c:numCache>
                <c:formatCode>General</c:formatCode>
                <c:ptCount val="5"/>
                <c:pt idx="0">
                  <c:v>25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250</c:v>
                </c:pt>
              </c:numCache>
            </c:numRef>
          </c:xVal>
          <c:yVal>
            <c:numRef>
              <c:f>Sheet1!$B$2:$B$6</c:f>
              <c:numCache>
                <c:formatCode>General</c:formatCode>
                <c:ptCount val="5"/>
                <c:pt idx="0">
                  <c:v>0.128</c:v>
                </c:pt>
                <c:pt idx="1">
                  <c:v>0.216</c:v>
                </c:pt>
                <c:pt idx="2">
                  <c:v>0.32100000000000001</c:v>
                </c:pt>
                <c:pt idx="3">
                  <c:v>0.41199999999999998</c:v>
                </c:pt>
                <c:pt idx="4">
                  <c:v>0.58799999999999997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650-477B-9760-CE24621FF7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65988480"/>
        <c:axId val="366170880"/>
      </c:scatterChart>
      <c:valAx>
        <c:axId val="3659884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/>
                  <a:t>Concentration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66170880"/>
        <c:crosses val="autoZero"/>
        <c:crossBetween val="midCat"/>
      </c:valAx>
      <c:valAx>
        <c:axId val="366170880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/>
                  <a:t>OD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65988480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OD</c:v>
                </c:pt>
              </c:strCache>
            </c:strRef>
          </c:tx>
          <c:trendline>
            <c:trendlineType val="linear"/>
            <c:dispRSqr val="1"/>
            <c:dispEq val="1"/>
            <c:trendlineLbl>
              <c:layout>
                <c:manualLayout>
                  <c:x val="0.46662835249042145"/>
                  <c:y val="-1.7148386754685968E-2"/>
                </c:manualLayout>
              </c:layout>
              <c:numFmt formatCode="General" sourceLinked="0"/>
            </c:trendlineLbl>
          </c:trendline>
          <c:xVal>
            <c:numRef>
              <c:f>Sheet1!$A$4:$A$8</c:f>
              <c:numCache>
                <c:formatCode>General</c:formatCode>
                <c:ptCount val="5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25</c:v>
                </c:pt>
                <c:pt idx="4">
                  <c:v>50</c:v>
                </c:pt>
              </c:numCache>
            </c:numRef>
          </c:xVal>
          <c:yVal>
            <c:numRef>
              <c:f>Sheet1!$B$4:$B$8</c:f>
              <c:numCache>
                <c:formatCode>General</c:formatCode>
                <c:ptCount val="5"/>
                <c:pt idx="0">
                  <c:v>4.9000000000000002E-2</c:v>
                </c:pt>
                <c:pt idx="1">
                  <c:v>6.4000000000000001E-2</c:v>
                </c:pt>
                <c:pt idx="2">
                  <c:v>7.8E-2</c:v>
                </c:pt>
                <c:pt idx="3">
                  <c:v>0.11</c:v>
                </c:pt>
                <c:pt idx="4">
                  <c:v>0.193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AD9-43AA-A0A9-E659B11CA9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1518592"/>
        <c:axId val="381520896"/>
      </c:scatterChart>
      <c:valAx>
        <c:axId val="3815185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/>
                  <a:t>Concentration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1520896"/>
        <c:crosses val="autoZero"/>
        <c:crossBetween val="midCat"/>
      </c:valAx>
      <c:valAx>
        <c:axId val="381520896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/>
                  <a:t>OD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81518592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spPr>
    <a:ln w="0"/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5875">
              <a:solidFill>
                <a:schemeClr val="accent1">
                  <a:shade val="95000"/>
                  <a:satMod val="105000"/>
                </a:schemeClr>
              </a:solidFill>
            </a:ln>
          </c:spPr>
          <c:trendline>
            <c:spPr>
              <a:ln w="15875"/>
            </c:spPr>
            <c:trendlineType val="linear"/>
            <c:dispRSqr val="1"/>
            <c:dispEq val="1"/>
            <c:trendlineLbl>
              <c:layout>
                <c:manualLayout>
                  <c:x val="-0.1223444902204562"/>
                  <c:y val="-6.535947712418301E-2"/>
                </c:manualLayout>
              </c:layout>
              <c:numFmt formatCode="General" sourceLinked="0"/>
            </c:trendlineLbl>
          </c:trendline>
          <c:xVal>
            <c:numRef>
              <c:f>Sheet1!$A$2:$A$5</c:f>
              <c:numCache>
                <c:formatCode>0.00</c:formatCode>
                <c:ptCount val="4"/>
                <c:pt idx="0">
                  <c:v>31.25</c:v>
                </c:pt>
                <c:pt idx="1">
                  <c:v>62.5</c:v>
                </c:pt>
                <c:pt idx="2">
                  <c:v>125</c:v>
                </c:pt>
                <c:pt idx="3">
                  <c:v>250</c:v>
                </c:pt>
              </c:numCache>
            </c:numRef>
          </c:xVal>
          <c:yVal>
            <c:numRef>
              <c:f>Sheet1!$F$2:$F$5</c:f>
              <c:numCache>
                <c:formatCode>0.00</c:formatCode>
                <c:ptCount val="4"/>
                <c:pt idx="0">
                  <c:v>43.338632750397458</c:v>
                </c:pt>
                <c:pt idx="1">
                  <c:v>57.074721780604143</c:v>
                </c:pt>
                <c:pt idx="2">
                  <c:v>70.810810810810807</c:v>
                </c:pt>
                <c:pt idx="3">
                  <c:v>85.405405405405403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C17-4843-9306-8F38DB0C6D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24965632"/>
        <c:axId val="426452480"/>
      </c:scatterChart>
      <c:valAx>
        <c:axId val="424965632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75000"/>
                </a:schemeClr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u="none" strike="noStrike" baseline="0">
                    <a:effectLst/>
                  </a:rPr>
                  <a:t>Concentration (µg/ml) of ascorbic acid</a:t>
                </a:r>
                <a:endParaRPr lang="en-US"/>
              </a:p>
            </c:rich>
          </c:tx>
          <c:overlay val="0"/>
        </c:title>
        <c:numFmt formatCode="0.00" sourceLinked="1"/>
        <c:majorTickMark val="none"/>
        <c:minorTickMark val="none"/>
        <c:tickLblPos val="nextTo"/>
        <c:crossAx val="426452480"/>
        <c:crosses val="autoZero"/>
        <c:crossBetween val="midCat"/>
      </c:valAx>
      <c:valAx>
        <c:axId val="426452480"/>
        <c:scaling>
          <c:orientation val="minMax"/>
        </c:scaling>
        <c:delete val="0"/>
        <c:axPos val="l"/>
        <c:majorGridlines>
          <c:spPr>
            <a:ln w="3175"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u="none" strike="noStrike" baseline="0">
                    <a:effectLst/>
                  </a:rPr>
                  <a:t>Optical density at 517nm</a:t>
                </a:r>
                <a:endParaRPr lang="en-US"/>
              </a:p>
            </c:rich>
          </c:tx>
          <c:overlay val="0"/>
        </c:title>
        <c:numFmt formatCode="0.0" sourceLinked="0"/>
        <c:majorTickMark val="none"/>
        <c:minorTickMark val="none"/>
        <c:tickLblPos val="nextTo"/>
        <c:crossAx val="424965632"/>
        <c:crosses val="autoZero"/>
        <c:crossBetween val="midCat"/>
      </c:valAx>
    </c:plotArea>
    <c:plotVisOnly val="1"/>
    <c:dispBlanksAs val="gap"/>
    <c:showDLblsOverMax val="0"/>
  </c:chart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9800394109614802"/>
          <c:y val="0.13473393517264282"/>
          <c:w val="0.71996075256948011"/>
          <c:h val="0.63051618547681554"/>
        </c:manualLayout>
      </c:layout>
      <c:scatterChart>
        <c:scatterStyle val="lineMarker"/>
        <c:varyColors val="0"/>
        <c:ser>
          <c:idx val="0"/>
          <c:order val="0"/>
          <c:spPr>
            <a:ln w="15875">
              <a:solidFill>
                <a:schemeClr val="accent1"/>
              </a:solidFill>
            </a:ln>
          </c:spPr>
          <c:trendline>
            <c:spPr>
              <a:ln w="15875"/>
            </c:spPr>
            <c:trendlineType val="linear"/>
            <c:dispRSqr val="1"/>
            <c:dispEq val="1"/>
            <c:trendlineLbl>
              <c:layout>
                <c:manualLayout>
                  <c:x val="-0.18166803282081853"/>
                  <c:y val="-0.10252805355852257"/>
                </c:manualLayout>
              </c:layout>
              <c:numFmt formatCode="General" sourceLinked="0"/>
            </c:trendlineLbl>
          </c:trendline>
          <c:xVal>
            <c:numRef>
              <c:f>Sheet1!$A$2:$A$5</c:f>
              <c:numCache>
                <c:formatCode>0.00</c:formatCode>
                <c:ptCount val="4"/>
                <c:pt idx="0">
                  <c:v>31.25</c:v>
                </c:pt>
                <c:pt idx="1">
                  <c:v>62.5</c:v>
                </c:pt>
                <c:pt idx="2">
                  <c:v>125</c:v>
                </c:pt>
                <c:pt idx="3">
                  <c:v>250</c:v>
                </c:pt>
              </c:numCache>
            </c:numRef>
          </c:xVal>
          <c:yVal>
            <c:numRef>
              <c:f>Sheet1!$F$2:$F$5</c:f>
              <c:numCache>
                <c:formatCode>0.00</c:formatCode>
                <c:ptCount val="4"/>
                <c:pt idx="0">
                  <c:v>43.57988165680473</c:v>
                </c:pt>
                <c:pt idx="1">
                  <c:v>49.940828402366861</c:v>
                </c:pt>
                <c:pt idx="2">
                  <c:v>56.242603550295854</c:v>
                </c:pt>
                <c:pt idx="3">
                  <c:v>64.201183431952671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23D-4384-8B2A-6C3311263F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26553728"/>
        <c:axId val="426556032"/>
      </c:scatterChart>
      <c:valAx>
        <c:axId val="426553728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75000"/>
                </a:schemeClr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u="none" strike="noStrike" baseline="0">
                    <a:effectLst/>
                  </a:rPr>
                  <a:t>Concentration (µg/ml) of ascorbic acid </a:t>
                </a:r>
                <a:endParaRPr lang="en-US"/>
              </a:p>
            </c:rich>
          </c:tx>
          <c:overlay val="0"/>
        </c:title>
        <c:numFmt formatCode="0.00" sourceLinked="1"/>
        <c:majorTickMark val="none"/>
        <c:minorTickMark val="none"/>
        <c:tickLblPos val="nextTo"/>
        <c:crossAx val="426556032"/>
        <c:crosses val="autoZero"/>
        <c:crossBetween val="midCat"/>
      </c:valAx>
      <c:valAx>
        <c:axId val="426556032"/>
        <c:scaling>
          <c:orientation val="minMax"/>
        </c:scaling>
        <c:delete val="0"/>
        <c:axPos val="l"/>
        <c:majorGridlines>
          <c:spPr>
            <a:ln w="3175">
              <a:solidFill>
                <a:schemeClr val="bg1">
                  <a:lumMod val="75000"/>
                </a:schemeClr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>
                    <a:effectLst/>
                  </a:rPr>
                  <a:t>Optical density at 570nm</a:t>
                </a:r>
              </a:p>
            </c:rich>
          </c:tx>
          <c:overlay val="0"/>
        </c:title>
        <c:numFmt formatCode="0.00" sourceLinked="1"/>
        <c:majorTickMark val="none"/>
        <c:minorTickMark val="none"/>
        <c:tickLblPos val="nextTo"/>
        <c:crossAx val="426553728"/>
        <c:crosses val="autoZero"/>
        <c:crossBetween val="midCat"/>
      </c:valAx>
      <c:spPr>
        <a:noFill/>
        <a:ln w="3175">
          <a:solidFill>
            <a:schemeClr val="bg1">
              <a:lumMod val="75000"/>
            </a:schemeClr>
          </a:solidFill>
        </a:ln>
      </c:spPr>
    </c:plotArea>
    <c:plotVisOnly val="1"/>
    <c:dispBlanksAs val="gap"/>
    <c:showDLblsOverMax val="0"/>
  </c:chart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497462817147858"/>
          <c:y val="9.2951662292213466E-2"/>
          <c:w val="0.55302427821522304"/>
          <c:h val="0.69289698162729663"/>
        </c:manualLayout>
      </c:layout>
      <c:scatterChart>
        <c:scatterStyle val="lineMarker"/>
        <c:varyColors val="0"/>
        <c:ser>
          <c:idx val="0"/>
          <c:order val="0"/>
          <c:tx>
            <c:strRef>
              <c:f>'Ctrl PODOPHYLLOTOxIN'!$H$10</c:f>
              <c:strCache>
                <c:ptCount val="1"/>
                <c:pt idx="0">
                  <c:v>% Mortality</c:v>
                </c:pt>
              </c:strCache>
            </c:strRef>
          </c:tx>
          <c:spPr>
            <a:ln w="15875"/>
          </c:spPr>
          <c:trendline>
            <c:spPr>
              <a:ln w="15875"/>
            </c:spPr>
            <c:trendlineType val="linear"/>
            <c:dispRSqr val="1"/>
            <c:dispEq val="1"/>
            <c:trendlineLbl>
              <c:layout>
                <c:manualLayout>
                  <c:x val="-0.16039950948754356"/>
                  <c:y val="-4.9886993292505106E-3"/>
                </c:manualLayout>
              </c:layout>
              <c:numFmt formatCode="General" sourceLinked="0"/>
            </c:trendlineLbl>
          </c:trendline>
          <c:xVal>
            <c:numRef>
              <c:f>'Ctrl PODOPHYLLOTOxIN'!$A$11:$A$15</c:f>
              <c:numCache>
                <c:formatCode>0.00</c:formatCode>
                <c:ptCount val="5"/>
                <c:pt idx="0">
                  <c:v>1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</c:numCache>
            </c:numRef>
          </c:xVal>
          <c:yVal>
            <c:numRef>
              <c:f>'Ctrl PODOPHYLLOTOxIN'!$H$11:$H$15</c:f>
              <c:numCache>
                <c:formatCode>0.00</c:formatCode>
                <c:ptCount val="5"/>
                <c:pt idx="0">
                  <c:v>46.66666666666665</c:v>
                </c:pt>
                <c:pt idx="1">
                  <c:v>66.666666666666671</c:v>
                </c:pt>
                <c:pt idx="2">
                  <c:v>83.333333333333329</c:v>
                </c:pt>
                <c:pt idx="3">
                  <c:v>93.333333333333314</c:v>
                </c:pt>
                <c:pt idx="4">
                  <c:v>100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B5A-45B1-9C2A-B7F67F740C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62123904"/>
        <c:axId val="262125824"/>
      </c:scatterChart>
      <c:valAx>
        <c:axId val="262123904"/>
        <c:scaling>
          <c:orientation val="minMax"/>
        </c:scaling>
        <c:delete val="0"/>
        <c:axPos val="b"/>
        <c:majorGridlines>
          <c:spPr>
            <a:ln w="3175">
              <a:noFill/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u="none" strike="noStrike" baseline="0">
                    <a:effectLst/>
                  </a:rPr>
                  <a:t>Concentration (µg/ml) of podophyllotoxin </a:t>
                </a:r>
                <a:endParaRPr lang="en-US"/>
              </a:p>
            </c:rich>
          </c:tx>
          <c:overlay val="0"/>
        </c:title>
        <c:numFmt formatCode="0" sourceLinked="0"/>
        <c:majorTickMark val="none"/>
        <c:minorTickMark val="none"/>
        <c:tickLblPos val="nextTo"/>
        <c:crossAx val="262125824"/>
        <c:crosses val="autoZero"/>
        <c:crossBetween val="midCat"/>
        <c:majorUnit val="5"/>
      </c:valAx>
      <c:valAx>
        <c:axId val="262125824"/>
        <c:scaling>
          <c:orientation val="minMax"/>
        </c:scaling>
        <c:delete val="0"/>
        <c:axPos val="l"/>
        <c:majorGridlines>
          <c:spPr>
            <a:ln w="3175">
              <a:solidFill>
                <a:schemeClr val="bg1">
                  <a:lumMod val="75000"/>
                </a:schemeClr>
              </a:solidFill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% Mortality</a:t>
                </a:r>
              </a:p>
            </c:rich>
          </c:tx>
          <c:overlay val="0"/>
        </c:title>
        <c:numFmt formatCode="0" sourceLinked="0"/>
        <c:majorTickMark val="none"/>
        <c:minorTickMark val="none"/>
        <c:tickLblPos val="nextTo"/>
        <c:crossAx val="262123904"/>
        <c:crosses val="autoZero"/>
        <c:crossBetween val="midCat"/>
      </c:valAx>
      <c:spPr>
        <a:ln w="3175">
          <a:solidFill>
            <a:schemeClr val="bg1">
              <a:lumMod val="75000"/>
            </a:schemeClr>
          </a:solidFill>
        </a:ln>
      </c:spPr>
    </c:plotArea>
    <c:legend>
      <c:legendPos val="r"/>
      <c:layout>
        <c:manualLayout>
          <c:xMode val="edge"/>
          <c:yMode val="edge"/>
          <c:x val="0.69555225678757371"/>
          <c:y val="0.49261373578302714"/>
          <c:w val="0.29597779785723505"/>
          <c:h val="0.16743438320209975"/>
        </c:manualLayout>
      </c:layout>
      <c:overlay val="0"/>
    </c:legend>
    <c:plotVisOnly val="1"/>
    <c:dispBlanksAs val="gap"/>
    <c:showDLblsOverMax val="0"/>
  </c:chart>
  <c:txPr>
    <a:bodyPr/>
    <a:lstStyle/>
    <a:p>
      <a:pPr algn="just"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IN" sz="1000">
                <a:latin typeface="Times New Roman" pitchFamily="18" charset="0"/>
                <a:cs typeface="Times New Roman" pitchFamily="18" charset="0"/>
              </a:rPr>
              <a:t>BSA</a:t>
            </a:r>
            <a:r>
              <a:rPr lang="en-IN" sz="1000" baseline="0">
                <a:latin typeface="Times New Roman" pitchFamily="18" charset="0"/>
                <a:cs typeface="Times New Roman" pitchFamily="18" charset="0"/>
              </a:rPr>
              <a:t> STANDARD CURVE</a:t>
            </a:r>
            <a:endParaRPr lang="en-IN" sz="10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0.14658685014530912"/>
          <c:y val="7.6388888888888895E-2"/>
        </c:manualLayout>
      </c:layout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Sheet1!$D$1</c:f>
              <c:strCache>
                <c:ptCount val="1"/>
                <c:pt idx="0">
                  <c:v>OD final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52698113051326001"/>
                  <c:y val="-8.565616797900262E-2"/>
                </c:manualLayout>
              </c:layout>
              <c:numFmt formatCode="General" sourceLinked="0"/>
            </c:trendlineLbl>
          </c:trendline>
          <c:xVal>
            <c:numRef>
              <c:f>Sheet1!$A$2:$A$6</c:f>
              <c:numCache>
                <c:formatCode>General</c:formatCode>
                <c:ptCount val="5"/>
                <c:pt idx="0">
                  <c:v>0.25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</c:numCache>
            </c:numRef>
          </c:xVal>
          <c:yVal>
            <c:numRef>
              <c:f>Sheet1!$D$2:$D$6</c:f>
              <c:numCache>
                <c:formatCode>General</c:formatCode>
                <c:ptCount val="5"/>
                <c:pt idx="0">
                  <c:v>0.186</c:v>
                </c:pt>
                <c:pt idx="1">
                  <c:v>0.32100000000000001</c:v>
                </c:pt>
                <c:pt idx="2">
                  <c:v>0.68199999999999994</c:v>
                </c:pt>
                <c:pt idx="3">
                  <c:v>0.7669999999999999</c:v>
                </c:pt>
                <c:pt idx="4">
                  <c:v>0.91199999999999992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D64-4CFD-8941-840F2FDD8E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2117504"/>
        <c:axId val="122148352"/>
      </c:scatterChart>
      <c:valAx>
        <c:axId val="1221175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(µg/ml</a:t>
                </a:r>
                <a:r>
                  <a:rPr lang="en-IN" baseline="0">
                    <a:latin typeface="Times New Roman"/>
                    <a:cs typeface="Times New Roman"/>
                  </a:rPr>
                  <a:t>)</a:t>
                </a:r>
                <a:endParaRPr lang="en-IN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22148352"/>
        <c:crosses val="autoZero"/>
        <c:crossBetween val="midCat"/>
      </c:valAx>
      <c:valAx>
        <c:axId val="12214835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 sz="1000">
                    <a:latin typeface="Times New Roman" pitchFamily="18" charset="0"/>
                    <a:cs typeface="Times New Roman" pitchFamily="18" charset="0"/>
                  </a:rPr>
                  <a:t>OD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22117504"/>
        <c:crosses val="autoZero"/>
        <c:crossBetween val="midCat"/>
      </c:valAx>
      <c:spPr>
        <a:noFill/>
      </c:spPr>
    </c:plotArea>
    <c:legend>
      <c:legendPos val="r"/>
      <c:layout>
        <c:manualLayout>
          <c:xMode val="edge"/>
          <c:yMode val="edge"/>
          <c:x val="0.66744396698046815"/>
          <c:y val="0.45197342519685041"/>
          <c:w val="0.30731943995959493"/>
          <c:h val="0.41896981627296587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IN" sz="1000">
                <a:latin typeface="Times New Roman" pitchFamily="18" charset="0"/>
                <a:cs typeface="Times New Roman" pitchFamily="18" charset="0"/>
              </a:rPr>
              <a:t>Carbohydrate</a:t>
            </a:r>
            <a:r>
              <a:rPr lang="en-IN" sz="1000" baseline="0">
                <a:latin typeface="Times New Roman" pitchFamily="18" charset="0"/>
                <a:cs typeface="Times New Roman" pitchFamily="18" charset="0"/>
              </a:rPr>
              <a:t> content</a:t>
            </a:r>
            <a:endParaRPr lang="en-IN" sz="1000">
              <a:latin typeface="Times New Roman" pitchFamily="18" charset="0"/>
              <a:cs typeface="Times New Roman" pitchFamily="18" charset="0"/>
            </a:endParaRPr>
          </a:p>
        </c:rich>
      </c:tx>
      <c:layout>
        <c:manualLayout>
          <c:xMode val="edge"/>
          <c:yMode val="edge"/>
          <c:x val="8.7826334208223972E-2"/>
          <c:y val="3.7037037037037035E-2"/>
        </c:manualLayout>
      </c:layout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OD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51147236689457709"/>
                  <c:y val="-0.23966233950485918"/>
                </c:manualLayout>
              </c:layout>
              <c:numFmt formatCode="General" sourceLinked="0"/>
            </c:trendlineLbl>
          </c:trendline>
          <c:xVal>
            <c:numRef>
              <c:f>Sheet1!$A$2:$A$7</c:f>
              <c:numCache>
                <c:formatCode>General</c:formatCode>
                <c:ptCount val="6"/>
                <c:pt idx="0">
                  <c:v>0</c:v>
                </c:pt>
                <c:pt idx="1">
                  <c:v>0.25</c:v>
                </c:pt>
                <c:pt idx="2">
                  <c:v>0.5</c:v>
                </c:pt>
                <c:pt idx="3">
                  <c:v>1</c:v>
                </c:pt>
                <c:pt idx="4">
                  <c:v>1.5</c:v>
                </c:pt>
                <c:pt idx="5">
                  <c:v>2</c:v>
                </c:pt>
              </c:numCache>
            </c:numRef>
          </c:xVal>
          <c:yVal>
            <c:numRef>
              <c:f>Sheet1!$B$2:$B$7</c:f>
              <c:numCache>
                <c:formatCode>General</c:formatCode>
                <c:ptCount val="6"/>
                <c:pt idx="0">
                  <c:v>0.01</c:v>
                </c:pt>
                <c:pt idx="1">
                  <c:v>2.5000000000000001E-2</c:v>
                </c:pt>
                <c:pt idx="2">
                  <c:v>0.16800000000000001</c:v>
                </c:pt>
                <c:pt idx="3">
                  <c:v>0.20799999999999999</c:v>
                </c:pt>
                <c:pt idx="4">
                  <c:v>0.29499999999999998</c:v>
                </c:pt>
                <c:pt idx="5">
                  <c:v>0.55400000000000005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C43-40C0-BF1D-8A72E4ACAD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8240128"/>
        <c:axId val="410485504"/>
      </c:scatterChart>
      <c:valAx>
        <c:axId val="17824012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/>
                  <a:t>Concentration</a:t>
                </a:r>
                <a:r>
                  <a:rPr lang="en-IN" baseline="0"/>
                  <a:t> (mg/ml)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0.3799418197725285"/>
              <c:y val="0.8833100029163021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410485504"/>
        <c:crosses val="autoZero"/>
        <c:crossBetween val="midCat"/>
      </c:valAx>
      <c:valAx>
        <c:axId val="41048550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/>
                  <a:t>OD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8240128"/>
        <c:crosses val="autoZero"/>
        <c:crossBetween val="midCat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2D746-ECAF-4628-929B-72C99831F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monshbrh@outlook.com</dc:creator>
  <cp:keywords/>
  <dc:description/>
  <cp:lastModifiedBy>monshbrh@outlook.com</cp:lastModifiedBy>
  <cp:revision>20</cp:revision>
  <dcterms:created xsi:type="dcterms:W3CDTF">2025-11-11T04:36:00Z</dcterms:created>
  <dcterms:modified xsi:type="dcterms:W3CDTF">2026-01-02T19:06:00Z</dcterms:modified>
</cp:coreProperties>
</file>