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A8195" w14:textId="608A498B" w:rsidR="00194F74" w:rsidRDefault="00194F74"/>
    <w:p w14:paraId="07F6CBC7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91A4A5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3F75C9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487F7B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B1E5FD8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D9FE019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0B1CD1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0051478" w14:textId="77777777" w:rsidR="00F812B4" w:rsidRDefault="00F812B4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755318" w14:textId="77777777" w:rsidR="006C0BDA" w:rsidRDefault="006C0BDA" w:rsidP="007377A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8B6F160" w14:textId="6D8C0A55" w:rsidR="007377AB" w:rsidRPr="00723939" w:rsidRDefault="007377AB" w:rsidP="007377A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43D57">
        <w:rPr>
          <w:rFonts w:ascii="Times New Roman" w:hAnsi="Times New Roman" w:cs="Times New Roman"/>
          <w:b/>
          <w:bCs/>
          <w:sz w:val="20"/>
          <w:szCs w:val="20"/>
        </w:rPr>
        <w:t>Appendix 1</w:t>
      </w:r>
      <w:r w:rsidRPr="00C43D57">
        <w:rPr>
          <w:rFonts w:ascii="Times New Roman" w:hAnsi="Times New Roman" w:cs="Times New Roman"/>
          <w:sz w:val="20"/>
          <w:szCs w:val="20"/>
        </w:rPr>
        <w:t xml:space="preserve">: </w:t>
      </w:r>
      <w:r w:rsidRPr="00C43D57">
        <w:rPr>
          <w:rFonts w:ascii="Times New Roman" w:hAnsi="Times New Roman" w:cs="Times New Roman"/>
          <w:b/>
          <w:bCs/>
          <w:sz w:val="20"/>
          <w:szCs w:val="20"/>
        </w:rPr>
        <w:t xml:space="preserve">Regional Distribution of </w:t>
      </w:r>
      <w:r w:rsidRPr="00723939">
        <w:rPr>
          <w:rFonts w:ascii="Times New Roman" w:hAnsi="Times New Roman" w:cs="Times New Roman"/>
          <w:b/>
          <w:bCs/>
          <w:sz w:val="20"/>
          <w:szCs w:val="20"/>
        </w:rPr>
        <w:t>GDP</w:t>
      </w:r>
      <w:r w:rsidR="00C43D57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r w:rsidRPr="00723939">
        <w:rPr>
          <w:rFonts w:ascii="Times New Roman" w:hAnsi="Times New Roman" w:cs="Times New Roman"/>
          <w:b/>
          <w:bCs/>
          <w:sz w:val="20"/>
          <w:szCs w:val="20"/>
        </w:rPr>
        <w:t>Population, and Energy Intensity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tbl>
      <w:tblPr>
        <w:tblW w:w="5785" w:type="dxa"/>
        <w:tblLook w:val="04A0" w:firstRow="1" w:lastRow="0" w:firstColumn="1" w:lastColumn="0" w:noHBand="0" w:noVBand="1"/>
      </w:tblPr>
      <w:tblGrid>
        <w:gridCol w:w="960"/>
        <w:gridCol w:w="1308"/>
        <w:gridCol w:w="1276"/>
        <w:gridCol w:w="756"/>
        <w:gridCol w:w="1520"/>
      </w:tblGrid>
      <w:tr w:rsidR="00C91C69" w:rsidRPr="00C91C69" w14:paraId="20D4DD03" w14:textId="77777777" w:rsidTr="00C91C6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DFDFD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9AA7DA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2615E3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Population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22681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GDP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FF8D1A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Energy Intensity</w:t>
            </w:r>
          </w:p>
        </w:tc>
      </w:tr>
      <w:tr w:rsidR="00C91C69" w:rsidRPr="00C91C69" w14:paraId="769678E3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F8945" w14:textId="0D468897" w:rsidR="00C91C69" w:rsidRPr="00C91C69" w:rsidRDefault="00F812B4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Northeast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1E9F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2760678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A8B8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77498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72369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7.7%</w:t>
            </w:r>
          </w:p>
        </w:tc>
      </w:tr>
      <w:tr w:rsidR="00C91C69" w:rsidRPr="00C91C69" w14:paraId="1A54990D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8A583" w14:textId="2EADFDD7" w:rsidR="00C91C69" w:rsidRPr="00C91C69" w:rsidRDefault="00F812B4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Northwest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24E9C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7737414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E7D1B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270833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244C2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6.7%</w:t>
            </w:r>
          </w:p>
        </w:tc>
      </w:tr>
      <w:tr w:rsidR="00C91C69" w:rsidRPr="00C91C69" w14:paraId="7CBE8211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041A5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Yorkshire and The Humber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31A13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5672962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C418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182509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A2D08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7.2%</w:t>
            </w:r>
          </w:p>
        </w:tc>
      </w:tr>
      <w:tr w:rsidR="00C91C69" w:rsidRPr="00C91C69" w14:paraId="44165D09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0B140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East Midlands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CAD7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5063164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726BD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156953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5F434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4.6%</w:t>
            </w:r>
          </w:p>
        </w:tc>
      </w:tr>
      <w:tr w:rsidR="00C91C69" w:rsidRPr="00C91C69" w14:paraId="51C171C5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BFC8F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West Midlands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4CF1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6187204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8A634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195208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CE95D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4.6%</w:t>
            </w:r>
          </w:p>
        </w:tc>
      </w:tr>
      <w:tr w:rsidR="00C91C69" w:rsidRPr="00C91C69" w14:paraId="7C205C5B" w14:textId="77777777" w:rsidTr="00C9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67C5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East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DE7E9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68D3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6576306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554D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229264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3D933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3.3%</w:t>
            </w:r>
          </w:p>
        </w:tc>
      </w:tr>
      <w:tr w:rsidR="00C91C69" w:rsidRPr="00C91C69" w14:paraId="6D9E96F8" w14:textId="77777777" w:rsidTr="00C9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3FF4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London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60AB5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5A483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9089736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503F7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617915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5F46C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1.3%</w:t>
            </w:r>
          </w:p>
        </w:tc>
      </w:tr>
      <w:tr w:rsidR="00C91C69" w:rsidRPr="00C91C69" w14:paraId="5A04A428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289B9" w14:textId="0949DE47" w:rsidR="00C91C69" w:rsidRPr="00C91C69" w:rsidRDefault="00F812B4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Southeast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A721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9642942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8E91A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391807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35C31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4.3%</w:t>
            </w:r>
          </w:p>
        </w:tc>
      </w:tr>
      <w:tr w:rsidR="00C91C69" w:rsidRPr="00C91C69" w14:paraId="7B9F12D7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A82FF" w14:textId="60D6C0ED" w:rsidR="00C91C69" w:rsidRPr="00C91C69" w:rsidRDefault="00F812B4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Southwest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0632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5889695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7B17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207643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F2EB1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3.7%</w:t>
            </w:r>
          </w:p>
        </w:tc>
      </w:tr>
      <w:tr w:rsidR="00C91C69" w:rsidRPr="00C91C69" w14:paraId="16BE19B5" w14:textId="77777777" w:rsidTr="00C9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2BA7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Wales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7501A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8C11F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3186581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5ADA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92767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304DA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7.1%</w:t>
            </w:r>
          </w:p>
        </w:tc>
      </w:tr>
      <w:tr w:rsidR="00C91C69" w:rsidRPr="00C91C69" w14:paraId="6BBECD56" w14:textId="77777777" w:rsidTr="00C9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CE78F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Scotland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C1245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5B92E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5546900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E0AED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204188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6119F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5.6%</w:t>
            </w:r>
          </w:p>
        </w:tc>
      </w:tr>
      <w:tr w:rsidR="00C91C69" w:rsidRPr="00C91C69" w14:paraId="68D97B56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D84E83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Northern Ireland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48AB37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1927855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DD3C97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63265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6A3E01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  <w:r w:rsidRPr="00C91C6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  <w:t>3.9%</w:t>
            </w:r>
          </w:p>
        </w:tc>
      </w:tr>
      <w:tr w:rsidR="00C91C69" w:rsidRPr="00C91C69" w14:paraId="77B9A4AF" w14:textId="77777777" w:rsidTr="00C91C69">
        <w:trPr>
          <w:trHeight w:val="300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3FE7FBF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577A8D1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A941917" w14:textId="77777777" w:rsidR="00C91C69" w:rsidRPr="00C91C69" w:rsidRDefault="00C91C69" w:rsidP="00C91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E9365E9" w14:textId="77777777" w:rsidR="00C91C69" w:rsidRPr="00C91C69" w:rsidRDefault="00C91C69" w:rsidP="00C91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GB"/>
                <w14:ligatures w14:val="none"/>
              </w:rPr>
            </w:pPr>
          </w:p>
        </w:tc>
      </w:tr>
    </w:tbl>
    <w:p w14:paraId="411A6508" w14:textId="2D35E0DA" w:rsidR="007377AB" w:rsidRPr="00F2765D" w:rsidRDefault="007377AB" w:rsidP="007377AB">
      <w:pPr>
        <w:spacing w:line="360" w:lineRule="auto"/>
        <w:jc w:val="both"/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w:r w:rsidRPr="00F2765D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Note: Author’s own calculation </w:t>
      </w:r>
      <w:r w:rsidR="00C43D57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</w:t>
      </w:r>
      <w:r w:rsidRPr="00F2765D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</w:t>
      </w:r>
    </w:p>
    <w:p w14:paraId="2CA2CB3C" w14:textId="7336D15F" w:rsidR="007377AB" w:rsidRPr="00B63805" w:rsidRDefault="007377AB" w:rsidP="007377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63805"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>Appendix 2</w:t>
      </w:r>
      <w: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 xml:space="preserve">. </w:t>
      </w:r>
      <w:r w:rsidR="004F1B5C"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>BRITEN</w:t>
      </w:r>
      <w: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 xml:space="preserve"> </w:t>
      </w:r>
      <w:r w:rsidRPr="00B63805"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 xml:space="preserve">CGE Model Definition </w:t>
      </w:r>
    </w:p>
    <w:p w14:paraId="7C5B82C7" w14:textId="77777777" w:rsidR="007377AB" w:rsidRPr="00B63805" w:rsidRDefault="007377AB" w:rsidP="007377AB">
      <w:pPr>
        <w:rPr>
          <w:rFonts w:ascii="Times New Roman" w:eastAsiaTheme="minorEastAsia" w:hAnsi="Times New Roman" w:cs="Times New Roman"/>
          <w:bCs/>
          <w:iCs/>
          <w:sz w:val="20"/>
          <w:szCs w:val="20"/>
          <w:lang w:val="en-US"/>
        </w:rPr>
      </w:pPr>
      <w:r w:rsidRPr="00B63805">
        <w:rPr>
          <w:rFonts w:ascii="Times New Roman" w:eastAsiaTheme="minorEastAsia" w:hAnsi="Times New Roman" w:cs="Times New Roman"/>
          <w:bCs/>
          <w:iCs/>
          <w:sz w:val="20"/>
          <w:szCs w:val="20"/>
          <w:lang w:val="en-US"/>
        </w:rPr>
        <w:t>A: Variable Definitions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4189"/>
      </w:tblGrid>
      <w:tr w:rsidR="007377AB" w:rsidRPr="00FA56A4" w14:paraId="34035EEC" w14:textId="77777777" w:rsidTr="001307F6">
        <w:tc>
          <w:tcPr>
            <w:tcW w:w="1335" w:type="dxa"/>
          </w:tcPr>
          <w:p w14:paraId="5DB4FF28" w14:textId="77777777" w:rsidR="007377AB" w:rsidRPr="00312775" w:rsidRDefault="00000000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vdm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03AD8CE8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Regional Production</w:t>
            </w:r>
          </w:p>
        </w:tc>
      </w:tr>
      <w:tr w:rsidR="007377AB" w:rsidRPr="00FA56A4" w14:paraId="7FFE1C99" w14:textId="77777777" w:rsidTr="001307F6">
        <w:tc>
          <w:tcPr>
            <w:tcW w:w="1335" w:type="dxa"/>
          </w:tcPr>
          <w:p w14:paraId="005D57E2" w14:textId="77777777" w:rsidR="007377AB" w:rsidRPr="00312775" w:rsidRDefault="00000000" w:rsidP="001307F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vxm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8012BE8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Regional Export to Rest of World</w:t>
            </w:r>
          </w:p>
        </w:tc>
      </w:tr>
      <w:tr w:rsidR="007377AB" w:rsidRPr="00FA56A4" w14:paraId="4C531594" w14:textId="77777777" w:rsidTr="001307F6">
        <w:tc>
          <w:tcPr>
            <w:tcW w:w="1335" w:type="dxa"/>
          </w:tcPr>
          <w:p w14:paraId="529C266D" w14:textId="77777777" w:rsidR="007377AB" w:rsidRPr="00312775" w:rsidRDefault="00000000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vxma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irs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4B7B17F6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Domestic Interregional Trade Flows</w:t>
            </w:r>
          </w:p>
        </w:tc>
      </w:tr>
      <w:tr w:rsidR="007377AB" w:rsidRPr="00FA56A4" w14:paraId="4C1F17C2" w14:textId="77777777" w:rsidTr="001307F6">
        <w:tc>
          <w:tcPr>
            <w:tcW w:w="1335" w:type="dxa"/>
          </w:tcPr>
          <w:p w14:paraId="2A6FA71C" w14:textId="77777777" w:rsidR="007377AB" w:rsidRPr="00312775" w:rsidRDefault="00000000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vim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86A9692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Regional Import </w:t>
            </w:r>
          </w:p>
        </w:tc>
      </w:tr>
      <w:tr w:rsidR="007377AB" w:rsidRPr="00FA56A4" w14:paraId="72E9A65E" w14:textId="77777777" w:rsidTr="001307F6">
        <w:tc>
          <w:tcPr>
            <w:tcW w:w="1335" w:type="dxa"/>
          </w:tcPr>
          <w:p w14:paraId="5FDF5A92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vst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6A27EDD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Value of Regional Transport Sales</w:t>
            </w:r>
          </w:p>
        </w:tc>
      </w:tr>
      <w:tr w:rsidR="007377AB" w:rsidRPr="00FA56A4" w14:paraId="502A81D1" w14:textId="77777777" w:rsidTr="001307F6">
        <w:tc>
          <w:tcPr>
            <w:tcW w:w="1335" w:type="dxa"/>
          </w:tcPr>
          <w:p w14:paraId="08A06C4C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vtwr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isr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0D6754BD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Transport Services</w:t>
            </w:r>
          </w:p>
        </w:tc>
      </w:tr>
      <w:tr w:rsidR="007377AB" w:rsidRPr="00FA56A4" w14:paraId="33AF7FC7" w14:textId="77777777" w:rsidTr="001307F6">
        <w:tc>
          <w:tcPr>
            <w:tcW w:w="1335" w:type="dxa"/>
          </w:tcPr>
          <w:p w14:paraId="09C320BF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DCBEF7E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Intermediate Input Demand</w:t>
            </w:r>
          </w:p>
        </w:tc>
      </w:tr>
      <w:tr w:rsidR="007377AB" w:rsidRPr="00FA56A4" w14:paraId="5A66A498" w14:textId="77777777" w:rsidTr="001307F6">
        <w:tc>
          <w:tcPr>
            <w:tcW w:w="1335" w:type="dxa"/>
          </w:tcPr>
          <w:p w14:paraId="6EC5C850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vfm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4A288CB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Factors of Production</w:t>
            </w:r>
          </w:p>
        </w:tc>
      </w:tr>
      <w:tr w:rsidR="007377AB" w:rsidRPr="00FA56A4" w14:paraId="60A83732" w14:textId="77777777" w:rsidTr="001307F6">
        <w:tc>
          <w:tcPr>
            <w:tcW w:w="1335" w:type="dxa"/>
          </w:tcPr>
          <w:p w14:paraId="2EC534AF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evoa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5E82F2C4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Factor Income</w:t>
            </w:r>
          </w:p>
        </w:tc>
      </w:tr>
      <w:tr w:rsidR="007377AB" w:rsidRPr="00FA56A4" w14:paraId="7217C95B" w14:textId="77777777" w:rsidTr="001307F6">
        <w:tc>
          <w:tcPr>
            <w:tcW w:w="1335" w:type="dxa"/>
          </w:tcPr>
          <w:p w14:paraId="305A6BE1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vpm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7E9741A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Regional Household Consumption</w:t>
            </w:r>
          </w:p>
        </w:tc>
      </w:tr>
      <w:tr w:rsidR="007377AB" w:rsidRPr="00FA56A4" w14:paraId="063C4DDF" w14:textId="77777777" w:rsidTr="001307F6">
        <w:trPr>
          <w:trHeight w:val="178"/>
        </w:trPr>
        <w:tc>
          <w:tcPr>
            <w:tcW w:w="1335" w:type="dxa"/>
          </w:tcPr>
          <w:p w14:paraId="1594A5F1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vgm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02AEC806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Government Consumption</w:t>
            </w:r>
          </w:p>
        </w:tc>
      </w:tr>
      <w:tr w:rsidR="007377AB" w:rsidRPr="00FA56A4" w14:paraId="2326F138" w14:textId="77777777" w:rsidTr="001307F6">
        <w:tc>
          <w:tcPr>
            <w:tcW w:w="1335" w:type="dxa"/>
          </w:tcPr>
          <w:p w14:paraId="528426A0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inv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2CAA4F4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Regional Investment</w:t>
            </w:r>
          </w:p>
        </w:tc>
      </w:tr>
      <w:tr w:rsidR="007377AB" w:rsidRPr="00FA56A4" w14:paraId="385DD81D" w14:textId="77777777" w:rsidTr="001307F6">
        <w:tc>
          <w:tcPr>
            <w:tcW w:w="1335" w:type="dxa"/>
          </w:tcPr>
          <w:p w14:paraId="2800BD3F" w14:textId="77777777" w:rsidR="007377AB" w:rsidRPr="00312775" w:rsidRDefault="00000000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out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F68F3CD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Regional Production </w:t>
            </w:r>
          </w:p>
        </w:tc>
      </w:tr>
      <w:tr w:rsidR="007377AB" w:rsidRPr="00FA56A4" w14:paraId="69F3F6EB" w14:textId="77777777" w:rsidTr="001307F6">
        <w:tc>
          <w:tcPr>
            <w:tcW w:w="1335" w:type="dxa"/>
          </w:tcPr>
          <w:p w14:paraId="0338A5CF" w14:textId="77777777" w:rsidR="007377AB" w:rsidRPr="00312775" w:rsidRDefault="00000000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DG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2F3D9E70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Regional Output after export and interregional trade </w:t>
            </w:r>
          </w:p>
        </w:tc>
      </w:tr>
      <w:tr w:rsidR="007377AB" w:rsidRPr="00FA56A4" w14:paraId="21433B06" w14:textId="77777777" w:rsidTr="001307F6">
        <w:tc>
          <w:tcPr>
            <w:tcW w:w="1335" w:type="dxa"/>
          </w:tcPr>
          <w:p w14:paraId="4F548A1C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DSG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79432DDC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Regional Supply </w:t>
            </w:r>
          </w:p>
        </w:tc>
      </w:tr>
      <w:tr w:rsidR="007377AB" w:rsidRPr="00FA56A4" w14:paraId="244E6569" w14:textId="77777777" w:rsidTr="001307F6">
        <w:trPr>
          <w:trHeight w:val="188"/>
        </w:trPr>
        <w:tc>
          <w:tcPr>
            <w:tcW w:w="1335" w:type="dxa"/>
          </w:tcPr>
          <w:p w14:paraId="2B3C1073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DDG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A4FD941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Regional Demand</w:t>
            </w:r>
          </w:p>
        </w:tc>
      </w:tr>
      <w:tr w:rsidR="007377AB" w:rsidRPr="00FA56A4" w14:paraId="6E0686E1" w14:textId="77777777" w:rsidTr="001307F6">
        <w:tc>
          <w:tcPr>
            <w:tcW w:w="1335" w:type="dxa"/>
          </w:tcPr>
          <w:p w14:paraId="6E953BF7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HHbudget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6E2A763A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Household Budget</w:t>
            </w:r>
          </w:p>
        </w:tc>
      </w:tr>
      <w:tr w:rsidR="007377AB" w:rsidRPr="00FA56A4" w14:paraId="77D4EB04" w14:textId="77777777" w:rsidTr="001307F6">
        <w:tc>
          <w:tcPr>
            <w:tcW w:w="1335" w:type="dxa"/>
          </w:tcPr>
          <w:p w14:paraId="0B7150AA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gtrans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5304507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Government Transfers</w:t>
            </w:r>
          </w:p>
        </w:tc>
      </w:tr>
      <w:tr w:rsidR="007377AB" w:rsidRPr="00FA56A4" w14:paraId="38CCAE92" w14:textId="77777777" w:rsidTr="001307F6">
        <w:tc>
          <w:tcPr>
            <w:tcW w:w="1335" w:type="dxa"/>
          </w:tcPr>
          <w:p w14:paraId="1A964DB7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hsav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3302373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Household Saving</w:t>
            </w:r>
          </w:p>
        </w:tc>
      </w:tr>
      <w:tr w:rsidR="007377AB" w:rsidRPr="00FA56A4" w14:paraId="55B90960" w14:textId="77777777" w:rsidTr="001307F6">
        <w:trPr>
          <w:trHeight w:val="31"/>
        </w:trPr>
        <w:tc>
          <w:tcPr>
            <w:tcW w:w="1335" w:type="dxa"/>
          </w:tcPr>
          <w:p w14:paraId="1F51EEEF" w14:textId="77777777" w:rsidR="007377AB" w:rsidRPr="00312775" w:rsidRDefault="007377AB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gbr</m:t>
                </m:r>
              </m:oMath>
            </m:oMathPara>
          </w:p>
        </w:tc>
        <w:tc>
          <w:tcPr>
            <w:tcW w:w="4189" w:type="dxa"/>
          </w:tcPr>
          <w:p w14:paraId="2547FCC6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Government Borrowing</w:t>
            </w:r>
          </w:p>
        </w:tc>
      </w:tr>
      <w:tr w:rsidR="007377AB" w:rsidRPr="00FA56A4" w14:paraId="08A865BE" w14:textId="77777777" w:rsidTr="001307F6">
        <w:trPr>
          <w:trHeight w:val="28"/>
        </w:trPr>
        <w:tc>
          <w:tcPr>
            <w:tcW w:w="1335" w:type="dxa"/>
          </w:tcPr>
          <w:p w14:paraId="36A992B9" w14:textId="77777777" w:rsidR="007377AB" w:rsidRPr="00312775" w:rsidRDefault="007377AB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fsv</m:t>
                </m:r>
              </m:oMath>
            </m:oMathPara>
          </w:p>
        </w:tc>
        <w:tc>
          <w:tcPr>
            <w:tcW w:w="4189" w:type="dxa"/>
          </w:tcPr>
          <w:p w14:paraId="226E9DCC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Foreign Saving</w:t>
            </w:r>
          </w:p>
        </w:tc>
      </w:tr>
      <w:tr w:rsidR="007377AB" w:rsidRPr="00FA56A4" w14:paraId="479AC32F" w14:textId="77777777" w:rsidTr="001307F6">
        <w:trPr>
          <w:trHeight w:val="28"/>
        </w:trPr>
        <w:tc>
          <w:tcPr>
            <w:tcW w:w="1335" w:type="dxa"/>
          </w:tcPr>
          <w:p w14:paraId="3F53DA34" w14:textId="77777777" w:rsidR="007377AB" w:rsidRPr="00312775" w:rsidRDefault="007377AB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gsv</m:t>
                </m:r>
              </m:oMath>
            </m:oMathPara>
          </w:p>
        </w:tc>
        <w:tc>
          <w:tcPr>
            <w:tcW w:w="4189" w:type="dxa"/>
          </w:tcPr>
          <w:p w14:paraId="0EE6CEDE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Government Saving</w:t>
            </w:r>
          </w:p>
        </w:tc>
      </w:tr>
      <w:tr w:rsidR="007377AB" w:rsidRPr="00FA56A4" w14:paraId="3016849F" w14:textId="77777777" w:rsidTr="001307F6">
        <w:trPr>
          <w:trHeight w:val="28"/>
        </w:trPr>
        <w:tc>
          <w:tcPr>
            <w:tcW w:w="1335" w:type="dxa"/>
          </w:tcPr>
          <w:p w14:paraId="173EC62E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trx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5E459FF6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gramStart"/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Sum</w:t>
            </w:r>
            <w:proofErr w:type="gramEnd"/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of Regional Trade Flow in Each Sector</w:t>
            </w:r>
          </w:p>
        </w:tc>
      </w:tr>
      <w:tr w:rsidR="007377AB" w:rsidRPr="00FA56A4" w14:paraId="73F13451" w14:textId="77777777" w:rsidTr="001307F6">
        <w:trPr>
          <w:trHeight w:val="49"/>
        </w:trPr>
        <w:tc>
          <w:tcPr>
            <w:tcW w:w="1335" w:type="dxa"/>
          </w:tcPr>
          <w:p w14:paraId="27350D6E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SI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 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951031D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Saving Income</w:t>
            </w:r>
          </w:p>
        </w:tc>
      </w:tr>
      <w:tr w:rsidR="007377AB" w:rsidRPr="00FA56A4" w14:paraId="7695815E" w14:textId="77777777" w:rsidTr="001307F6">
        <w:trPr>
          <w:trHeight w:val="31"/>
        </w:trPr>
        <w:tc>
          <w:tcPr>
            <w:tcW w:w="1335" w:type="dxa"/>
          </w:tcPr>
          <w:p w14:paraId="0770FDE4" w14:textId="77777777" w:rsidR="007377AB" w:rsidRPr="00312775" w:rsidRDefault="00000000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A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14C8CE0D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Armington Composite Price</w:t>
            </w:r>
          </w:p>
        </w:tc>
      </w:tr>
      <w:tr w:rsidR="007377AB" w:rsidRPr="00FA56A4" w14:paraId="15BDFE76" w14:textId="77777777" w:rsidTr="001307F6">
        <w:trPr>
          <w:trHeight w:val="28"/>
        </w:trPr>
        <w:tc>
          <w:tcPr>
            <w:tcW w:w="1335" w:type="dxa"/>
          </w:tcPr>
          <w:p w14:paraId="6090D946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2FEC4273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Marginal Cost of Transport Services</w:t>
            </w:r>
          </w:p>
        </w:tc>
      </w:tr>
      <w:tr w:rsidR="007377AB" w:rsidRPr="00FA56A4" w14:paraId="130D3B41" w14:textId="77777777" w:rsidTr="001307F6">
        <w:trPr>
          <w:trHeight w:val="28"/>
        </w:trPr>
        <w:tc>
          <w:tcPr>
            <w:tcW w:w="1335" w:type="dxa"/>
          </w:tcPr>
          <w:p w14:paraId="34D7AFB0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E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517BBCF7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Export Price</w:t>
            </w:r>
          </w:p>
        </w:tc>
      </w:tr>
      <w:tr w:rsidR="007377AB" w:rsidRPr="00FA56A4" w14:paraId="23990B62" w14:textId="77777777" w:rsidTr="001307F6">
        <w:trPr>
          <w:trHeight w:val="28"/>
        </w:trPr>
        <w:tc>
          <w:tcPr>
            <w:tcW w:w="1335" w:type="dxa"/>
          </w:tcPr>
          <w:p w14:paraId="7DA6F930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09B298B5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Factor Prices</w:t>
            </w:r>
          </w:p>
        </w:tc>
      </w:tr>
      <w:tr w:rsidR="007377AB" w:rsidRPr="00FA56A4" w14:paraId="252A2C29" w14:textId="77777777" w:rsidTr="001307F6">
        <w:trPr>
          <w:trHeight w:val="28"/>
        </w:trPr>
        <w:tc>
          <w:tcPr>
            <w:tcW w:w="1335" w:type="dxa"/>
          </w:tcPr>
          <w:p w14:paraId="415667D9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D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2ADAC0FB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Supply Price</w:t>
            </w:r>
          </w:p>
        </w:tc>
      </w:tr>
      <w:tr w:rsidR="007377AB" w:rsidRPr="00FA56A4" w14:paraId="4EB59151" w14:textId="77777777" w:rsidTr="001307F6">
        <w:trPr>
          <w:trHeight w:val="28"/>
        </w:trPr>
        <w:tc>
          <w:tcPr>
            <w:tcW w:w="1335" w:type="dxa"/>
          </w:tcPr>
          <w:p w14:paraId="5DECE59A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DD</m:t>
                    </m:r>
                  </m:sup>
                </m:sSubSup>
              </m:oMath>
            </m:oMathPara>
          </w:p>
        </w:tc>
        <w:tc>
          <w:tcPr>
            <w:tcW w:w="4189" w:type="dxa"/>
          </w:tcPr>
          <w:p w14:paraId="64313470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Price of domestically supplied goods</w:t>
            </w:r>
          </w:p>
        </w:tc>
      </w:tr>
      <w:tr w:rsidR="007377AB" w:rsidRPr="00FA56A4" w14:paraId="4104716F" w14:textId="77777777" w:rsidTr="001307F6">
        <w:trPr>
          <w:trHeight w:val="28"/>
        </w:trPr>
        <w:tc>
          <w:tcPr>
            <w:tcW w:w="1335" w:type="dxa"/>
          </w:tcPr>
          <w:p w14:paraId="2694A818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30016820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Output Tax</w:t>
            </w:r>
          </w:p>
        </w:tc>
      </w:tr>
      <w:tr w:rsidR="007377AB" w:rsidRPr="00FA56A4" w14:paraId="0CA9F1AD" w14:textId="77777777" w:rsidTr="001307F6">
        <w:trPr>
          <w:trHeight w:val="49"/>
        </w:trPr>
        <w:tc>
          <w:tcPr>
            <w:tcW w:w="1335" w:type="dxa"/>
          </w:tcPr>
          <w:p w14:paraId="6280990C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7A7C4682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Taxes on Products</w:t>
            </w:r>
          </w:p>
        </w:tc>
      </w:tr>
      <w:tr w:rsidR="007377AB" w:rsidRPr="00FA56A4" w14:paraId="3A979AF2" w14:textId="77777777" w:rsidTr="001307F6">
        <w:tc>
          <w:tcPr>
            <w:tcW w:w="1335" w:type="dxa"/>
          </w:tcPr>
          <w:p w14:paraId="6EA9247B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tim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69E96A15" w14:textId="77777777" w:rsidR="007377AB" w:rsidRPr="00723939" w:rsidRDefault="007377AB" w:rsidP="001307F6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Import Tax</w:t>
            </w:r>
          </w:p>
        </w:tc>
      </w:tr>
      <w:tr w:rsidR="007377AB" w:rsidRPr="00FA56A4" w14:paraId="0F8B07E3" w14:textId="77777777" w:rsidTr="001307F6">
        <w:tc>
          <w:tcPr>
            <w:tcW w:w="1335" w:type="dxa"/>
          </w:tcPr>
          <w:p w14:paraId="651FFE4B" w14:textId="77777777" w:rsidR="007377AB" w:rsidRPr="00312775" w:rsidRDefault="00000000" w:rsidP="001307F6">
            <w:pPr>
              <w:jc w:val="both"/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tinc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14:paraId="176B6EEC" w14:textId="77777777" w:rsidR="007377AB" w:rsidRPr="00723939" w:rsidRDefault="007377AB" w:rsidP="001307F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723939">
              <w:rPr>
                <w:rFonts w:ascii="Times New Roman" w:hAnsi="Times New Roman" w:cs="Times New Roman"/>
                <w:iCs/>
                <w:sz w:val="18"/>
                <w:szCs w:val="18"/>
              </w:rPr>
              <w:t>Income Tax</w:t>
            </w:r>
          </w:p>
        </w:tc>
      </w:tr>
    </w:tbl>
    <w:p w14:paraId="76DA66B9" w14:textId="77777777" w:rsidR="006C0BDA" w:rsidRDefault="006C0BDA" w:rsidP="007377AB">
      <w:pP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</w:pPr>
    </w:p>
    <w:p w14:paraId="2D4E1715" w14:textId="77777777" w:rsidR="006C0BDA" w:rsidRDefault="006C0BDA" w:rsidP="007377AB">
      <w:pP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</w:pPr>
    </w:p>
    <w:p w14:paraId="7E13CD49" w14:textId="33A3C876" w:rsidR="007377AB" w:rsidRPr="00723939" w:rsidRDefault="007377AB" w:rsidP="007377AB">
      <w:pP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</w:pPr>
      <w:r w:rsidRPr="00723939"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  <w:t>B. List of Key Equations in Multi regional Social Accounting Matrix</w:t>
      </w:r>
    </w:p>
    <w:p w14:paraId="58B7617B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1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 xml:space="preserve">  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out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io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vfm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tY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</m:oMath>
      <w:r w:rsidR="007377AB" w:rsidRPr="00723939">
        <w:rPr>
          <w:rFonts w:ascii="Times New Roman" w:eastAsiaTheme="minorEastAsia" w:hAnsi="Times New Roman" w:cs="Times New Roman"/>
          <w:i/>
          <w:iCs/>
          <w:sz w:val="20"/>
          <w:szCs w:val="20"/>
          <w:lang w:val="en-US"/>
        </w:rPr>
        <w:t xml:space="preserve">                                                                                                                      </w:t>
      </w:r>
    </w:p>
    <w:p w14:paraId="0E237E2F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2</m:t>
                </m:r>
              </m:e>
            </m:d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 xml:space="preserve">   DG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out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vxm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s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vxma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irs</m:t>
                </m:r>
              </m:sub>
            </m:sSub>
          </m:e>
        </m:nary>
      </m:oMath>
      <w:r w:rsidR="007377AB" w:rsidRPr="00723939">
        <w:rPr>
          <w:rFonts w:ascii="Times New Roman" w:eastAsiaTheme="minorEastAsia" w:hAnsi="Times New Roman" w:cs="Times New Roman"/>
          <w:i/>
          <w:iCs/>
          <w:sz w:val="20"/>
          <w:szCs w:val="20"/>
          <w:lang w:val="en-US"/>
        </w:rPr>
        <w:t xml:space="preserve">                                                                                                        </w:t>
      </w:r>
    </w:p>
    <w:p w14:paraId="02AC8408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  <w:lang w:val="en-US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3</m:t>
                </m:r>
              </m:e>
            </m:d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 xml:space="preserve">   DSG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DG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ti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it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s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vxma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irs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s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vtwr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irs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vim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</m:oMath>
      <w:r w:rsidR="007377AB" w:rsidRPr="00723939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                                                                       </w:t>
      </w:r>
    </w:p>
    <w:p w14:paraId="2F51C7CD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4</m:t>
                </m:r>
              </m:e>
            </m:d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 xml:space="preserve">   DDG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io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vapm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vagm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inv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vst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</m:oMath>
      <w:r w:rsidR="007377AB" w:rsidRPr="00723939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                                                                              </w:t>
      </w:r>
    </w:p>
    <w:p w14:paraId="6F6AD359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b/>
          <w:iCs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5</m:t>
                </m:r>
              </m:e>
            </m:d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 xml:space="preserve">   HHbudget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vfm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gtrans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hr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cie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hsav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vpm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tinc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</m:oMath>
      <w:r w:rsidR="007377AB" w:rsidRPr="00723939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                                  </w:t>
      </w:r>
    </w:p>
    <w:p w14:paraId="703ADFEF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d>
          <m:dPr>
            <m:ctrl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6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 xml:space="preserve">   GovBudget=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tY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ti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tim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tinc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+gbr-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vgm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gtrans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-gsv</m:t>
        </m:r>
      </m:oMath>
      <w:r w:rsidR="007377AB" w:rsidRPr="00723939"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        </w:t>
      </w:r>
    </w:p>
    <w:p w14:paraId="1DADD587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d>
          <m:dPr>
            <m:ctrl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7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 xml:space="preserve">  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inv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hsav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 xml:space="preserve">-gsv-fsv    or    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inv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GDP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vpm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vgm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vxm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vim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</m:sSub>
      </m:oMath>
      <w:r w:rsidR="007377AB" w:rsidRPr="00723939"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                                                                                                      </w:t>
      </w:r>
    </w:p>
    <w:p w14:paraId="30E55FB4" w14:textId="77777777" w:rsidR="007377AB" w:rsidRPr="00723939" w:rsidRDefault="00000000" w:rsidP="007377AB">
      <w:pPr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</w:pPr>
      <m:oMath>
        <m:d>
          <m:dPr>
            <m:ctrlPr>
              <w:rPr>
                <w:rFonts w:ascii="Cambria Math" w:eastAsiaTheme="minorEastAsia" w:hAnsi="Cambria Math" w:cs="Times New Roman"/>
                <w:iCs/>
                <w:sz w:val="20"/>
                <w:szCs w:val="20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8</m:t>
            </m:r>
          </m:e>
        </m:d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 xml:space="preserve">  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vxm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+gbr+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hr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r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+fsv=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vim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</m:t>
                </m:r>
              </m:sub>
            </m:s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+cie</m:t>
            </m:r>
          </m:e>
        </m:nary>
      </m:oMath>
      <w:r w:rsidR="007377AB" w:rsidRPr="00723939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                                                                                     </w:t>
      </w:r>
    </w:p>
    <w:p w14:paraId="6A95570D" w14:textId="77777777" w:rsidR="007377AB" w:rsidRPr="00723939" w:rsidRDefault="00000000" w:rsidP="007377AB">
      <w:pPr>
        <w:spacing w:line="278" w:lineRule="auto"/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 w:cs="Times New Roman"/>
                    <w:iCs/>
                    <w:sz w:val="20"/>
                    <w:szCs w:val="20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9</m:t>
                </m:r>
              </m:e>
            </m:d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 xml:space="preserve">   trx</m:t>
            </m:r>
          </m:e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ir</m:t>
            </m:r>
          </m:sub>
        </m:sSub>
        <m:r>
          <w:rPr>
            <w:rFonts w:ascii="Cambria Math" w:eastAsiaTheme="minorEastAsia" w:hAnsi="Cambria Math" w:cs="Times New Roman"/>
            <w:sz w:val="20"/>
            <w:szCs w:val="20"/>
            <w:lang w:val="en-US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  <w:iCs/>
                <w:sz w:val="20"/>
                <w:szCs w:val="20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0"/>
                <w:szCs w:val="20"/>
                <w:lang w:val="en-US"/>
              </w:rPr>
              <m:t>s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vxma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  <w:lang w:val="en-US"/>
                  </w:rPr>
                  <m:t>irs</m:t>
                </m:r>
              </m:sub>
            </m:sSub>
          </m:e>
        </m:nary>
      </m:oMath>
      <w:r w:rsidR="007377AB" w:rsidRPr="00723939">
        <w:rPr>
          <w:rFonts w:ascii="Times New Roman" w:eastAsiaTheme="minorEastAsia" w:hAnsi="Times New Roman" w:cs="Times New Roman"/>
          <w:iCs/>
          <w:sz w:val="20"/>
          <w:szCs w:val="20"/>
          <w:lang w:val="en-US"/>
        </w:rPr>
        <w:t xml:space="preserve">                         </w:t>
      </w:r>
    </w:p>
    <w:p w14:paraId="7E3985AE" w14:textId="77777777" w:rsidR="007377AB" w:rsidRDefault="007377AB" w:rsidP="007377AB">
      <w:pPr>
        <w:spacing w:line="278" w:lineRule="auto"/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</w:pPr>
    </w:p>
    <w:p w14:paraId="7FCA5CFE" w14:textId="57D83B74" w:rsidR="007377AB" w:rsidRPr="00120636" w:rsidRDefault="007377AB" w:rsidP="007377AB">
      <w:pPr>
        <w:spacing w:line="278" w:lineRule="auto"/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</w:pPr>
      <w:r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  <w:t>C</w:t>
      </w:r>
      <w:r w:rsidRPr="00120636">
        <w:rPr>
          <w:rFonts w:ascii="Times New Roman" w:eastAsiaTheme="minorEastAsia" w:hAnsi="Times New Roman" w:cs="Times New Roman"/>
          <w:sz w:val="20"/>
          <w:szCs w:val="20"/>
          <w:lang w:eastAsia="tr-TR"/>
          <w14:ligatures w14:val="none"/>
        </w:rPr>
        <w:t xml:space="preserve">: </w:t>
      </w:r>
      <w:r w:rsidRPr="00120636"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  <w:t>Major Equations of the</w:t>
      </w:r>
      <w:r w:rsidR="004F1B5C"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  <w:t xml:space="preserve"> BRITEN </w:t>
      </w:r>
      <w:r w:rsidRPr="00120636">
        <w:rPr>
          <w:rFonts w:ascii="Times New Roman" w:eastAsiaTheme="minorEastAsia" w:hAnsi="Times New Roman" w:cs="Times New Roman"/>
          <w:b/>
          <w:bCs/>
          <w:sz w:val="20"/>
          <w:szCs w:val="20"/>
          <w:lang w:eastAsia="tr-TR"/>
          <w14:ligatures w14:val="none"/>
        </w:rPr>
        <w:t>CGE Model</w:t>
      </w:r>
    </w:p>
    <w:tbl>
      <w:tblPr>
        <w:tblStyle w:val="TableGrid"/>
        <w:tblW w:w="10278" w:type="dxa"/>
        <w:tblInd w:w="-601" w:type="dxa"/>
        <w:tblLook w:val="04A0" w:firstRow="1" w:lastRow="0" w:firstColumn="1" w:lastColumn="0" w:noHBand="0" w:noVBand="1"/>
      </w:tblPr>
      <w:tblGrid>
        <w:gridCol w:w="1950"/>
        <w:gridCol w:w="5623"/>
        <w:gridCol w:w="2705"/>
      </w:tblGrid>
      <w:tr w:rsidR="007377AB" w:rsidRPr="00120636" w14:paraId="734A0FBE" w14:textId="77777777" w:rsidTr="001307F6">
        <w:trPr>
          <w:trHeight w:val="134"/>
        </w:trPr>
        <w:tc>
          <w:tcPr>
            <w:tcW w:w="1950" w:type="dxa"/>
          </w:tcPr>
          <w:p w14:paraId="115E74FC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  <w:t>Component</w:t>
            </w:r>
          </w:p>
        </w:tc>
        <w:tc>
          <w:tcPr>
            <w:tcW w:w="5623" w:type="dxa"/>
          </w:tcPr>
          <w:p w14:paraId="6FBAB2FF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  <w:t>Equation</w:t>
            </w:r>
          </w:p>
        </w:tc>
        <w:tc>
          <w:tcPr>
            <w:tcW w:w="2705" w:type="dxa"/>
          </w:tcPr>
          <w:p w14:paraId="6871DD77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b/>
                <w:bCs/>
                <w:sz w:val="18"/>
                <w:szCs w:val="18"/>
                <w:lang w:eastAsia="tr-TR"/>
              </w:rPr>
              <w:t>Description</w:t>
            </w:r>
          </w:p>
        </w:tc>
      </w:tr>
      <w:tr w:rsidR="007377AB" w:rsidRPr="00120636" w14:paraId="3F2011C1" w14:textId="77777777" w:rsidTr="001307F6">
        <w:trPr>
          <w:trHeight w:val="798"/>
        </w:trPr>
        <w:tc>
          <w:tcPr>
            <w:tcW w:w="1950" w:type="dxa"/>
          </w:tcPr>
          <w:p w14:paraId="7B4AF357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Production</w:t>
            </w:r>
          </w:p>
        </w:tc>
        <w:tc>
          <w:tcPr>
            <w:tcW w:w="5623" w:type="dxa"/>
          </w:tcPr>
          <w:p w14:paraId="0566529C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min</m:t>
                        </m:r>
                      </m:e>
                      <m:lim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int. input, K, L</m:t>
                        </m:r>
                      </m:lim>
                    </m:limLow>
                  </m:fName>
                  <m:e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input</m:t>
                        </m:r>
                      </m:sup>
                    </m:sSub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K</m:t>
                        </m:r>
                      </m:sup>
                    </m:sSub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L</m:t>
                        </m:r>
                      </m:sup>
                    </m:sSubSup>
                  </m:e>
                </m:func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 xml:space="preserve">       s.t.</m:t>
                </m:r>
              </m:oMath>
            </m:oMathPara>
          </w:p>
          <w:p w14:paraId="417BE3D8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input</m:t>
                    </m:r>
                  </m:sup>
                </m:sSubSup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jr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A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theme="majorHAnsi"/>
                            <w:i/>
                            <w:sz w:val="16"/>
                            <w:szCs w:val="16"/>
                            <w:lang w:eastAsia="tr-TR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1+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tY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</m:sSub>
                      </m:e>
                    </m:d>
                  </m:e>
                </m:nary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vdfm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jir</m:t>
                    </m:r>
                  </m:sub>
                </m:sSub>
              </m:oMath>
            </m:oMathPara>
          </w:p>
          <w:p w14:paraId="48E09FA6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iCs/>
                <w:sz w:val="16"/>
                <w:szCs w:val="16"/>
                <w:lang w:eastAsia="tr-T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K</m:t>
                    </m:r>
                  </m:sup>
                </m:sSubSup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</m:t>
                        </m:r>
                      </m:sup>
                    </m:sSubSup>
                  </m:e>
                </m:nary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  ,    </m:t>
                </m:r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L</m:t>
                    </m:r>
                  </m:sup>
                </m:sSubSup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</m:t>
                        </m:r>
                      </m:sup>
                    </m:sSub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 </m:t>
                    </m:r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2705" w:type="dxa"/>
          </w:tcPr>
          <w:p w14:paraId="6C597666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Firms minimize the cost of </w:t>
            </w:r>
            <w:proofErr w:type="gramStart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inputs</w:t>
            </w:r>
            <w:proofErr w:type="gramEnd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 under nested production technology.</w:t>
            </w:r>
          </w:p>
        </w:tc>
      </w:tr>
      <w:tr w:rsidR="007377AB" w:rsidRPr="00120636" w14:paraId="312BC2F5" w14:textId="77777777" w:rsidTr="001307F6">
        <w:trPr>
          <w:trHeight w:val="646"/>
        </w:trPr>
        <w:tc>
          <w:tcPr>
            <w:tcW w:w="1950" w:type="dxa"/>
          </w:tcPr>
          <w:p w14:paraId="4C55E5C4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Supply (CET Function)</w:t>
            </w:r>
          </w:p>
        </w:tc>
        <w:tc>
          <w:tcPr>
            <w:tcW w:w="5623" w:type="dxa"/>
          </w:tcPr>
          <w:p w14:paraId="165C6314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eastAsia="MS Mincho" w:hAnsiTheme="majorHAnsi" w:cstheme="majorHAnsi"/>
                <w:bCs/>
                <w:iCs/>
                <w:sz w:val="16"/>
                <w:szCs w:val="16"/>
                <w:lang w:eastAsia="tr-TR"/>
              </w:rPr>
            </w:pPr>
            <m:oMathPara>
              <m:oMathParaPr>
                <m:jc m:val="left"/>
              </m:oMathParaPr>
              <m:oMath>
                <m:limLow>
                  <m:limLow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max</m:t>
                    </m:r>
                  </m:e>
                  <m:lim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DG, vxm,trx</m:t>
                    </m:r>
                  </m:lim>
                </m:limLow>
                <m:r>
                  <w:rPr>
                    <w:rFonts w:ascii="Cambria Math" w:eastAsia="MS Mincho" w:hAnsi="Cambria Math" w:cstheme="majorHAnsi"/>
                    <w:sz w:val="16"/>
                    <w:szCs w:val="16"/>
                    <w:lang w:eastAsia="tr-TR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p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DD</m:t>
                    </m:r>
                  </m:sup>
                </m:sSubSup>
                <m:sSub>
                  <m:sSub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DG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eastAsia="MS Mincho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Sup>
                  <m:sSubSup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p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fx</m:t>
                    </m:r>
                  </m:sup>
                </m:sSubSup>
                <m:sSub>
                  <m:sSub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vxm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eastAsia="MS Mincho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Sup>
                  <m:sSubSup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p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tr</m:t>
                    </m:r>
                  </m:sup>
                </m:sSubSup>
                <m:sSub>
                  <m:sSub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trx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eastAsia="MS Mincho" w:hAnsi="Cambria Math" w:cstheme="majorHAnsi"/>
                    <w:sz w:val="16"/>
                    <w:szCs w:val="16"/>
                    <w:lang w:eastAsia="tr-TR"/>
                  </w:rPr>
                  <m:t>        s.t.       </m:t>
                </m:r>
                <m:sSub>
                  <m:sSub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TR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DG</m:t>
                        </m:r>
                      </m:e>
                      <m:sub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vxm</m:t>
                        </m:r>
                      </m:e>
                      <m:sub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trx</m:t>
                        </m:r>
                      </m:e>
                      <m:sub>
                        <m:r>
                          <w:rPr>
                            <w:rFonts w:ascii="Cambria Math" w:eastAsia="MS Mincho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d>
                <m:r>
                  <w:rPr>
                    <w:rFonts w:ascii="Cambria Math" w:eastAsia="MS Mincho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sSub>
                  <m:sSubPr>
                    <m:ctrlPr>
                      <w:rPr>
                        <w:rFonts w:ascii="Cambria Math" w:eastAsia="MS Mincho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Y</m:t>
                    </m:r>
                  </m:e>
                  <m:sub>
                    <m:r>
                      <w:rPr>
                        <w:rFonts w:ascii="Cambria Math" w:eastAsia="MS Mincho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</m:oMath>
            </m:oMathPara>
          </w:p>
          <w:p w14:paraId="7151A5B1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eastAsia="MS Mincho" w:hAnsiTheme="majorHAnsi" w:cstheme="majorHAnsi"/>
                <w:bCs/>
                <w:iCs/>
                <w:sz w:val="16"/>
                <w:szCs w:val="16"/>
                <w:lang w:eastAsia="tr-TR"/>
              </w:rPr>
            </w:pPr>
          </w:p>
        </w:tc>
        <w:tc>
          <w:tcPr>
            <w:tcW w:w="2705" w:type="dxa"/>
          </w:tcPr>
          <w:p w14:paraId="644E76AD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Allocates supply between domestic, export, and regional trade markets. </w:t>
            </w:r>
          </w:p>
        </w:tc>
      </w:tr>
      <w:tr w:rsidR="007377AB" w:rsidRPr="00120636" w14:paraId="3EFCBA67" w14:textId="77777777" w:rsidTr="001307F6">
        <w:trPr>
          <w:trHeight w:val="793"/>
        </w:trPr>
        <w:tc>
          <w:tcPr>
            <w:tcW w:w="1950" w:type="dxa"/>
          </w:tcPr>
          <w:p w14:paraId="76E3115C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Trade </w:t>
            </w:r>
          </w:p>
        </w:tc>
        <w:tc>
          <w:tcPr>
            <w:tcW w:w="5623" w:type="dxa"/>
          </w:tcPr>
          <w:p w14:paraId="001DE6E5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min</m:t>
                        </m:r>
                      </m:e>
                      <m:lim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Trade,Marg</m:t>
                        </m:r>
                      </m:lim>
                    </m:limLow>
                  </m:fName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DD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sz w:val="16"/>
                            <w:szCs w:val="16"/>
                            <w:lang w:eastAsia="tr-TR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1+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ti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</m:sSub>
                      </m:e>
                    </m:d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DG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)+(</m:t>
                    </m:r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tr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trx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+ 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T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vtwr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isr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) +(p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DD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vxma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i,s=r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vtwr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i,s=r</m:t>
                            </m:r>
                          </m:sub>
                        </m:s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)+ (p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fx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(1+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tim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</m:s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)vim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func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</m:t>
                </m:r>
              </m:oMath>
            </m:oMathPara>
          </w:p>
          <w:p w14:paraId="162F8508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w:lastRenderedPageBreak/>
                  <m:t>s.t.          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trx, vtwr,vim</m:t>
                    </m:r>
                  </m:e>
                </m:d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Trade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2705" w:type="dxa"/>
          </w:tcPr>
          <w:p w14:paraId="380F5355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lastRenderedPageBreak/>
              <w:t>Composite demand sourced from multiple origins with transport margin.</w:t>
            </w:r>
          </w:p>
        </w:tc>
      </w:tr>
      <w:tr w:rsidR="007377AB" w:rsidRPr="00120636" w14:paraId="7373699B" w14:textId="77777777" w:rsidTr="001307F6">
        <w:trPr>
          <w:trHeight w:val="560"/>
        </w:trPr>
        <w:tc>
          <w:tcPr>
            <w:tcW w:w="1950" w:type="dxa"/>
          </w:tcPr>
          <w:p w14:paraId="0087DB43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Transportation Services</w:t>
            </w:r>
          </w:p>
        </w:tc>
        <w:tc>
          <w:tcPr>
            <w:tcW w:w="5623" w:type="dxa"/>
          </w:tcPr>
          <w:p w14:paraId="76F344A5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ParaPr>
                <m:jc m:val="center"/>
              </m:oMathParaPr>
              <m:oMath>
                <m:func>
                  <m:func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funcPr>
                  <m:fNam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 xml:space="preserve">  </m:t>
                    </m:r>
                    <m:limLow>
                      <m:limLow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min</m:t>
                        </m:r>
                      </m:e>
                      <m:lim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margin</m:t>
                        </m:r>
                      </m:lim>
                    </m:limLow>
                  </m:fName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r</m:t>
                        </m:r>
                      </m:sub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A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vst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</m:sSub>
                      </m:e>
                    </m:nary>
                  </m:e>
                </m:func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        s.t.   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vst</m:t>
                    </m:r>
                  </m:e>
                </m:d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Transport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</m:oMath>
            </m:oMathPara>
          </w:p>
          <w:p w14:paraId="6D9D6DB1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</w:p>
        </w:tc>
        <w:tc>
          <w:tcPr>
            <w:tcW w:w="2705" w:type="dxa"/>
          </w:tcPr>
          <w:p w14:paraId="4B861F81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Determines transport service demand </w:t>
            </w:r>
            <w:proofErr w:type="gramStart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consistent</w:t>
            </w:r>
            <w:proofErr w:type="gramEnd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 with the value of regional transport sales. </w:t>
            </w:r>
          </w:p>
        </w:tc>
      </w:tr>
      <w:tr w:rsidR="007377AB" w:rsidRPr="00120636" w14:paraId="55858694" w14:textId="77777777" w:rsidTr="001307F6">
        <w:trPr>
          <w:trHeight w:val="427"/>
        </w:trPr>
        <w:tc>
          <w:tcPr>
            <w:tcW w:w="1950" w:type="dxa"/>
          </w:tcPr>
          <w:p w14:paraId="2DA76608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Household Consumption</w:t>
            </w:r>
          </w:p>
        </w:tc>
        <w:tc>
          <w:tcPr>
            <w:tcW w:w="5623" w:type="dxa"/>
          </w:tcPr>
          <w:p w14:paraId="0A020B2A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min</m:t>
                        </m:r>
                      </m:e>
                      <m:lim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 xml:space="preserve">         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HH</m:t>
                            </m:r>
                          </m:sup>
                        </m:sSubSup>
                      </m:lim>
                    </m:limLow>
                  </m:fName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</m:t>
                        </m:r>
                      </m:sub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A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 </m:t>
                    </m:r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vpm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func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       s.t.   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FD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vpm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HH</m:t>
                    </m:r>
                  </m:sup>
                </m:sSubSup>
              </m:oMath>
            </m:oMathPara>
          </w:p>
        </w:tc>
        <w:tc>
          <w:tcPr>
            <w:tcW w:w="2705" w:type="dxa"/>
          </w:tcPr>
          <w:p w14:paraId="0B72FDF6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Utility-maximizing household consumption subject to budget constraint.</w:t>
            </w:r>
          </w:p>
        </w:tc>
      </w:tr>
      <w:tr w:rsidR="007377AB" w:rsidRPr="00120636" w14:paraId="3A6739F6" w14:textId="77777777" w:rsidTr="001307F6">
        <w:trPr>
          <w:trHeight w:val="560"/>
        </w:trPr>
        <w:tc>
          <w:tcPr>
            <w:tcW w:w="1950" w:type="dxa"/>
          </w:tcPr>
          <w:p w14:paraId="7E88CF27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Government</w:t>
            </w:r>
          </w:p>
        </w:tc>
        <w:tc>
          <w:tcPr>
            <w:tcW w:w="5623" w:type="dxa"/>
          </w:tcPr>
          <w:p w14:paraId="618000E1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vgm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</m:t>
                </m:r>
              </m:oMath>
            </m:oMathPara>
          </w:p>
          <w:p w14:paraId="06AE9F5E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</w:p>
        </w:tc>
        <w:tc>
          <w:tcPr>
            <w:tcW w:w="2705" w:type="dxa"/>
          </w:tcPr>
          <w:p w14:paraId="742494A3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Government consumption </w:t>
            </w:r>
            <w:proofErr w:type="gramStart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function</w:t>
            </w:r>
            <w:proofErr w:type="gramEnd"/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 based on government’s consumption structure.</w:t>
            </w:r>
          </w:p>
        </w:tc>
      </w:tr>
      <w:tr w:rsidR="007377AB" w:rsidRPr="00120636" w14:paraId="3541EC66" w14:textId="77777777" w:rsidTr="001307F6">
        <w:trPr>
          <w:trHeight w:val="279"/>
        </w:trPr>
        <w:tc>
          <w:tcPr>
            <w:tcW w:w="1950" w:type="dxa"/>
          </w:tcPr>
          <w:p w14:paraId="252758E0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Investment</w:t>
            </w:r>
          </w:p>
        </w:tc>
        <w:tc>
          <w:tcPr>
            <w:tcW w:w="5623" w:type="dxa"/>
          </w:tcPr>
          <w:p w14:paraId="7189604A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 xml:space="preserve"> I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inv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</m:t>
                </m:r>
              </m:oMath>
            </m:oMathPara>
          </w:p>
        </w:tc>
        <w:tc>
          <w:tcPr>
            <w:tcW w:w="2705" w:type="dxa"/>
          </w:tcPr>
          <w:p w14:paraId="3E3FEBB2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Determines regional capital formation.</w:t>
            </w:r>
          </w:p>
        </w:tc>
      </w:tr>
      <w:tr w:rsidR="007377AB" w:rsidRPr="00120636" w14:paraId="535634D2" w14:textId="77777777" w:rsidTr="001307F6">
        <w:trPr>
          <w:trHeight w:val="573"/>
        </w:trPr>
        <w:tc>
          <w:tcPr>
            <w:tcW w:w="1950" w:type="dxa"/>
          </w:tcPr>
          <w:p w14:paraId="3D16CBA3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Zero Profit Condition</w:t>
            </w:r>
          </w:p>
        </w:tc>
        <w:tc>
          <w:tcPr>
            <w:tcW w:w="5623" w:type="dxa"/>
          </w:tcPr>
          <w:p w14:paraId="2E8F0A1A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XD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X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vxm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 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j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vafm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jir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f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vfm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Tax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Y</m:t>
                    </m:r>
                  </m:sup>
                </m:sSubSup>
              </m:oMath>
            </m:oMathPara>
          </w:p>
          <w:p w14:paraId="408351C6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</w:p>
        </w:tc>
        <w:tc>
          <w:tcPr>
            <w:tcW w:w="2705" w:type="dxa"/>
          </w:tcPr>
          <w:p w14:paraId="08E4F9F7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The value of exports and domestic production equals the sum of intermediate demand, factor demand, and taxes. </w:t>
            </w:r>
          </w:p>
        </w:tc>
      </w:tr>
      <w:tr w:rsidR="007377AB" w:rsidRPr="00120636" w14:paraId="68D8787A" w14:textId="77777777" w:rsidTr="001307F6">
        <w:trPr>
          <w:trHeight w:val="780"/>
        </w:trPr>
        <w:tc>
          <w:tcPr>
            <w:tcW w:w="1950" w:type="dxa"/>
          </w:tcPr>
          <w:p w14:paraId="2D35500E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Market Clearance</w:t>
            </w:r>
          </w:p>
        </w:tc>
        <w:tc>
          <w:tcPr>
            <w:tcW w:w="5623" w:type="dxa"/>
          </w:tcPr>
          <w:p w14:paraId="714CF4E9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XD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Trade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 + 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vtwr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vim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j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vafm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jir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vst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jr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vpm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inv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vgm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2705" w:type="dxa"/>
          </w:tcPr>
          <w:p w14:paraId="305C87F4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Equates total supply and demand in each market.</w:t>
            </w:r>
          </w:p>
        </w:tc>
      </w:tr>
      <w:tr w:rsidR="007377AB" w:rsidRPr="00120636" w14:paraId="4E525BE0" w14:textId="77777777" w:rsidTr="001307F6">
        <w:trPr>
          <w:trHeight w:val="427"/>
        </w:trPr>
        <w:tc>
          <w:tcPr>
            <w:tcW w:w="1950" w:type="dxa"/>
          </w:tcPr>
          <w:p w14:paraId="5392BC2E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Trade Balance</w:t>
            </w:r>
          </w:p>
        </w:tc>
        <w:tc>
          <w:tcPr>
            <w:tcW w:w="5623" w:type="dxa"/>
          </w:tcPr>
          <w:p w14:paraId="3F4A2513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vxma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vtwr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isr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vxma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irs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vtwr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irs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2705" w:type="dxa"/>
          </w:tcPr>
          <w:p w14:paraId="1A7D271E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 xml:space="preserve">Ensures that interregional trade and transportation services are balanced between regions. </w:t>
            </w:r>
          </w:p>
        </w:tc>
      </w:tr>
      <w:tr w:rsidR="007377AB" w:rsidRPr="00120636" w14:paraId="0C9356B2" w14:textId="77777777" w:rsidTr="001307F6">
        <w:trPr>
          <w:trHeight w:val="414"/>
        </w:trPr>
        <w:tc>
          <w:tcPr>
            <w:tcW w:w="1950" w:type="dxa"/>
          </w:tcPr>
          <w:p w14:paraId="489B8022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Factor Balance</w:t>
            </w:r>
          </w:p>
        </w:tc>
        <w:tc>
          <w:tcPr>
            <w:tcW w:w="5623" w:type="dxa"/>
          </w:tcPr>
          <w:p w14:paraId="108F7770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fir</m:t>
                        </m:r>
                      </m:sub>
                      <m: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F</m:t>
                        </m:r>
                      </m:sup>
                    </m:sSubSup>
                  </m:e>
                </m:nary>
              </m:oMath>
            </m:oMathPara>
          </w:p>
        </w:tc>
        <w:tc>
          <w:tcPr>
            <w:tcW w:w="2705" w:type="dxa"/>
          </w:tcPr>
          <w:p w14:paraId="6AE5CA6B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Regional factor endowments match production factor demand.</w:t>
            </w:r>
          </w:p>
        </w:tc>
      </w:tr>
      <w:tr w:rsidR="007377AB" w:rsidRPr="00120636" w14:paraId="785BCA69" w14:textId="77777777" w:rsidTr="001307F6">
        <w:trPr>
          <w:trHeight w:val="720"/>
        </w:trPr>
        <w:tc>
          <w:tcPr>
            <w:tcW w:w="1950" w:type="dxa"/>
          </w:tcPr>
          <w:p w14:paraId="0B71ACD4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Household Budget</w:t>
            </w:r>
          </w:p>
        </w:tc>
        <w:tc>
          <w:tcPr>
            <w:tcW w:w="5623" w:type="dxa"/>
          </w:tcPr>
          <w:p w14:paraId="23000367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HHB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evoa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+(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GTrans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Sup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Tax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H</m:t>
                    </m:r>
                  </m:sup>
                </m:sSubSup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)+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(hr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Rtrans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)+(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SI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 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Sav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)</m:t>
                </m:r>
              </m:oMath>
            </m:oMathPara>
          </w:p>
          <w:p w14:paraId="528F5DB5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HHB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vpm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2705" w:type="dxa"/>
          </w:tcPr>
          <w:p w14:paraId="610ADA0B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Household budget is balanced by factor income, government transfers, social security payments, remittance income and savings.</w:t>
            </w:r>
          </w:p>
        </w:tc>
      </w:tr>
      <w:tr w:rsidR="007377AB" w:rsidRPr="00120636" w14:paraId="0E3183BC" w14:textId="77777777" w:rsidTr="001307F6">
        <w:trPr>
          <w:trHeight w:val="414"/>
        </w:trPr>
        <w:tc>
          <w:tcPr>
            <w:tcW w:w="1950" w:type="dxa"/>
          </w:tcPr>
          <w:p w14:paraId="747105FE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Government Budget</w:t>
            </w:r>
          </w:p>
        </w:tc>
        <w:tc>
          <w:tcPr>
            <w:tcW w:w="5623" w:type="dxa"/>
          </w:tcPr>
          <w:p w14:paraId="2EFFD830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R =</m:t>
                </m:r>
                <m:d>
                  <m:d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nary>
                      <m:naryPr>
                        <m:chr m:val="∑"/>
                        <m:limLoc m:val="subSup"/>
                        <m:supHide m:val="1"/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r</m:t>
                        </m:r>
                      </m:sub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Y</m:t>
                            </m:r>
                          </m:sup>
                        </m:sSub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p</m:t>
                            </m:r>
                          </m:sup>
                        </m:sSubSup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r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H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 </m:t>
                    </m:r>
                  </m:e>
                </m:d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+gbr-</m:t>
                </m:r>
                <m:d>
                  <m:d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r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HAnsi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Gtrans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HAnsi"/>
                                <w:sz w:val="16"/>
                                <w:szCs w:val="16"/>
                                <w:lang w:eastAsia="tr-TR"/>
                              </w:rPr>
                              <m:t>r</m:t>
                            </m:r>
                          </m:sub>
                        </m:sSub>
                      </m:e>
                    </m:nary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+</m:t>
                    </m:r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r</m:t>
                        </m:r>
                      </m:sub>
                      <m:sup/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SSIdef</m:t>
                        </m:r>
                      </m:e>
                    </m:nary>
                  </m:e>
                </m:d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-Gsav</m:t>
                </m:r>
              </m:oMath>
            </m:oMathPara>
          </w:p>
          <w:p w14:paraId="2815671B" w14:textId="77777777" w:rsidR="007377AB" w:rsidRPr="008307DE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R= 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vgm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nary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=G</m:t>
                </m:r>
              </m:oMath>
            </m:oMathPara>
          </w:p>
        </w:tc>
        <w:tc>
          <w:tcPr>
            <w:tcW w:w="2705" w:type="dxa"/>
          </w:tcPr>
          <w:p w14:paraId="58213D17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Balances tax revenues with expenditures and savings.</w:t>
            </w:r>
          </w:p>
        </w:tc>
      </w:tr>
      <w:tr w:rsidR="007377AB" w:rsidRPr="00120636" w14:paraId="0AB69FE3" w14:textId="77777777" w:rsidTr="001307F6">
        <w:trPr>
          <w:trHeight w:val="560"/>
        </w:trPr>
        <w:tc>
          <w:tcPr>
            <w:tcW w:w="1950" w:type="dxa"/>
          </w:tcPr>
          <w:p w14:paraId="1C9777C0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Investment Budget</w:t>
            </w:r>
          </w:p>
        </w:tc>
        <w:tc>
          <w:tcPr>
            <w:tcW w:w="5623" w:type="dxa"/>
          </w:tcPr>
          <w:p w14:paraId="79D9B9EB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Inv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 </m:t>
                </m:r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Sav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+Gsav+Fsav</m:t>
                </m:r>
              </m:oMath>
            </m:oMathPara>
          </w:p>
          <w:p w14:paraId="30BE5CEA" w14:textId="77777777" w:rsidR="007377AB" w:rsidRPr="008307DE" w:rsidRDefault="00000000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Inv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  <m:r>
                  <w:rPr>
                    <w:rFonts w:ascii="Cambria Math" w:hAnsi="Cambria Math" w:cstheme="majorHAnsi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i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theme="majorHAnsi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inv</m:t>
                        </m:r>
                      </m:e>
                      <m:sub>
                        <m:r>
                          <w:rPr>
                            <w:rFonts w:ascii="Cambria Math" w:hAnsi="Cambria Math" w:cstheme="majorHAnsi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</m:sSub>
                  </m:e>
                </m:nary>
                <m:sSub>
                  <m:sSubPr>
                    <m:ctrlPr>
                      <w:rPr>
                        <w:rFonts w:ascii="Cambria Math" w:hAnsi="Cambria Math" w:cstheme="majorHAnsi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=I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16"/>
                        <w:szCs w:val="16"/>
                        <w:lang w:eastAsia="tr-TR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2705" w:type="dxa"/>
          </w:tcPr>
          <w:p w14:paraId="11FF5042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26615B"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Investment is equal to the sum of savings including household savings, government savings, and foreign savings.</w:t>
            </w:r>
          </w:p>
        </w:tc>
      </w:tr>
      <w:tr w:rsidR="007377AB" w:rsidRPr="00120636" w14:paraId="7FCBD2F8" w14:textId="77777777" w:rsidTr="001307F6">
        <w:trPr>
          <w:trHeight w:val="1434"/>
        </w:trPr>
        <w:tc>
          <w:tcPr>
            <w:tcW w:w="1950" w:type="dxa"/>
          </w:tcPr>
          <w:p w14:paraId="1B208BE0" w14:textId="77777777" w:rsidR="007377A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</w:p>
          <w:p w14:paraId="4AA2E3FF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>
              <w:rPr>
                <w:rFonts w:asciiTheme="majorHAnsi" w:hAnsiTheme="majorHAnsi" w:cstheme="majorHAnsi"/>
                <w:sz w:val="18"/>
                <w:szCs w:val="18"/>
                <w:lang w:eastAsia="tr-TR"/>
              </w:rPr>
              <w:t>Carbon Emissions</w:t>
            </w:r>
          </w:p>
        </w:tc>
        <w:tc>
          <w:tcPr>
            <w:tcW w:w="5623" w:type="dxa"/>
          </w:tcPr>
          <w:p w14:paraId="66117C62" w14:textId="77777777" w:rsidR="007377AB" w:rsidRPr="005E0F1D" w:rsidRDefault="007377AB" w:rsidP="001307F6">
            <w:pPr>
              <w:spacing w:line="278" w:lineRule="auto"/>
              <w:jc w:val="center"/>
              <w:rPr>
                <w:rFonts w:asciiTheme="majorHAnsi" w:hAnsiTheme="majorHAnsi" w:cstheme="majorHAnsi"/>
                <w:bCs/>
                <w:iCs/>
                <w:sz w:val="16"/>
                <w:szCs w:val="16"/>
                <w:lang w:eastAsia="tr-TR"/>
              </w:rPr>
            </w:pPr>
          </w:p>
          <w:p w14:paraId="47DDB822" w14:textId="77777777" w:rsidR="007377AB" w:rsidRDefault="00000000" w:rsidP="001307F6">
            <w:pPr>
              <w:spacing w:line="278" w:lineRule="auto"/>
              <w:jc w:val="center"/>
              <w:rPr>
                <w:rFonts w:ascii="Aptos Display" w:eastAsia="Times New Roman" w:hAnsi="Aptos Display" w:cs="Aptos Display"/>
                <w:bCs/>
                <w:iCs/>
                <w:sz w:val="16"/>
                <w:szCs w:val="16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Aptos Display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>CO2</m:t>
                    </m:r>
                  </m:e>
                  <m:sub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>ir</m:t>
                    </m:r>
                  </m:sub>
                </m:sSub>
                <m:r>
                  <w:rPr>
                    <w:rFonts w:ascii="Cambria Math" w:eastAsia="Times New Roman" w:hAnsi="Cambria Math" w:cs="Aptos Display"/>
                    <w:sz w:val="16"/>
                    <w:szCs w:val="16"/>
                    <w:lang w:eastAsia="tr-TR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Times New Roman" w:hAnsi="Cambria Math" w:cs="Aptos Display"/>
                        <w:bCs/>
                        <w:i/>
                        <w:iCs/>
                        <w:sz w:val="16"/>
                        <w:szCs w:val="16"/>
                        <w:lang w:eastAsia="tr-TR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>e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eastAsia="Times New Roman" w:hAnsi="Cambria Math" w:cs="Aptos Display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EF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 xml:space="preserve"> .  (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Aptos Display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HH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Times New Roman" w:hAnsi="Cambria Math" w:cs="Aptos Display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Aptos Display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Aptos Display"/>
                                <w:sz w:val="16"/>
                                <w:szCs w:val="16"/>
                                <w:lang w:eastAsia="tr-TR"/>
                              </w:rPr>
                              <m:t>vpm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Aptos Display"/>
                                <w:sz w:val="16"/>
                                <w:szCs w:val="16"/>
                                <w:lang w:eastAsia="tr-TR"/>
                              </w:rPr>
                              <m:t>ir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Aptos Display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ir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Aptos Display"/>
                            <w:sz w:val="16"/>
                            <w:szCs w:val="16"/>
                            <w:lang w:eastAsia="tr-TR"/>
                          </w:rPr>
                          <m:t>intDem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Times New Roman" w:hAnsi="Cambria Math" w:cs="Aptos Display"/>
                            <w:bCs/>
                            <w:i/>
                            <w:iCs/>
                            <w:sz w:val="16"/>
                            <w:szCs w:val="16"/>
                            <w:lang w:eastAsia="tr-TR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Aptos Display"/>
                                <w:bCs/>
                                <w:i/>
                                <w:iCs/>
                                <w:sz w:val="16"/>
                                <w:szCs w:val="16"/>
                                <w:lang w:eastAsia="tr-T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Aptos Display"/>
                                <w:sz w:val="16"/>
                                <w:szCs w:val="16"/>
                                <w:lang w:eastAsia="tr-TR"/>
                              </w:rPr>
                              <m:t>vafm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Aptos Display"/>
                                <w:sz w:val="16"/>
                                <w:szCs w:val="16"/>
                                <w:lang w:eastAsia="tr-TR"/>
                              </w:rPr>
                              <m:t>jir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Aptos Display"/>
                        <w:sz w:val="16"/>
                        <w:szCs w:val="16"/>
                        <w:lang w:eastAsia="tr-TR"/>
                      </w:rPr>
                      <m:t>)</m:t>
                    </m:r>
                  </m:e>
                </m:nary>
              </m:oMath>
            </m:oMathPara>
          </w:p>
        </w:tc>
        <w:tc>
          <w:tcPr>
            <w:tcW w:w="2705" w:type="dxa"/>
          </w:tcPr>
          <w:p w14:paraId="1FEDC5D9" w14:textId="77777777" w:rsidR="007377AB" w:rsidRPr="0026615B" w:rsidRDefault="007377AB" w:rsidP="001307F6">
            <w:pPr>
              <w:spacing w:line="278" w:lineRule="auto"/>
              <w:rPr>
                <w:rFonts w:asciiTheme="majorHAnsi" w:hAnsiTheme="majorHAnsi" w:cstheme="majorHAnsi"/>
                <w:sz w:val="18"/>
                <w:szCs w:val="18"/>
                <w:lang w:eastAsia="tr-TR"/>
              </w:rPr>
            </w:pPr>
            <w:r w:rsidRPr="005E0F1D">
              <w:rPr>
                <w:rFonts w:asciiTheme="majorHAnsi" w:hAnsiTheme="majorHAnsi" w:cstheme="majorHAnsi"/>
                <w:sz w:val="18"/>
                <w:szCs w:val="18"/>
                <w:lang w:val="tr-TR" w:eastAsia="tr-TR"/>
              </w:rPr>
              <w:t>Total energy use</w:t>
            </w:r>
            <w:r>
              <w:rPr>
                <w:rFonts w:asciiTheme="majorHAnsi" w:hAnsiTheme="majorHAnsi" w:cstheme="majorHAnsi"/>
                <w:sz w:val="18"/>
                <w:szCs w:val="18"/>
                <w:lang w:val="tr-TR" w:eastAsia="tr-TR"/>
              </w:rPr>
              <w:t xml:space="preserve"> (E)</w:t>
            </w:r>
            <w:r w:rsidRPr="005E0F1D">
              <w:rPr>
                <w:rFonts w:asciiTheme="majorHAnsi" w:hAnsiTheme="majorHAnsi" w:cstheme="majorHAnsi"/>
                <w:sz w:val="18"/>
                <w:szCs w:val="18"/>
                <w:lang w:val="tr-TR" w:eastAsia="tr-TR"/>
              </w:rPr>
              <w:t xml:space="preserve"> is measured in physical units and multiplied by fuel-specific emission factors</w:t>
            </w:r>
            <w:r>
              <w:rPr>
                <w:rFonts w:asciiTheme="majorHAnsi" w:hAnsiTheme="majorHAnsi" w:cstheme="majorHAnsi"/>
                <w:sz w:val="18"/>
                <w:szCs w:val="18"/>
                <w:lang w:val="tr-TR" w:eastAsia="tr-TR"/>
              </w:rPr>
              <w:t xml:space="preserve"> (EF)</w:t>
            </w:r>
            <w:r w:rsidRPr="005E0F1D">
              <w:rPr>
                <w:rFonts w:asciiTheme="majorHAnsi" w:hAnsiTheme="majorHAnsi" w:cstheme="majorHAnsi"/>
                <w:sz w:val="18"/>
                <w:szCs w:val="18"/>
                <w:lang w:val="tr-TR" w:eastAsia="tr-TR"/>
              </w:rPr>
              <w:t>, allowing the model to capture the implications of demand shifts, efficiency improvements, and substitution between energy sources.</w:t>
            </w:r>
          </w:p>
        </w:tc>
      </w:tr>
    </w:tbl>
    <w:p w14:paraId="119BE986" w14:textId="15731EC1" w:rsidR="00DE1D7E" w:rsidRDefault="00DE1D7E" w:rsidP="007377A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6A33BDD" w14:textId="77777777" w:rsidR="007377AB" w:rsidRPr="00B86336" w:rsidRDefault="007377AB" w:rsidP="007377AB">
      <w:pPr>
        <w:pStyle w:val="Heading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Appendix 4</w:t>
      </w:r>
      <w:r w:rsidRPr="001704DE">
        <w:rPr>
          <w:rFonts w:ascii="Times New Roman" w:hAnsi="Times New Roman" w:cs="Times New Roman"/>
          <w:b/>
          <w:bCs/>
          <w:color w:val="auto"/>
          <w:sz w:val="20"/>
          <w:szCs w:val="20"/>
        </w:rPr>
        <w:t>. Data Sources for Relevant Model Accounts</w:t>
      </w:r>
    </w:p>
    <w:tbl>
      <w:tblPr>
        <w:tblStyle w:val="TabloKlavuzu1"/>
        <w:tblW w:w="9370" w:type="dxa"/>
        <w:tblInd w:w="-5" w:type="dxa"/>
        <w:tblLook w:val="04A0" w:firstRow="1" w:lastRow="0" w:firstColumn="1" w:lastColumn="0" w:noHBand="0" w:noVBand="1"/>
      </w:tblPr>
      <w:tblGrid>
        <w:gridCol w:w="1951"/>
        <w:gridCol w:w="7419"/>
      </w:tblGrid>
      <w:tr w:rsidR="00DE1D7E" w:rsidRPr="00DE1D7E" w14:paraId="04E7EE5A" w14:textId="77777777" w:rsidTr="00B33D79">
        <w:trPr>
          <w:trHeight w:val="695"/>
        </w:trPr>
        <w:tc>
          <w:tcPr>
            <w:tcW w:w="1951" w:type="dxa"/>
          </w:tcPr>
          <w:p w14:paraId="34A9CB55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Commodity and Activity Accounts</w:t>
            </w:r>
          </w:p>
        </w:tc>
        <w:tc>
          <w:tcPr>
            <w:tcW w:w="7419" w:type="dxa"/>
          </w:tcPr>
          <w:p w14:paraId="70EA526B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UK Supply and Use Tables (</w:t>
            </w:r>
            <w:hyperlink r:id="rId6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Input-output supply and use tables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6868CB34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Scotland Supply and Use Tables (</w:t>
            </w:r>
            <w:hyperlink r:id="rId7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Supply, Use and Input-Output Tables: 1998-2020 - gov.scot (www.gov.scot)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17487F4E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2019 Northern Ireland Supply and Use Tables (</w:t>
            </w:r>
            <w:hyperlink r:id="rId8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NI Economic Accounts Project - 2018 and 2019 Experimental Results | Northern Ireland Statistics and Research Agency (nisra.gov.uk)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53489F03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Wales Supply and Use Tables (</w:t>
            </w:r>
            <w:hyperlink r:id="rId9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Project_Report_Input_Output_Tables_Wales_2019.pdf (cardiff.ac.uk)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24092177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Gross Value Added by industry (</w:t>
            </w:r>
            <w:hyperlink r:id="rId10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Regional gross value added (balanced) by industry: all ITL regions - Office for National Statistics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0D5590E0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Economic Accounts Reference Table (</w:t>
            </w:r>
            <w:hyperlink r:id="rId11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UK Economic Accounts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26A38F28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 xml:space="preserve">2023 Profile of the UK Mineral Products Industry </w:t>
            </w:r>
            <w:hyperlink r:id="rId12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(MPA mineral data)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 xml:space="preserve"> </w:t>
            </w:r>
          </w:p>
          <w:p w14:paraId="6BB7CAB2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 xml:space="preserve">2019 Carbon dioxide emissions intensity by industry </w:t>
            </w:r>
            <w:hyperlink r:id="rId13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(Office for National Statistics CO2 data)</w:t>
              </w:r>
            </w:hyperlink>
          </w:p>
        </w:tc>
      </w:tr>
      <w:tr w:rsidR="00DE1D7E" w:rsidRPr="00DE1D7E" w14:paraId="6122F612" w14:textId="77777777" w:rsidTr="00B33D79">
        <w:trPr>
          <w:trHeight w:val="576"/>
        </w:trPr>
        <w:tc>
          <w:tcPr>
            <w:tcW w:w="1951" w:type="dxa"/>
          </w:tcPr>
          <w:p w14:paraId="50AFA486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Factor Accounts</w:t>
            </w:r>
          </w:p>
        </w:tc>
        <w:tc>
          <w:tcPr>
            <w:tcW w:w="7419" w:type="dxa"/>
          </w:tcPr>
          <w:p w14:paraId="7D477A7F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Gross Value Added by industry (</w:t>
            </w:r>
            <w:hyperlink r:id="rId14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Regional gross value added (balanced) by industry: all ITL regions - Office for National Statistics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3A3367D4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Employment data (</w:t>
            </w:r>
            <w:hyperlink r:id="rId15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 xml:space="preserve">workforce jobs by industry - Nomis - Official Census and </w:t>
              </w:r>
              <w:proofErr w:type="spellStart"/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Labour</w:t>
              </w:r>
              <w:proofErr w:type="spellEnd"/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 xml:space="preserve"> Market Statistics (nomisweb.co.uk)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</w:tc>
      </w:tr>
      <w:tr w:rsidR="00DE1D7E" w:rsidRPr="00DE1D7E" w14:paraId="67BAC487" w14:textId="77777777" w:rsidTr="00B33D79">
        <w:trPr>
          <w:trHeight w:val="576"/>
        </w:trPr>
        <w:tc>
          <w:tcPr>
            <w:tcW w:w="1951" w:type="dxa"/>
          </w:tcPr>
          <w:p w14:paraId="15470A60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Institutions</w:t>
            </w:r>
          </w:p>
          <w:p w14:paraId="6165C5B0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</w:p>
        </w:tc>
        <w:tc>
          <w:tcPr>
            <w:tcW w:w="7419" w:type="dxa"/>
          </w:tcPr>
          <w:p w14:paraId="185DCF5A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UK Input Output Table (</w:t>
            </w:r>
            <w:hyperlink r:id="rId16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Input-output supply and use tables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61E85E13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Gross Fixed Capital Formation Data (</w:t>
            </w:r>
            <w:hyperlink r:id="rId17" w:anchor=":~:text=Regional%20gross%20fixed%20capital%20formation%20data,-Experimental%20regional%20gross&amp;text=A%20dataset%20containing%20inputs%20used,infrastructure%20and%20non%2Dproduced%20assets.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Experimental regional gross fixed capital formation (GFCF) estimates by asset type, UK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2A6DE974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Household Consumption and Income data (</w:t>
            </w:r>
            <w:hyperlink r:id="rId18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Detailed household expenditure by countries and regions: Table A35 - Office for National Statistics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55A1C5DB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Gross Value Added by industry (</w:t>
            </w:r>
            <w:hyperlink r:id="rId19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Regional gross value added (balanced) by industry: all ITL regions - Office for National Statistics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3A303DAC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Economic Accounts Reference Table (</w:t>
            </w:r>
            <w:hyperlink r:id="rId20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UK Economic Accounts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</w:tc>
      </w:tr>
      <w:tr w:rsidR="00DE1D7E" w:rsidRPr="00DE1D7E" w14:paraId="646FE8FF" w14:textId="77777777" w:rsidTr="00B33D79">
        <w:trPr>
          <w:trHeight w:val="302"/>
        </w:trPr>
        <w:tc>
          <w:tcPr>
            <w:tcW w:w="1951" w:type="dxa"/>
          </w:tcPr>
          <w:p w14:paraId="03124F1B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Public Accounts</w:t>
            </w:r>
          </w:p>
          <w:p w14:paraId="70716D09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</w:p>
        </w:tc>
        <w:tc>
          <w:tcPr>
            <w:tcW w:w="7419" w:type="dxa"/>
          </w:tcPr>
          <w:p w14:paraId="4A70F53F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Public Sector Current Receipts (</w:t>
            </w:r>
            <w:hyperlink r:id="rId21" w:anchor=":~:text=4.-,Revenue,amount%20at%20%C2%A319.3%20billion.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Country and regional public sector finances, UK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6A7D4FEB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Regional Public Sector Finances (</w:t>
            </w:r>
            <w:hyperlink r:id="rId22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Country and regional public sector finances, UK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</w:tc>
      </w:tr>
      <w:tr w:rsidR="00DE1D7E" w:rsidRPr="00DE1D7E" w14:paraId="53039D6E" w14:textId="77777777" w:rsidTr="00B33D79">
        <w:trPr>
          <w:trHeight w:val="219"/>
        </w:trPr>
        <w:tc>
          <w:tcPr>
            <w:tcW w:w="1951" w:type="dxa"/>
          </w:tcPr>
          <w:p w14:paraId="344A7DCB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Foreign Balance</w:t>
            </w:r>
          </w:p>
        </w:tc>
        <w:tc>
          <w:tcPr>
            <w:tcW w:w="7419" w:type="dxa"/>
          </w:tcPr>
          <w:p w14:paraId="28C89197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Subnational Trade in Goods (</w:t>
            </w:r>
            <w:hyperlink r:id="rId23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Subnational trade in goods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31861437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Subnational Trade in Servies (</w:t>
            </w:r>
            <w:hyperlink r:id="rId24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Subnational trade in services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7FC24AF5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  <w:r w:rsidRPr="00DE1D7E">
              <w:rPr>
                <w:rFonts w:ascii="Times New Roman" w:eastAsia="Calibri" w:hAnsi="Times New Roman"/>
                <w:sz w:val="18"/>
                <w:szCs w:val="18"/>
              </w:rPr>
              <w:t>2019 Economic Accounts Reference Table (</w:t>
            </w:r>
            <w:hyperlink r:id="rId25" w:history="1">
              <w:r w:rsidRPr="00DE1D7E">
                <w:rPr>
                  <w:rFonts w:ascii="Times New Roman" w:eastAsia="Calibri" w:hAnsi="Times New Roman"/>
                  <w:color w:val="0000FF"/>
                  <w:sz w:val="18"/>
                  <w:szCs w:val="18"/>
                  <w:u w:val="single"/>
                </w:rPr>
                <w:t>UK Economic Accounts - Office for National Statistics (ons.gov.uk)</w:t>
              </w:r>
            </w:hyperlink>
            <w:r w:rsidRPr="00DE1D7E">
              <w:rPr>
                <w:rFonts w:ascii="Times New Roman" w:eastAsia="Calibri" w:hAnsi="Times New Roman"/>
                <w:sz w:val="18"/>
                <w:szCs w:val="18"/>
              </w:rPr>
              <w:t>)</w:t>
            </w:r>
          </w:p>
          <w:p w14:paraId="5BC2960F" w14:textId="77777777" w:rsidR="00DE1D7E" w:rsidRPr="00DE1D7E" w:rsidRDefault="00DE1D7E" w:rsidP="00DE1D7E">
            <w:pPr>
              <w:adjustRightInd w:val="0"/>
              <w:snapToGrid w:val="0"/>
              <w:spacing w:after="16" w:line="240" w:lineRule="auto"/>
              <w:ind w:hanging="425"/>
              <w:rPr>
                <w:rFonts w:ascii="Times New Roman" w:eastAsia="Calibri" w:hAnsi="Times New Roman"/>
                <w:i/>
                <w:sz w:val="18"/>
                <w:szCs w:val="18"/>
              </w:rPr>
            </w:pPr>
          </w:p>
        </w:tc>
      </w:tr>
    </w:tbl>
    <w:p w14:paraId="2A91B50E" w14:textId="77777777" w:rsidR="007377AB" w:rsidRDefault="007377AB" w:rsidP="007377A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86754C5" w14:textId="77777777" w:rsidR="007377AB" w:rsidRDefault="007377AB"/>
    <w:sectPr w:rsidR="00737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933"/>
    <w:multiLevelType w:val="multilevel"/>
    <w:tmpl w:val="15B4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6E2619"/>
    <w:multiLevelType w:val="multilevel"/>
    <w:tmpl w:val="9DF2F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100AE9"/>
    <w:multiLevelType w:val="multilevel"/>
    <w:tmpl w:val="8AA4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604727"/>
    <w:multiLevelType w:val="multilevel"/>
    <w:tmpl w:val="F3824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F87AE3"/>
    <w:multiLevelType w:val="multilevel"/>
    <w:tmpl w:val="584C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E83A73"/>
    <w:multiLevelType w:val="multilevel"/>
    <w:tmpl w:val="03481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DA2A28"/>
    <w:multiLevelType w:val="hybridMultilevel"/>
    <w:tmpl w:val="160E67E6"/>
    <w:lvl w:ilvl="0" w:tplc="8228C43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B360F26"/>
    <w:multiLevelType w:val="multilevel"/>
    <w:tmpl w:val="D3BC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05279"/>
    <w:multiLevelType w:val="hybridMultilevel"/>
    <w:tmpl w:val="3EB4CB44"/>
    <w:lvl w:ilvl="0" w:tplc="D392421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45661"/>
    <w:multiLevelType w:val="multilevel"/>
    <w:tmpl w:val="3326A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BA6FCD"/>
    <w:multiLevelType w:val="multilevel"/>
    <w:tmpl w:val="DACC4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D33B2E"/>
    <w:multiLevelType w:val="hybridMultilevel"/>
    <w:tmpl w:val="BC744D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F7322C"/>
    <w:multiLevelType w:val="multilevel"/>
    <w:tmpl w:val="1340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DD1A4D"/>
    <w:multiLevelType w:val="multilevel"/>
    <w:tmpl w:val="3E2A4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7B43D5"/>
    <w:multiLevelType w:val="multilevel"/>
    <w:tmpl w:val="FCA6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195AD5"/>
    <w:multiLevelType w:val="multilevel"/>
    <w:tmpl w:val="C8DE7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50704E"/>
    <w:multiLevelType w:val="multilevel"/>
    <w:tmpl w:val="403EF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54480D"/>
    <w:multiLevelType w:val="multilevel"/>
    <w:tmpl w:val="B6EC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F833E2"/>
    <w:multiLevelType w:val="multilevel"/>
    <w:tmpl w:val="5A34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632C90"/>
    <w:multiLevelType w:val="hybridMultilevel"/>
    <w:tmpl w:val="723002A2"/>
    <w:lvl w:ilvl="0" w:tplc="469E81D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5603E6"/>
    <w:multiLevelType w:val="multilevel"/>
    <w:tmpl w:val="76F2B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C146BC"/>
    <w:multiLevelType w:val="multilevel"/>
    <w:tmpl w:val="41803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4D6F728E"/>
    <w:multiLevelType w:val="multilevel"/>
    <w:tmpl w:val="1D54A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1D7F3D"/>
    <w:multiLevelType w:val="multilevel"/>
    <w:tmpl w:val="23A83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1C04F3"/>
    <w:multiLevelType w:val="multilevel"/>
    <w:tmpl w:val="1C566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456B22"/>
    <w:multiLevelType w:val="multilevel"/>
    <w:tmpl w:val="8D187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A9E1C5D"/>
    <w:multiLevelType w:val="hybridMultilevel"/>
    <w:tmpl w:val="82AEBA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B4858"/>
    <w:multiLevelType w:val="multilevel"/>
    <w:tmpl w:val="4A34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633951"/>
    <w:multiLevelType w:val="multilevel"/>
    <w:tmpl w:val="4D427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954B7C"/>
    <w:multiLevelType w:val="multilevel"/>
    <w:tmpl w:val="5118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97093D"/>
    <w:multiLevelType w:val="multilevel"/>
    <w:tmpl w:val="4544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A50C8B"/>
    <w:multiLevelType w:val="multilevel"/>
    <w:tmpl w:val="BC62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A64E21"/>
    <w:multiLevelType w:val="multilevel"/>
    <w:tmpl w:val="41803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3" w15:restartNumberingAfterBreak="0">
    <w:nsid w:val="67FC7E78"/>
    <w:multiLevelType w:val="hybridMultilevel"/>
    <w:tmpl w:val="7D522C4C"/>
    <w:lvl w:ilvl="0" w:tplc="2B24711A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5071FC"/>
    <w:multiLevelType w:val="multilevel"/>
    <w:tmpl w:val="2476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D71ED5"/>
    <w:multiLevelType w:val="multilevel"/>
    <w:tmpl w:val="FEBAB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FF3BC7"/>
    <w:multiLevelType w:val="multilevel"/>
    <w:tmpl w:val="41803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7" w15:restartNumberingAfterBreak="0">
    <w:nsid w:val="70181B6B"/>
    <w:multiLevelType w:val="hybridMultilevel"/>
    <w:tmpl w:val="41A6C802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1312873"/>
    <w:multiLevelType w:val="multilevel"/>
    <w:tmpl w:val="06206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F57E85"/>
    <w:multiLevelType w:val="hybridMultilevel"/>
    <w:tmpl w:val="4DF874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034F6F"/>
    <w:multiLevelType w:val="multilevel"/>
    <w:tmpl w:val="4502A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6C714D"/>
    <w:multiLevelType w:val="hybridMultilevel"/>
    <w:tmpl w:val="DA324322"/>
    <w:lvl w:ilvl="0" w:tplc="6D20CE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8830DAC"/>
    <w:multiLevelType w:val="multilevel"/>
    <w:tmpl w:val="81E6F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5340D4"/>
    <w:multiLevelType w:val="multilevel"/>
    <w:tmpl w:val="9C70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624614"/>
    <w:multiLevelType w:val="hybridMultilevel"/>
    <w:tmpl w:val="621AE3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9925A0"/>
    <w:multiLevelType w:val="multilevel"/>
    <w:tmpl w:val="32BA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426F94"/>
    <w:multiLevelType w:val="multilevel"/>
    <w:tmpl w:val="A652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803E18"/>
    <w:multiLevelType w:val="multilevel"/>
    <w:tmpl w:val="A7ACD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C1578F4"/>
    <w:multiLevelType w:val="hybridMultilevel"/>
    <w:tmpl w:val="A288A63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AB2800"/>
    <w:multiLevelType w:val="multilevel"/>
    <w:tmpl w:val="754E8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6617425">
    <w:abstractNumId w:val="39"/>
  </w:num>
  <w:num w:numId="2" w16cid:durableId="430782962">
    <w:abstractNumId w:val="48"/>
  </w:num>
  <w:num w:numId="3" w16cid:durableId="1511987279">
    <w:abstractNumId w:val="34"/>
  </w:num>
  <w:num w:numId="4" w16cid:durableId="664019476">
    <w:abstractNumId w:val="28"/>
  </w:num>
  <w:num w:numId="5" w16cid:durableId="1554198247">
    <w:abstractNumId w:val="38"/>
  </w:num>
  <w:num w:numId="6" w16cid:durableId="1717897578">
    <w:abstractNumId w:val="49"/>
  </w:num>
  <w:num w:numId="7" w16cid:durableId="50882189">
    <w:abstractNumId w:val="2"/>
  </w:num>
  <w:num w:numId="8" w16cid:durableId="1497769609">
    <w:abstractNumId w:val="5"/>
  </w:num>
  <w:num w:numId="9" w16cid:durableId="1025448783">
    <w:abstractNumId w:val="31"/>
  </w:num>
  <w:num w:numId="10" w16cid:durableId="1256086331">
    <w:abstractNumId w:val="18"/>
  </w:num>
  <w:num w:numId="11" w16cid:durableId="1899976422">
    <w:abstractNumId w:val="42"/>
  </w:num>
  <w:num w:numId="12" w16cid:durableId="1583949965">
    <w:abstractNumId w:val="20"/>
  </w:num>
  <w:num w:numId="13" w16cid:durableId="1989357294">
    <w:abstractNumId w:val="1"/>
  </w:num>
  <w:num w:numId="14" w16cid:durableId="10303112">
    <w:abstractNumId w:val="11"/>
  </w:num>
  <w:num w:numId="15" w16cid:durableId="1675568642">
    <w:abstractNumId w:val="8"/>
  </w:num>
  <w:num w:numId="16" w16cid:durableId="452283726">
    <w:abstractNumId w:val="15"/>
  </w:num>
  <w:num w:numId="17" w16cid:durableId="1211267648">
    <w:abstractNumId w:val="0"/>
  </w:num>
  <w:num w:numId="18" w16cid:durableId="138154050">
    <w:abstractNumId w:val="3"/>
  </w:num>
  <w:num w:numId="19" w16cid:durableId="496575665">
    <w:abstractNumId w:val="17"/>
  </w:num>
  <w:num w:numId="20" w16cid:durableId="387805822">
    <w:abstractNumId w:val="45"/>
  </w:num>
  <w:num w:numId="21" w16cid:durableId="589655651">
    <w:abstractNumId w:val="9"/>
  </w:num>
  <w:num w:numId="22" w16cid:durableId="1456756767">
    <w:abstractNumId w:val="46"/>
  </w:num>
  <w:num w:numId="23" w16cid:durableId="787745362">
    <w:abstractNumId w:val="43"/>
  </w:num>
  <w:num w:numId="24" w16cid:durableId="938373935">
    <w:abstractNumId w:val="23"/>
  </w:num>
  <w:num w:numId="25" w16cid:durableId="1419667092">
    <w:abstractNumId w:val="14"/>
  </w:num>
  <w:num w:numId="26" w16cid:durableId="2055618416">
    <w:abstractNumId w:val="40"/>
  </w:num>
  <w:num w:numId="27" w16cid:durableId="102772235">
    <w:abstractNumId w:val="47"/>
  </w:num>
  <w:num w:numId="28" w16cid:durableId="1902402049">
    <w:abstractNumId w:val="25"/>
  </w:num>
  <w:num w:numId="29" w16cid:durableId="718825545">
    <w:abstractNumId w:val="30"/>
  </w:num>
  <w:num w:numId="30" w16cid:durableId="2027781492">
    <w:abstractNumId w:val="12"/>
  </w:num>
  <w:num w:numId="31" w16cid:durableId="609434937">
    <w:abstractNumId w:val="27"/>
  </w:num>
  <w:num w:numId="32" w16cid:durableId="2100520037">
    <w:abstractNumId w:val="35"/>
  </w:num>
  <w:num w:numId="33" w16cid:durableId="849176709">
    <w:abstractNumId w:val="24"/>
  </w:num>
  <w:num w:numId="34" w16cid:durableId="818152063">
    <w:abstractNumId w:val="10"/>
  </w:num>
  <w:num w:numId="35" w16cid:durableId="1393623187">
    <w:abstractNumId w:val="4"/>
  </w:num>
  <w:num w:numId="36" w16cid:durableId="1353611734">
    <w:abstractNumId w:val="29"/>
  </w:num>
  <w:num w:numId="37" w16cid:durableId="225065677">
    <w:abstractNumId w:val="16"/>
  </w:num>
  <w:num w:numId="38" w16cid:durableId="1516306713">
    <w:abstractNumId w:val="13"/>
  </w:num>
  <w:num w:numId="39" w16cid:durableId="1209220537">
    <w:abstractNumId w:val="7"/>
  </w:num>
  <w:num w:numId="40" w16cid:durableId="1033575044">
    <w:abstractNumId w:val="19"/>
  </w:num>
  <w:num w:numId="41" w16cid:durableId="1189758662">
    <w:abstractNumId w:val="22"/>
  </w:num>
  <w:num w:numId="42" w16cid:durableId="365564851">
    <w:abstractNumId w:val="32"/>
  </w:num>
  <w:num w:numId="43" w16cid:durableId="1912110130">
    <w:abstractNumId w:val="33"/>
  </w:num>
  <w:num w:numId="44" w16cid:durableId="505247390">
    <w:abstractNumId w:val="44"/>
  </w:num>
  <w:num w:numId="45" w16cid:durableId="1566643560">
    <w:abstractNumId w:val="37"/>
  </w:num>
  <w:num w:numId="46" w16cid:durableId="1157039368">
    <w:abstractNumId w:val="41"/>
  </w:num>
  <w:num w:numId="47" w16cid:durableId="1434403049">
    <w:abstractNumId w:val="21"/>
  </w:num>
  <w:num w:numId="48" w16cid:durableId="284888733">
    <w:abstractNumId w:val="36"/>
  </w:num>
  <w:num w:numId="49" w16cid:durableId="560942090">
    <w:abstractNumId w:val="6"/>
  </w:num>
  <w:num w:numId="50" w16cid:durableId="184944510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E73"/>
    <w:rsid w:val="00001A17"/>
    <w:rsid w:val="000050B5"/>
    <w:rsid w:val="00025F07"/>
    <w:rsid w:val="000437D7"/>
    <w:rsid w:val="00080C29"/>
    <w:rsid w:val="0008790A"/>
    <w:rsid w:val="00096B7F"/>
    <w:rsid w:val="000A402B"/>
    <w:rsid w:val="000C6E31"/>
    <w:rsid w:val="000D228C"/>
    <w:rsid w:val="001221DD"/>
    <w:rsid w:val="001307F6"/>
    <w:rsid w:val="001363C6"/>
    <w:rsid w:val="00140D9C"/>
    <w:rsid w:val="00194F74"/>
    <w:rsid w:val="001A3913"/>
    <w:rsid w:val="001B566C"/>
    <w:rsid w:val="001D3403"/>
    <w:rsid w:val="002039B2"/>
    <w:rsid w:val="002409F4"/>
    <w:rsid w:val="00243599"/>
    <w:rsid w:val="00295E73"/>
    <w:rsid w:val="002B149B"/>
    <w:rsid w:val="00331D99"/>
    <w:rsid w:val="00365692"/>
    <w:rsid w:val="003A1536"/>
    <w:rsid w:val="003B4836"/>
    <w:rsid w:val="003B5C8A"/>
    <w:rsid w:val="00421B06"/>
    <w:rsid w:val="00423409"/>
    <w:rsid w:val="004433CD"/>
    <w:rsid w:val="004469E1"/>
    <w:rsid w:val="00456184"/>
    <w:rsid w:val="004D274A"/>
    <w:rsid w:val="004F0DBE"/>
    <w:rsid w:val="004F1B5C"/>
    <w:rsid w:val="004F44A9"/>
    <w:rsid w:val="004F64A5"/>
    <w:rsid w:val="0051499E"/>
    <w:rsid w:val="00541D2B"/>
    <w:rsid w:val="0058029B"/>
    <w:rsid w:val="005821BC"/>
    <w:rsid w:val="005E6AF5"/>
    <w:rsid w:val="00632617"/>
    <w:rsid w:val="006824A8"/>
    <w:rsid w:val="006C0BDA"/>
    <w:rsid w:val="006E2500"/>
    <w:rsid w:val="007377AB"/>
    <w:rsid w:val="00742FFD"/>
    <w:rsid w:val="00753098"/>
    <w:rsid w:val="007972EE"/>
    <w:rsid w:val="007C7D2E"/>
    <w:rsid w:val="007E076F"/>
    <w:rsid w:val="0085271C"/>
    <w:rsid w:val="00853920"/>
    <w:rsid w:val="00863AD1"/>
    <w:rsid w:val="00891144"/>
    <w:rsid w:val="008A2F53"/>
    <w:rsid w:val="008A43E8"/>
    <w:rsid w:val="008A5F38"/>
    <w:rsid w:val="008D2646"/>
    <w:rsid w:val="00910194"/>
    <w:rsid w:val="00916593"/>
    <w:rsid w:val="00947456"/>
    <w:rsid w:val="009D337D"/>
    <w:rsid w:val="00A70339"/>
    <w:rsid w:val="00A74234"/>
    <w:rsid w:val="00A910FD"/>
    <w:rsid w:val="00AA6D3E"/>
    <w:rsid w:val="00AB4DD0"/>
    <w:rsid w:val="00AE4E81"/>
    <w:rsid w:val="00AF70E4"/>
    <w:rsid w:val="00B33D79"/>
    <w:rsid w:val="00B4079D"/>
    <w:rsid w:val="00B47581"/>
    <w:rsid w:val="00B47E6C"/>
    <w:rsid w:val="00B714D0"/>
    <w:rsid w:val="00BA66B7"/>
    <w:rsid w:val="00BD1490"/>
    <w:rsid w:val="00C12411"/>
    <w:rsid w:val="00C2727C"/>
    <w:rsid w:val="00C43D57"/>
    <w:rsid w:val="00C63FCC"/>
    <w:rsid w:val="00C814E9"/>
    <w:rsid w:val="00C91C69"/>
    <w:rsid w:val="00CE6862"/>
    <w:rsid w:val="00CF5BD1"/>
    <w:rsid w:val="00D027A8"/>
    <w:rsid w:val="00D24E22"/>
    <w:rsid w:val="00D403B1"/>
    <w:rsid w:val="00DA33EC"/>
    <w:rsid w:val="00DA60D6"/>
    <w:rsid w:val="00DC4919"/>
    <w:rsid w:val="00DD46B9"/>
    <w:rsid w:val="00DE1D7E"/>
    <w:rsid w:val="00DE309E"/>
    <w:rsid w:val="00DF75E5"/>
    <w:rsid w:val="00E014CD"/>
    <w:rsid w:val="00E0307B"/>
    <w:rsid w:val="00E54D35"/>
    <w:rsid w:val="00E6287F"/>
    <w:rsid w:val="00EC6F63"/>
    <w:rsid w:val="00F44B4B"/>
    <w:rsid w:val="00F46014"/>
    <w:rsid w:val="00F52F6C"/>
    <w:rsid w:val="00F76CB7"/>
    <w:rsid w:val="00F812B4"/>
    <w:rsid w:val="00FA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89EA5A"/>
  <w15:chartTrackingRefBased/>
  <w15:docId w15:val="{29B4F1BB-238F-4AE4-89D3-015B1E641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5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5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5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95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E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95E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E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E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E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E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E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E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E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E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E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77AB"/>
    <w:rPr>
      <w:color w:val="467886" w:themeColor="hyperlink"/>
      <w:u w:val="single"/>
    </w:rPr>
  </w:style>
  <w:style w:type="character" w:customStyle="1" w:styleId="zmlenmeyenBahsetme1">
    <w:name w:val="Çözümlenmeyen Bahsetme1"/>
    <w:basedOn w:val="DefaultParagraphFont"/>
    <w:uiPriority w:val="99"/>
    <w:semiHidden/>
    <w:unhideWhenUsed/>
    <w:rsid w:val="007377A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377AB"/>
    <w:rPr>
      <w:rFonts w:ascii="Times New Roman" w:hAnsi="Times New Roman" w:cs="Times New Roman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7377AB"/>
    <w:rPr>
      <w:color w:val="666666"/>
    </w:rPr>
  </w:style>
  <w:style w:type="character" w:styleId="Strong">
    <w:name w:val="Strong"/>
    <w:basedOn w:val="DefaultParagraphFont"/>
    <w:uiPriority w:val="22"/>
    <w:qFormat/>
    <w:rsid w:val="007377AB"/>
    <w:rPr>
      <w:b/>
      <w:bCs/>
    </w:rPr>
  </w:style>
  <w:style w:type="table" w:styleId="TableGrid">
    <w:name w:val="Table Grid"/>
    <w:basedOn w:val="TableNormal"/>
    <w:uiPriority w:val="59"/>
    <w:rsid w:val="007377AB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7377AB"/>
    <w:rPr>
      <w:i/>
      <w:iCs/>
    </w:rPr>
  </w:style>
  <w:style w:type="character" w:customStyle="1" w:styleId="katex-mathml">
    <w:name w:val="katex-mathml"/>
    <w:basedOn w:val="DefaultParagraphFont"/>
    <w:rsid w:val="007377AB"/>
  </w:style>
  <w:style w:type="character" w:customStyle="1" w:styleId="mord">
    <w:name w:val="mord"/>
    <w:basedOn w:val="DefaultParagraphFont"/>
    <w:rsid w:val="007377AB"/>
  </w:style>
  <w:style w:type="character" w:customStyle="1" w:styleId="vlist-s">
    <w:name w:val="vlist-s"/>
    <w:basedOn w:val="DefaultParagraphFont"/>
    <w:rsid w:val="007377AB"/>
  </w:style>
  <w:style w:type="character" w:customStyle="1" w:styleId="mopen">
    <w:name w:val="mopen"/>
    <w:basedOn w:val="DefaultParagraphFont"/>
    <w:rsid w:val="007377AB"/>
  </w:style>
  <w:style w:type="character" w:customStyle="1" w:styleId="mclose">
    <w:name w:val="mclose"/>
    <w:basedOn w:val="DefaultParagraphFont"/>
    <w:rsid w:val="007377AB"/>
  </w:style>
  <w:style w:type="paragraph" w:styleId="Header">
    <w:name w:val="header"/>
    <w:basedOn w:val="Normal"/>
    <w:link w:val="HeaderChar"/>
    <w:uiPriority w:val="99"/>
    <w:unhideWhenUsed/>
    <w:rsid w:val="007377AB"/>
    <w:pPr>
      <w:tabs>
        <w:tab w:val="center" w:pos="4536"/>
        <w:tab w:val="right" w:pos="9072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7377A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377AB"/>
    <w:pPr>
      <w:tabs>
        <w:tab w:val="center" w:pos="4536"/>
        <w:tab w:val="right" w:pos="9072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377AB"/>
    <w:rPr>
      <w:lang w:val="en-GB"/>
    </w:rPr>
  </w:style>
  <w:style w:type="table" w:customStyle="1" w:styleId="TabloKlavuzu1">
    <w:name w:val="Tablo Kılavuzu1"/>
    <w:basedOn w:val="TableNormal"/>
    <w:next w:val="TableGrid"/>
    <w:uiPriority w:val="59"/>
    <w:rsid w:val="00DE1D7E"/>
    <w:pPr>
      <w:spacing w:after="0" w:line="260" w:lineRule="atLeast"/>
      <w:ind w:left="425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sra.gov.uk/publications/ni-economic-accounts-project-2018-and-2019-experimental-results" TargetMode="External"/><Relationship Id="rId13" Type="http://schemas.openxmlformats.org/officeDocument/2006/relationships/hyperlink" Target="https://www.ons.gov.uk/economy/environmentalaccounts/datasets/carbondioxideemissionsintensitybyindustry" TargetMode="External"/><Relationship Id="rId18" Type="http://schemas.openxmlformats.org/officeDocument/2006/relationships/hyperlink" Target="https://www.ons.gov.uk/peoplepopulationandcommunity/personalandhouseholdfinances/expenditure/datasets/detailedhouseholdexpenditurebycountriesandregionsuktablea35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ons.gov.uk/economy/governmentpublicsectorandtaxes/publicsectorfinance/articles/countryandregionalpublicsectorfinances/financialyearending2022" TargetMode="External"/><Relationship Id="rId7" Type="http://schemas.openxmlformats.org/officeDocument/2006/relationships/hyperlink" Target="https://www.gov.scot/publications/input-output-latest/" TargetMode="External"/><Relationship Id="rId12" Type="http://schemas.openxmlformats.org/officeDocument/2006/relationships/hyperlink" Target="file:///C:/Users/piski/Desktop/www.mineralproducts.org%252FMPA%252Fmedia%252Froot%252FPublications%252F2023%252FProfile_of_the_UK_Mineral_Products_Industry_2023_Worksheet.xlsx&amp;wdOrigin=BROWSELINK" TargetMode="External"/><Relationship Id="rId17" Type="http://schemas.openxmlformats.org/officeDocument/2006/relationships/hyperlink" Target="https://www.ons.gov.uk/economy/nationalaccounts/uksectoraccounts/articles/experimentalregionalgrossfixedcapitalformationgfcfestimatesbyassettypeuk/1997to2022" TargetMode="External"/><Relationship Id="rId25" Type="http://schemas.openxmlformats.org/officeDocument/2006/relationships/hyperlink" Target="https://www.ons.gov.uk/economy/nationalaccounts/uksectoraccounts/datasets/ukeconomicaccount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ons.gov.uk/economy/nationalaccounts/supplyandusetables/datasets/inputoutputsupplyandusetables" TargetMode="External"/><Relationship Id="rId20" Type="http://schemas.openxmlformats.org/officeDocument/2006/relationships/hyperlink" Target="https://www.ons.gov.uk/economy/nationalaccounts/uksectoraccounts/datasets/ukeconomicaccount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ons.gov.uk/economy/nationalaccounts/supplyandusetables/datasets/inputoutputsupplyandusetables" TargetMode="External"/><Relationship Id="rId11" Type="http://schemas.openxmlformats.org/officeDocument/2006/relationships/hyperlink" Target="https://www.ons.gov.uk/economy/nationalaccounts/uksectoraccounts/datasets/ukeconomicaccounts" TargetMode="External"/><Relationship Id="rId24" Type="http://schemas.openxmlformats.org/officeDocument/2006/relationships/hyperlink" Target="https://www.ons.gov.uk/businessindustryandtrade/internationaltrade/datasets/subnationaltradeinservice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misweb.co.uk/datasets/wfjsa" TargetMode="External"/><Relationship Id="rId23" Type="http://schemas.openxmlformats.org/officeDocument/2006/relationships/hyperlink" Target="https://www.ons.gov.uk/businessindustryandtrade/internationaltrade/datasets/subnationaltradeingoods" TargetMode="External"/><Relationship Id="rId10" Type="http://schemas.openxmlformats.org/officeDocument/2006/relationships/hyperlink" Target="https://www.ons.gov.uk/economy/grossvalueaddedgva/datasets/nominalandrealregionalgrossvalueaddedbalancedbyindustry" TargetMode="External"/><Relationship Id="rId19" Type="http://schemas.openxmlformats.org/officeDocument/2006/relationships/hyperlink" Target="https://www.ons.gov.uk/economy/grossvalueaddedgva/datasets/nominalandrealregionalgrossvalueaddedbalancedbyindustr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rca.cardiff.ac.uk/id/eprint/151984/1/Project_Report_Input_Output_Tables_Wales_2019.pdf" TargetMode="External"/><Relationship Id="rId14" Type="http://schemas.openxmlformats.org/officeDocument/2006/relationships/hyperlink" Target="https://www.ons.gov.uk/economy/grossvalueaddedgva/datasets/nominalandrealregionalgrossvalueaddedbalancedbyindustry" TargetMode="External"/><Relationship Id="rId22" Type="http://schemas.openxmlformats.org/officeDocument/2006/relationships/hyperlink" Target="https://www.ons.gov.uk/economy/governmentpublicsectorandtaxes/publicsectorfinance/articles/countryandregionalpublicsectorfinances/financialyearending202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D5AA8-9610-4C59-A62D-84EA42003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4086</TotalTime>
  <Pages>4</Pages>
  <Words>1702</Words>
  <Characters>10861</Characters>
  <Application>Microsoft Office Word</Application>
  <DocSecurity>0</DocSecurity>
  <Lines>271</Lines>
  <Paragraphs>155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87</cp:revision>
  <dcterms:created xsi:type="dcterms:W3CDTF">2025-08-12T06:58:00Z</dcterms:created>
  <dcterms:modified xsi:type="dcterms:W3CDTF">2026-01-07T11:10:00Z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6139d1cc-8303-4e91-8346-a8fd84edd725</vt:lpwstr>
  </property>
</Properties>
</file>