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818" w:type="dxa"/>
        <w:jc w:val="center"/>
        <w:tblLayout w:type="fixed"/>
        <w:tblLook w:val="04A0" w:firstRow="1" w:lastRow="0" w:firstColumn="1" w:lastColumn="0" w:noHBand="0" w:noVBand="1"/>
      </w:tblPr>
      <w:tblGrid>
        <w:gridCol w:w="3261"/>
        <w:gridCol w:w="3118"/>
        <w:gridCol w:w="3022"/>
        <w:gridCol w:w="1417"/>
      </w:tblGrid>
      <w:tr w:rsidR="0097525E" w:rsidRPr="00BE7F03" w14:paraId="25A1EDCA" w14:textId="77777777" w:rsidTr="00792987">
        <w:trPr>
          <w:cantSplit/>
          <w:trHeight w:val="360"/>
          <w:tblHeader/>
          <w:jc w:val="center"/>
        </w:trPr>
        <w:tc>
          <w:tcPr>
            <w:tcW w:w="3261"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2D0B5AC9"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Dementia special care units (N=21)</w:t>
            </w:r>
          </w:p>
        </w:tc>
        <w:tc>
          <w:tcPr>
            <w:tcW w:w="3118"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27A6979B"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Usual care (N=59)</w:t>
            </w:r>
          </w:p>
        </w:tc>
        <w:tc>
          <w:tcPr>
            <w:tcW w:w="3022"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3D12CCD5"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House community (N=23)</w:t>
            </w:r>
          </w:p>
        </w:tc>
        <w:tc>
          <w:tcPr>
            <w:tcW w:w="1417"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1548D1B6"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Not significant</w:t>
            </w:r>
          </w:p>
        </w:tc>
      </w:tr>
      <w:tr w:rsidR="0097525E" w:rsidRPr="00BE7F03" w14:paraId="133F26D2" w14:textId="77777777" w:rsidTr="00792987">
        <w:trPr>
          <w:cantSplit/>
          <w:trHeight w:val="360"/>
          <w:jc w:val="center"/>
        </w:trPr>
        <w:tc>
          <w:tcPr>
            <w:tcW w:w="3261" w:type="dxa"/>
            <w:tcBorders>
              <w:bottom w:val="single" w:sz="8" w:space="0" w:color="000000"/>
            </w:tcBorders>
            <w:shd w:val="clear" w:color="auto" w:fill="FFFFFF"/>
            <w:tcMar>
              <w:top w:w="0" w:type="dxa"/>
              <w:left w:w="0" w:type="dxa"/>
              <w:bottom w:w="0" w:type="dxa"/>
              <w:right w:w="0" w:type="dxa"/>
            </w:tcMar>
            <w:vAlign w:val="center"/>
          </w:tcPr>
          <w:p w14:paraId="502C1A7A"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Finance 1 (100%, 76%, 16%)</w:t>
            </w:r>
          </w:p>
        </w:tc>
        <w:tc>
          <w:tcPr>
            <w:tcW w:w="3118" w:type="dxa"/>
            <w:tcBorders>
              <w:bottom w:val="single" w:sz="8" w:space="0" w:color="000000"/>
            </w:tcBorders>
            <w:shd w:val="clear" w:color="auto" w:fill="FFFFFF"/>
            <w:tcMar>
              <w:top w:w="0" w:type="dxa"/>
              <w:left w:w="0" w:type="dxa"/>
              <w:bottom w:w="0" w:type="dxa"/>
              <w:right w:w="0" w:type="dxa"/>
            </w:tcMar>
            <w:vAlign w:val="center"/>
          </w:tcPr>
          <w:p w14:paraId="470087B9"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Size 1 (73%, 98%, 77%)</w:t>
            </w:r>
          </w:p>
        </w:tc>
        <w:tc>
          <w:tcPr>
            <w:tcW w:w="3022" w:type="dxa"/>
            <w:tcBorders>
              <w:bottom w:val="single" w:sz="8" w:space="0" w:color="000000"/>
            </w:tcBorders>
            <w:shd w:val="clear" w:color="auto" w:fill="FFFFFF"/>
            <w:tcMar>
              <w:top w:w="0" w:type="dxa"/>
              <w:left w:w="0" w:type="dxa"/>
              <w:bottom w:w="0" w:type="dxa"/>
              <w:right w:w="0" w:type="dxa"/>
            </w:tcMar>
            <w:vAlign w:val="center"/>
          </w:tcPr>
          <w:p w14:paraId="7A639008"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Size 0 (92%, 96%, 23%)</w:t>
            </w:r>
          </w:p>
        </w:tc>
        <w:tc>
          <w:tcPr>
            <w:tcW w:w="1417" w:type="dxa"/>
            <w:tcBorders>
              <w:bottom w:val="single" w:sz="8" w:space="0" w:color="000000"/>
            </w:tcBorders>
            <w:shd w:val="clear" w:color="auto" w:fill="FFFFFF"/>
            <w:tcMar>
              <w:top w:w="0" w:type="dxa"/>
              <w:left w:w="0" w:type="dxa"/>
              <w:bottom w:w="0" w:type="dxa"/>
              <w:right w:w="0" w:type="dxa"/>
            </w:tcMar>
            <w:vAlign w:val="center"/>
          </w:tcPr>
          <w:p w14:paraId="58997C37"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Separate 1</w:t>
            </w:r>
          </w:p>
        </w:tc>
      </w:tr>
      <w:tr w:rsidR="0097525E" w:rsidRPr="00BE7F03" w14:paraId="761B3490" w14:textId="77777777" w:rsidTr="00792987">
        <w:trPr>
          <w:cantSplit/>
          <w:trHeight w:val="360"/>
          <w:jc w:val="center"/>
        </w:trPr>
        <w:tc>
          <w:tcPr>
            <w:tcW w:w="326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78C0FBC9"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Jobqual</w:t>
            </w:r>
            <w:proofErr w:type="spellEnd"/>
            <w:r w:rsidRPr="00BE7F03">
              <w:rPr>
                <w:color w:val="000000"/>
                <w:sz w:val="20"/>
                <w:szCs w:val="20"/>
              </w:rPr>
              <w:t xml:space="preserve"> 1 (65%, 81%, 25%)</w:t>
            </w:r>
          </w:p>
        </w:tc>
        <w:tc>
          <w:tcPr>
            <w:tcW w:w="3118"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1E884263"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Jobqual</w:t>
            </w:r>
            <w:proofErr w:type="spellEnd"/>
            <w:r w:rsidRPr="00BE7F03">
              <w:rPr>
                <w:color w:val="000000"/>
                <w:sz w:val="20"/>
                <w:szCs w:val="20"/>
              </w:rPr>
              <w:t xml:space="preserve"> 0 (73%, 95%, 75%)</w:t>
            </w:r>
          </w:p>
        </w:tc>
        <w:tc>
          <w:tcPr>
            <w:tcW w:w="302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6C6786E3"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SRoom</w:t>
            </w:r>
            <w:proofErr w:type="spellEnd"/>
            <w:r w:rsidRPr="00BE7F03">
              <w:rPr>
                <w:color w:val="000000"/>
                <w:sz w:val="20"/>
                <w:szCs w:val="20"/>
              </w:rPr>
              <w:t xml:space="preserve"> 1 (68%, 91%, 30%)</w:t>
            </w:r>
          </w:p>
        </w:tc>
        <w:tc>
          <w:tcPr>
            <w:tcW w:w="141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5AAE91C6"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Guarded 0</w:t>
            </w:r>
          </w:p>
        </w:tc>
      </w:tr>
      <w:tr w:rsidR="0097525E" w:rsidRPr="00BE7F03" w14:paraId="04E7878C" w14:textId="77777777" w:rsidTr="00792987">
        <w:trPr>
          <w:cantSplit/>
          <w:trHeight w:val="360"/>
          <w:jc w:val="center"/>
        </w:trPr>
        <w:tc>
          <w:tcPr>
            <w:tcW w:w="326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0CBC7E23"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Segregative</w:t>
            </w:r>
            <w:proofErr w:type="spellEnd"/>
            <w:r w:rsidRPr="00BE7F03">
              <w:rPr>
                <w:color w:val="000000"/>
                <w:sz w:val="20"/>
                <w:szCs w:val="20"/>
              </w:rPr>
              <w:t xml:space="preserve"> 1 (50%, 95%, 39%)</w:t>
            </w:r>
          </w:p>
        </w:tc>
        <w:tc>
          <w:tcPr>
            <w:tcW w:w="3118"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363FC814"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Finance 0 (68%, 100%, 84%)</w:t>
            </w:r>
          </w:p>
        </w:tc>
        <w:tc>
          <w:tcPr>
            <w:tcW w:w="302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47EB660E"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Selfcook</w:t>
            </w:r>
            <w:proofErr w:type="spellEnd"/>
            <w:r w:rsidRPr="00BE7F03">
              <w:rPr>
                <w:color w:val="000000"/>
                <w:sz w:val="20"/>
                <w:szCs w:val="20"/>
              </w:rPr>
              <w:t xml:space="preserve"> 1 (57%, 70%, 27%)</w:t>
            </w:r>
          </w:p>
        </w:tc>
        <w:tc>
          <w:tcPr>
            <w:tcW w:w="141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2CB7092B"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Furniture 0</w:t>
            </w:r>
          </w:p>
        </w:tc>
      </w:tr>
      <w:tr w:rsidR="0097525E" w:rsidRPr="00BE7F03" w14:paraId="74812040" w14:textId="77777777" w:rsidTr="00792987">
        <w:trPr>
          <w:cantSplit/>
          <w:trHeight w:val="360"/>
          <w:jc w:val="center"/>
        </w:trPr>
        <w:tc>
          <w:tcPr>
            <w:tcW w:w="326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4147BFEE"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Build 1 (43%, 95%, 46%)</w:t>
            </w:r>
          </w:p>
        </w:tc>
        <w:tc>
          <w:tcPr>
            <w:tcW w:w="3118"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789ADE88"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Build 0 (80%, 76%, 54%)</w:t>
            </w:r>
          </w:p>
        </w:tc>
        <w:tc>
          <w:tcPr>
            <w:tcW w:w="302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6857F5C6"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AssignN</w:t>
            </w:r>
            <w:proofErr w:type="spellEnd"/>
            <w:r w:rsidRPr="00BE7F03">
              <w:rPr>
                <w:color w:val="000000"/>
                <w:sz w:val="20"/>
                <w:szCs w:val="20"/>
              </w:rPr>
              <w:t xml:space="preserve"> 0 (100%, 30%, 7%)</w:t>
            </w:r>
          </w:p>
        </w:tc>
        <w:tc>
          <w:tcPr>
            <w:tcW w:w="141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117C9C34"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Furniture 1</w:t>
            </w:r>
          </w:p>
        </w:tc>
      </w:tr>
      <w:tr w:rsidR="0097525E" w:rsidRPr="00BE7F03" w14:paraId="1355FD9B" w14:textId="77777777" w:rsidTr="00792987">
        <w:trPr>
          <w:cantSplit/>
          <w:trHeight w:val="360"/>
          <w:jc w:val="center"/>
        </w:trPr>
        <w:tc>
          <w:tcPr>
            <w:tcW w:w="326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18BF1B48"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RNRatio</w:t>
            </w:r>
            <w:proofErr w:type="spellEnd"/>
            <w:r w:rsidRPr="00BE7F03">
              <w:rPr>
                <w:color w:val="000000"/>
                <w:sz w:val="20"/>
                <w:szCs w:val="20"/>
              </w:rPr>
              <w:t xml:space="preserve"> 1 (34%, 86%, 51%)</w:t>
            </w:r>
          </w:p>
        </w:tc>
        <w:tc>
          <w:tcPr>
            <w:tcW w:w="3118"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76865F83"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Segregative</w:t>
            </w:r>
            <w:proofErr w:type="spellEnd"/>
            <w:r w:rsidRPr="00BE7F03">
              <w:rPr>
                <w:color w:val="000000"/>
                <w:sz w:val="20"/>
                <w:szCs w:val="20"/>
              </w:rPr>
              <w:t xml:space="preserve"> 0 (76%, 81%, 61%)</w:t>
            </w:r>
          </w:p>
        </w:tc>
        <w:tc>
          <w:tcPr>
            <w:tcW w:w="302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1C0B13F0"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PresenceRN</w:t>
            </w:r>
            <w:proofErr w:type="spellEnd"/>
            <w:r w:rsidRPr="00BE7F03">
              <w:rPr>
                <w:color w:val="000000"/>
                <w:sz w:val="20"/>
                <w:szCs w:val="20"/>
              </w:rPr>
              <w:t xml:space="preserve"> 0 (80%, 35%, 10%)</w:t>
            </w:r>
          </w:p>
        </w:tc>
        <w:tc>
          <w:tcPr>
            <w:tcW w:w="141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70088EAA"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Outdoor 1</w:t>
            </w:r>
          </w:p>
        </w:tc>
      </w:tr>
      <w:tr w:rsidR="0097525E" w:rsidRPr="00BE7F03" w14:paraId="0A590A69" w14:textId="77777777" w:rsidTr="00792987">
        <w:trPr>
          <w:cantSplit/>
          <w:trHeight w:val="360"/>
          <w:jc w:val="center"/>
        </w:trPr>
        <w:tc>
          <w:tcPr>
            <w:tcW w:w="326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64EEE1DF"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Guarded 1 (53%, 43%, 17%)</w:t>
            </w:r>
          </w:p>
        </w:tc>
        <w:tc>
          <w:tcPr>
            <w:tcW w:w="3118"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3B5C1B8D"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RNRatio</w:t>
            </w:r>
            <w:proofErr w:type="spellEnd"/>
            <w:r w:rsidRPr="00BE7F03">
              <w:rPr>
                <w:color w:val="000000"/>
                <w:sz w:val="20"/>
                <w:szCs w:val="20"/>
              </w:rPr>
              <w:t xml:space="preserve"> 0 (80%, 68%, 49%)</w:t>
            </w:r>
          </w:p>
        </w:tc>
        <w:tc>
          <w:tcPr>
            <w:tcW w:w="302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5799CD82"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Mealserv</w:t>
            </w:r>
            <w:proofErr w:type="spellEnd"/>
            <w:r w:rsidRPr="00BE7F03">
              <w:rPr>
                <w:color w:val="000000"/>
                <w:sz w:val="20"/>
                <w:szCs w:val="20"/>
              </w:rPr>
              <w:t xml:space="preserve"> 1 (57%, 52%, 20%)</w:t>
            </w:r>
          </w:p>
        </w:tc>
        <w:tc>
          <w:tcPr>
            <w:tcW w:w="141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426DD389"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Outdoor 2</w:t>
            </w:r>
          </w:p>
        </w:tc>
      </w:tr>
      <w:tr w:rsidR="0097525E" w:rsidRPr="00BE7F03" w14:paraId="13B9D0D2" w14:textId="77777777" w:rsidTr="00792987">
        <w:trPr>
          <w:cantSplit/>
          <w:trHeight w:val="360"/>
          <w:jc w:val="center"/>
        </w:trPr>
        <w:tc>
          <w:tcPr>
            <w:tcW w:w="326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14F1173E"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SRoom</w:t>
            </w:r>
            <w:proofErr w:type="spellEnd"/>
            <w:r w:rsidRPr="00BE7F03">
              <w:rPr>
                <w:color w:val="000000"/>
                <w:sz w:val="20"/>
                <w:szCs w:val="20"/>
              </w:rPr>
              <w:t xml:space="preserve"> 0 (28%, 95%, 70%)</w:t>
            </w:r>
          </w:p>
        </w:tc>
        <w:tc>
          <w:tcPr>
            <w:tcW w:w="3118"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001568BD"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SRoom</w:t>
            </w:r>
            <w:proofErr w:type="spellEnd"/>
            <w:r w:rsidRPr="00BE7F03">
              <w:rPr>
                <w:color w:val="000000"/>
                <w:sz w:val="20"/>
                <w:szCs w:val="20"/>
              </w:rPr>
              <w:t xml:space="preserve"> 0 (69%, 85%, 70%)</w:t>
            </w:r>
          </w:p>
        </w:tc>
        <w:tc>
          <w:tcPr>
            <w:tcW w:w="302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505FCB83"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SSMRatio</w:t>
            </w:r>
            <w:proofErr w:type="spellEnd"/>
            <w:r w:rsidRPr="00BE7F03">
              <w:rPr>
                <w:color w:val="000000"/>
                <w:sz w:val="20"/>
                <w:szCs w:val="20"/>
              </w:rPr>
              <w:t xml:space="preserve"> 1 (36%, 83%, 51%)</w:t>
            </w:r>
          </w:p>
        </w:tc>
        <w:tc>
          <w:tcPr>
            <w:tcW w:w="141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060F4AEB"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AssignSSM</w:t>
            </w:r>
            <w:proofErr w:type="spellEnd"/>
            <w:r w:rsidRPr="00BE7F03">
              <w:rPr>
                <w:color w:val="000000"/>
                <w:sz w:val="20"/>
                <w:szCs w:val="20"/>
              </w:rPr>
              <w:t xml:space="preserve"> 0</w:t>
            </w:r>
          </w:p>
        </w:tc>
      </w:tr>
      <w:tr w:rsidR="0097525E" w:rsidRPr="00BE7F03" w14:paraId="6477CFF0" w14:textId="77777777" w:rsidTr="00792987">
        <w:trPr>
          <w:cantSplit/>
          <w:trHeight w:val="360"/>
          <w:jc w:val="center"/>
        </w:trPr>
        <w:tc>
          <w:tcPr>
            <w:tcW w:w="326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5A8CCBA6"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SSMRatio</w:t>
            </w:r>
            <w:proofErr w:type="spellEnd"/>
            <w:r w:rsidRPr="00BE7F03">
              <w:rPr>
                <w:color w:val="000000"/>
                <w:sz w:val="20"/>
                <w:szCs w:val="20"/>
              </w:rPr>
              <w:t xml:space="preserve"> 0 (32%, 76%, 49%)</w:t>
            </w:r>
          </w:p>
        </w:tc>
        <w:tc>
          <w:tcPr>
            <w:tcW w:w="3118"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666D8475"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AssignN</w:t>
            </w:r>
            <w:proofErr w:type="spellEnd"/>
            <w:r w:rsidRPr="00BE7F03">
              <w:rPr>
                <w:color w:val="000000"/>
                <w:sz w:val="20"/>
                <w:szCs w:val="20"/>
              </w:rPr>
              <w:t xml:space="preserve"> 1 (61%, 100%, 93%)</w:t>
            </w:r>
          </w:p>
        </w:tc>
        <w:tc>
          <w:tcPr>
            <w:tcW w:w="302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127F5E97"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Finance 0 (26%, 100%, 84%)</w:t>
            </w:r>
          </w:p>
        </w:tc>
        <w:tc>
          <w:tcPr>
            <w:tcW w:w="141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3B5C716A"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AssignSSM</w:t>
            </w:r>
            <w:proofErr w:type="spellEnd"/>
            <w:r w:rsidRPr="00BE7F03">
              <w:rPr>
                <w:color w:val="000000"/>
                <w:sz w:val="20"/>
                <w:szCs w:val="20"/>
              </w:rPr>
              <w:t xml:space="preserve"> 1</w:t>
            </w:r>
          </w:p>
        </w:tc>
      </w:tr>
      <w:tr w:rsidR="0097525E" w:rsidRPr="00BE7F03" w14:paraId="2EC3B82B" w14:textId="77777777" w:rsidTr="00792987">
        <w:trPr>
          <w:cantSplit/>
          <w:trHeight w:val="360"/>
          <w:jc w:val="center"/>
        </w:trPr>
        <w:tc>
          <w:tcPr>
            <w:tcW w:w="326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6371219F"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Size 1 (25%, 95%, 77%)</w:t>
            </w:r>
          </w:p>
        </w:tc>
        <w:tc>
          <w:tcPr>
            <w:tcW w:w="3118"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0623BF23"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Selfcook</w:t>
            </w:r>
            <w:proofErr w:type="spellEnd"/>
            <w:r w:rsidRPr="00BE7F03">
              <w:rPr>
                <w:color w:val="000000"/>
                <w:sz w:val="20"/>
                <w:szCs w:val="20"/>
              </w:rPr>
              <w:t xml:space="preserve"> 0 (65%, 83%, 73%)</w:t>
            </w:r>
          </w:p>
        </w:tc>
        <w:tc>
          <w:tcPr>
            <w:tcW w:w="302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2468442F"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Outdoor 0 (57%, 17%, 7%)</w:t>
            </w:r>
          </w:p>
        </w:tc>
        <w:tc>
          <w:tcPr>
            <w:tcW w:w="141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4F0C87D4"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CNARatio</w:t>
            </w:r>
            <w:proofErr w:type="spellEnd"/>
            <w:r w:rsidRPr="00BE7F03">
              <w:rPr>
                <w:color w:val="000000"/>
                <w:sz w:val="20"/>
                <w:szCs w:val="20"/>
              </w:rPr>
              <w:t xml:space="preserve"> 1</w:t>
            </w:r>
          </w:p>
        </w:tc>
      </w:tr>
      <w:tr w:rsidR="0097525E" w:rsidRPr="00BE7F03" w14:paraId="6B62F3E1" w14:textId="77777777" w:rsidTr="00792987">
        <w:trPr>
          <w:cantSplit/>
          <w:trHeight w:val="360"/>
          <w:jc w:val="center"/>
        </w:trPr>
        <w:tc>
          <w:tcPr>
            <w:tcW w:w="326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257D0F88"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Selfcook</w:t>
            </w:r>
            <w:proofErr w:type="spellEnd"/>
            <w:r w:rsidRPr="00BE7F03">
              <w:rPr>
                <w:color w:val="000000"/>
                <w:sz w:val="20"/>
                <w:szCs w:val="20"/>
              </w:rPr>
              <w:t xml:space="preserve"> 0 (25%, 90%, 73%)</w:t>
            </w:r>
          </w:p>
        </w:tc>
        <w:tc>
          <w:tcPr>
            <w:tcW w:w="3118"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49C999F0"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r w:rsidRPr="00BE7F03">
              <w:rPr>
                <w:color w:val="000000"/>
                <w:sz w:val="20"/>
                <w:szCs w:val="20"/>
              </w:rPr>
              <w:t>Separate 0 (75%, 41%, 31%)</w:t>
            </w:r>
          </w:p>
        </w:tc>
        <w:tc>
          <w:tcPr>
            <w:tcW w:w="302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56237B9B"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
        </w:tc>
        <w:tc>
          <w:tcPr>
            <w:tcW w:w="141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2A49C6F8"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CNARatio</w:t>
            </w:r>
            <w:proofErr w:type="spellEnd"/>
            <w:r w:rsidRPr="00BE7F03">
              <w:rPr>
                <w:color w:val="000000"/>
                <w:sz w:val="20"/>
                <w:szCs w:val="20"/>
              </w:rPr>
              <w:t xml:space="preserve"> 0</w:t>
            </w:r>
          </w:p>
        </w:tc>
      </w:tr>
      <w:tr w:rsidR="0097525E" w:rsidRPr="00BE7F03" w14:paraId="6B763ED5" w14:textId="77777777" w:rsidTr="00792987">
        <w:trPr>
          <w:cantSplit/>
          <w:trHeight w:val="360"/>
          <w:jc w:val="center"/>
        </w:trPr>
        <w:tc>
          <w:tcPr>
            <w:tcW w:w="3261"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4E32EC22"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
        </w:tc>
        <w:tc>
          <w:tcPr>
            <w:tcW w:w="3118"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1299B5B0"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Mealserv</w:t>
            </w:r>
            <w:proofErr w:type="spellEnd"/>
            <w:r w:rsidRPr="00BE7F03">
              <w:rPr>
                <w:color w:val="000000"/>
                <w:sz w:val="20"/>
                <w:szCs w:val="20"/>
              </w:rPr>
              <w:t xml:space="preserve"> 0 (63%, 88%, 80%)</w:t>
            </w:r>
          </w:p>
        </w:tc>
        <w:tc>
          <w:tcPr>
            <w:tcW w:w="3022"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2DDBD28B"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
        </w:tc>
        <w:tc>
          <w:tcPr>
            <w:tcW w:w="1417" w:type="dxa"/>
            <w:tcBorders>
              <w:top w:val="single" w:sz="8" w:space="0" w:color="000000"/>
              <w:bottom w:val="single" w:sz="8" w:space="0" w:color="000000"/>
            </w:tcBorders>
            <w:shd w:val="clear" w:color="auto" w:fill="FFFFFF"/>
            <w:tcMar>
              <w:top w:w="0" w:type="dxa"/>
              <w:left w:w="0" w:type="dxa"/>
              <w:bottom w:w="0" w:type="dxa"/>
              <w:right w:w="0" w:type="dxa"/>
            </w:tcMar>
            <w:vAlign w:val="center"/>
          </w:tcPr>
          <w:p w14:paraId="6528DB69"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NARatio</w:t>
            </w:r>
            <w:proofErr w:type="spellEnd"/>
            <w:r w:rsidRPr="00BE7F03">
              <w:rPr>
                <w:color w:val="000000"/>
                <w:sz w:val="20"/>
                <w:szCs w:val="20"/>
              </w:rPr>
              <w:t xml:space="preserve"> 1</w:t>
            </w:r>
          </w:p>
        </w:tc>
      </w:tr>
      <w:tr w:rsidR="0097525E" w:rsidRPr="00BE7F03" w14:paraId="5149BD4D" w14:textId="77777777" w:rsidTr="00792987">
        <w:trPr>
          <w:cantSplit/>
          <w:trHeight w:val="360"/>
          <w:jc w:val="center"/>
        </w:trPr>
        <w:tc>
          <w:tcPr>
            <w:tcW w:w="3261" w:type="dxa"/>
            <w:tcBorders>
              <w:bottom w:val="single" w:sz="16" w:space="0" w:color="000000"/>
            </w:tcBorders>
            <w:shd w:val="clear" w:color="auto" w:fill="FFFFFF"/>
            <w:tcMar>
              <w:top w:w="0" w:type="dxa"/>
              <w:left w:w="0" w:type="dxa"/>
              <w:bottom w:w="0" w:type="dxa"/>
              <w:right w:w="0" w:type="dxa"/>
            </w:tcMar>
            <w:vAlign w:val="center"/>
          </w:tcPr>
          <w:p w14:paraId="32555C9A"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
        </w:tc>
        <w:tc>
          <w:tcPr>
            <w:tcW w:w="3118" w:type="dxa"/>
            <w:tcBorders>
              <w:bottom w:val="single" w:sz="16" w:space="0" w:color="000000"/>
            </w:tcBorders>
            <w:shd w:val="clear" w:color="auto" w:fill="FFFFFF"/>
            <w:tcMar>
              <w:top w:w="0" w:type="dxa"/>
              <w:left w:w="0" w:type="dxa"/>
              <w:bottom w:w="0" w:type="dxa"/>
              <w:right w:w="0" w:type="dxa"/>
            </w:tcMar>
            <w:vAlign w:val="center"/>
          </w:tcPr>
          <w:p w14:paraId="0FCE5717"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PresenceRN</w:t>
            </w:r>
            <w:proofErr w:type="spellEnd"/>
            <w:r w:rsidRPr="00BE7F03">
              <w:rPr>
                <w:color w:val="000000"/>
                <w:sz w:val="20"/>
                <w:szCs w:val="20"/>
              </w:rPr>
              <w:t xml:space="preserve"> 1 (61%, 97%, 90%)</w:t>
            </w:r>
          </w:p>
        </w:tc>
        <w:tc>
          <w:tcPr>
            <w:tcW w:w="3022" w:type="dxa"/>
            <w:tcBorders>
              <w:bottom w:val="single" w:sz="16" w:space="0" w:color="000000"/>
            </w:tcBorders>
            <w:shd w:val="clear" w:color="auto" w:fill="FFFFFF"/>
            <w:tcMar>
              <w:top w:w="0" w:type="dxa"/>
              <w:left w:w="0" w:type="dxa"/>
              <w:bottom w:w="0" w:type="dxa"/>
              <w:right w:w="0" w:type="dxa"/>
            </w:tcMar>
            <w:vAlign w:val="center"/>
          </w:tcPr>
          <w:p w14:paraId="79EFCA58"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
        </w:tc>
        <w:tc>
          <w:tcPr>
            <w:tcW w:w="1417" w:type="dxa"/>
            <w:tcBorders>
              <w:bottom w:val="single" w:sz="16" w:space="0" w:color="000000"/>
            </w:tcBorders>
            <w:shd w:val="clear" w:color="auto" w:fill="FFFFFF"/>
            <w:tcMar>
              <w:top w:w="0" w:type="dxa"/>
              <w:left w:w="0" w:type="dxa"/>
              <w:bottom w:w="0" w:type="dxa"/>
              <w:right w:w="0" w:type="dxa"/>
            </w:tcMar>
            <w:vAlign w:val="center"/>
          </w:tcPr>
          <w:p w14:paraId="7F328C9F" w14:textId="77777777" w:rsidR="0097525E" w:rsidRPr="00BE7F03" w:rsidRDefault="0097525E" w:rsidP="00792987">
            <w:pPr>
              <w:spacing w:before="40" w:after="40" w:line="240" w:lineRule="auto"/>
              <w:ind w:left="40" w:right="40"/>
              <w:contextualSpacing w:val="0"/>
              <w:jc w:val="right"/>
              <w:rPr>
                <w:rFonts w:ascii="Cambria" w:eastAsia="MS Mincho" w:hAnsi="Cambria" w:cs="Times New Roman"/>
                <w:sz w:val="24"/>
                <w:szCs w:val="24"/>
              </w:rPr>
            </w:pPr>
            <w:proofErr w:type="spellStart"/>
            <w:r w:rsidRPr="00BE7F03">
              <w:rPr>
                <w:color w:val="000000"/>
                <w:sz w:val="20"/>
                <w:szCs w:val="20"/>
              </w:rPr>
              <w:t>NARatio</w:t>
            </w:r>
            <w:proofErr w:type="spellEnd"/>
            <w:r w:rsidRPr="00BE7F03">
              <w:rPr>
                <w:color w:val="000000"/>
                <w:sz w:val="20"/>
                <w:szCs w:val="20"/>
              </w:rPr>
              <w:t xml:space="preserve"> 0</w:t>
            </w:r>
          </w:p>
        </w:tc>
      </w:tr>
    </w:tbl>
    <w:p w14:paraId="14F01176" w14:textId="77777777" w:rsidR="0097525E" w:rsidRPr="003B75B0" w:rsidRDefault="0097525E" w:rsidP="0097525E"/>
    <w:p w14:paraId="58DA9137" w14:textId="77777777" w:rsidR="0097525E" w:rsidRPr="009C62D1" w:rsidRDefault="0097525E" w:rsidP="0097525E">
      <w:pPr>
        <w:rPr>
          <w:sz w:val="20"/>
        </w:rPr>
      </w:pPr>
      <w:r w:rsidRPr="009C62D1">
        <w:rPr>
          <w:sz w:val="20"/>
        </w:rPr>
        <w:t xml:space="preserve">Table </w:t>
      </w:r>
      <w:r>
        <w:rPr>
          <w:sz w:val="20"/>
        </w:rPr>
        <w:t>4</w:t>
      </w:r>
      <w:r w:rsidRPr="009C62D1">
        <w:rPr>
          <w:sz w:val="20"/>
        </w:rPr>
        <w:t>: Clusters and their characteristic categories.</w:t>
      </w:r>
    </w:p>
    <w:p w14:paraId="5401D168" w14:textId="77777777" w:rsidR="0097525E" w:rsidRPr="001852F6" w:rsidRDefault="0097525E" w:rsidP="0097525E">
      <w:pPr>
        <w:rPr>
          <w:sz w:val="20"/>
        </w:rPr>
      </w:pPr>
      <w:r w:rsidRPr="001852F6">
        <w:rPr>
          <w:sz w:val="20"/>
        </w:rPr>
        <w:t xml:space="preserve">Legend: </w:t>
      </w:r>
    </w:p>
    <w:p w14:paraId="64CB683B" w14:textId="77777777" w:rsidR="0097525E" w:rsidRPr="001852F6" w:rsidRDefault="0097525E" w:rsidP="0097525E">
      <w:pPr>
        <w:rPr>
          <w:sz w:val="20"/>
        </w:rPr>
      </w:pPr>
      <w:r w:rsidRPr="001852F6">
        <w:rPr>
          <w:sz w:val="20"/>
        </w:rPr>
        <w:t>The percentages in brackets (</w:t>
      </w:r>
      <m:oMath>
        <m:sSub>
          <m:sSubPr>
            <m:ctrlPr>
              <w:rPr>
                <w:rFonts w:ascii="Cambria Math" w:hAnsi="Cambria Math"/>
                <w:i/>
                <w:sz w:val="20"/>
              </w:rPr>
            </m:ctrlPr>
          </m:sSubPr>
          <m:e>
            <m:r>
              <w:rPr>
                <w:rFonts w:ascii="Cambria Math" w:hAnsi="Cambria Math"/>
                <w:sz w:val="20"/>
              </w:rPr>
              <m:t>p</m:t>
            </m:r>
          </m:e>
          <m:sub>
            <m:r>
              <w:rPr>
                <w:rFonts w:ascii="Cambria Math" w:hAnsi="Cambria Math"/>
                <w:sz w:val="20"/>
              </w:rPr>
              <m:t>1</m:t>
            </m:r>
          </m:sub>
        </m:sSub>
      </m:oMath>
      <w:r>
        <w:rPr>
          <w:sz w:val="20"/>
        </w:rPr>
        <w:t>,</w:t>
      </w:r>
      <m:oMath>
        <m:r>
          <w:rPr>
            <w:rFonts w:ascii="Cambria Math" w:hAnsi="Cambria Math"/>
            <w:sz w:val="20"/>
          </w:rPr>
          <m:t xml:space="preserve"> </m:t>
        </m:r>
        <m:sSub>
          <m:sSubPr>
            <m:ctrlPr>
              <w:rPr>
                <w:rFonts w:ascii="Cambria Math" w:hAnsi="Cambria Math"/>
                <w:i/>
                <w:sz w:val="20"/>
              </w:rPr>
            </m:ctrlPr>
          </m:sSubPr>
          <m:e>
            <m:r>
              <w:rPr>
                <w:rFonts w:ascii="Cambria Math" w:hAnsi="Cambria Math"/>
                <w:sz w:val="20"/>
              </w:rPr>
              <m:t>p</m:t>
            </m:r>
          </m:e>
          <m:sub>
            <m:r>
              <w:rPr>
                <w:rFonts w:ascii="Cambria Math" w:hAnsi="Cambria Math"/>
                <w:sz w:val="20"/>
              </w:rPr>
              <m:t>2</m:t>
            </m:r>
          </m:sub>
        </m:sSub>
      </m:oMath>
      <w:r>
        <w:rPr>
          <w:sz w:val="20"/>
        </w:rPr>
        <w:t>,</w:t>
      </w:r>
      <m:oMath>
        <m:sSub>
          <m:sSubPr>
            <m:ctrlPr>
              <w:rPr>
                <w:rFonts w:ascii="Cambria Math" w:hAnsi="Cambria Math"/>
                <w:i/>
                <w:sz w:val="20"/>
              </w:rPr>
            </m:ctrlPr>
          </m:sSubPr>
          <m:e>
            <m:r>
              <w:rPr>
                <w:rFonts w:ascii="Cambria Math" w:hAnsi="Cambria Math"/>
                <w:sz w:val="20"/>
              </w:rPr>
              <m:t xml:space="preserve"> p</m:t>
            </m:r>
          </m:e>
          <m:sub>
            <m:r>
              <w:rPr>
                <w:rFonts w:ascii="Cambria Math" w:hAnsi="Cambria Math"/>
                <w:sz w:val="20"/>
              </w:rPr>
              <m:t>3</m:t>
            </m:r>
          </m:sub>
        </m:sSub>
      </m:oMath>
      <w:r w:rsidRPr="001852F6">
        <w:rPr>
          <w:sz w:val="20"/>
        </w:rPr>
        <w:t>) that determine the statistical significanc</w:t>
      </w:r>
      <w:r w:rsidRPr="007A45F1">
        <w:rPr>
          <w:sz w:val="20"/>
        </w:rPr>
        <w:t>e (</w:t>
      </w:r>
      <w:r w:rsidRPr="007A45F1">
        <w:rPr>
          <w:i/>
          <w:sz w:val="20"/>
        </w:rPr>
        <w:t>p</w:t>
      </w:r>
      <w:r w:rsidRPr="007A45F1">
        <w:rPr>
          <w:sz w:val="20"/>
        </w:rPr>
        <w:t>-value) of the category by applying the v-test are defined as follows:</w:t>
      </w:r>
    </w:p>
    <w:p w14:paraId="6A6A9D63" w14:textId="77777777" w:rsidR="0097525E" w:rsidRPr="00E049C6" w:rsidRDefault="0097525E" w:rsidP="0097525E"/>
    <w:p w14:paraId="1724C5C5" w14:textId="77777777" w:rsidR="0097525E" w:rsidRPr="001852F6" w:rsidRDefault="0097525E" w:rsidP="0097525E">
      <w:pPr>
        <w:rPr>
          <w:sz w:val="20"/>
        </w:rPr>
      </w:pPr>
      <m:oMath>
        <m:sSub>
          <m:sSubPr>
            <m:ctrlPr>
              <w:rPr>
                <w:rFonts w:ascii="Cambria Math" w:hAnsi="Cambria Math"/>
                <w:i/>
                <w:sz w:val="20"/>
              </w:rPr>
            </m:ctrlPr>
          </m:sSubPr>
          <m:e>
            <m:r>
              <w:rPr>
                <w:rFonts w:ascii="Cambria Math" w:hAnsi="Cambria Math"/>
                <w:sz w:val="20"/>
              </w:rPr>
              <m:t>p</m:t>
            </m:r>
          </m:e>
          <m:sub>
            <m:r>
              <w:rPr>
                <w:rFonts w:ascii="Cambria Math" w:hAnsi="Cambria Math"/>
                <w:sz w:val="20"/>
              </w:rPr>
              <m:t>1</m:t>
            </m:r>
          </m:sub>
        </m:sSub>
      </m:oMath>
      <w:r w:rsidRPr="001852F6">
        <w:rPr>
          <w:sz w:val="20"/>
        </w:rPr>
        <w:t xml:space="preserve"> </w:t>
      </w:r>
      <w:r w:rsidRPr="0088287A">
        <w:rPr>
          <w:sz w:val="20"/>
        </w:rPr>
        <w:t xml:space="preserve">specifies the percentage of living units possessing the corresponding category that are in the respective cluster. For example, all </w:t>
      </w:r>
      <m:oMath>
        <m:r>
          <w:rPr>
            <w:rFonts w:ascii="Cambria Math" w:hAnsi="Cambria Math"/>
            <w:sz w:val="20"/>
          </w:rPr>
          <m:t xml:space="preserve">16 </m:t>
        </m:r>
      </m:oMath>
      <w:r w:rsidRPr="0088287A">
        <w:rPr>
          <w:sz w:val="20"/>
        </w:rPr>
        <w:t xml:space="preserve">living units with the characteristic Finance </w:t>
      </w:r>
      <w:r w:rsidRPr="001852F6">
        <w:rPr>
          <w:sz w:val="20"/>
        </w:rPr>
        <w:t xml:space="preserve">1 are included in the cluster "Dementia special care units", i.e., </w:t>
      </w:r>
      <m:oMath>
        <m:r>
          <m:rPr>
            <m:sty m:val="p"/>
          </m:rPr>
          <w:rPr>
            <w:rFonts w:ascii="Cambria Math" w:hAnsi="Cambria Math"/>
            <w:sz w:val="20"/>
          </w:rPr>
          <m:t>100% =100*</m:t>
        </m:r>
        <m:f>
          <m:fPr>
            <m:ctrlPr>
              <w:rPr>
                <w:rFonts w:ascii="Cambria Math" w:hAnsi="Cambria Math"/>
                <w:i/>
                <w:sz w:val="20"/>
              </w:rPr>
            </m:ctrlPr>
          </m:fPr>
          <m:num>
            <m:r>
              <w:rPr>
                <w:rFonts w:ascii="Cambria Math" w:hAnsi="Cambria Math"/>
                <w:sz w:val="20"/>
              </w:rPr>
              <m:t>16</m:t>
            </m:r>
          </m:num>
          <m:den>
            <m:r>
              <w:rPr>
                <w:rFonts w:ascii="Cambria Math" w:hAnsi="Cambria Math"/>
                <w:sz w:val="20"/>
              </w:rPr>
              <m:t>16</m:t>
            </m:r>
          </m:den>
        </m:f>
      </m:oMath>
      <w:r w:rsidRPr="001852F6">
        <w:rPr>
          <w:rFonts w:eastAsiaTheme="minorEastAsia"/>
          <w:sz w:val="20"/>
        </w:rPr>
        <w:t>.</w:t>
      </w:r>
    </w:p>
    <w:p w14:paraId="78C3D222" w14:textId="77777777" w:rsidR="0097525E" w:rsidRPr="001852F6" w:rsidRDefault="0097525E" w:rsidP="0097525E">
      <w:pPr>
        <w:rPr>
          <w:sz w:val="20"/>
        </w:rPr>
      </w:pPr>
    </w:p>
    <w:p w14:paraId="0B614BB4" w14:textId="77777777" w:rsidR="0097525E" w:rsidRPr="001852F6" w:rsidRDefault="0097525E" w:rsidP="0097525E">
      <w:pPr>
        <w:rPr>
          <w:sz w:val="20"/>
        </w:rPr>
      </w:pPr>
      <m:oMath>
        <m:sSub>
          <m:sSubPr>
            <m:ctrlPr>
              <w:rPr>
                <w:rFonts w:ascii="Cambria Math" w:hAnsi="Cambria Math"/>
                <w:sz w:val="20"/>
              </w:rPr>
            </m:ctrlPr>
          </m:sSubPr>
          <m:e>
            <m:r>
              <w:rPr>
                <w:rFonts w:ascii="Cambria Math" w:hAnsi="Cambria Math"/>
                <w:sz w:val="20"/>
              </w:rPr>
              <m:t>p</m:t>
            </m:r>
          </m:e>
          <m:sub>
            <m:r>
              <m:rPr>
                <m:sty m:val="p"/>
              </m:rPr>
              <w:rPr>
                <w:rFonts w:ascii="Cambria Math" w:hAnsi="Cambria Math"/>
                <w:sz w:val="20"/>
              </w:rPr>
              <m:t>2</m:t>
            </m:r>
          </m:sub>
        </m:sSub>
      </m:oMath>
      <w:r w:rsidRPr="001852F6">
        <w:rPr>
          <w:sz w:val="20"/>
        </w:rPr>
        <w:t xml:space="preserve"> specifies </w:t>
      </w:r>
      <w:r w:rsidRPr="0088287A">
        <w:rPr>
          <w:sz w:val="20"/>
        </w:rPr>
        <w:t xml:space="preserve">the percentage of living units in the cluster possessing the corresponding category. For example, 16 out of 21 total living units in the cluster "Dementia special care units" have the characteristic </w:t>
      </w:r>
      <w:r w:rsidRPr="001852F6">
        <w:rPr>
          <w:sz w:val="20"/>
        </w:rPr>
        <w:t xml:space="preserve">Finance 1, i.e., </w:t>
      </w:r>
      <m:oMath>
        <m:r>
          <m:rPr>
            <m:sty m:val="p"/>
          </m:rPr>
          <w:rPr>
            <w:rFonts w:ascii="Cambria Math" w:hAnsi="Cambria Math"/>
            <w:sz w:val="20"/>
          </w:rPr>
          <m:t>76% ≈100*</m:t>
        </m:r>
        <m:f>
          <m:fPr>
            <m:ctrlPr>
              <w:rPr>
                <w:rFonts w:ascii="Cambria Math" w:hAnsi="Cambria Math"/>
                <w:i/>
                <w:sz w:val="20"/>
              </w:rPr>
            </m:ctrlPr>
          </m:fPr>
          <m:num>
            <m:r>
              <w:rPr>
                <w:rFonts w:ascii="Cambria Math" w:hAnsi="Cambria Math"/>
                <w:sz w:val="20"/>
              </w:rPr>
              <m:t>16</m:t>
            </m:r>
          </m:num>
          <m:den>
            <m:r>
              <w:rPr>
                <w:rFonts w:ascii="Cambria Math" w:hAnsi="Cambria Math"/>
                <w:sz w:val="20"/>
              </w:rPr>
              <m:t>21</m:t>
            </m:r>
          </m:den>
        </m:f>
      </m:oMath>
      <w:r w:rsidRPr="001852F6">
        <w:rPr>
          <w:rFonts w:eastAsiaTheme="minorEastAsia"/>
          <w:sz w:val="20"/>
        </w:rPr>
        <w:t>.</w:t>
      </w:r>
    </w:p>
    <w:p w14:paraId="2EA1FADA" w14:textId="77777777" w:rsidR="0097525E" w:rsidRPr="001852F6" w:rsidRDefault="0097525E" w:rsidP="0097525E">
      <w:pPr>
        <w:rPr>
          <w:sz w:val="20"/>
        </w:rPr>
      </w:pPr>
    </w:p>
    <w:p w14:paraId="17215B75" w14:textId="77777777" w:rsidR="0097525E" w:rsidRPr="0088287A" w:rsidRDefault="0097525E" w:rsidP="0097525E">
      <w:pPr>
        <w:rPr>
          <w:sz w:val="20"/>
        </w:rPr>
      </w:pPr>
      <m:oMath>
        <m:sSub>
          <m:sSubPr>
            <m:ctrlPr>
              <w:rPr>
                <w:rFonts w:ascii="Cambria Math" w:hAnsi="Cambria Math"/>
                <w:i/>
                <w:sz w:val="20"/>
              </w:rPr>
            </m:ctrlPr>
          </m:sSubPr>
          <m:e>
            <m:r>
              <w:rPr>
                <w:rFonts w:ascii="Cambria Math" w:hAnsi="Cambria Math"/>
                <w:sz w:val="20"/>
              </w:rPr>
              <m:t>p</m:t>
            </m:r>
          </m:e>
          <m:sub>
            <m:r>
              <w:rPr>
                <w:rFonts w:ascii="Cambria Math" w:hAnsi="Cambria Math"/>
                <w:sz w:val="20"/>
              </w:rPr>
              <m:t>3</m:t>
            </m:r>
          </m:sub>
        </m:sSub>
      </m:oMath>
      <w:r w:rsidRPr="001852F6">
        <w:rPr>
          <w:sz w:val="20"/>
        </w:rPr>
        <w:t xml:space="preserve"> </w:t>
      </w:r>
      <w:r w:rsidRPr="0088287A">
        <w:rPr>
          <w:sz w:val="20"/>
        </w:rPr>
        <w:t xml:space="preserve">specifies the percentage of living units possessing the corresponding category in the sample. </w:t>
      </w:r>
    </w:p>
    <w:p w14:paraId="75BE5E4F" w14:textId="77777777" w:rsidR="0097525E" w:rsidRDefault="0097525E" w:rsidP="0097525E">
      <w:pPr>
        <w:rPr>
          <w:rFonts w:eastAsiaTheme="minorEastAsia"/>
          <w:sz w:val="20"/>
        </w:rPr>
      </w:pPr>
      <w:r w:rsidRPr="0088287A">
        <w:rPr>
          <w:sz w:val="20"/>
        </w:rPr>
        <w:t>For example, 16 out of 103 total living units have the characteristic Finance 1, i.e.,</w:t>
      </w:r>
      <w:r w:rsidRPr="001852F6">
        <w:rPr>
          <w:sz w:val="20"/>
        </w:rPr>
        <w:t xml:space="preserve"> </w:t>
      </w:r>
      <m:oMath>
        <m:r>
          <m:rPr>
            <m:sty m:val="p"/>
          </m:rPr>
          <w:rPr>
            <w:rFonts w:ascii="Cambria Math" w:hAnsi="Cambria Math"/>
            <w:sz w:val="20"/>
          </w:rPr>
          <m:t>16%≈100*</m:t>
        </m:r>
        <m:f>
          <m:fPr>
            <m:ctrlPr>
              <w:rPr>
                <w:rFonts w:ascii="Cambria Math" w:hAnsi="Cambria Math"/>
                <w:sz w:val="20"/>
              </w:rPr>
            </m:ctrlPr>
          </m:fPr>
          <m:num>
            <m:r>
              <w:rPr>
                <w:rFonts w:ascii="Cambria Math" w:hAnsi="Cambria Math"/>
                <w:sz w:val="20"/>
              </w:rPr>
              <m:t>16</m:t>
            </m:r>
          </m:num>
          <m:den>
            <m:r>
              <w:rPr>
                <w:rFonts w:ascii="Cambria Math" w:hAnsi="Cambria Math"/>
                <w:sz w:val="20"/>
              </w:rPr>
              <m:t>103</m:t>
            </m:r>
          </m:den>
        </m:f>
      </m:oMath>
      <w:r w:rsidRPr="001852F6">
        <w:rPr>
          <w:rFonts w:eastAsiaTheme="minorEastAsia"/>
          <w:sz w:val="20"/>
        </w:rPr>
        <w:t>.</w:t>
      </w:r>
    </w:p>
    <w:p w14:paraId="215D4423" w14:textId="77777777" w:rsidR="00386883" w:rsidRDefault="0097525E"/>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25E"/>
    <w:rsid w:val="00316534"/>
    <w:rsid w:val="0097525E"/>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B8A26"/>
  <w15:chartTrackingRefBased/>
  <w15:docId w15:val="{1758C70A-9567-4162-82CA-BBA70D7D1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25E"/>
    <w:pPr>
      <w:spacing w:after="0" w:line="480" w:lineRule="auto"/>
      <w:contextualSpacing/>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301</Words>
  <Characters>1722</Characters>
  <Application>Microsoft Office Word</Application>
  <DocSecurity>0</DocSecurity>
  <Lines>14</Lines>
  <Paragraphs>4</Paragraphs>
  <ScaleCrop>false</ScaleCrop>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2020-05-21T18:11:00Z</dcterms:created>
  <dcterms:modified xsi:type="dcterms:W3CDTF">2020-05-21T18:11:00Z</dcterms:modified>
</cp:coreProperties>
</file>