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DBEE" w14:textId="77777777" w:rsidR="009E474A" w:rsidRPr="00F51B44" w:rsidRDefault="009E474A" w:rsidP="009E474A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F51B44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Supplementary Table 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4</w:t>
      </w:r>
      <w:r w:rsidRPr="00F51B44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>.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F51B44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Adaptive and innate immune response genes differentially regulated between LTBI-COVID and COVID group participants</w:t>
      </w:r>
    </w:p>
    <w:p w14:paraId="51A6F1E2" w14:textId="77777777" w:rsidR="009E474A" w:rsidRDefault="009E474A" w:rsidP="009E474A"/>
    <w:tbl>
      <w:tblPr>
        <w:tblW w:w="9960" w:type="dxa"/>
        <w:tblLook w:val="04A0" w:firstRow="1" w:lastRow="0" w:firstColumn="1" w:lastColumn="0" w:noHBand="0" w:noVBand="1"/>
      </w:tblPr>
      <w:tblGrid>
        <w:gridCol w:w="1020"/>
        <w:gridCol w:w="1535"/>
        <w:gridCol w:w="656"/>
        <w:gridCol w:w="798"/>
        <w:gridCol w:w="940"/>
        <w:gridCol w:w="5011"/>
      </w:tblGrid>
      <w:tr w:rsidR="009E474A" w:rsidRPr="00F51B44" w14:paraId="51CA4204" w14:textId="77777777" w:rsidTr="00C93C6D">
        <w:trPr>
          <w:trHeight w:val="48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A3C5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91219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809A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Effect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7D4F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log2 fold change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2CF05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CB5E0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Function </w:t>
            </w:r>
          </w:p>
        </w:tc>
      </w:tr>
      <w:tr w:rsidR="009E474A" w:rsidRPr="00F51B44" w14:paraId="307C578B" w14:textId="77777777" w:rsidTr="00C93C6D">
        <w:trPr>
          <w:trHeight w:val="89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3860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93D3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TRGC1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3BA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158F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F55B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0.0396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77691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I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nvolved in T cell receptor signalling pathway; adaptive immune response; and gamma-delta T cell activation.</w:t>
            </w:r>
          </w:p>
        </w:tc>
      </w:tr>
      <w:tr w:rsidR="009E474A" w:rsidRPr="00F51B44" w14:paraId="01B78BD0" w14:textId="77777777" w:rsidTr="00C93C6D">
        <w:trPr>
          <w:trHeight w:val="80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7322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D01E0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TRGJ2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DCF2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20B9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4D2F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0.0396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F68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(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T Cell Receptor Gamma Joining 2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)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 is a Protein Coding gene.</w:t>
            </w:r>
          </w:p>
        </w:tc>
      </w:tr>
      <w:tr w:rsidR="009E474A" w:rsidRPr="00F51B44" w14:paraId="05CB4591" w14:textId="77777777" w:rsidTr="00C93C6D">
        <w:trPr>
          <w:trHeight w:val="99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B526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5EB5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TRGV9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2BEA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9CAA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0B119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0.0396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0805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Predicted to enable MHC protein and peptide antigen binding activity. 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I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nvolved in adaptive immune response and innate immune response. </w:t>
            </w:r>
          </w:p>
        </w:tc>
      </w:tr>
      <w:tr w:rsidR="009E474A" w:rsidRPr="00F51B44" w14:paraId="3C65E91E" w14:textId="77777777" w:rsidTr="00C93C6D">
        <w:trPr>
          <w:trHeight w:val="96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8836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6B0F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TRGJP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FCF7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6087A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015C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0.0396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2486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(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T Cell Receptor Gamma Joining P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)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 is a Protein Coding gene.</w:t>
            </w:r>
          </w:p>
        </w:tc>
      </w:tr>
      <w:tr w:rsidR="009E474A" w:rsidRPr="00F51B44" w14:paraId="72D37062" w14:textId="77777777" w:rsidTr="00C93C6D">
        <w:trPr>
          <w:trHeight w:val="112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D05D5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57F5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TRGC2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3FB76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2AE3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15CDA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0.0396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3E2E0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Predicted to enable transmembrane </w:t>
            </w:r>
            <w:proofErr w:type="spellStart"/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 receptor activity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T cell receptor </w:t>
            </w:r>
            <w:proofErr w:type="spellStart"/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 pathway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adaptive immune response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,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 xml:space="preserve">and </w:t>
            </w:r>
            <w:r w:rsidRPr="00F51B4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14:ligatures w14:val="none"/>
              </w:rPr>
              <w:t>antigen recognition.</w:t>
            </w:r>
          </w:p>
        </w:tc>
      </w:tr>
      <w:tr w:rsidR="009E474A" w:rsidRPr="00F51B44" w14:paraId="72E04B4B" w14:textId="77777777" w:rsidTr="00C93C6D">
        <w:trPr>
          <w:trHeight w:val="111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B449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B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3C27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SHLD2/C20orf196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7B54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35105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804E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0.0166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20FAE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Mediates immunoglobulin class-switch recombination, and fusion of unprotected telomeres. </w:t>
            </w:r>
          </w:p>
        </w:tc>
      </w:tr>
      <w:tr w:rsidR="009E474A" w:rsidRPr="00F51B44" w14:paraId="2FEC38AE" w14:textId="77777777" w:rsidTr="00C93C6D">
        <w:trPr>
          <w:trHeight w:val="177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56838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B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BFC7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FCRL3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05B90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554F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3.5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A5829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0.0487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4E619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Promotes TLR9-induced B-cell proliferation, activation and survival but inhibits antibody production and suppresses plasma cell differentiation. Enhances activation of NF-kappa-B and MAPK 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pathways in TLR9 stimulated B-cells </w:t>
            </w:r>
          </w:p>
        </w:tc>
      </w:tr>
      <w:tr w:rsidR="009E474A" w:rsidRPr="00F51B44" w14:paraId="67D5498A" w14:textId="77777777" w:rsidTr="00C93C6D">
        <w:trPr>
          <w:trHeight w:val="99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73EC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B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F604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IL7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C9E4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06BD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53E5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0.0211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479E5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It encodes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a cytokine important for B and T cell development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 and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functions as a pre-pro-B cell growth-stimulating factor.</w:t>
            </w:r>
          </w:p>
        </w:tc>
      </w:tr>
      <w:tr w:rsidR="009E474A" w:rsidRPr="00F51B44" w14:paraId="5A4F3D9E" w14:textId="77777777" w:rsidTr="00C93C6D">
        <w:trPr>
          <w:trHeight w:val="80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731D0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T/B cell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2CA27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LMBR1L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6115F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Down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950FD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-2.06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8E1DF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0.0107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1FC181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Plays an essential role in lymphocyte development by negatively regulating the canonical 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Wnt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pathway</w:t>
            </w:r>
          </w:p>
        </w:tc>
      </w:tr>
      <w:tr w:rsidR="009E474A" w:rsidRPr="00F51B44" w14:paraId="632D610B" w14:textId="77777777" w:rsidTr="00C93C6D">
        <w:trPr>
          <w:trHeight w:val="104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BB96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3960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ART1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C6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8D88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E5E85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0.0339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CCC11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ART1 (ADP-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Ribosyltransferase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1) 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impacts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pathways 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related to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Defensins and Innate Immune System.</w:t>
            </w:r>
          </w:p>
        </w:tc>
      </w:tr>
      <w:tr w:rsidR="009E474A" w:rsidRPr="00F51B44" w14:paraId="2E4C55DE" w14:textId="77777777" w:rsidTr="00C93C6D">
        <w:trPr>
          <w:trHeight w:val="128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0DE0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2961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ATP1B1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60C7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8E59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D43E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0.0381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1CDAF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Plays a role in innate immunity by enhancing virus-triggered induction of interferons (IFNs) and interferon stimulated genes (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ISGs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). </w:t>
            </w:r>
          </w:p>
        </w:tc>
      </w:tr>
      <w:tr w:rsidR="009E474A" w:rsidRPr="00F51B44" w14:paraId="7FF8A814" w14:textId="77777777" w:rsidTr="00C93C6D">
        <w:trPr>
          <w:trHeight w:val="93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6EE5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lastRenderedPageBreak/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1EDB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CLEC12A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60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D229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8.78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5873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0.0069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26E2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 xml:space="preserve">This gene encodes a member of the C-type lectin/C-type lectin-like domain (CTL/CTLD) superfamily. </w:t>
            </w:r>
            <w:r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Functions include </w:t>
            </w: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 xml:space="preserve">cell adhesion, cell-cell </w:t>
            </w:r>
            <w:proofErr w:type="spellStart"/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 xml:space="preserve">, glycoprotein turnover, and roles in inflammation and immune response. The protein encoded </w:t>
            </w:r>
            <w:r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val="en-US"/>
                <w14:ligatures w14:val="none"/>
              </w:rPr>
              <w:t>also acts as</w:t>
            </w: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 xml:space="preserve"> a negative regulator of granulocyte and monocyte function. </w:t>
            </w:r>
          </w:p>
        </w:tc>
      </w:tr>
      <w:tr w:rsidR="009E474A" w:rsidRPr="00F51B44" w14:paraId="7440726B" w14:textId="77777777" w:rsidTr="00C93C6D">
        <w:trPr>
          <w:trHeight w:val="11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50646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E5A69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CLEC12B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F43B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5930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3.09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7562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0.0352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F13B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>Involved in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protein phosphatase binding activity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signalling receptor inhibitor activity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,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natural killer cell inhibitory 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pathway; and regulation of signal transduction. </w:t>
            </w:r>
          </w:p>
        </w:tc>
      </w:tr>
      <w:tr w:rsidR="009E474A" w:rsidRPr="00F51B44" w14:paraId="658608B0" w14:textId="77777777" w:rsidTr="00C93C6D">
        <w:trPr>
          <w:trHeight w:val="150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27B2A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BE3A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GCC2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A79D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192C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8124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0.0229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182DC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I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t is involved in recycling of the mannose 6-phosphate receptor from the late endosomes to the TGN. May also play a role in transport between the recycling endosomes and the Golgi.</w:t>
            </w:r>
          </w:p>
        </w:tc>
      </w:tr>
      <w:tr w:rsidR="009E474A" w:rsidRPr="00F51B44" w14:paraId="25D9EFC2" w14:textId="77777777" w:rsidTr="00C93C6D">
        <w:trPr>
          <w:trHeight w:val="9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82ED0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8CA76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OSTM1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BF618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CDFD9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4353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41D9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M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ay be involved in the degradation of G proteins via the ubiquitin-dependent proteasome pathway.</w:t>
            </w:r>
          </w:p>
        </w:tc>
      </w:tr>
      <w:tr w:rsidR="009E474A" w:rsidRPr="00F51B44" w14:paraId="7CBF7FBD" w14:textId="77777777" w:rsidTr="00C93C6D">
        <w:trPr>
          <w:trHeight w:val="105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FBBB8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15E4F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PDE4DIP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BB5B8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7367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0B51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0.0208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1037C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Among its related pathways is VEGFA-VEGFR2 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signaling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 Gene Ontology (GO) annotations related to this gene include </w:t>
            </w:r>
            <w:r w:rsidRPr="00F51B44">
              <w:rPr>
                <w:rFonts w:ascii="Segoe UI" w:eastAsia="Times New Roman" w:hAnsi="Segoe UI" w:cs="Segoe UI"/>
                <w:i/>
                <w:iCs/>
                <w:kern w:val="0"/>
                <w:sz w:val="18"/>
                <w:szCs w:val="18"/>
                <w14:ligatures w14:val="none"/>
              </w:rPr>
              <w:t>binding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 and </w:t>
            </w:r>
            <w:r w:rsidRPr="00F51B44">
              <w:rPr>
                <w:rFonts w:ascii="Segoe UI" w:eastAsia="Times New Roman" w:hAnsi="Segoe UI" w:cs="Segoe UI"/>
                <w:i/>
                <w:iCs/>
                <w:kern w:val="0"/>
                <w:sz w:val="18"/>
                <w:szCs w:val="18"/>
                <w14:ligatures w14:val="none"/>
              </w:rPr>
              <w:t>enzyme binding</w:t>
            </w:r>
          </w:p>
        </w:tc>
      </w:tr>
      <w:tr w:rsidR="009E474A" w:rsidRPr="00F51B44" w14:paraId="7171D268" w14:textId="77777777" w:rsidTr="00C93C6D">
        <w:trPr>
          <w:trHeight w:val="15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471B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C581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RNF185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B8068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9F5C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62DD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0.0399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8FEBF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Involved in pathways related to ubiquitin.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Also acts as a regulator of the innate antiviral response by </w:t>
            </w:r>
            <w:proofErr w:type="spellStart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catalyzing</w:t>
            </w:r>
            <w:proofErr w:type="spellEnd"/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'Lys-27'-linked polyubiquitination of CGAS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9E474A" w:rsidRPr="00F51B44" w14:paraId="714EBCD5" w14:textId="77777777" w:rsidTr="00C93C6D">
        <w:trPr>
          <w:trHeight w:val="147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1C4B6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4475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TRIM15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C566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BDBC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A652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3.00E-04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6CA60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>Known to f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unction in the RIGI-mediated interferon induction pathway upstream or at the level of MAVS Inhibits NF-kappa-B activation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9E474A" w:rsidRPr="00F51B44" w14:paraId="2D2CAAFA" w14:textId="77777777" w:rsidTr="00C93C6D">
        <w:trPr>
          <w:trHeight w:val="114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AF303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DA6D8C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RNF5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A98885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Down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E74F79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-2.09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E0CA37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0.0118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BAAA85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Mediates polyubiquitination of STING1 leading to its proteasomal degradation; the ubiquitination occurs in mitochondria after viral transfection and regulates antiviral responses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9E474A" w:rsidRPr="00F51B44" w14:paraId="31207729" w14:textId="77777777" w:rsidTr="00C93C6D">
        <w:trPr>
          <w:trHeight w:val="1133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A7F9A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209A43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STX10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CAD115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Down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C3FD2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-2.01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D48C6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0.0079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1C0CB6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SNARE involved in vesicular transport from the late endosomes to the trans-Golgi network. </w:t>
            </w:r>
          </w:p>
        </w:tc>
      </w:tr>
      <w:tr w:rsidR="009E474A" w:rsidRPr="00F51B44" w14:paraId="5D28F492" w14:textId="77777777" w:rsidTr="00C93C6D">
        <w:trPr>
          <w:trHeight w:val="109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883FF4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0A483D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RASSF6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2026A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Down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A33D1B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-2.06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6BE8D0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0.0416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CF34CA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Involved in the induction of apoptosis, through both caspase-dependent and caspase-independent pathways. May act as a Ras effector protein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and </w:t>
            </w: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suppress the serum-induced basal levels of NF-kappa-B (By similarity).</w:t>
            </w:r>
          </w:p>
        </w:tc>
      </w:tr>
      <w:tr w:rsidR="009E474A" w:rsidRPr="00F51B44" w14:paraId="13C9198A" w14:textId="77777777" w:rsidTr="00C93C6D">
        <w:trPr>
          <w:trHeight w:val="9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3B7CA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innate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28DC1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ATG13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F5F21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Down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413E7E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-2.06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0748E2" w14:textId="77777777" w:rsidR="009E474A" w:rsidRPr="00F51B44" w:rsidRDefault="009E474A" w:rsidP="00C93C6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0.0375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83C92A" w14:textId="77777777" w:rsidR="009E474A" w:rsidRPr="00F51B44" w:rsidRDefault="009E474A" w:rsidP="00C93C6D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51B44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The encoded protein is essential for autophagosome formation and mitophagy.</w:t>
            </w:r>
          </w:p>
        </w:tc>
      </w:tr>
    </w:tbl>
    <w:p w14:paraId="54A9D442" w14:textId="77777777" w:rsidR="00DD0EC1" w:rsidRDefault="00DD0EC1"/>
    <w:sectPr w:rsidR="00DD0EC1" w:rsidSect="009E4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4A"/>
    <w:rsid w:val="00044725"/>
    <w:rsid w:val="001C5DC9"/>
    <w:rsid w:val="00232DB8"/>
    <w:rsid w:val="006B6335"/>
    <w:rsid w:val="008A219F"/>
    <w:rsid w:val="009E474A"/>
    <w:rsid w:val="00A11796"/>
    <w:rsid w:val="00BA7040"/>
    <w:rsid w:val="00DA1B55"/>
    <w:rsid w:val="00D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54D4"/>
  <w15:chartTrackingRefBased/>
  <w15:docId w15:val="{BDDE28A9-4DB7-4715-BE4D-E2B9B12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4A"/>
    <w:pPr>
      <w:spacing w:line="278" w:lineRule="auto"/>
    </w:pPr>
    <w:rPr>
      <w:sz w:val="24"/>
      <w:szCs w:val="24"/>
      <w:lang w:val="en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7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7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7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7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7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7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7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7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7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E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7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E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74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E4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74A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9E4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3371</Characters>
  <Application>Microsoft Office Word</Application>
  <DocSecurity>0</DocSecurity>
  <Lines>187</Lines>
  <Paragraphs>157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Fizza Fatima</dc:creator>
  <cp:keywords/>
  <dc:description/>
  <cp:lastModifiedBy>Zahra Hasan</cp:lastModifiedBy>
  <cp:revision>4</cp:revision>
  <dcterms:created xsi:type="dcterms:W3CDTF">2026-01-02T11:00:00Z</dcterms:created>
  <dcterms:modified xsi:type="dcterms:W3CDTF">2026-01-02T11:01:00Z</dcterms:modified>
</cp:coreProperties>
</file>