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9DDC" w14:textId="086125BE" w:rsidR="007E6987" w:rsidRPr="00682275" w:rsidRDefault="007E6987" w:rsidP="007E6987">
      <w:pPr>
        <w:spacing w:after="0" w:line="240" w:lineRule="auto"/>
        <w:rPr>
          <w:rFonts w:ascii="Times New Roman" w:hAnsi="Times New Roman" w:cs="Times New Roman"/>
          <w:b/>
          <w:bCs/>
          <w:lang w:val="en-US"/>
        </w:rPr>
      </w:pPr>
      <w:r w:rsidRPr="00682275">
        <w:rPr>
          <w:rFonts w:ascii="Times New Roman" w:hAnsi="Times New Roman" w:cs="Times New Roman"/>
          <w:b/>
          <w:bCs/>
          <w:lang w:val="en-US"/>
        </w:rPr>
        <w:t>Supplementary Material</w:t>
      </w:r>
    </w:p>
    <w:p w14:paraId="2F87BA3E" w14:textId="77777777" w:rsidR="007E6987" w:rsidRPr="00682275" w:rsidRDefault="007E6987" w:rsidP="007E6987">
      <w:pPr>
        <w:spacing w:after="0"/>
        <w:rPr>
          <w:rFonts w:ascii="Times New Roman" w:hAnsi="Times New Roman" w:cs="Times New Roman"/>
          <w:b/>
          <w:bCs/>
          <w:lang w:val="en-US"/>
        </w:rPr>
      </w:pPr>
    </w:p>
    <w:p w14:paraId="3F1608D9" w14:textId="77777777" w:rsidR="007E6987" w:rsidRDefault="007E6987" w:rsidP="007E6987">
      <w:pPr>
        <w:spacing w:after="0"/>
        <w:jc w:val="both"/>
        <w:rPr>
          <w:rFonts w:ascii="Times New Roman" w:hAnsi="Times New Roman" w:cs="Times New Roman"/>
          <w:lang w:val="en-US"/>
        </w:rPr>
      </w:pPr>
      <w:r w:rsidRPr="00682275">
        <w:rPr>
          <w:rFonts w:ascii="Times New Roman" w:hAnsi="Times New Roman" w:cs="Times New Roman"/>
          <w:b/>
          <w:bCs/>
          <w:lang w:val="en-US"/>
        </w:rPr>
        <w:t>Supplementary Figure 1</w:t>
      </w:r>
      <w:r w:rsidRPr="00682275">
        <w:rPr>
          <w:rFonts w:ascii="Times New Roman" w:hAnsi="Times New Roman" w:cs="Times New Roman"/>
          <w:lang w:val="en-US"/>
        </w:rPr>
        <w:t xml:space="preserve">. </w:t>
      </w:r>
      <w:r w:rsidRPr="00007C21">
        <w:rPr>
          <w:rFonts w:ascii="Times New Roman" w:hAnsi="Times New Roman" w:cs="Times New Roman"/>
          <w:b/>
          <w:bCs/>
          <w:lang w:val="en-US"/>
        </w:rPr>
        <w:t>Dose profiles</w:t>
      </w:r>
      <w:r>
        <w:rPr>
          <w:rFonts w:ascii="Times New Roman" w:hAnsi="Times New Roman" w:cs="Times New Roman"/>
          <w:b/>
          <w:bCs/>
          <w:lang w:val="en-US"/>
        </w:rPr>
        <w:t xml:space="preserve"> experimental setup</w:t>
      </w:r>
      <w:r w:rsidRPr="00007C21">
        <w:rPr>
          <w:rFonts w:ascii="Times New Roman" w:hAnsi="Times New Roman" w:cs="Times New Roman"/>
          <w:b/>
          <w:bCs/>
          <w:lang w:val="en-US"/>
        </w:rPr>
        <w:t>.</w:t>
      </w:r>
      <w:r>
        <w:rPr>
          <w:rFonts w:ascii="Times New Roman" w:hAnsi="Times New Roman" w:cs="Times New Roman"/>
          <w:lang w:val="en-US"/>
        </w:rPr>
        <w:t xml:space="preserve"> </w:t>
      </w:r>
      <w:r w:rsidRPr="00682275">
        <w:rPr>
          <w:rFonts w:ascii="Times New Roman" w:hAnsi="Times New Roman" w:cs="Times New Roman"/>
          <w:lang w:val="en-US"/>
        </w:rPr>
        <w:t xml:space="preserve">Schematic representation of the experimental setup used to measure 1D depth dose profiles at the mouse irradiation position shown in </w:t>
      </w:r>
      <w:r w:rsidRPr="00682275">
        <w:rPr>
          <w:rFonts w:ascii="Times New Roman" w:hAnsi="Times New Roman" w:cs="Times New Roman"/>
          <w:color w:val="0070C0"/>
          <w:lang w:val="en-US"/>
        </w:rPr>
        <w:t xml:space="preserve">Figure 3B </w:t>
      </w:r>
      <w:r w:rsidRPr="00682275">
        <w:rPr>
          <w:rFonts w:ascii="Times New Roman" w:hAnsi="Times New Roman" w:cs="Times New Roman"/>
          <w:lang w:val="en-US"/>
        </w:rPr>
        <w:t>(black line). The</w:t>
      </w:r>
      <w:r>
        <w:rPr>
          <w:rFonts w:ascii="Times New Roman" w:hAnsi="Times New Roman" w:cs="Times New Roman"/>
          <w:lang w:val="en-US"/>
        </w:rPr>
        <w:t xml:space="preserve"> </w:t>
      </w:r>
      <w:r w:rsidRPr="00682275">
        <w:rPr>
          <w:rFonts w:ascii="Times New Roman" w:hAnsi="Times New Roman" w:cs="Times New Roman"/>
          <w:lang w:val="en-US"/>
        </w:rPr>
        <w:t xml:space="preserve">PEAKFINDER was placed with the front window at the isocenter position. Before reaching the PEAKFINDER window the beam was passing the 2DRM, the collimators and the static absorber component (7.0 </w:t>
      </w:r>
      <w:r>
        <w:rPr>
          <w:rFonts w:ascii="Times New Roman" w:hAnsi="Times New Roman" w:cs="Times New Roman"/>
          <w:lang w:val="en-US"/>
        </w:rPr>
        <w:t xml:space="preserve">mm </w:t>
      </w:r>
      <w:r w:rsidRPr="00682275">
        <w:rPr>
          <w:rFonts w:ascii="Times New Roman" w:hAnsi="Times New Roman" w:cs="Times New Roman"/>
          <w:lang w:val="en-US"/>
        </w:rPr>
        <w:t xml:space="preserve">WET polyethylene and 51.5 </w:t>
      </w:r>
      <w:r>
        <w:rPr>
          <w:rFonts w:ascii="Times New Roman" w:hAnsi="Times New Roman" w:cs="Times New Roman"/>
          <w:lang w:val="en-US"/>
        </w:rPr>
        <w:t xml:space="preserve">mm </w:t>
      </w:r>
      <w:r w:rsidRPr="00682275">
        <w:rPr>
          <w:rFonts w:ascii="Times New Roman" w:hAnsi="Times New Roman" w:cs="Times New Roman"/>
          <w:lang w:val="en-US"/>
        </w:rPr>
        <w:t>WET aluminum).</w:t>
      </w:r>
    </w:p>
    <w:p w14:paraId="0500B4A5" w14:textId="4B5E4BD7" w:rsidR="007E6987" w:rsidRPr="00682275" w:rsidRDefault="007E6987" w:rsidP="007E6987">
      <w:pPr>
        <w:spacing w:after="0"/>
        <w:jc w:val="both"/>
        <w:rPr>
          <w:rFonts w:ascii="Times New Roman" w:hAnsi="Times New Roman" w:cs="Times New Roman"/>
          <w:lang w:val="en-US"/>
        </w:rPr>
      </w:pPr>
      <w:r w:rsidRPr="00682275">
        <w:rPr>
          <w:rFonts w:ascii="Times New Roman" w:hAnsi="Times New Roman" w:cs="Times New Roman"/>
          <w:lang w:val="en-US"/>
        </w:rPr>
        <w:br/>
      </w:r>
      <w:r w:rsidRPr="00682275">
        <w:rPr>
          <w:rFonts w:ascii="Times New Roman" w:hAnsi="Times New Roman" w:cs="Times New Roman"/>
          <w:b/>
          <w:bCs/>
          <w:lang w:val="en-US"/>
        </w:rPr>
        <w:t>Supplementary Figure 2</w:t>
      </w:r>
      <w:r w:rsidRPr="00682275">
        <w:rPr>
          <w:rFonts w:ascii="Times New Roman" w:hAnsi="Times New Roman" w:cs="Times New Roman"/>
          <w:lang w:val="en-US"/>
        </w:rPr>
        <w:t xml:space="preserve">. </w:t>
      </w:r>
      <w:r w:rsidRPr="00007C21">
        <w:rPr>
          <w:rFonts w:ascii="Times New Roman" w:hAnsi="Times New Roman" w:cs="Times New Roman"/>
          <w:b/>
          <w:bCs/>
          <w:lang w:val="en-US"/>
        </w:rPr>
        <w:t xml:space="preserve">SOBP dose maps </w:t>
      </w:r>
      <w:r>
        <w:rPr>
          <w:rFonts w:ascii="Times New Roman" w:hAnsi="Times New Roman" w:cs="Times New Roman"/>
          <w:b/>
          <w:bCs/>
          <w:lang w:val="en-US"/>
        </w:rPr>
        <w:t>experimental setup</w:t>
      </w:r>
      <w:r>
        <w:rPr>
          <w:rFonts w:ascii="Times New Roman" w:hAnsi="Times New Roman" w:cs="Times New Roman"/>
          <w:lang w:val="en-US"/>
        </w:rPr>
        <w:t xml:space="preserve">. </w:t>
      </w:r>
      <w:r w:rsidRPr="00682275">
        <w:rPr>
          <w:rFonts w:ascii="Times New Roman" w:hAnsi="Times New Roman" w:cs="Times New Roman"/>
          <w:lang w:val="en-US"/>
        </w:rPr>
        <w:t xml:space="preserve">Schematic representation of the experimental setup used to measure 1D and 2D SOBP dose maps at the mouse irradiation position, with all the absorbers and collimators placed and aligned as for the R range mouse irradiations (15 </w:t>
      </w:r>
      <w:r>
        <w:rPr>
          <w:rFonts w:ascii="Times New Roman" w:hAnsi="Times New Roman" w:cs="Times New Roman"/>
          <w:lang w:val="en-US"/>
        </w:rPr>
        <w:t xml:space="preserve">mm </w:t>
      </w:r>
      <w:r w:rsidRPr="00682275">
        <w:rPr>
          <w:rFonts w:ascii="Times New Roman" w:hAnsi="Times New Roman" w:cs="Times New Roman"/>
          <w:lang w:val="en-US"/>
        </w:rPr>
        <w:t>WET polyethylene and 51.5</w:t>
      </w:r>
      <w:r>
        <w:rPr>
          <w:rFonts w:ascii="Times New Roman" w:hAnsi="Times New Roman" w:cs="Times New Roman"/>
          <w:lang w:val="en-US"/>
        </w:rPr>
        <w:t xml:space="preserve"> mm </w:t>
      </w:r>
      <w:r w:rsidRPr="00682275">
        <w:rPr>
          <w:rFonts w:ascii="Times New Roman" w:hAnsi="Times New Roman" w:cs="Times New Roman"/>
          <w:lang w:val="en-US"/>
        </w:rPr>
        <w:t xml:space="preserve">WET aluminum). Measurements are shown in </w:t>
      </w:r>
      <w:r w:rsidRPr="00682275">
        <w:rPr>
          <w:rFonts w:ascii="Times New Roman" w:hAnsi="Times New Roman" w:cs="Times New Roman"/>
          <w:color w:val="0070C0"/>
          <w:lang w:val="en-US"/>
        </w:rPr>
        <w:t xml:space="preserve">Figure 3B </w:t>
      </w:r>
      <w:r w:rsidRPr="00682275">
        <w:rPr>
          <w:rFonts w:ascii="Times New Roman" w:hAnsi="Times New Roman" w:cs="Times New Roman"/>
          <w:lang w:val="en-US"/>
        </w:rPr>
        <w:t xml:space="preserve">(Blue dots) and </w:t>
      </w:r>
      <w:r w:rsidRPr="00682275">
        <w:rPr>
          <w:rFonts w:ascii="Times New Roman" w:hAnsi="Times New Roman" w:cs="Times New Roman"/>
          <w:color w:val="0070C0"/>
          <w:lang w:val="en-US"/>
        </w:rPr>
        <w:t>3C</w:t>
      </w:r>
      <w:r w:rsidRPr="00682275">
        <w:rPr>
          <w:rFonts w:ascii="Times New Roman" w:hAnsi="Times New Roman" w:cs="Times New Roman"/>
          <w:lang w:val="en-US"/>
        </w:rPr>
        <w:t>. The PTW OCTAVIOUS 1600 XDR detector was placed free in air with the detector window at the isocenter position. 2D dose maps at different depths in water were measured by increasingly adding PMMA slabs of different thickness in front of the detector.</w:t>
      </w:r>
    </w:p>
    <w:p w14:paraId="071EC26F" w14:textId="77777777" w:rsidR="007E6987" w:rsidRPr="00682275" w:rsidRDefault="007E6987" w:rsidP="007E6987">
      <w:pPr>
        <w:spacing w:after="0"/>
        <w:jc w:val="both"/>
        <w:rPr>
          <w:rFonts w:ascii="Times New Roman" w:hAnsi="Times New Roman" w:cs="Times New Roman"/>
          <w:b/>
          <w:bCs/>
          <w:lang w:val="en-US"/>
        </w:rPr>
      </w:pPr>
    </w:p>
    <w:p w14:paraId="4215E169" w14:textId="77777777" w:rsidR="007E6987" w:rsidRDefault="007E6987" w:rsidP="007E6987">
      <w:pPr>
        <w:spacing w:after="0"/>
        <w:jc w:val="both"/>
        <w:rPr>
          <w:rFonts w:ascii="Times New Roman" w:hAnsi="Times New Roman" w:cs="Times New Roman"/>
          <w:lang w:val="en-US"/>
        </w:rPr>
      </w:pPr>
      <w:r w:rsidRPr="00682275">
        <w:rPr>
          <w:rFonts w:ascii="Times New Roman" w:hAnsi="Times New Roman" w:cs="Times New Roman"/>
          <w:b/>
          <w:bCs/>
          <w:lang w:val="en-US"/>
        </w:rPr>
        <w:t>Supplementary Figure 3.</w:t>
      </w:r>
      <w:r w:rsidRPr="00682275">
        <w:rPr>
          <w:rFonts w:ascii="Times New Roman" w:hAnsi="Times New Roman" w:cs="Times New Roman"/>
          <w:lang w:val="en-US"/>
        </w:rPr>
        <w:t xml:space="preserve"> </w:t>
      </w:r>
      <w:r w:rsidRPr="00007C21">
        <w:rPr>
          <w:rFonts w:ascii="Times New Roman" w:hAnsi="Times New Roman" w:cs="Times New Roman"/>
          <w:b/>
          <w:bCs/>
          <w:lang w:val="en-US"/>
        </w:rPr>
        <w:t>Washout</w:t>
      </w:r>
      <w:r>
        <w:rPr>
          <w:rFonts w:ascii="Times New Roman" w:hAnsi="Times New Roman" w:cs="Times New Roman"/>
          <w:lang w:val="en-US"/>
        </w:rPr>
        <w:t xml:space="preserve">. </w:t>
      </w:r>
      <w:r w:rsidRPr="00682275">
        <w:rPr>
          <w:rFonts w:ascii="Times New Roman" w:hAnsi="Times New Roman" w:cs="Times New Roman"/>
          <w:lang w:val="en-US"/>
        </w:rPr>
        <w:t xml:space="preserve">Individual post-irradiation ratios of the activity measured in the mouse body to that in the compensator, acquired after 20 Gy SOBP exposure for the mice presented in </w:t>
      </w:r>
      <w:r w:rsidRPr="00682275">
        <w:rPr>
          <w:rFonts w:ascii="Times New Roman" w:hAnsi="Times New Roman" w:cs="Times New Roman"/>
          <w:color w:val="0070C0"/>
          <w:lang w:val="en-US"/>
        </w:rPr>
        <w:t>Figures 6</w:t>
      </w:r>
      <w:r w:rsidRPr="00682275">
        <w:rPr>
          <w:rFonts w:ascii="Times New Roman" w:hAnsi="Times New Roman" w:cs="Times New Roman"/>
          <w:lang w:val="en-US"/>
        </w:rPr>
        <w:t xml:space="preserve"> and </w:t>
      </w:r>
      <w:r w:rsidRPr="00682275">
        <w:rPr>
          <w:rFonts w:ascii="Times New Roman" w:hAnsi="Times New Roman" w:cs="Times New Roman"/>
          <w:color w:val="0070C0"/>
          <w:lang w:val="en-US"/>
        </w:rPr>
        <w:t>7</w:t>
      </w:r>
      <w:r w:rsidRPr="00682275">
        <w:rPr>
          <w:rFonts w:ascii="Times New Roman" w:hAnsi="Times New Roman" w:cs="Times New Roman"/>
          <w:lang w:val="en-US"/>
        </w:rPr>
        <w:t>. The fitted function follows the model reported in ref.</w:t>
      </w:r>
      <w:r w:rsidRPr="00682275">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{"citationItems":[{"id":"ITEM-1","itemData":{"DOI":"10.1038/s41567-025-02993-8","ISSN":"1745-2473","abstract":"Charged particle therapy with protons or heavier ions is one of the most effective radiotherapy techniques, but uncertainties in the beam range can limit its efficacy. Radioactive ion beams are ideal for image-guided particle therapy because isotopes that undergo β + decay can be visualized with positron emission tomography. This allows spatial localization of the particle distribution in vivo, which can be correlated with the expected dose deposition for online beam range verification. Here we report the successful treatment of a mouse osteosarcoma using a radioactive 11 C-ion beam. The tumour was located in the neck, close to the spinal cord, where deviations of even a few millimetres in the beam range could lead to unintended dose deposition in the spine and radiation-induced myelopathy, an injury to the spinal cord. We achieved complete tumour control with the highest dose of 20 Gy while avoiding paralysis. Low-grade neurological side effects were correlated to the activity measured by positron emission tomography in the spine. The biological washout of the activity from the tumour volume was dependent on the dose, indicating a potential component of vascular damage at high doses. This experiment marks a step towards future clinical applications of radioactive ion beams.","author":[{"dropping-particle":"","family":"Boscolo","given":"Daria","non-dropping-particle":"","parse-names":false,"suffix":""},{"dropping-particle":"","family":"Lovatti","given":"Giulio","non-dropping-particle":"","parse-names":false,"suffix":""},{"dropping-particle":"","family":"Sokol","given":"Olga","non-dropping-particle":"","parse-names":false,"suffix":""},{"dropping-particle":"","family":"Vitacchio","given":"Tamara","non-dropping-particle":"","parse-names":false,"suffix":""},{"dropping-particle":"","family":"Moglioni","given":"Martina","non-dropping-particle":"","parse-names":false,"suffix":""},{"dropping-particle":"","family":"Evangelista","given":"Francesco","non-dropping-particle":"","parse-names":false,"suffix":""},{"dropping-particle":"","family":"Haettner","given":"Emma","non-dropping-particle":"","parse-names":false,"suffix":""},{"dropping-particle":"","family":"Tinganelli","given":"Walter","non-dropping-particle":"","parse-names":false,"suffix":""},{"dropping-particle":"","family":"Graeff","given":"Christian","non-dropping-particle":"","parse-names":false,"suffix":""},{"dropping-particle":"","family":"Weber","given":"Uli","non-dropping-particle":"","parse-names":false,"suffix":""},{"dropping-particle":"","family":"Schuy","given":"Christoph","non-dropping-particle":"","parse-names":false,"suffix":""},{"dropping-particle":"","family":"Nitta","given":"Munetaka","non-dropping-particle":"","parse-names":false,"suffix":""},{"dropping-particle":"","family":"Kostyleva","given":"Daria","non-dropping-particle":"","parse-names":false,"suffix":""},{"dropping-particle":"","family":"Purushothaman","given":"Sivaji","non-dropping-particle":"","parse-names":false,"suffix":""},{"dropping-particle":"","family":"Thirolf","given":"Peter G.","non-dropping-particle":"","parse-names":false,"suffix":""},{"dropping-particle":"","family":"Bückner","given":"Andreas","non-dropping-particle":"","parse-names":false,"suffix":""},{"dropping-particle":"","family":"Bortfeldt","given":"Jonathan","non-dropping-particle":"","parse-names":false,"suffix":""},{"dropping-particle":"","family":"Scheidenberger","given":"Christoph","non-dropping-particle":"","parse-names":false,"suffix":""},{"dropping-particle":"","family":"Parodi","given":"Katia","non-dropping-particle":"","parse-names":false,"suffix":""},{"dropping-particle":"","family":"Durante","given":"Marco","non-dropping-particle":"","parse-names":false,"suffix":""}],"container-title":"Nature Physics","id":"ITEM-1","issue":"10","issued":{"date-parts":[["2025","10"]]},"page":"1648-1656","title":"Image-guided treatment of mouse tumours with radioactive ion beams","type":"article-journal","volume":"21"},"uris":["http://www.mendeley.com/documents/?uuid=0660833c-35ad-4a82-8d5d-3e33b42c4232"]}],"mendeley":{"formattedCitation":"&lt;sup&gt;35&lt;/sup&gt;","plainTextFormattedCitation":"35","previouslyFormattedCitation":"&lt;sup&gt;35&lt;/sup&gt;"},"properties":{"noteIndex":0},"schema":"https://github.com/citation-style-language/schema/raw/master/csl-citation.json"}</w:instrText>
      </w:r>
      <w:r w:rsidRPr="00682275">
        <w:rPr>
          <w:rFonts w:ascii="Times New Roman" w:hAnsi="Times New Roman" w:cs="Times New Roman"/>
          <w:lang w:val="en-US"/>
        </w:rPr>
        <w:fldChar w:fldCharType="separate"/>
      </w:r>
      <w:r w:rsidRPr="00D81C72">
        <w:rPr>
          <w:rFonts w:ascii="Times New Roman" w:hAnsi="Times New Roman" w:cs="Times New Roman"/>
          <w:noProof/>
          <w:vertAlign w:val="superscript"/>
          <w:lang w:val="en-US"/>
        </w:rPr>
        <w:t>35</w:t>
      </w:r>
      <w:r w:rsidRPr="00682275">
        <w:rPr>
          <w:rFonts w:ascii="Times New Roman" w:hAnsi="Times New Roman" w:cs="Times New Roman"/>
          <w:lang w:val="en-US"/>
        </w:rPr>
        <w:fldChar w:fldCharType="end"/>
      </w:r>
      <w:r w:rsidRPr="00682275">
        <w:rPr>
          <w:rFonts w:ascii="Times New Roman" w:hAnsi="Times New Roman" w:cs="Times New Roman"/>
          <w:lang w:val="en-US"/>
        </w:rPr>
        <w:t xml:space="preserve"> and is shown as a dashed black line. The blue band represents the range of fitted biological decay constants obtained separately for the two datasets (long- and right-range acquisitions).</w:t>
      </w:r>
    </w:p>
    <w:p w14:paraId="5C753EC0" w14:textId="77777777" w:rsidR="007E6987" w:rsidRPr="00682275" w:rsidRDefault="007E6987" w:rsidP="007E6987">
      <w:pPr>
        <w:spacing w:after="0"/>
        <w:jc w:val="both"/>
        <w:rPr>
          <w:rFonts w:ascii="Times New Roman" w:hAnsi="Times New Roman" w:cs="Times New Roman"/>
          <w:lang w:val="en-US"/>
        </w:rPr>
      </w:pPr>
    </w:p>
    <w:p w14:paraId="18F54224" w14:textId="77777777" w:rsidR="007E6987" w:rsidRPr="007E6987" w:rsidRDefault="007E6987" w:rsidP="007E6987">
      <w:pPr>
        <w:widowControl w:val="0"/>
        <w:jc w:val="both"/>
        <w:rPr>
          <w:rFonts w:ascii="Times New Roman" w:hAnsi="Times New Roman" w:cs="Times New Roman"/>
          <w:lang w:val="en-US"/>
        </w:rPr>
      </w:pPr>
      <w:r w:rsidRPr="007E6987">
        <w:rPr>
          <w:rFonts w:ascii="Times New Roman" w:hAnsi="Times New Roman" w:cs="Times New Roman"/>
          <w:b/>
          <w:bCs/>
          <w:lang w:val="en-US"/>
        </w:rPr>
        <w:t>Supplementary Figure 4. Skin toxicity in tumour-bearing mice</w:t>
      </w:r>
      <w:r w:rsidRPr="007E6987">
        <w:rPr>
          <w:rFonts w:ascii="Times New Roman" w:hAnsi="Times New Roman" w:cs="Times New Roman"/>
          <w:lang w:val="en-US"/>
        </w:rPr>
        <w:t xml:space="preserve">. Bars indicate the percentage of animals in each group exhibiting skin toxicity grades 0–4. Groups include non-irradiated tumor-bearing controls, tumor-free sham controls, as well as short (S), right (R) and long (L) range groups. Grade 4, which required euthanasia of the animals, was observed only in the tumour-bearing control group and was caused by the development of lesions on the tumour site. For each experimental group, animal numbers are detailed in the figure. </w:t>
      </w:r>
    </w:p>
    <w:p w14:paraId="13F71242" w14:textId="77777777" w:rsidR="007E6987" w:rsidRDefault="007E6987" w:rsidP="007E6987">
      <w:pPr>
        <w:spacing w:after="0"/>
        <w:jc w:val="both"/>
        <w:rPr>
          <w:rFonts w:ascii="Times New Roman" w:hAnsi="Times New Roman" w:cs="Times New Roman"/>
          <w:lang w:val="en-US"/>
        </w:rPr>
      </w:pPr>
      <w:r w:rsidRPr="00682275">
        <w:rPr>
          <w:rFonts w:ascii="Times New Roman" w:hAnsi="Times New Roman" w:cs="Times New Roman"/>
          <w:b/>
          <w:bCs/>
          <w:lang w:val="en-US"/>
        </w:rPr>
        <w:t>Supplementary Figure 5.</w:t>
      </w:r>
      <w:r w:rsidRPr="00682275">
        <w:rPr>
          <w:rFonts w:ascii="Times New Roman" w:hAnsi="Times New Roman" w:cs="Times New Roman"/>
          <w:lang w:val="en-US"/>
        </w:rPr>
        <w:t xml:space="preserve"> </w:t>
      </w:r>
      <w:r w:rsidRPr="00682275">
        <w:rPr>
          <w:rFonts w:ascii="Times New Roman" w:hAnsi="Times New Roman" w:cs="Times New Roman"/>
          <w:b/>
          <w:bCs/>
          <w:lang w:val="en-US"/>
        </w:rPr>
        <w:t xml:space="preserve">Acute esophageal toxicity. </w:t>
      </w:r>
      <w:r>
        <w:rPr>
          <w:rFonts w:ascii="Times New Roman" w:hAnsi="Times New Roman" w:cs="Times New Roman"/>
          <w:lang w:val="en-US"/>
        </w:rPr>
        <w:t>P</w:t>
      </w:r>
      <w:r w:rsidRPr="000279AB">
        <w:rPr>
          <w:rFonts w:ascii="Times New Roman" w:hAnsi="Times New Roman" w:cs="Times New Roman"/>
          <w:lang w:val="en-US"/>
        </w:rPr>
        <w:t xml:space="preserve">anels </w:t>
      </w:r>
      <w:r w:rsidRPr="000279AB">
        <w:rPr>
          <w:rFonts w:ascii="Times New Roman" w:hAnsi="Times New Roman" w:cs="Times New Roman"/>
          <w:b/>
          <w:bCs/>
          <w:lang w:val="en-US"/>
        </w:rPr>
        <w:t>A-B</w:t>
      </w:r>
      <w:r w:rsidRPr="000279AB">
        <w:rPr>
          <w:rFonts w:ascii="Times New Roman" w:hAnsi="Times New Roman" w:cs="Times New Roman"/>
          <w:lang w:val="en-US"/>
        </w:rPr>
        <w:t xml:space="preserve"> show the p</w:t>
      </w:r>
      <w:r>
        <w:rPr>
          <w:rFonts w:ascii="Times New Roman" w:hAnsi="Times New Roman" w:cs="Times New Roman"/>
          <w:lang w:val="en-US"/>
        </w:rPr>
        <w:t>hoto</w:t>
      </w:r>
      <w:r w:rsidRPr="000279AB">
        <w:rPr>
          <w:rFonts w:ascii="Times New Roman" w:hAnsi="Times New Roman" w:cs="Times New Roman"/>
          <w:lang w:val="en-US"/>
        </w:rPr>
        <w:t xml:space="preserve"> and the µCT scan of a mouse from the L group </w:t>
      </w:r>
      <w:r>
        <w:rPr>
          <w:rFonts w:ascii="Times New Roman" w:hAnsi="Times New Roman" w:cs="Times New Roman"/>
          <w:lang w:val="en-US"/>
        </w:rPr>
        <w:t xml:space="preserve">two weeks after irradiation, </w:t>
      </w:r>
      <w:r w:rsidRPr="000279AB">
        <w:rPr>
          <w:rFonts w:ascii="Times New Roman" w:hAnsi="Times New Roman" w:cs="Times New Roman"/>
          <w:lang w:val="en-US"/>
        </w:rPr>
        <w:t>manifesting breathing issues</w:t>
      </w:r>
      <w:r>
        <w:rPr>
          <w:rFonts w:ascii="Times New Roman" w:hAnsi="Times New Roman" w:cs="Times New Roman"/>
          <w:lang w:val="en-US"/>
        </w:rPr>
        <w:t xml:space="preserve">, </w:t>
      </w:r>
      <w:r w:rsidRPr="000279AB">
        <w:rPr>
          <w:rFonts w:ascii="Times New Roman" w:hAnsi="Times New Roman" w:cs="Times New Roman"/>
          <w:lang w:val="en-US"/>
        </w:rPr>
        <w:t xml:space="preserve">severe weight loss, and altered food intake, which </w:t>
      </w:r>
      <w:r>
        <w:rPr>
          <w:rFonts w:ascii="Times New Roman" w:hAnsi="Times New Roman" w:cs="Times New Roman"/>
          <w:lang w:val="en-US"/>
        </w:rPr>
        <w:t>was indicated by the</w:t>
      </w:r>
      <w:r w:rsidRPr="000279AB">
        <w:rPr>
          <w:rFonts w:ascii="Times New Roman" w:hAnsi="Times New Roman" w:cs="Times New Roman"/>
          <w:lang w:val="en-US"/>
        </w:rPr>
        <w:t xml:space="preserve"> </w:t>
      </w:r>
      <w:r>
        <w:rPr>
          <w:rFonts w:ascii="Times New Roman" w:hAnsi="Times New Roman" w:cs="Times New Roman"/>
          <w:lang w:val="en-US"/>
        </w:rPr>
        <w:t>hunched posture and air-filled areas of the gastrointestinal tract seen on the CT</w:t>
      </w:r>
      <w:r w:rsidRPr="000279AB">
        <w:rPr>
          <w:rFonts w:ascii="Times New Roman" w:hAnsi="Times New Roman" w:cs="Times New Roman"/>
          <w:lang w:val="en-US"/>
        </w:rPr>
        <w:t xml:space="preserve">. The animal had to be euthanized two weeks post irradiation according to the ethical protocol, having reached </w:t>
      </w:r>
      <w:r>
        <w:rPr>
          <w:rFonts w:ascii="Times New Roman" w:hAnsi="Times New Roman" w:cs="Times New Roman"/>
          <w:lang w:val="en-US"/>
        </w:rPr>
        <w:t>G</w:t>
      </w:r>
      <w:r w:rsidRPr="000279AB">
        <w:rPr>
          <w:rFonts w:ascii="Times New Roman" w:hAnsi="Times New Roman" w:cs="Times New Roman"/>
          <w:lang w:val="en-US"/>
        </w:rPr>
        <w:t xml:space="preserve">rade 3 toxicity. The hematoxylin-eosin staining of </w:t>
      </w:r>
      <w:r>
        <w:rPr>
          <w:rFonts w:ascii="Times New Roman" w:hAnsi="Times New Roman" w:cs="Times New Roman"/>
          <w:lang w:val="en-US"/>
        </w:rPr>
        <w:t xml:space="preserve">the esophagus </w:t>
      </w:r>
      <w:r w:rsidRPr="000279AB">
        <w:rPr>
          <w:rFonts w:ascii="Times New Roman" w:hAnsi="Times New Roman" w:cs="Times New Roman"/>
          <w:lang w:val="en-US"/>
        </w:rPr>
        <w:t>(</w:t>
      </w:r>
      <w:r w:rsidRPr="000279AB">
        <w:rPr>
          <w:rFonts w:ascii="Times New Roman" w:hAnsi="Times New Roman" w:cs="Times New Roman"/>
          <w:b/>
          <w:bCs/>
          <w:lang w:val="en-US"/>
        </w:rPr>
        <w:t>C</w:t>
      </w:r>
      <w:r w:rsidRPr="000279AB">
        <w:rPr>
          <w:rFonts w:ascii="Times New Roman" w:hAnsi="Times New Roman" w:cs="Times New Roman"/>
          <w:lang w:val="en-US"/>
        </w:rPr>
        <w:t>)</w:t>
      </w:r>
      <w:r>
        <w:rPr>
          <w:rFonts w:ascii="Times New Roman" w:hAnsi="Times New Roman" w:cs="Times New Roman"/>
          <w:lang w:val="en-US"/>
        </w:rPr>
        <w:t xml:space="preserve"> of </w:t>
      </w:r>
      <w:r w:rsidRPr="000279AB">
        <w:rPr>
          <w:rFonts w:ascii="Times New Roman" w:hAnsi="Times New Roman" w:cs="Times New Roman"/>
          <w:lang w:val="en-US"/>
        </w:rPr>
        <w:t xml:space="preserve">a sham irradiated control </w:t>
      </w:r>
      <w:r>
        <w:rPr>
          <w:rFonts w:ascii="Times New Roman" w:hAnsi="Times New Roman" w:cs="Times New Roman"/>
          <w:lang w:val="en-US"/>
        </w:rPr>
        <w:t xml:space="preserve">mouse </w:t>
      </w:r>
      <w:r w:rsidRPr="000279AB">
        <w:rPr>
          <w:rFonts w:ascii="Times New Roman" w:hAnsi="Times New Roman" w:cs="Times New Roman"/>
          <w:lang w:val="en-US"/>
        </w:rPr>
        <w:t xml:space="preserve"> </w:t>
      </w:r>
      <w:r>
        <w:rPr>
          <w:rFonts w:ascii="Times New Roman" w:hAnsi="Times New Roman" w:cs="Times New Roman"/>
          <w:lang w:val="en-US"/>
        </w:rPr>
        <w:t xml:space="preserve">is </w:t>
      </w:r>
      <w:r w:rsidRPr="000279AB">
        <w:rPr>
          <w:rFonts w:ascii="Times New Roman" w:hAnsi="Times New Roman" w:cs="Times New Roman"/>
          <w:lang w:val="en-US"/>
        </w:rPr>
        <w:t>compared to</w:t>
      </w:r>
      <w:r>
        <w:rPr>
          <w:rFonts w:ascii="Times New Roman" w:hAnsi="Times New Roman" w:cs="Times New Roman"/>
          <w:lang w:val="en-US"/>
        </w:rPr>
        <w:t xml:space="preserve"> esophagus</w:t>
      </w:r>
      <w:r w:rsidRPr="000279AB">
        <w:rPr>
          <w:rFonts w:ascii="Times New Roman" w:hAnsi="Times New Roman" w:cs="Times New Roman"/>
          <w:lang w:val="en-US"/>
        </w:rPr>
        <w:t xml:space="preserve"> (</w:t>
      </w:r>
      <w:r w:rsidRPr="000279AB">
        <w:rPr>
          <w:rFonts w:ascii="Times New Roman" w:hAnsi="Times New Roman" w:cs="Times New Roman"/>
          <w:b/>
          <w:bCs/>
          <w:lang w:val="en-US"/>
        </w:rPr>
        <w:t>D</w:t>
      </w:r>
      <w:r w:rsidRPr="000279AB">
        <w:rPr>
          <w:rFonts w:ascii="Times New Roman" w:hAnsi="Times New Roman" w:cs="Times New Roman"/>
          <w:lang w:val="en-US"/>
        </w:rPr>
        <w:t>)</w:t>
      </w:r>
      <w:r>
        <w:rPr>
          <w:rFonts w:ascii="Times New Roman" w:hAnsi="Times New Roman" w:cs="Times New Roman"/>
          <w:lang w:val="en-US"/>
        </w:rPr>
        <w:t xml:space="preserve"> of </w:t>
      </w:r>
      <w:r w:rsidRPr="000279AB">
        <w:rPr>
          <w:rFonts w:ascii="Times New Roman" w:hAnsi="Times New Roman" w:cs="Times New Roman"/>
          <w:lang w:val="en-US"/>
        </w:rPr>
        <w:t xml:space="preserve">the </w:t>
      </w:r>
      <w:r>
        <w:rPr>
          <w:rFonts w:ascii="Times New Roman" w:hAnsi="Times New Roman" w:cs="Times New Roman"/>
          <w:lang w:val="en-US"/>
        </w:rPr>
        <w:t xml:space="preserve">L-group animal shown in the  panels </w:t>
      </w:r>
      <w:r w:rsidRPr="00C43B9D">
        <w:rPr>
          <w:rFonts w:ascii="Times New Roman" w:hAnsi="Times New Roman" w:cs="Times New Roman"/>
          <w:b/>
          <w:bCs/>
          <w:lang w:val="en-US"/>
        </w:rPr>
        <w:t>A-B</w:t>
      </w:r>
      <w:r w:rsidRPr="000279AB">
        <w:rPr>
          <w:rFonts w:ascii="Times New Roman" w:hAnsi="Times New Roman" w:cs="Times New Roman"/>
          <w:lang w:val="en-US"/>
        </w:rPr>
        <w:t xml:space="preserve">. </w:t>
      </w:r>
      <w:r>
        <w:rPr>
          <w:rFonts w:ascii="Times New Roman" w:hAnsi="Times New Roman" w:cs="Times New Roman"/>
          <w:lang w:val="en-US"/>
        </w:rPr>
        <w:t>C</w:t>
      </w:r>
      <w:r w:rsidRPr="000279AB">
        <w:rPr>
          <w:rFonts w:ascii="Times New Roman" w:hAnsi="Times New Roman" w:cs="Times New Roman"/>
          <w:lang w:val="en-US"/>
        </w:rPr>
        <w:t xml:space="preserve">ircles indicate the difference between the normal keratinized epithelium of </w:t>
      </w:r>
      <w:r>
        <w:rPr>
          <w:rFonts w:ascii="Times New Roman" w:hAnsi="Times New Roman" w:cs="Times New Roman"/>
          <w:lang w:val="en-US"/>
        </w:rPr>
        <w:t>the esophagus</w:t>
      </w:r>
      <w:r w:rsidRPr="000279AB">
        <w:rPr>
          <w:rFonts w:ascii="Times New Roman" w:hAnsi="Times New Roman" w:cs="Times New Roman"/>
          <w:lang w:val="en-US"/>
        </w:rPr>
        <w:t xml:space="preserve"> (</w:t>
      </w:r>
      <w:r w:rsidRPr="000279AB">
        <w:rPr>
          <w:rFonts w:ascii="Times New Roman" w:hAnsi="Times New Roman" w:cs="Times New Roman"/>
          <w:b/>
          <w:bCs/>
          <w:lang w:val="en-US"/>
        </w:rPr>
        <w:t>E</w:t>
      </w:r>
      <w:r w:rsidRPr="000279AB">
        <w:rPr>
          <w:rFonts w:ascii="Times New Roman" w:hAnsi="Times New Roman" w:cs="Times New Roman"/>
          <w:lang w:val="en-US"/>
        </w:rPr>
        <w:t xml:space="preserve">) and the </w:t>
      </w:r>
      <w:r w:rsidRPr="000279AB">
        <w:rPr>
          <w:rFonts w:ascii="Times New Roman" w:hAnsi="Times New Roman" w:cs="Times New Roman"/>
          <w:lang w:val="en-GB"/>
        </w:rPr>
        <w:t xml:space="preserve">surface epithelial alteration (SEA, </w:t>
      </w:r>
      <w:r w:rsidRPr="000279AB">
        <w:rPr>
          <w:rFonts w:ascii="Times New Roman" w:hAnsi="Times New Roman" w:cs="Times New Roman"/>
          <w:b/>
          <w:bCs/>
          <w:lang w:val="en-GB"/>
        </w:rPr>
        <w:t>F</w:t>
      </w:r>
      <w:r w:rsidRPr="000279AB">
        <w:rPr>
          <w:rFonts w:ascii="Times New Roman" w:hAnsi="Times New Roman" w:cs="Times New Roman"/>
          <w:lang w:val="en-GB"/>
        </w:rPr>
        <w:t>), with the partial loss of the keratinised layer. The arrows show the normal monolayer of basal cells (</w:t>
      </w:r>
      <w:r w:rsidRPr="000279AB">
        <w:rPr>
          <w:rFonts w:ascii="Times New Roman" w:hAnsi="Times New Roman" w:cs="Times New Roman"/>
          <w:b/>
          <w:bCs/>
          <w:lang w:val="en-GB"/>
        </w:rPr>
        <w:t>E</w:t>
      </w:r>
      <w:r w:rsidRPr="000279AB">
        <w:rPr>
          <w:rFonts w:ascii="Times New Roman" w:hAnsi="Times New Roman" w:cs="Times New Roman"/>
          <w:lang w:val="en-GB"/>
        </w:rPr>
        <w:t xml:space="preserve">) and the basal zone hyperplasia (BZH, </w:t>
      </w:r>
      <w:r w:rsidRPr="000279AB">
        <w:rPr>
          <w:rFonts w:ascii="Times New Roman" w:hAnsi="Times New Roman" w:cs="Times New Roman"/>
          <w:b/>
          <w:bCs/>
          <w:lang w:val="en-GB"/>
        </w:rPr>
        <w:t>F</w:t>
      </w:r>
      <w:r w:rsidRPr="000279AB">
        <w:rPr>
          <w:rFonts w:ascii="Times New Roman" w:hAnsi="Times New Roman" w:cs="Times New Roman"/>
          <w:lang w:val="en-GB"/>
        </w:rPr>
        <w:t>). The curly brackets show the normal epithelium thickness (</w:t>
      </w:r>
      <w:r w:rsidRPr="000279AB">
        <w:rPr>
          <w:rFonts w:ascii="Times New Roman" w:hAnsi="Times New Roman" w:cs="Times New Roman"/>
          <w:b/>
          <w:bCs/>
          <w:lang w:val="en-GB"/>
        </w:rPr>
        <w:t>E</w:t>
      </w:r>
      <w:r w:rsidRPr="000279AB">
        <w:rPr>
          <w:rFonts w:ascii="Times New Roman" w:hAnsi="Times New Roman" w:cs="Times New Roman"/>
          <w:lang w:val="en-GB"/>
        </w:rPr>
        <w:t>) and the consequence of the hyperproliferation of the basal cells layer, resulting in a thickened epithelium (</w:t>
      </w:r>
      <w:r w:rsidRPr="000279AB">
        <w:rPr>
          <w:rFonts w:ascii="Times New Roman" w:hAnsi="Times New Roman" w:cs="Times New Roman"/>
          <w:b/>
          <w:bCs/>
          <w:lang w:val="en-GB"/>
        </w:rPr>
        <w:t>F</w:t>
      </w:r>
      <w:r w:rsidRPr="000279AB">
        <w:rPr>
          <w:rFonts w:ascii="Times New Roman" w:hAnsi="Times New Roman" w:cs="Times New Roman"/>
          <w:lang w:val="en-GB"/>
        </w:rPr>
        <w:t xml:space="preserve">). </w:t>
      </w:r>
      <w:r w:rsidRPr="000279AB">
        <w:rPr>
          <w:rFonts w:ascii="Times New Roman" w:hAnsi="Times New Roman" w:cs="Times New Roman"/>
          <w:lang w:val="en-US"/>
        </w:rPr>
        <w:t xml:space="preserve">The different </w:t>
      </w:r>
      <w:r w:rsidRPr="000279AB">
        <w:rPr>
          <w:rFonts w:ascii="Times New Roman" w:hAnsi="Times New Roman" w:cs="Times New Roman"/>
          <w:lang w:val="en-US"/>
        </w:rPr>
        <w:lastRenderedPageBreak/>
        <w:t xml:space="preserve">parts of the esophagus are described in the panel and the figures </w:t>
      </w:r>
      <w:r w:rsidRPr="000279AB">
        <w:rPr>
          <w:rFonts w:ascii="Times New Roman" w:hAnsi="Times New Roman" w:cs="Times New Roman"/>
          <w:b/>
          <w:bCs/>
          <w:lang w:val="en-US"/>
        </w:rPr>
        <w:t>E-F</w:t>
      </w:r>
      <w:r w:rsidRPr="000279AB">
        <w:rPr>
          <w:rFonts w:ascii="Times New Roman" w:hAnsi="Times New Roman" w:cs="Times New Roman"/>
          <w:lang w:val="en-US"/>
        </w:rPr>
        <w:t xml:space="preserve"> are the magnifications of the </w:t>
      </w:r>
      <w:r w:rsidRPr="000279AB">
        <w:rPr>
          <w:rFonts w:ascii="Times New Roman" w:hAnsi="Times New Roman" w:cs="Times New Roman"/>
          <w:b/>
          <w:bCs/>
          <w:lang w:val="en-US"/>
        </w:rPr>
        <w:t>C-D</w:t>
      </w:r>
      <w:r w:rsidRPr="000279AB">
        <w:rPr>
          <w:rFonts w:ascii="Times New Roman" w:hAnsi="Times New Roman" w:cs="Times New Roman"/>
          <w:lang w:val="en-US"/>
        </w:rPr>
        <w:t xml:space="preserve">, respectively.  </w:t>
      </w:r>
    </w:p>
    <w:p w14:paraId="088423C7" w14:textId="77777777" w:rsidR="007E6987" w:rsidRDefault="007E6987" w:rsidP="007E6987">
      <w:pPr>
        <w:spacing w:after="0"/>
        <w:jc w:val="both"/>
        <w:rPr>
          <w:rFonts w:ascii="Times New Roman" w:hAnsi="Times New Roman" w:cs="Times New Roman"/>
          <w:lang w:val="en-US"/>
        </w:rPr>
      </w:pPr>
    </w:p>
    <w:p w14:paraId="505D4CCD" w14:textId="77777777" w:rsidR="007E6987" w:rsidRPr="007E6987" w:rsidRDefault="007E6987" w:rsidP="007E6987">
      <w:pPr>
        <w:spacing w:after="0"/>
        <w:jc w:val="both"/>
        <w:rPr>
          <w:rFonts w:ascii="Times New Roman" w:hAnsi="Times New Roman" w:cs="Times New Roman"/>
          <w:noProof/>
          <w:lang w:val="en-US"/>
        </w:rPr>
      </w:pPr>
      <w:r w:rsidRPr="007E6987">
        <w:rPr>
          <w:rFonts w:ascii="Times New Roman" w:hAnsi="Times New Roman" w:cs="Times New Roman"/>
          <w:b/>
          <w:bCs/>
          <w:lang w:val="en-US"/>
        </w:rPr>
        <w:t>Supplementary Figure 6.</w:t>
      </w:r>
      <w:r w:rsidRPr="007E6987">
        <w:rPr>
          <w:rFonts w:ascii="Times New Roman" w:hAnsi="Times New Roman" w:cs="Times New Roman"/>
          <w:b/>
          <w:bCs/>
          <w:noProof/>
          <w:lang w:val="en-US"/>
        </w:rPr>
        <w:t xml:space="preserve"> </w:t>
      </w:r>
      <w:r w:rsidRPr="007E6987">
        <w:rPr>
          <w:rFonts w:ascii="Times New Roman" w:hAnsi="Times New Roman" w:cs="Times New Roman"/>
          <w:b/>
          <w:bCs/>
          <w:noProof/>
          <w:lang w:val="en-GB"/>
        </w:rPr>
        <w:t>Esophageal epithelium thickness</w:t>
      </w:r>
      <w:r w:rsidRPr="007E6987">
        <w:rPr>
          <w:rFonts w:ascii="Times New Roman" w:hAnsi="Times New Roman" w:cs="Times New Roman"/>
          <w:noProof/>
          <w:lang w:val="en-GB"/>
        </w:rPr>
        <w:t xml:space="preserve">. </w:t>
      </w:r>
      <w:r w:rsidRPr="007E6987">
        <w:rPr>
          <w:rFonts w:ascii="Times New Roman" w:hAnsi="Times New Roman" w:cs="Times New Roman"/>
          <w:noProof/>
          <w:lang w:val="en-US"/>
        </w:rPr>
        <w:t xml:space="preserve">Distribution of per-mouse median esophageal epithelial thicknesses, calculated from all individual measurements in the control (blue), R (green), and L (orange) irradiation groups. Frequency distributions of the esophagus thickness are shown in </w:t>
      </w:r>
      <w:r w:rsidRPr="007E6987">
        <w:rPr>
          <w:rFonts w:ascii="Times New Roman" w:hAnsi="Times New Roman" w:cs="Times New Roman"/>
          <w:noProof/>
          <w:color w:val="0070C0"/>
          <w:lang w:val="en-US"/>
        </w:rPr>
        <w:t>Fig. 9G</w:t>
      </w:r>
      <w:r w:rsidRPr="007E6987">
        <w:rPr>
          <w:rFonts w:ascii="Times New Roman" w:hAnsi="Times New Roman" w:cs="Times New Roman"/>
          <w:noProof/>
          <w:lang w:val="en-US"/>
        </w:rPr>
        <w:t>. Boxes represent the interquartile range (25th–75th percentiles), central orange lines are group medians, and whiskers indicate the full measurement range (minimum to maximum). Individual points correspond to single animals. Pairwise group comparisons were performed using Mann–Whitney tests applied to per-mouse medians, and resulting p-values are shown above the corresponding brackets.</w:t>
      </w:r>
    </w:p>
    <w:p w14:paraId="26584790" w14:textId="77777777" w:rsidR="007E6987" w:rsidRPr="00682275" w:rsidRDefault="007E6987" w:rsidP="007E6987">
      <w:pPr>
        <w:spacing w:after="0"/>
        <w:jc w:val="both"/>
        <w:rPr>
          <w:rFonts w:ascii="Times New Roman" w:hAnsi="Times New Roman" w:cs="Times New Roman"/>
          <w:lang w:val="en-US"/>
        </w:rPr>
      </w:pPr>
    </w:p>
    <w:p w14:paraId="23BE3927" w14:textId="77777777" w:rsidR="007E6987" w:rsidRPr="00682275" w:rsidRDefault="007E6987" w:rsidP="007E6987">
      <w:pPr>
        <w:spacing w:after="0"/>
        <w:jc w:val="both"/>
        <w:rPr>
          <w:rFonts w:ascii="Times New Roman" w:hAnsi="Times New Roman" w:cs="Times New Roman"/>
          <w:lang w:val="en-US"/>
        </w:rPr>
      </w:pPr>
      <w:r w:rsidRPr="00682275">
        <w:rPr>
          <w:rFonts w:ascii="Times New Roman" w:hAnsi="Times New Roman" w:cs="Times New Roman"/>
          <w:b/>
          <w:bCs/>
          <w:lang w:val="en-US"/>
        </w:rPr>
        <w:t>Supplementary Figure 7</w:t>
      </w:r>
      <w:r w:rsidRPr="00682275">
        <w:rPr>
          <w:rFonts w:ascii="Times New Roman" w:hAnsi="Times New Roman" w:cs="Times New Roman"/>
          <w:lang w:val="en-US"/>
        </w:rPr>
        <w:t xml:space="preserve">. </w:t>
      </w:r>
      <w:r>
        <w:rPr>
          <w:rFonts w:ascii="Times New Roman" w:hAnsi="Times New Roman" w:cs="Times New Roman"/>
          <w:b/>
          <w:bCs/>
          <w:lang w:val="en-US"/>
        </w:rPr>
        <w:t>Water phantom measurements</w:t>
      </w:r>
      <w:r>
        <w:rPr>
          <w:rFonts w:ascii="Times New Roman" w:hAnsi="Times New Roman" w:cs="Times New Roman"/>
          <w:lang w:val="en-US"/>
        </w:rPr>
        <w:t xml:space="preserve">. </w:t>
      </w:r>
      <w:r w:rsidRPr="00682275">
        <w:rPr>
          <w:rFonts w:ascii="Times New Roman" w:hAnsi="Times New Roman" w:cs="Times New Roman"/>
          <w:lang w:val="en-US"/>
        </w:rPr>
        <w:t xml:space="preserve">Water phantom measurements of the </w:t>
      </w:r>
      <w:r w:rsidRPr="00682275">
        <w:rPr>
          <w:rFonts w:ascii="Times New Roman" w:hAnsi="Times New Roman" w:cs="Times New Roman"/>
          <w:b/>
          <w:bCs/>
          <w:lang w:val="en-US"/>
        </w:rPr>
        <w:t>A.</w:t>
      </w:r>
      <w:r w:rsidRPr="00682275">
        <w:rPr>
          <w:rFonts w:ascii="Times New Roman" w:hAnsi="Times New Roman" w:cs="Times New Roman"/>
          <w:lang w:val="en-US"/>
        </w:rPr>
        <w:t xml:space="preserve"> vertical and </w:t>
      </w:r>
      <w:r w:rsidRPr="00682275">
        <w:rPr>
          <w:rFonts w:ascii="Times New Roman" w:hAnsi="Times New Roman" w:cs="Times New Roman"/>
          <w:b/>
          <w:bCs/>
          <w:lang w:val="en-US"/>
        </w:rPr>
        <w:t>B.</w:t>
      </w:r>
      <w:r w:rsidRPr="00682275">
        <w:rPr>
          <w:rFonts w:ascii="Times New Roman" w:hAnsi="Times New Roman" w:cs="Times New Roman"/>
          <w:lang w:val="en-US"/>
        </w:rPr>
        <w:t xml:space="preserve"> horizontal 2D dose distributions in the central plane along the beam direction respectively. </w:t>
      </w:r>
      <w:r w:rsidRPr="00682275">
        <w:rPr>
          <w:rFonts w:ascii="Times New Roman" w:hAnsi="Times New Roman" w:cs="Times New Roman"/>
          <w:b/>
          <w:bCs/>
          <w:lang w:val="en-US"/>
        </w:rPr>
        <w:t>C.</w:t>
      </w:r>
      <w:r w:rsidRPr="00682275">
        <w:rPr>
          <w:rFonts w:ascii="Times New Roman" w:hAnsi="Times New Roman" w:cs="Times New Roman"/>
          <w:lang w:val="en-US"/>
        </w:rPr>
        <w:t xml:space="preserve"> Water phantom measurement of the beam spot 2D dose distribution at the minimal water equivalent depth (z = 21 mm) inside the phantom. </w:t>
      </w:r>
      <w:r w:rsidRPr="00682275">
        <w:rPr>
          <w:rFonts w:ascii="Times New Roman" w:hAnsi="Times New Roman" w:cs="Times New Roman"/>
          <w:b/>
          <w:bCs/>
          <w:lang w:val="en-US"/>
        </w:rPr>
        <w:t>D.</w:t>
      </w:r>
      <w:r w:rsidRPr="00682275">
        <w:rPr>
          <w:rFonts w:ascii="Times New Roman" w:hAnsi="Times New Roman" w:cs="Times New Roman"/>
          <w:lang w:val="en-US"/>
        </w:rPr>
        <w:t xml:space="preserve"> Horizontal and vertical beam profiles acquired on the central line of the beam</w:t>
      </w:r>
      <w:r>
        <w:rPr>
          <w:rFonts w:ascii="Times New Roman" w:hAnsi="Times New Roman" w:cs="Times New Roman"/>
          <w:lang w:val="en-US"/>
        </w:rPr>
        <w:t xml:space="preserve"> </w:t>
      </w:r>
      <w:r w:rsidRPr="00682275">
        <w:rPr>
          <w:rFonts w:ascii="Times New Roman" w:hAnsi="Times New Roman" w:cs="Times New Roman"/>
          <w:lang w:val="en-US"/>
        </w:rPr>
        <w:t>spot shown in panel C. All the data are normalized to the maximum dose.</w:t>
      </w:r>
    </w:p>
    <w:p w14:paraId="53A35ED7" w14:textId="77777777" w:rsidR="007E6987" w:rsidRPr="00682275" w:rsidRDefault="007E6987" w:rsidP="007E6987">
      <w:pPr>
        <w:pStyle w:val="NormalWeb"/>
        <w:spacing w:line="276" w:lineRule="auto"/>
        <w:jc w:val="both"/>
        <w:rPr>
          <w:b/>
          <w:bCs/>
          <w:lang w:val="en-US"/>
        </w:rPr>
      </w:pPr>
      <w:r w:rsidRPr="00682275">
        <w:rPr>
          <w:b/>
          <w:bCs/>
          <w:lang w:val="en-US"/>
        </w:rPr>
        <w:t xml:space="preserve">Supplementary Video 1. </w:t>
      </w:r>
      <w:r>
        <w:rPr>
          <w:b/>
          <w:bCs/>
          <w:lang w:val="en-US"/>
        </w:rPr>
        <w:t xml:space="preserve">Dynamic beam repositioning. </w:t>
      </w:r>
      <w:r w:rsidRPr="00682275">
        <w:rPr>
          <w:lang w:val="en-US"/>
        </w:rPr>
        <w:t>Dynamic PET activity signal acquired during three consecutive irradiations (corresponding to the three range settings) with a 5 Gy collimated monoenergetic ¹¹C beam, overlaid on the SARRP scan of the dead-mouse under irradiation. Each irradiation consists of 4 min of beam delivery followed by 10 min of decay. After each irradiation, range shifter plates were removed, allowing the beam to reach greater depths within the mouse body (from S to L range). Three distinct color scales are used to indicate the activity levels for each range, reflecting both isotope decay and cumulative signal build-up over time, as reported in the right panel. Each frame corresponds to 2 min of PET acquisition. The white “×” marker</w:t>
      </w:r>
      <w:r>
        <w:rPr>
          <w:lang w:val="en-US"/>
        </w:rPr>
        <w:t>s</w:t>
      </w:r>
      <w:r w:rsidRPr="00682275">
        <w:rPr>
          <w:lang w:val="en-US"/>
        </w:rPr>
        <w:t xml:space="preserve"> indicate the positions along the beam axis corresponding to the 80% fall-off of the collimated </w:t>
      </w:r>
      <w:r w:rsidRPr="00682275">
        <w:rPr>
          <w:vertAlign w:val="superscript"/>
          <w:lang w:val="en-US"/>
        </w:rPr>
        <w:t>11</w:t>
      </w:r>
      <w:r w:rsidRPr="00682275">
        <w:rPr>
          <w:lang w:val="en-US"/>
        </w:rPr>
        <w:t>C-beam distribution at the three different ranges in the mouse body.</w:t>
      </w:r>
    </w:p>
    <w:p w14:paraId="3D7A377F" w14:textId="77777777" w:rsidR="007E6987" w:rsidRPr="00682275" w:rsidRDefault="007E6987" w:rsidP="007E6987">
      <w:pPr>
        <w:pStyle w:val="NormalWeb"/>
        <w:spacing w:line="276" w:lineRule="auto"/>
        <w:jc w:val="both"/>
        <w:rPr>
          <w:lang w:val="en-US" w:eastAsia="zh-CN"/>
        </w:rPr>
      </w:pPr>
      <w:r w:rsidRPr="00682275">
        <w:rPr>
          <w:b/>
          <w:bCs/>
          <w:color w:val="000000" w:themeColor="text1"/>
          <w:lang w:val="en-US"/>
        </w:rPr>
        <w:t>Supplementary Video 2</w:t>
      </w:r>
      <w:r w:rsidRPr="00682275">
        <w:rPr>
          <w:color w:val="000000" w:themeColor="text1"/>
          <w:lang w:val="en-US"/>
        </w:rPr>
        <w:t xml:space="preserve">. </w:t>
      </w:r>
      <w:r w:rsidRPr="00007C21">
        <w:rPr>
          <w:b/>
          <w:bCs/>
          <w:color w:val="000000" w:themeColor="text1"/>
          <w:lang w:val="en-US"/>
        </w:rPr>
        <w:t>S-experiment imaging</w:t>
      </w:r>
      <w:r>
        <w:rPr>
          <w:color w:val="000000" w:themeColor="text1"/>
          <w:lang w:val="en-US"/>
        </w:rPr>
        <w:t xml:space="preserve">. </w:t>
      </w:r>
      <w:r w:rsidRPr="00682275">
        <w:rPr>
          <w:lang w:val="en-US"/>
        </w:rPr>
        <w:t xml:space="preserve">Dynamic PET activity signal accumulation during two consecutive irradiations for the S range setting, one with the 5 Gy collimated monoenergetic ¹¹C beam and the following one with the 20 Gy SOBP, overlaid on the SARRP scan of the alive mouse under irradiation. Monoenergetic irradiation consists of 4 min of beam delivery followed by 10 min of decay, while for the SOBP 20 min of beam delivery and 10 min of decay. After the monoenergetic irradiation, </w:t>
      </w:r>
      <w:r>
        <w:rPr>
          <w:lang w:val="en-US"/>
        </w:rPr>
        <w:t xml:space="preserve">the </w:t>
      </w:r>
      <w:r w:rsidRPr="00682275">
        <w:rPr>
          <w:lang w:val="en-US"/>
        </w:rPr>
        <w:t>range modulator was added and range plates were removed, allowing the beam to reach the same depth obtained with the monoenergetic probe beam used for range verification. Two distinct color scales are used to indicate the activity levels for each irradiation, reflecting both isotope decay and cumulative signal build-up over time, as reported in the right panel. Each frame corresponds to 2 min of PET acquisition.</w:t>
      </w:r>
      <w:r w:rsidRPr="00682275">
        <w:rPr>
          <w:lang w:val="en-US" w:eastAsia="zh-CN"/>
        </w:rPr>
        <w:t xml:space="preserve"> </w:t>
      </w:r>
      <w:r w:rsidRPr="00682275">
        <w:rPr>
          <w:lang w:val="en-US"/>
        </w:rPr>
        <w:t xml:space="preserve">The white “×” marker indicates the position along the beam axis corresponding to the 80% fall-off of the collimated </w:t>
      </w:r>
      <w:r w:rsidRPr="00682275">
        <w:rPr>
          <w:vertAlign w:val="superscript"/>
          <w:lang w:val="en-US"/>
        </w:rPr>
        <w:t>11</w:t>
      </w:r>
      <w:r w:rsidRPr="00682275">
        <w:rPr>
          <w:lang w:val="en-US"/>
        </w:rPr>
        <w:t>C pure beam distribution.</w:t>
      </w:r>
    </w:p>
    <w:p w14:paraId="14AFD15D" w14:textId="77777777" w:rsidR="007E6987" w:rsidRPr="00682275" w:rsidRDefault="007E6987" w:rsidP="007E6987">
      <w:pPr>
        <w:pStyle w:val="NormalWeb"/>
        <w:spacing w:line="276" w:lineRule="auto"/>
        <w:jc w:val="both"/>
        <w:rPr>
          <w:b/>
          <w:bCs/>
          <w:color w:val="0070C0"/>
          <w:lang w:val="en-US"/>
        </w:rPr>
      </w:pPr>
      <w:r w:rsidRPr="00682275">
        <w:rPr>
          <w:b/>
          <w:bCs/>
          <w:color w:val="000000" w:themeColor="text1"/>
          <w:lang w:val="en-US"/>
        </w:rPr>
        <w:lastRenderedPageBreak/>
        <w:t xml:space="preserve">Supplementary Video 3. </w:t>
      </w:r>
      <w:r>
        <w:rPr>
          <w:b/>
          <w:bCs/>
          <w:color w:val="000000" w:themeColor="text1"/>
          <w:lang w:val="en-US"/>
        </w:rPr>
        <w:t>R</w:t>
      </w:r>
      <w:r w:rsidRPr="00007C21">
        <w:rPr>
          <w:b/>
          <w:bCs/>
          <w:color w:val="000000" w:themeColor="text1"/>
          <w:lang w:val="en-US"/>
        </w:rPr>
        <w:t>-experiment imaging</w:t>
      </w:r>
      <w:r>
        <w:rPr>
          <w:lang w:val="en-US"/>
        </w:rPr>
        <w:t xml:space="preserve">. </w:t>
      </w:r>
      <w:r w:rsidRPr="00682275">
        <w:rPr>
          <w:lang w:val="en-US"/>
        </w:rPr>
        <w:t xml:space="preserve">Dynamic PET activity signal accumulation during two consecutive irradiations for the R range setting, one with the 5 Gy collimated monoenergetic ¹¹C beam and the following one with the 20 Gy SOBP, overlaid on the SARRP scan of the alive mouse under irradiation. Monoenergetic irradiation consists of 4 min of beam delivery followed by 10 min of decay, while for the SOBP 20 min of beam delivery and 10 min of decay. After the monoenergetic irradiation, </w:t>
      </w:r>
      <w:r>
        <w:rPr>
          <w:lang w:val="en-US"/>
        </w:rPr>
        <w:t xml:space="preserve">the </w:t>
      </w:r>
      <w:r w:rsidRPr="00682275">
        <w:rPr>
          <w:lang w:val="en-US"/>
        </w:rPr>
        <w:t xml:space="preserve">range modulator was added and range plates were removed, allowing the beam to reach the same depth obtained with the monoenergetic probe beam used for range verification. Two distinct color scales are used to indicate the activity levels for each irradiation, reflecting both isotope decay and cumulative signal build-up over time, as reported in the right panel. Each frame corresponds to 2 min of PET acquisition. The white “×” marker indicates the position along the beam axis corresponding to the 80% fall-off of the collimated </w:t>
      </w:r>
      <w:r w:rsidRPr="00682275">
        <w:rPr>
          <w:vertAlign w:val="superscript"/>
          <w:lang w:val="en-US"/>
        </w:rPr>
        <w:t>11</w:t>
      </w:r>
      <w:r w:rsidRPr="00682275">
        <w:rPr>
          <w:lang w:val="en-US"/>
        </w:rPr>
        <w:t>C pure beam distribution.</w:t>
      </w:r>
    </w:p>
    <w:p w14:paraId="37FFA88A" w14:textId="77777777" w:rsidR="007E6987" w:rsidRPr="00682275" w:rsidRDefault="007E6987" w:rsidP="007E6987">
      <w:pPr>
        <w:pStyle w:val="NormalWeb"/>
        <w:spacing w:line="276" w:lineRule="auto"/>
        <w:jc w:val="both"/>
        <w:rPr>
          <w:b/>
          <w:bCs/>
          <w:lang w:val="en-US"/>
        </w:rPr>
      </w:pPr>
      <w:r w:rsidRPr="00682275">
        <w:rPr>
          <w:b/>
          <w:bCs/>
          <w:color w:val="000000" w:themeColor="text1"/>
          <w:lang w:val="en-US"/>
        </w:rPr>
        <w:t xml:space="preserve">Supplementary Video 4. </w:t>
      </w:r>
      <w:r w:rsidRPr="00682275">
        <w:rPr>
          <w:color w:val="000000" w:themeColor="text1"/>
          <w:lang w:val="en-US" w:eastAsia="zh-CN"/>
        </w:rPr>
        <w:t xml:space="preserve"> </w:t>
      </w:r>
      <w:r>
        <w:rPr>
          <w:b/>
          <w:bCs/>
          <w:color w:val="000000" w:themeColor="text1"/>
          <w:lang w:val="en-US"/>
        </w:rPr>
        <w:t>L</w:t>
      </w:r>
      <w:r w:rsidRPr="00007C21">
        <w:rPr>
          <w:b/>
          <w:bCs/>
          <w:color w:val="000000" w:themeColor="text1"/>
          <w:lang w:val="en-US"/>
        </w:rPr>
        <w:t>-experiment imaging</w:t>
      </w:r>
      <w:r>
        <w:rPr>
          <w:lang w:val="en-US"/>
        </w:rPr>
        <w:t xml:space="preserve">. </w:t>
      </w:r>
      <w:r w:rsidRPr="00682275">
        <w:rPr>
          <w:lang w:val="en-US"/>
        </w:rPr>
        <w:t xml:space="preserve">Dynamic PET activity signal accumulation during two consecutive irradiations for the L range setting, one with the 5 Gy collimated monoenergetic ¹¹C beam and the following one with the 20 Gy SOBP, overlaid on the SARRP scan of the alive mouse under irradiation. Monoenergetic irradiation consists of 4 min of beam delivery followed by 10 min of decay, while for the SOBP 20 min of beam delivery and 10 min of decay. After the monoenergetic irradiation, </w:t>
      </w:r>
      <w:r>
        <w:rPr>
          <w:lang w:val="en-US"/>
        </w:rPr>
        <w:t xml:space="preserve">the </w:t>
      </w:r>
      <w:r w:rsidRPr="00682275">
        <w:rPr>
          <w:lang w:val="en-US"/>
        </w:rPr>
        <w:t xml:space="preserve">range modulator was added and range plates were removed, allowing the beam to reach the same depth obtained with the monoenergetic probe beam used for range verification. Two distinct color scales are used to indicate the activity levels for each irradiation, reflecting both isotope decay and cumulative signal build-up over time, as reported in the right panel. Each frame corresponds to 2 min of PET acquisition. The white “×” marker indicates the position along the beam axis corresponding to the 80% fall-off of the collimated </w:t>
      </w:r>
      <w:r w:rsidRPr="00682275">
        <w:rPr>
          <w:vertAlign w:val="superscript"/>
          <w:lang w:val="en-US"/>
        </w:rPr>
        <w:t>11</w:t>
      </w:r>
      <w:r w:rsidRPr="00682275">
        <w:rPr>
          <w:lang w:val="en-US"/>
        </w:rPr>
        <w:t>C pure beam distribution.</w:t>
      </w:r>
    </w:p>
    <w:p w14:paraId="667CCE27" w14:textId="77777777" w:rsidR="007E6987" w:rsidRPr="007E6987" w:rsidRDefault="007E6987">
      <w:pPr>
        <w:rPr>
          <w:lang w:val="en-US"/>
        </w:rPr>
      </w:pPr>
    </w:p>
    <w:sectPr w:rsidR="007E6987" w:rsidRPr="007E6987" w:rsidSect="007E6987">
      <w:footerReference w:type="even" r:id="rId4"/>
      <w:footerReference w:type="default" r:id="rId5"/>
      <w:footerReference w:type="first" r:id="rId6"/>
      <w:footnotePr>
        <w:numFmt w:val="chicago"/>
      </w:footnotePr>
      <w:pgSz w:w="11906" w:h="16838"/>
      <w:pgMar w:top="1440" w:right="1440" w:bottom="1440" w:left="1440" w:header="0" w:footer="708"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4D0D" w14:textId="77777777" w:rsidR="007E6987" w:rsidRDefault="007E6987">
    <w:pPr>
      <w:pStyle w:val="Footer"/>
      <w:ind w:right="360"/>
    </w:pPr>
    <w:r>
      <w:rPr>
        <w:noProof/>
      </w:rPr>
      <mc:AlternateContent>
        <mc:Choice Requires="wps">
          <w:drawing>
            <wp:anchor distT="0" distB="0" distL="0" distR="0" simplePos="0" relativeHeight="251659264" behindDoc="0" locked="0" layoutInCell="1" allowOverlap="1" wp14:anchorId="00749DF5" wp14:editId="14DC64B9">
              <wp:simplePos x="0" y="0"/>
              <wp:positionH relativeFrom="margin">
                <wp:align>right</wp:align>
              </wp:positionH>
              <wp:positionV relativeFrom="paragraph">
                <wp:posOffset>635</wp:posOffset>
              </wp:positionV>
              <wp:extent cx="14605" cy="14605"/>
              <wp:effectExtent l="0" t="0" r="0" b="0"/>
              <wp:wrapSquare wrapText="largest"/>
              <wp:docPr id="12643448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sdt>
                          <w:sdtPr>
                            <w:id w:val="188501093"/>
                            <w:docPartObj>
                              <w:docPartGallery w:val="AutoText"/>
                            </w:docPartObj>
                          </w:sdtPr>
                          <w:sdtContent>
                            <w:p w14:paraId="65F1821C"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0749DF5" id="_x0000_t202" coordsize="21600,21600" o:spt="202" path="m,l,21600r21600,l21600,xe">
              <v:stroke joinstyle="miter"/>
              <v:path gradientshapeok="t" o:connecttype="rect"/>
            </v:shapetype>
            <v:shape id="Text Box 14" o:spid="_x0000_s1026" type="#_x0000_t202" style="position:absolute;margin-left:-50.05pt;margin-top:.05pt;width:1.15pt;height:1.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" stroked="f">
              <v:fill opacity="0"/>
              <v:textbox style="mso-fit-shape-to-text:t" inset="0,0,0,0">
                <w:txbxContent>
                  <w:sdt>
                    <w:sdtPr>
                      <w:id w:val="188501093"/>
                      <w:docPartObj>
                        <w:docPartGallery w:val="AutoText"/>
                      </w:docPartObj>
                    </w:sdtPr>
                    <w:sdtContent>
                      <w:p w14:paraId="65F1821C"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967E" w14:textId="77777777" w:rsidR="007E6987" w:rsidRDefault="007E6987">
    <w:pPr>
      <w:pStyle w:val="Footer"/>
      <w:ind w:right="360"/>
    </w:pPr>
    <w:r>
      <w:rPr>
        <w:noProof/>
      </w:rPr>
      <mc:AlternateContent>
        <mc:Choice Requires="wps">
          <w:drawing>
            <wp:anchor distT="0" distB="0" distL="0" distR="0" simplePos="0" relativeHeight="251659264" behindDoc="0" locked="0" layoutInCell="0" allowOverlap="1" wp14:anchorId="15194594" wp14:editId="058F0161">
              <wp:simplePos x="0" y="0"/>
              <wp:positionH relativeFrom="margin">
                <wp:align>right</wp:align>
              </wp:positionH>
              <wp:positionV relativeFrom="paragraph">
                <wp:posOffset>635</wp:posOffset>
              </wp:positionV>
              <wp:extent cx="169545" cy="219075"/>
              <wp:effectExtent l="0" t="0" r="0" b="0"/>
              <wp:wrapSquare wrapText="largest"/>
              <wp:docPr id="13235055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19075"/>
                      </a:xfrm>
                      <a:prstGeom prst="rect">
                        <a:avLst/>
                      </a:prstGeom>
                      <a:solidFill>
                        <a:srgbClr val="FFFFFF">
                          <a:alpha val="0"/>
                        </a:srgbClr>
                      </a:solidFill>
                    </wps:spPr>
                    <wps:txbx>
                      <w:txbxContent>
                        <w:sdt>
                          <w:sdtPr>
                            <w:id w:val="1561435050"/>
                            <w:docPartObj>
                              <w:docPartGallery w:val="AutoText"/>
                            </w:docPartObj>
                          </w:sdtPr>
                          <w:sdtContent>
                            <w:p w14:paraId="6610C0D5"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t>7</w:t>
                              </w:r>
                              <w:r>
                                <w:rPr>
                                  <w:rStyle w:val="PageNumber"/>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5194594" id="_x0000_t202" coordsize="21600,21600" o:spt="202" path="m,l,21600r21600,l21600,xe">
              <v:stroke joinstyle="miter"/>
              <v:path gradientshapeok="t" o:connecttype="rect"/>
            </v:shapetype>
            <v:shape id="Text Box 12" o:spid="_x0000_s1027" type="#_x0000_t202" style="position:absolute;margin-left:-37.85pt;margin-top:.05pt;width:13.35pt;height:17.2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" o:allowincell="f" stroked="f">
              <v:fill opacity="0"/>
              <v:textbox style="mso-fit-shape-to-text:t" inset="0,0,0,0">
                <w:txbxContent>
                  <w:sdt>
                    <w:sdtPr>
                      <w:id w:val="1561435050"/>
                      <w:docPartObj>
                        <w:docPartGallery w:val="AutoText"/>
                      </w:docPartObj>
                    </w:sdtPr>
                    <w:sdtContent>
                      <w:p w14:paraId="6610C0D5"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t>7</w:t>
                        </w:r>
                        <w:r>
                          <w:rPr>
                            <w:rStyle w:val="PageNumber"/>
                          </w:rPr>
                          <w:fldChar w:fldCharType="end"/>
                        </w:r>
                      </w:p>
                    </w:sdtContent>
                  </w:sdt>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1378" w14:textId="77777777" w:rsidR="007E6987" w:rsidRDefault="007E6987">
    <w:pPr>
      <w:pStyle w:val="Footer"/>
      <w:ind w:right="360"/>
    </w:pPr>
    <w:r>
      <w:rPr>
        <w:noProof/>
      </w:rPr>
      <mc:AlternateContent>
        <mc:Choice Requires="wps">
          <w:drawing>
            <wp:anchor distT="0" distB="0" distL="0" distR="0" simplePos="0" relativeHeight="251659264" behindDoc="0" locked="0" layoutInCell="0" allowOverlap="1" wp14:anchorId="1F28F5DB" wp14:editId="016C8B82">
              <wp:simplePos x="0" y="0"/>
              <wp:positionH relativeFrom="margin">
                <wp:align>right</wp:align>
              </wp:positionH>
              <wp:positionV relativeFrom="paragraph">
                <wp:posOffset>635</wp:posOffset>
              </wp:positionV>
              <wp:extent cx="169545" cy="219075"/>
              <wp:effectExtent l="0" t="0" r="0" b="0"/>
              <wp:wrapSquare wrapText="largest"/>
              <wp:docPr id="1062354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19075"/>
                      </a:xfrm>
                      <a:prstGeom prst="rect">
                        <a:avLst/>
                      </a:prstGeom>
                      <a:solidFill>
                        <a:srgbClr val="FFFFFF">
                          <a:alpha val="0"/>
                        </a:srgbClr>
                      </a:solidFill>
                    </wps:spPr>
                    <wps:txbx>
                      <w:txbxContent>
                        <w:sdt>
                          <w:sdtPr>
                            <w:id w:val="329189190"/>
                            <w:docPartObj>
                              <w:docPartGallery w:val="AutoText"/>
                            </w:docPartObj>
                          </w:sdtPr>
                          <w:sdtContent>
                            <w:p w14:paraId="5A34AC12"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t>7</w:t>
                              </w:r>
                              <w:r>
                                <w:rPr>
                                  <w:rStyle w:val="PageNumber"/>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F28F5DB" id="_x0000_t202" coordsize="21600,21600" o:spt="202" path="m,l,21600r21600,l21600,xe">
              <v:stroke joinstyle="miter"/>
              <v:path gradientshapeok="t" o:connecttype="rect"/>
            </v:shapetype>
            <v:shape id="Text Box 10" o:spid="_x0000_s1028" type="#_x0000_t202" style="position:absolute;margin-left:-37.85pt;margin-top:.05pt;width:13.35pt;height:17.2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" o:allowincell="f" stroked="f">
              <v:fill opacity="0"/>
              <v:textbox style="mso-fit-shape-to-text:t" inset="0,0,0,0">
                <w:txbxContent>
                  <w:sdt>
                    <w:sdtPr>
                      <w:id w:val="329189190"/>
                      <w:docPartObj>
                        <w:docPartGallery w:val="AutoText"/>
                      </w:docPartObj>
                    </w:sdtPr>
                    <w:sdtContent>
                      <w:p w14:paraId="5A34AC12" w14:textId="77777777" w:rsidR="007E6987" w:rsidRDefault="007E698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t>7</w:t>
                        </w:r>
                        <w:r>
                          <w:rPr>
                            <w:rStyle w:val="PageNumber"/>
                          </w:rPr>
                          <w:fldChar w:fldCharType="end"/>
                        </w:r>
                      </w:p>
                    </w:sdtContent>
                  </w:sdt>
                </w:txbxContent>
              </v:textbox>
              <w10:wrap type="square" side="largest"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87"/>
    <w:rsid w:val="001F7954"/>
    <w:rsid w:val="007E6987"/>
    <w:rsid w:val="00C2718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9CFD"/>
  <w15:chartTrackingRefBased/>
  <w15:docId w15:val="{30B7EE73-E8E2-084A-AC35-25F9D76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87"/>
    <w:pPr>
      <w:suppressAutoHyphens/>
      <w:spacing w:line="276" w:lineRule="auto"/>
    </w:pPr>
    <w:rPr>
      <w:lang w:val="zh-CN"/>
      <w14:ligatures w14:val="none"/>
    </w:rPr>
  </w:style>
  <w:style w:type="paragraph" w:styleId="Heading1">
    <w:name w:val="heading 1"/>
    <w:basedOn w:val="Normal"/>
    <w:next w:val="Normal"/>
    <w:link w:val="Heading1Char"/>
    <w:uiPriority w:val="9"/>
    <w:qFormat/>
    <w:rsid w:val="007E6987"/>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val="en-DE"/>
      <w14:ligatures w14:val="standardContextual"/>
    </w:rPr>
  </w:style>
  <w:style w:type="paragraph" w:styleId="Heading2">
    <w:name w:val="heading 2"/>
    <w:basedOn w:val="Normal"/>
    <w:next w:val="Normal"/>
    <w:link w:val="Heading2Char"/>
    <w:uiPriority w:val="9"/>
    <w:semiHidden/>
    <w:unhideWhenUsed/>
    <w:qFormat/>
    <w:rsid w:val="007E6987"/>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val="en-DE"/>
      <w14:ligatures w14:val="standardContextual"/>
    </w:rPr>
  </w:style>
  <w:style w:type="paragraph" w:styleId="Heading3">
    <w:name w:val="heading 3"/>
    <w:basedOn w:val="Normal"/>
    <w:next w:val="Normal"/>
    <w:link w:val="Heading3Char"/>
    <w:uiPriority w:val="9"/>
    <w:semiHidden/>
    <w:unhideWhenUsed/>
    <w:qFormat/>
    <w:rsid w:val="007E6987"/>
    <w:pPr>
      <w:keepNext/>
      <w:keepLines/>
      <w:suppressAutoHyphens w:val="0"/>
      <w:spacing w:before="160" w:after="80" w:line="278" w:lineRule="auto"/>
      <w:outlineLvl w:val="2"/>
    </w:pPr>
    <w:rPr>
      <w:rFonts w:eastAsiaTheme="majorEastAsia" w:cstheme="majorBidi"/>
      <w:color w:val="0F4761" w:themeColor="accent1" w:themeShade="BF"/>
      <w:sz w:val="28"/>
      <w:szCs w:val="28"/>
      <w:lang w:val="en-DE"/>
      <w14:ligatures w14:val="standardContextual"/>
    </w:rPr>
  </w:style>
  <w:style w:type="paragraph" w:styleId="Heading4">
    <w:name w:val="heading 4"/>
    <w:basedOn w:val="Normal"/>
    <w:next w:val="Normal"/>
    <w:link w:val="Heading4Char"/>
    <w:uiPriority w:val="9"/>
    <w:semiHidden/>
    <w:unhideWhenUsed/>
    <w:qFormat/>
    <w:rsid w:val="007E6987"/>
    <w:pPr>
      <w:keepNext/>
      <w:keepLines/>
      <w:suppressAutoHyphens w:val="0"/>
      <w:spacing w:before="80" w:after="40" w:line="278" w:lineRule="auto"/>
      <w:outlineLvl w:val="3"/>
    </w:pPr>
    <w:rPr>
      <w:rFonts w:eastAsiaTheme="majorEastAsia" w:cstheme="majorBidi"/>
      <w:i/>
      <w:iCs/>
      <w:color w:val="0F4761" w:themeColor="accent1" w:themeShade="BF"/>
      <w:lang w:val="en-DE"/>
      <w14:ligatures w14:val="standardContextual"/>
    </w:rPr>
  </w:style>
  <w:style w:type="paragraph" w:styleId="Heading5">
    <w:name w:val="heading 5"/>
    <w:basedOn w:val="Normal"/>
    <w:next w:val="Normal"/>
    <w:link w:val="Heading5Char"/>
    <w:uiPriority w:val="9"/>
    <w:semiHidden/>
    <w:unhideWhenUsed/>
    <w:qFormat/>
    <w:rsid w:val="007E6987"/>
    <w:pPr>
      <w:keepNext/>
      <w:keepLines/>
      <w:suppressAutoHyphens w:val="0"/>
      <w:spacing w:before="80" w:after="40" w:line="278" w:lineRule="auto"/>
      <w:outlineLvl w:val="4"/>
    </w:pPr>
    <w:rPr>
      <w:rFonts w:eastAsiaTheme="majorEastAsia" w:cstheme="majorBidi"/>
      <w:color w:val="0F4761" w:themeColor="accent1" w:themeShade="BF"/>
      <w:lang w:val="en-DE"/>
      <w14:ligatures w14:val="standardContextual"/>
    </w:rPr>
  </w:style>
  <w:style w:type="paragraph" w:styleId="Heading6">
    <w:name w:val="heading 6"/>
    <w:basedOn w:val="Normal"/>
    <w:next w:val="Normal"/>
    <w:link w:val="Heading6Char"/>
    <w:uiPriority w:val="9"/>
    <w:semiHidden/>
    <w:unhideWhenUsed/>
    <w:qFormat/>
    <w:rsid w:val="007E6987"/>
    <w:pPr>
      <w:keepNext/>
      <w:keepLines/>
      <w:suppressAutoHyphens w:val="0"/>
      <w:spacing w:before="40" w:after="0" w:line="278" w:lineRule="auto"/>
      <w:outlineLvl w:val="5"/>
    </w:pPr>
    <w:rPr>
      <w:rFonts w:eastAsiaTheme="majorEastAsia" w:cstheme="majorBidi"/>
      <w:i/>
      <w:iCs/>
      <w:color w:val="595959" w:themeColor="text1" w:themeTint="A6"/>
      <w:lang w:val="en-DE"/>
      <w14:ligatures w14:val="standardContextual"/>
    </w:rPr>
  </w:style>
  <w:style w:type="paragraph" w:styleId="Heading7">
    <w:name w:val="heading 7"/>
    <w:basedOn w:val="Normal"/>
    <w:next w:val="Normal"/>
    <w:link w:val="Heading7Char"/>
    <w:uiPriority w:val="9"/>
    <w:semiHidden/>
    <w:unhideWhenUsed/>
    <w:qFormat/>
    <w:rsid w:val="007E6987"/>
    <w:pPr>
      <w:keepNext/>
      <w:keepLines/>
      <w:suppressAutoHyphens w:val="0"/>
      <w:spacing w:before="40" w:after="0" w:line="278" w:lineRule="auto"/>
      <w:outlineLvl w:val="6"/>
    </w:pPr>
    <w:rPr>
      <w:rFonts w:eastAsiaTheme="majorEastAsia" w:cstheme="majorBidi"/>
      <w:color w:val="595959" w:themeColor="text1" w:themeTint="A6"/>
      <w:lang w:val="en-DE"/>
      <w14:ligatures w14:val="standardContextual"/>
    </w:rPr>
  </w:style>
  <w:style w:type="paragraph" w:styleId="Heading8">
    <w:name w:val="heading 8"/>
    <w:basedOn w:val="Normal"/>
    <w:next w:val="Normal"/>
    <w:link w:val="Heading8Char"/>
    <w:uiPriority w:val="9"/>
    <w:semiHidden/>
    <w:unhideWhenUsed/>
    <w:qFormat/>
    <w:rsid w:val="007E6987"/>
    <w:pPr>
      <w:keepNext/>
      <w:keepLines/>
      <w:suppressAutoHyphens w:val="0"/>
      <w:spacing w:after="0" w:line="278" w:lineRule="auto"/>
      <w:outlineLvl w:val="7"/>
    </w:pPr>
    <w:rPr>
      <w:rFonts w:eastAsiaTheme="majorEastAsia" w:cstheme="majorBidi"/>
      <w:i/>
      <w:iCs/>
      <w:color w:val="272727" w:themeColor="text1" w:themeTint="D8"/>
      <w:lang w:val="en-DE"/>
      <w14:ligatures w14:val="standardContextual"/>
    </w:rPr>
  </w:style>
  <w:style w:type="paragraph" w:styleId="Heading9">
    <w:name w:val="heading 9"/>
    <w:basedOn w:val="Normal"/>
    <w:next w:val="Normal"/>
    <w:link w:val="Heading9Char"/>
    <w:uiPriority w:val="9"/>
    <w:semiHidden/>
    <w:unhideWhenUsed/>
    <w:qFormat/>
    <w:rsid w:val="007E6987"/>
    <w:pPr>
      <w:keepNext/>
      <w:keepLines/>
      <w:suppressAutoHyphens w:val="0"/>
      <w:spacing w:after="0" w:line="278" w:lineRule="auto"/>
      <w:outlineLvl w:val="8"/>
    </w:pPr>
    <w:rPr>
      <w:rFonts w:eastAsiaTheme="majorEastAsia" w:cstheme="majorBidi"/>
      <w:color w:val="272727" w:themeColor="text1" w:themeTint="D8"/>
      <w:lang w:val="en-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987"/>
    <w:rPr>
      <w:rFonts w:eastAsiaTheme="majorEastAsia" w:cstheme="majorBidi"/>
      <w:color w:val="272727" w:themeColor="text1" w:themeTint="D8"/>
    </w:rPr>
  </w:style>
  <w:style w:type="paragraph" w:styleId="Title">
    <w:name w:val="Title"/>
    <w:basedOn w:val="Normal"/>
    <w:next w:val="Normal"/>
    <w:link w:val="TitleChar"/>
    <w:uiPriority w:val="10"/>
    <w:qFormat/>
    <w:rsid w:val="007E6987"/>
    <w:pPr>
      <w:suppressAutoHyphens w:val="0"/>
      <w:spacing w:after="80" w:line="240" w:lineRule="auto"/>
      <w:contextualSpacing/>
    </w:pPr>
    <w:rPr>
      <w:rFonts w:asciiTheme="majorHAnsi" w:eastAsiaTheme="majorEastAsia" w:hAnsiTheme="majorHAnsi" w:cstheme="majorBidi"/>
      <w:spacing w:val="-10"/>
      <w:kern w:val="28"/>
      <w:sz w:val="56"/>
      <w:szCs w:val="56"/>
      <w:lang w:val="en-DE"/>
      <w14:ligatures w14:val="standardContextual"/>
    </w:rPr>
  </w:style>
  <w:style w:type="character" w:customStyle="1" w:styleId="TitleChar">
    <w:name w:val="Title Char"/>
    <w:basedOn w:val="DefaultParagraphFont"/>
    <w:link w:val="Title"/>
    <w:uiPriority w:val="10"/>
    <w:rsid w:val="007E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987"/>
    <w:pPr>
      <w:numPr>
        <w:ilvl w:val="1"/>
      </w:numPr>
      <w:suppressAutoHyphens w:val="0"/>
      <w:spacing w:line="278" w:lineRule="auto"/>
    </w:pPr>
    <w:rPr>
      <w:rFonts w:eastAsiaTheme="majorEastAsia" w:cstheme="majorBidi"/>
      <w:color w:val="595959" w:themeColor="text1" w:themeTint="A6"/>
      <w:spacing w:val="15"/>
      <w:sz w:val="28"/>
      <w:szCs w:val="28"/>
      <w:lang w:val="en-DE"/>
      <w14:ligatures w14:val="standardContextual"/>
    </w:rPr>
  </w:style>
  <w:style w:type="character" w:customStyle="1" w:styleId="SubtitleChar">
    <w:name w:val="Subtitle Char"/>
    <w:basedOn w:val="DefaultParagraphFont"/>
    <w:link w:val="Subtitle"/>
    <w:uiPriority w:val="11"/>
    <w:rsid w:val="007E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987"/>
    <w:pPr>
      <w:suppressAutoHyphens w:val="0"/>
      <w:spacing w:before="160" w:line="278" w:lineRule="auto"/>
      <w:jc w:val="center"/>
    </w:pPr>
    <w:rPr>
      <w:i/>
      <w:iCs/>
      <w:color w:val="404040" w:themeColor="text1" w:themeTint="BF"/>
      <w:lang w:val="en-DE"/>
      <w14:ligatures w14:val="standardContextual"/>
    </w:rPr>
  </w:style>
  <w:style w:type="character" w:customStyle="1" w:styleId="QuoteChar">
    <w:name w:val="Quote Char"/>
    <w:basedOn w:val="DefaultParagraphFont"/>
    <w:link w:val="Quote"/>
    <w:uiPriority w:val="29"/>
    <w:rsid w:val="007E6987"/>
    <w:rPr>
      <w:i/>
      <w:iCs/>
      <w:color w:val="404040" w:themeColor="text1" w:themeTint="BF"/>
    </w:rPr>
  </w:style>
  <w:style w:type="paragraph" w:styleId="ListParagraph">
    <w:name w:val="List Paragraph"/>
    <w:basedOn w:val="Normal"/>
    <w:uiPriority w:val="34"/>
    <w:qFormat/>
    <w:rsid w:val="007E6987"/>
    <w:pPr>
      <w:suppressAutoHyphens w:val="0"/>
      <w:spacing w:line="278" w:lineRule="auto"/>
      <w:ind w:left="720"/>
      <w:contextualSpacing/>
    </w:pPr>
    <w:rPr>
      <w:lang w:val="en-DE"/>
      <w14:ligatures w14:val="standardContextual"/>
    </w:rPr>
  </w:style>
  <w:style w:type="character" w:styleId="IntenseEmphasis">
    <w:name w:val="Intense Emphasis"/>
    <w:basedOn w:val="DefaultParagraphFont"/>
    <w:uiPriority w:val="21"/>
    <w:qFormat/>
    <w:rsid w:val="007E6987"/>
    <w:rPr>
      <w:i/>
      <w:iCs/>
      <w:color w:val="0F4761" w:themeColor="accent1" w:themeShade="BF"/>
    </w:rPr>
  </w:style>
  <w:style w:type="paragraph" w:styleId="IntenseQuote">
    <w:name w:val="Intense Quote"/>
    <w:basedOn w:val="Normal"/>
    <w:next w:val="Normal"/>
    <w:link w:val="IntenseQuoteChar"/>
    <w:uiPriority w:val="30"/>
    <w:qFormat/>
    <w:rsid w:val="007E6987"/>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lang w:val="en-DE"/>
      <w14:ligatures w14:val="standardContextual"/>
    </w:rPr>
  </w:style>
  <w:style w:type="character" w:customStyle="1" w:styleId="IntenseQuoteChar">
    <w:name w:val="Intense Quote Char"/>
    <w:basedOn w:val="DefaultParagraphFont"/>
    <w:link w:val="IntenseQuote"/>
    <w:uiPriority w:val="30"/>
    <w:rsid w:val="007E6987"/>
    <w:rPr>
      <w:i/>
      <w:iCs/>
      <w:color w:val="0F4761" w:themeColor="accent1" w:themeShade="BF"/>
    </w:rPr>
  </w:style>
  <w:style w:type="character" w:styleId="IntenseReference">
    <w:name w:val="Intense Reference"/>
    <w:basedOn w:val="DefaultParagraphFont"/>
    <w:uiPriority w:val="32"/>
    <w:qFormat/>
    <w:rsid w:val="007E6987"/>
    <w:rPr>
      <w:b/>
      <w:bCs/>
      <w:smallCaps/>
      <w:color w:val="0F4761" w:themeColor="accent1" w:themeShade="BF"/>
      <w:spacing w:val="5"/>
    </w:rPr>
  </w:style>
  <w:style w:type="character" w:styleId="PageNumber">
    <w:name w:val="page number"/>
    <w:basedOn w:val="DefaultParagraphFont"/>
    <w:uiPriority w:val="99"/>
    <w:semiHidden/>
    <w:unhideWhenUsed/>
    <w:qFormat/>
    <w:rsid w:val="007E6987"/>
  </w:style>
  <w:style w:type="character" w:customStyle="1" w:styleId="FooterChar">
    <w:name w:val="Footer Char"/>
    <w:basedOn w:val="DefaultParagraphFont"/>
    <w:link w:val="Footer"/>
    <w:uiPriority w:val="99"/>
    <w:qFormat/>
    <w:rsid w:val="007E6987"/>
  </w:style>
  <w:style w:type="paragraph" w:styleId="Footer">
    <w:name w:val="footer"/>
    <w:basedOn w:val="Normal"/>
    <w:link w:val="FooterChar"/>
    <w:uiPriority w:val="99"/>
    <w:unhideWhenUsed/>
    <w:qFormat/>
    <w:rsid w:val="007E6987"/>
    <w:pPr>
      <w:tabs>
        <w:tab w:val="center" w:pos="4513"/>
        <w:tab w:val="right" w:pos="9026"/>
      </w:tabs>
      <w:spacing w:after="0" w:line="240" w:lineRule="auto"/>
    </w:pPr>
    <w:rPr>
      <w:lang w:val="en-DE"/>
      <w14:ligatures w14:val="standardContextual"/>
    </w:rPr>
  </w:style>
  <w:style w:type="character" w:customStyle="1" w:styleId="FooterChar1">
    <w:name w:val="Footer Char1"/>
    <w:basedOn w:val="DefaultParagraphFont"/>
    <w:uiPriority w:val="99"/>
    <w:semiHidden/>
    <w:rsid w:val="007E6987"/>
    <w:rPr>
      <w:lang w:val="zh-CN"/>
      <w14:ligatures w14:val="none"/>
    </w:rPr>
  </w:style>
  <w:style w:type="paragraph" w:styleId="NormalWeb">
    <w:name w:val="Normal (Web)"/>
    <w:basedOn w:val="Normal"/>
    <w:uiPriority w:val="99"/>
    <w:unhideWhenUsed/>
    <w:qFormat/>
    <w:rsid w:val="007E6987"/>
    <w:pPr>
      <w:spacing w:beforeAutospacing="1" w:afterAutospacing="1" w:line="240" w:lineRule="auto"/>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1955</Words>
  <Characters>11150</Characters>
  <Application>Microsoft Office Word</Application>
  <DocSecurity>0</DocSecurity>
  <Lines>92</Lines>
  <Paragraphs>26</Paragraphs>
  <ScaleCrop>false</ScaleCrop>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Durante</dc:creator>
  <cp:keywords/>
  <dc:description/>
  <cp:lastModifiedBy>Marco Durante</cp:lastModifiedBy>
  <cp:revision>2</cp:revision>
  <dcterms:created xsi:type="dcterms:W3CDTF">2025-12-31T11:16:00Z</dcterms:created>
  <dcterms:modified xsi:type="dcterms:W3CDTF">2025-12-31T11:18:00Z</dcterms:modified>
</cp:coreProperties>
</file>