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DADE4" w14:textId="77777777" w:rsidR="007E4ECF" w:rsidRDefault="007E4ECF" w:rsidP="007E4ECF">
      <w:pPr>
        <w:rPr>
          <w:rFonts w:cs="Times New Roman"/>
          <w:b/>
          <w:bCs/>
          <w:sz w:val="18"/>
          <w:szCs w:val="18"/>
        </w:rPr>
      </w:pPr>
      <w:r>
        <w:rPr>
          <w:rFonts w:cs="Times New Roman"/>
          <w:b/>
          <w:bCs/>
          <w:noProof/>
          <w:sz w:val="18"/>
          <w:szCs w:val="18"/>
        </w:rPr>
        <w:drawing>
          <wp:inline distT="0" distB="0" distL="0" distR="0" wp14:anchorId="67985F85" wp14:editId="0C50EE19">
            <wp:extent cx="5270500" cy="2633980"/>
            <wp:effectExtent l="0" t="0" r="0" b="0"/>
            <wp:docPr id="1141145196" name="图片 1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145196" name="图片 11" descr="A black background with a black square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0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3455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4C862" w14:textId="77777777" w:rsidR="007E4ECF" w:rsidRDefault="007E4ECF" w:rsidP="007E4ECF">
      <w:pPr>
        <w:spacing w:line="240" w:lineRule="exact"/>
        <w:rPr>
          <w:rFonts w:cs="Times New Roman"/>
          <w:sz w:val="18"/>
          <w:szCs w:val="18"/>
        </w:rPr>
      </w:pPr>
      <w:r>
        <w:rPr>
          <w:rFonts w:cs="Times New Roman"/>
          <w:b/>
          <w:bCs/>
          <w:sz w:val="18"/>
          <w:szCs w:val="18"/>
        </w:rPr>
        <w:t xml:space="preserve">Table.1. </w:t>
      </w:r>
      <w:r>
        <w:rPr>
          <w:rFonts w:cs="Times New Roman"/>
          <w:sz w:val="18"/>
          <w:szCs w:val="18"/>
        </w:rPr>
        <w:t>Altered metabolic pathways between suspension-adapted cells and parental adherent cells by KEGG enrichment.</w:t>
      </w:r>
      <w:r>
        <w:rPr>
          <w:rFonts w:cs="Times New Roman" w:hint="eastAsia"/>
          <w:sz w:val="18"/>
          <w:szCs w:val="18"/>
        </w:rPr>
        <w:t xml:space="preserve"> MapID, the ID of the enriched KEGG pathway; MapTitle, the name of the enriched KEGG pathway;  Pvalue, the P-value of the enrichment analysis; x, the number of differentially expressed metabolites associated with this pathway; y, the number of background (all) metabolites associated with this pathway; n, the number of KEGG-annotated differentially expressed metabolites; N, the number of KEGG-annotated background (all) metabolites.</w:t>
      </w:r>
    </w:p>
    <w:p w14:paraId="2F637286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正文 CS 字体)">
    <w:altName w:val="宋体"/>
    <w:charset w:val="86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ECF"/>
    <w:rsid w:val="000C4033"/>
    <w:rsid w:val="004B42CB"/>
    <w:rsid w:val="006536B6"/>
    <w:rsid w:val="007E4ECF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074DF"/>
  <w15:chartTrackingRefBased/>
  <w15:docId w15:val="{96E3B254-D315-4EC2-8240-1C785C362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ECF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 (正文 CS 字体)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4EC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4EC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EC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4EC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4EC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EC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4EC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4EC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4EC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E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4E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E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4E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4E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E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4E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4E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4E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4EC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4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4EC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4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4EC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4E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4EC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4E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4EC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4E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4E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475</Characters>
  <Application>Microsoft Office Word</Application>
  <DocSecurity>0</DocSecurity>
  <Lines>6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2026-01-13T12:05:00Z</dcterms:created>
  <dcterms:modified xsi:type="dcterms:W3CDTF">2026-01-13T12:10:00Z</dcterms:modified>
</cp:coreProperties>
</file>