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BB77" w14:textId="77777777" w:rsidR="00197D1C" w:rsidRPr="00660647" w:rsidRDefault="00197D1C" w:rsidP="00197D1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Table 7.</w:t>
      </w:r>
      <w:r w:rsidRPr="004E4B62">
        <w:rPr>
          <w:rFonts w:asciiTheme="majorBidi" w:hAnsiTheme="majorBidi" w:cstheme="majorBidi"/>
          <w:sz w:val="24"/>
          <w:szCs w:val="24"/>
        </w:rPr>
        <w:t xml:space="preserve"> </w:t>
      </w:r>
      <w:r w:rsidRPr="005E474E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O</w:t>
      </w:r>
      <w:r w:rsidRPr="005E474E">
        <w:rPr>
          <w:rFonts w:asciiTheme="majorBidi" w:hAnsiTheme="majorBidi" w:cstheme="majorBidi"/>
          <w:sz w:val="24"/>
          <w:szCs w:val="24"/>
        </w:rPr>
        <w:t>ne-</w:t>
      </w:r>
      <w:r>
        <w:rPr>
          <w:rFonts w:asciiTheme="majorBidi" w:hAnsiTheme="majorBidi" w:cstheme="majorBidi"/>
          <w:sz w:val="24"/>
          <w:szCs w:val="24"/>
        </w:rPr>
        <w:t>Way</w:t>
      </w:r>
      <w:r w:rsidRPr="005E474E">
        <w:rPr>
          <w:rFonts w:asciiTheme="majorBidi" w:hAnsiTheme="majorBidi" w:cstheme="majorBidi"/>
          <w:sz w:val="24"/>
          <w:szCs w:val="24"/>
        </w:rPr>
        <w:t xml:space="preserve"> ANOVA test was conducted to study the significance of the differences in the </w:t>
      </w:r>
      <w:r>
        <w:rPr>
          <w:rFonts w:asciiTheme="majorBidi" w:hAnsiTheme="majorBidi" w:cstheme="majorBidi"/>
          <w:sz w:val="24"/>
          <w:szCs w:val="24"/>
        </w:rPr>
        <w:t>values of retention force change percentage</w:t>
      </w:r>
      <w:r w:rsidRPr="005E474E">
        <w:rPr>
          <w:rFonts w:asciiTheme="majorBidi" w:hAnsiTheme="majorBidi" w:cstheme="majorBidi"/>
          <w:sz w:val="24"/>
          <w:szCs w:val="24"/>
        </w:rPr>
        <w:t xml:space="preserve"> between the four groups studied in the research sample, according to the number of </w:t>
      </w:r>
      <w:r>
        <w:rPr>
          <w:rFonts w:asciiTheme="majorBidi" w:hAnsiTheme="majorBidi" w:cstheme="majorBidi"/>
          <w:sz w:val="24"/>
          <w:szCs w:val="24"/>
        </w:rPr>
        <w:t>insertion</w:t>
      </w:r>
      <w:r w:rsidRPr="005E474E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removal</w:t>
      </w:r>
      <w:r w:rsidRPr="005E474E">
        <w:rPr>
          <w:rFonts w:asciiTheme="majorBidi" w:hAnsiTheme="majorBidi" w:cstheme="majorBidi"/>
          <w:sz w:val="24"/>
          <w:szCs w:val="24"/>
        </w:rPr>
        <w:t xml:space="preserve"> cycles studied</w:t>
      </w:r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PlainTable4"/>
        <w:tblpPr w:leftFromText="180" w:rightFromText="180" w:vertAnchor="page" w:horzAnchor="margin" w:tblpXSpec="center" w:tblpY="3080"/>
        <w:tblW w:w="1017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99"/>
        <w:gridCol w:w="969"/>
        <w:gridCol w:w="504"/>
        <w:gridCol w:w="1250"/>
        <w:gridCol w:w="1203"/>
        <w:gridCol w:w="1243"/>
        <w:gridCol w:w="1283"/>
        <w:gridCol w:w="930"/>
        <w:gridCol w:w="930"/>
        <w:gridCol w:w="859"/>
      </w:tblGrid>
      <w:tr w:rsidR="00197D1C" w:rsidRPr="00A817F1" w14:paraId="2D175E1B" w14:textId="77777777" w:rsidTr="00C96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shd w:val="clear" w:color="auto" w:fill="FFFFFF" w:themeFill="background1"/>
          </w:tcPr>
          <w:p w14:paraId="4CB77010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Y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3452F99E" w14:textId="77777777" w:rsidR="00197D1C" w:rsidRPr="00A817F1" w:rsidRDefault="00197D1C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SY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  <w:lang w:bidi="ar-SY"/>
              </w:rPr>
              <w:t>Group</w:t>
            </w:r>
          </w:p>
        </w:tc>
        <w:tc>
          <w:tcPr>
            <w:tcW w:w="530" w:type="dxa"/>
            <w:shd w:val="clear" w:color="auto" w:fill="FFFFFF" w:themeFill="background1"/>
          </w:tcPr>
          <w:p w14:paraId="6E3EFA23" w14:textId="77777777" w:rsidR="00197D1C" w:rsidRPr="00A817F1" w:rsidRDefault="00197D1C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350" w:type="dxa"/>
            <w:shd w:val="clear" w:color="auto" w:fill="FFFFFF" w:themeFill="background1"/>
          </w:tcPr>
          <w:p w14:paraId="010F0575" w14:textId="77777777" w:rsidR="00197D1C" w:rsidRPr="00A817F1" w:rsidRDefault="00197D1C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121" w:type="dxa"/>
            <w:shd w:val="clear" w:color="auto" w:fill="FFFFFF" w:themeFill="background1"/>
          </w:tcPr>
          <w:p w14:paraId="38510CFB" w14:textId="77777777" w:rsidR="00197D1C" w:rsidRPr="00A817F1" w:rsidRDefault="00197D1C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Std. Deviation</w:t>
            </w:r>
          </w:p>
        </w:tc>
        <w:tc>
          <w:tcPr>
            <w:tcW w:w="1158" w:type="dxa"/>
            <w:shd w:val="clear" w:color="auto" w:fill="FFFFFF" w:themeFill="background1"/>
          </w:tcPr>
          <w:p w14:paraId="186BCADC" w14:textId="77777777" w:rsidR="00197D1C" w:rsidRPr="00A817F1" w:rsidRDefault="00197D1C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Minimum</w:t>
            </w:r>
          </w:p>
        </w:tc>
        <w:tc>
          <w:tcPr>
            <w:tcW w:w="1194" w:type="dxa"/>
            <w:shd w:val="clear" w:color="auto" w:fill="FFFFFF" w:themeFill="background1"/>
          </w:tcPr>
          <w:p w14:paraId="7A521869" w14:textId="77777777" w:rsidR="00197D1C" w:rsidRPr="00A817F1" w:rsidRDefault="00197D1C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Maximum</w:t>
            </w:r>
          </w:p>
        </w:tc>
        <w:tc>
          <w:tcPr>
            <w:tcW w:w="956" w:type="dxa"/>
            <w:shd w:val="clear" w:color="auto" w:fill="FFFFFF" w:themeFill="background1"/>
          </w:tcPr>
          <w:p w14:paraId="3A7F60B7" w14:textId="77777777" w:rsidR="00197D1C" w:rsidRPr="00A817F1" w:rsidRDefault="00197D1C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F Value</w:t>
            </w:r>
          </w:p>
        </w:tc>
        <w:tc>
          <w:tcPr>
            <w:tcW w:w="956" w:type="dxa"/>
            <w:shd w:val="clear" w:color="auto" w:fill="FFFFFF" w:themeFill="background1"/>
          </w:tcPr>
          <w:p w14:paraId="43AE2DF6" w14:textId="77777777" w:rsidR="00197D1C" w:rsidRPr="00A817F1" w:rsidRDefault="00197D1C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P Value</w:t>
            </w:r>
          </w:p>
        </w:tc>
        <w:tc>
          <w:tcPr>
            <w:tcW w:w="917" w:type="dxa"/>
            <w:shd w:val="clear" w:color="auto" w:fill="FFFFFF" w:themeFill="background1"/>
          </w:tcPr>
          <w:p w14:paraId="0C261C46" w14:textId="77777777" w:rsidR="00197D1C" w:rsidRPr="00A817F1" w:rsidRDefault="00197D1C" w:rsidP="00907A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Sig.</w:t>
            </w:r>
          </w:p>
        </w:tc>
      </w:tr>
      <w:tr w:rsidR="00197D1C" w:rsidRPr="00A817F1" w14:paraId="3977F3C2" w14:textId="77777777" w:rsidTr="00C96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  <w:shd w:val="clear" w:color="auto" w:fill="FFFFFF" w:themeFill="background1"/>
          </w:tcPr>
          <w:p w14:paraId="7481FFE2" w14:textId="77777777" w:rsidR="00197D1C" w:rsidRPr="00A817F1" w:rsidRDefault="00197D1C" w:rsidP="00907A08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After 1 month</w:t>
            </w:r>
          </w:p>
        </w:tc>
        <w:tc>
          <w:tcPr>
            <w:tcW w:w="985" w:type="dxa"/>
            <w:shd w:val="clear" w:color="auto" w:fill="FFFFFF" w:themeFill="background1"/>
          </w:tcPr>
          <w:p w14:paraId="3A426548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530" w:type="dxa"/>
            <w:shd w:val="clear" w:color="auto" w:fill="FFFFFF" w:themeFill="background1"/>
          </w:tcPr>
          <w:p w14:paraId="20344F74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1D8D5E2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-7.31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4691F02E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5.79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7B7ED93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-15.3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16220A94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-1.1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2FC9201" w14:textId="77777777" w:rsidR="00197D1C" w:rsidRPr="00A817F1" w:rsidRDefault="00197D1C" w:rsidP="00907A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0.946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1E79F9B8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0.442</w:t>
            </w:r>
          </w:p>
        </w:tc>
        <w:tc>
          <w:tcPr>
            <w:tcW w:w="917" w:type="dxa"/>
            <w:vMerge w:val="restart"/>
            <w:shd w:val="clear" w:color="auto" w:fill="FFFFFF" w:themeFill="background1"/>
          </w:tcPr>
          <w:p w14:paraId="486DDB04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197D1C" w:rsidRPr="00A817F1" w14:paraId="5A051136" w14:textId="77777777" w:rsidTr="00907A08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49CF2202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2A5879F9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530" w:type="dxa"/>
            <w:shd w:val="clear" w:color="auto" w:fill="FFFFFF" w:themeFill="background1"/>
          </w:tcPr>
          <w:p w14:paraId="1F4C17BB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5372558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-15.33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6FA07496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9.41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9A5939A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-31.0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601C778D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-5.6</w:t>
            </w:r>
          </w:p>
        </w:tc>
        <w:tc>
          <w:tcPr>
            <w:tcW w:w="956" w:type="dxa"/>
            <w:vMerge w:val="restart"/>
            <w:shd w:val="clear" w:color="auto" w:fill="FFFFFF" w:themeFill="background1"/>
            <w:vAlign w:val="center"/>
          </w:tcPr>
          <w:p w14:paraId="3F2338C2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shd w:val="clear" w:color="auto" w:fill="FFFFFF" w:themeFill="background1"/>
            <w:vAlign w:val="center"/>
          </w:tcPr>
          <w:p w14:paraId="454550D4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/>
            <w:shd w:val="clear" w:color="auto" w:fill="FFFFFF" w:themeFill="background1"/>
          </w:tcPr>
          <w:p w14:paraId="0F3AB381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70212FE1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0F722B0C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29EA2A73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530" w:type="dxa"/>
            <w:shd w:val="clear" w:color="auto" w:fill="FFFFFF" w:themeFill="background1"/>
          </w:tcPr>
          <w:p w14:paraId="176B555F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BB6DDF4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-10.80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016D9536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6.98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401FB9A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-22.8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3B1E2B9F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-5.5</w:t>
            </w: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0F7C4E8D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2EDE3E42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/>
            <w:shd w:val="clear" w:color="auto" w:fill="FFFFFF" w:themeFill="background1"/>
          </w:tcPr>
          <w:p w14:paraId="1F0724F3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196B3BF4" w14:textId="77777777" w:rsidTr="00907A08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4436AE05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00BEC339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530" w:type="dxa"/>
            <w:shd w:val="clear" w:color="auto" w:fill="FFFFFF" w:themeFill="background1"/>
          </w:tcPr>
          <w:p w14:paraId="3154072C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FA3F5ED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-10.86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501E93B9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7.56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01603C9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-20.2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279C1F38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-2.1</w:t>
            </w: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2B668215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16993832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/>
            <w:shd w:val="clear" w:color="auto" w:fill="FFFFFF" w:themeFill="background1"/>
          </w:tcPr>
          <w:p w14:paraId="0F0DA478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17C0521B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  <w:shd w:val="clear" w:color="auto" w:fill="FFFFFF" w:themeFill="background1"/>
          </w:tcPr>
          <w:p w14:paraId="41E7C77F" w14:textId="77777777" w:rsidR="00197D1C" w:rsidRPr="00A817F1" w:rsidRDefault="00197D1C" w:rsidP="00907A08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After 6 months</w:t>
            </w:r>
          </w:p>
        </w:tc>
        <w:tc>
          <w:tcPr>
            <w:tcW w:w="985" w:type="dxa"/>
            <w:shd w:val="clear" w:color="auto" w:fill="FFFFFF" w:themeFill="background1"/>
          </w:tcPr>
          <w:p w14:paraId="73DD3464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530" w:type="dxa"/>
            <w:shd w:val="clear" w:color="auto" w:fill="FFFFFF" w:themeFill="background1"/>
          </w:tcPr>
          <w:p w14:paraId="082FD7B1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E72626A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-19.81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7536506D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6.32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FB85039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-29.9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1CEA6078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-13.4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6839330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2.020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0B29019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0.152</w:t>
            </w:r>
          </w:p>
        </w:tc>
        <w:tc>
          <w:tcPr>
            <w:tcW w:w="917" w:type="dxa"/>
            <w:shd w:val="clear" w:color="auto" w:fill="FFFFFF" w:themeFill="background1"/>
          </w:tcPr>
          <w:p w14:paraId="3D4EEBFE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197D1C" w:rsidRPr="00A817F1" w14:paraId="4BD0D4BB" w14:textId="77777777" w:rsidTr="00907A0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481A9FB0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406D0086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530" w:type="dxa"/>
            <w:shd w:val="clear" w:color="auto" w:fill="FFFFFF" w:themeFill="background1"/>
          </w:tcPr>
          <w:p w14:paraId="30B9E980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3F9EA7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-22.23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0EB64DA1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9.42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02CCCE9E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-36.4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061F2E90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-13.8</w:t>
            </w:r>
          </w:p>
        </w:tc>
        <w:tc>
          <w:tcPr>
            <w:tcW w:w="956" w:type="dxa"/>
            <w:vMerge w:val="restart"/>
            <w:shd w:val="clear" w:color="auto" w:fill="FFFFFF" w:themeFill="background1"/>
            <w:vAlign w:val="center"/>
          </w:tcPr>
          <w:p w14:paraId="7549EF67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shd w:val="clear" w:color="auto" w:fill="FFFFFF" w:themeFill="background1"/>
            <w:vAlign w:val="center"/>
          </w:tcPr>
          <w:p w14:paraId="30722FE1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shd w:val="clear" w:color="auto" w:fill="FFFFFF" w:themeFill="background1"/>
          </w:tcPr>
          <w:p w14:paraId="27A3A3D4" w14:textId="77777777" w:rsidR="00197D1C" w:rsidRPr="00A817F1" w:rsidRDefault="00197D1C" w:rsidP="00907A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6A75C964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257DE62C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69F3F076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530" w:type="dxa"/>
            <w:shd w:val="clear" w:color="auto" w:fill="FFFFFF" w:themeFill="background1"/>
          </w:tcPr>
          <w:p w14:paraId="4E5CCDD6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95164F4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-31.62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229AD928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9899851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-44.9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1EA52B87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-18.6</w:t>
            </w: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41839430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6FD8CD7A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/>
            <w:shd w:val="clear" w:color="auto" w:fill="FFFFFF" w:themeFill="background1"/>
          </w:tcPr>
          <w:p w14:paraId="6B4FAB91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4E8F19D1" w14:textId="77777777" w:rsidTr="00907A0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43BBFAF0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1D969B76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530" w:type="dxa"/>
            <w:shd w:val="clear" w:color="auto" w:fill="FFFFFF" w:themeFill="background1"/>
          </w:tcPr>
          <w:p w14:paraId="35D6C247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AE7F16B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-29.47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7F253E41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7.78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2D24025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-37.7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66F3A115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-20.0</w:t>
            </w: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2B779412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25785088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/>
            <w:shd w:val="clear" w:color="auto" w:fill="FFFFFF" w:themeFill="background1"/>
          </w:tcPr>
          <w:p w14:paraId="13B62AA8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6EF18C24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  <w:shd w:val="clear" w:color="auto" w:fill="FFFFFF" w:themeFill="background1"/>
          </w:tcPr>
          <w:p w14:paraId="62DE35E6" w14:textId="77777777" w:rsidR="00197D1C" w:rsidRPr="00A817F1" w:rsidRDefault="00197D1C" w:rsidP="00907A08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After 1 year</w:t>
            </w:r>
          </w:p>
        </w:tc>
        <w:tc>
          <w:tcPr>
            <w:tcW w:w="985" w:type="dxa"/>
            <w:shd w:val="clear" w:color="auto" w:fill="FFFFFF" w:themeFill="background1"/>
          </w:tcPr>
          <w:p w14:paraId="01C6A3A2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530" w:type="dxa"/>
            <w:shd w:val="clear" w:color="auto" w:fill="FFFFFF" w:themeFill="background1"/>
          </w:tcPr>
          <w:p w14:paraId="3C80209E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A703208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-29.03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5D3C2536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6.37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76C6D52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-40.1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45AAC16C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-24.4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2CB35E2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5.003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8DEFD4A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0.012</w:t>
            </w:r>
          </w:p>
        </w:tc>
        <w:tc>
          <w:tcPr>
            <w:tcW w:w="917" w:type="dxa"/>
            <w:vMerge w:val="restart"/>
            <w:shd w:val="clear" w:color="auto" w:fill="FFFFFF" w:themeFill="background1"/>
          </w:tcPr>
          <w:p w14:paraId="6DA7BFB8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  <w:p w14:paraId="5772ECC1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091203E0" w14:textId="77777777" w:rsidTr="00907A0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439A2DB9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0CD8FABC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530" w:type="dxa"/>
            <w:shd w:val="clear" w:color="auto" w:fill="FFFFFF" w:themeFill="background1"/>
          </w:tcPr>
          <w:p w14:paraId="7B17C0AE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947D0DD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-37.27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33249FA7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1F0D9CB1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-46.5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6840EFAA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-30.0</w:t>
            </w:r>
          </w:p>
        </w:tc>
        <w:tc>
          <w:tcPr>
            <w:tcW w:w="956" w:type="dxa"/>
            <w:vMerge w:val="restart"/>
            <w:shd w:val="clear" w:color="auto" w:fill="FFFFFF" w:themeFill="background1"/>
            <w:vAlign w:val="center"/>
          </w:tcPr>
          <w:p w14:paraId="1E3743E5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shd w:val="clear" w:color="auto" w:fill="FFFFFF" w:themeFill="background1"/>
            <w:vAlign w:val="center"/>
          </w:tcPr>
          <w:p w14:paraId="49347AB0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/>
            <w:shd w:val="clear" w:color="auto" w:fill="FFFFFF" w:themeFill="background1"/>
          </w:tcPr>
          <w:p w14:paraId="7D538B40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55A1AD5D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132B51F7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7FF41CEF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530" w:type="dxa"/>
            <w:shd w:val="clear" w:color="auto" w:fill="FFFFFF" w:themeFill="background1"/>
          </w:tcPr>
          <w:p w14:paraId="53070378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F1CFC2B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-46.15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2602D4D7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5AC0010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-55.5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428B5C59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-30.5</w:t>
            </w: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7762A9CE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1F193E1F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/>
            <w:shd w:val="clear" w:color="auto" w:fill="FFFFFF" w:themeFill="background1"/>
          </w:tcPr>
          <w:p w14:paraId="2670EF86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19557C29" w14:textId="77777777" w:rsidTr="00907A0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36849FC7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18F26AB7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530" w:type="dxa"/>
            <w:shd w:val="clear" w:color="auto" w:fill="FFFFFF" w:themeFill="background1"/>
          </w:tcPr>
          <w:p w14:paraId="26F4A4A8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25D8106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-43.39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282B7B4E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5.55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72614B0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-48.7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7AF463FF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-34.3</w:t>
            </w: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0CAD3975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/>
            <w:shd w:val="clear" w:color="auto" w:fill="FFFFFF" w:themeFill="background1"/>
            <w:vAlign w:val="center"/>
          </w:tcPr>
          <w:p w14:paraId="6C81EEE1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/>
            <w:shd w:val="clear" w:color="auto" w:fill="FFFFFF" w:themeFill="background1"/>
          </w:tcPr>
          <w:p w14:paraId="4FB6227A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01A6816B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  <w:shd w:val="clear" w:color="auto" w:fill="FFFFFF" w:themeFill="background1"/>
          </w:tcPr>
          <w:p w14:paraId="7F890290" w14:textId="77777777" w:rsidR="00197D1C" w:rsidRPr="00A817F1" w:rsidRDefault="00197D1C" w:rsidP="00907A08">
            <w:pPr>
              <w:spacing w:before="24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After 2 years</w:t>
            </w:r>
          </w:p>
        </w:tc>
        <w:tc>
          <w:tcPr>
            <w:tcW w:w="985" w:type="dxa"/>
            <w:shd w:val="clear" w:color="auto" w:fill="FFFFFF" w:themeFill="background1"/>
          </w:tcPr>
          <w:p w14:paraId="46344E11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530" w:type="dxa"/>
            <w:shd w:val="clear" w:color="auto" w:fill="FFFFFF" w:themeFill="background1"/>
          </w:tcPr>
          <w:p w14:paraId="5FA3B079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5B60B0B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-44.20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53D26CDA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AA6C874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-49.2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7B64DB23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-35.6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737B51D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6.474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F2C0CD9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917" w:type="dxa"/>
            <w:vMerge w:val="restart"/>
            <w:shd w:val="clear" w:color="auto" w:fill="FFFFFF" w:themeFill="background1"/>
          </w:tcPr>
          <w:p w14:paraId="37F5CF94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  <w:p w14:paraId="6C292612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1C3C4471" w14:textId="77777777" w:rsidTr="00907A08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6BBFA987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32D7A112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530" w:type="dxa"/>
            <w:shd w:val="clear" w:color="auto" w:fill="FFFFFF" w:themeFill="background1"/>
          </w:tcPr>
          <w:p w14:paraId="154B0CAE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B321A37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-50.55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4C24BA39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5.74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808FB7E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-57.6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4BA4E1FF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-41.9</w:t>
            </w:r>
          </w:p>
        </w:tc>
        <w:tc>
          <w:tcPr>
            <w:tcW w:w="956" w:type="dxa"/>
            <w:vMerge w:val="restart"/>
            <w:shd w:val="clear" w:color="auto" w:fill="FFFFFF" w:themeFill="background1"/>
          </w:tcPr>
          <w:p w14:paraId="0F7EC995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shd w:val="clear" w:color="auto" w:fill="FFFFFF" w:themeFill="background1"/>
          </w:tcPr>
          <w:p w14:paraId="0E0819B8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/>
            <w:shd w:val="clear" w:color="auto" w:fill="FFFFFF" w:themeFill="background1"/>
          </w:tcPr>
          <w:p w14:paraId="67CF7159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16B4ED3A" w14:textId="77777777" w:rsidTr="0090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4F1A661C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42CC2FD1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530" w:type="dxa"/>
            <w:shd w:val="clear" w:color="auto" w:fill="FFFFFF" w:themeFill="background1"/>
          </w:tcPr>
          <w:p w14:paraId="2E533121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8908E69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-60.66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6CB440A9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7.78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A219086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-70.9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54B24BB5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-50.3</w:t>
            </w:r>
          </w:p>
        </w:tc>
        <w:tc>
          <w:tcPr>
            <w:tcW w:w="956" w:type="dxa"/>
            <w:vMerge/>
            <w:shd w:val="clear" w:color="auto" w:fill="FFFFFF" w:themeFill="background1"/>
          </w:tcPr>
          <w:p w14:paraId="570F2F3A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/>
            <w:shd w:val="clear" w:color="auto" w:fill="FFFFFF" w:themeFill="background1"/>
          </w:tcPr>
          <w:p w14:paraId="7C93A10E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/>
            <w:shd w:val="clear" w:color="auto" w:fill="FFFFFF" w:themeFill="background1"/>
          </w:tcPr>
          <w:p w14:paraId="46967FE2" w14:textId="77777777" w:rsidR="00197D1C" w:rsidRPr="00A817F1" w:rsidRDefault="00197D1C" w:rsidP="00907A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97D1C" w:rsidRPr="00A817F1" w14:paraId="2950DCF5" w14:textId="77777777" w:rsidTr="00C9624B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shd w:val="clear" w:color="auto" w:fill="FFFFFF" w:themeFill="background1"/>
          </w:tcPr>
          <w:p w14:paraId="35FD81AB" w14:textId="77777777" w:rsidR="00197D1C" w:rsidRPr="00A817F1" w:rsidRDefault="00197D1C" w:rsidP="00907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59644E6B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530" w:type="dxa"/>
            <w:shd w:val="clear" w:color="auto" w:fill="FFFFFF" w:themeFill="background1"/>
          </w:tcPr>
          <w:p w14:paraId="78213BC7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DFF4A7D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-51.52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35D9675E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4.69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05F3F56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-56.9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110DBD4E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817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-45.7</w:t>
            </w:r>
          </w:p>
        </w:tc>
        <w:tc>
          <w:tcPr>
            <w:tcW w:w="956" w:type="dxa"/>
            <w:vMerge/>
            <w:shd w:val="clear" w:color="auto" w:fill="FFFFFF" w:themeFill="background1"/>
          </w:tcPr>
          <w:p w14:paraId="572424F0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  <w:vMerge/>
            <w:shd w:val="clear" w:color="auto" w:fill="FFFFFF" w:themeFill="background1"/>
          </w:tcPr>
          <w:p w14:paraId="20A9EF98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17" w:type="dxa"/>
            <w:vMerge/>
            <w:shd w:val="clear" w:color="auto" w:fill="FFFFFF" w:themeFill="background1"/>
          </w:tcPr>
          <w:p w14:paraId="32595CFB" w14:textId="77777777" w:rsidR="00197D1C" w:rsidRPr="00A817F1" w:rsidRDefault="00197D1C" w:rsidP="00907A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1E395954" w14:textId="77777777" w:rsidR="00197D1C" w:rsidRDefault="00197D1C" w:rsidP="00197D1C">
      <w:p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924B972" w14:textId="77777777" w:rsidR="00197D1C" w:rsidRDefault="00197D1C" w:rsidP="00197D1C">
      <w:p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C88CA5C" w14:textId="77777777" w:rsidR="00FD5656" w:rsidRDefault="00FD5656"/>
    <w:sectPr w:rsidR="00FD5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1C"/>
    <w:rsid w:val="00197D1C"/>
    <w:rsid w:val="00C9624B"/>
    <w:rsid w:val="00F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91EEF"/>
  <w15:chartTrackingRefBased/>
  <w15:docId w15:val="{641EC830-4CEE-4EF5-8C0B-DFAA179E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197D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789</Characters>
  <Application>Microsoft Office Word</Application>
  <DocSecurity>0</DocSecurity>
  <Lines>263</Lines>
  <Paragraphs>162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dcterms:created xsi:type="dcterms:W3CDTF">2025-04-03T15:57:00Z</dcterms:created>
  <dcterms:modified xsi:type="dcterms:W3CDTF">2025-04-05T09:29:00Z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fab70f77-8f9d-4796-994d-fa2b9b8d58a0</vt:lpwstr>
  </property>
</Properties>
</file>