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7747C" w14:textId="03B4EC3F" w:rsidR="002A330E" w:rsidRDefault="002A330E" w:rsidP="002A330E">
      <w:pPr>
        <w:rPr>
          <w:b/>
          <w:bCs/>
        </w:rPr>
      </w:pPr>
      <w:r>
        <w:rPr>
          <w:b/>
          <w:bCs/>
        </w:rPr>
        <w:t xml:space="preserve">Supplementary Note 1: Demographic metrics used to identify </w:t>
      </w:r>
      <w:r w:rsidR="00092AD8">
        <w:rPr>
          <w:b/>
          <w:bCs/>
        </w:rPr>
        <w:t xml:space="preserve">the Sardinia, Okinawa, and Nicoya </w:t>
      </w:r>
      <w:r w:rsidR="00F43DFD">
        <w:rPr>
          <w:b/>
          <w:bCs/>
        </w:rPr>
        <w:t>b</w:t>
      </w:r>
      <w:r>
        <w:rPr>
          <w:b/>
          <w:bCs/>
        </w:rPr>
        <w:t xml:space="preserve">lue </w:t>
      </w:r>
      <w:r w:rsidR="00F43DFD">
        <w:rPr>
          <w:b/>
          <w:bCs/>
        </w:rPr>
        <w:t>z</w:t>
      </w:r>
      <w:r>
        <w:rPr>
          <w:b/>
          <w:bCs/>
        </w:rPr>
        <w:t>ones</w:t>
      </w:r>
    </w:p>
    <w:p w14:paraId="1DB2F90E" w14:textId="76094F58" w:rsidR="00092AD8" w:rsidRDefault="00092AD8" w:rsidP="002A330E">
      <w:pPr>
        <w:rPr>
          <w:b/>
          <w:bCs/>
        </w:rPr>
      </w:pPr>
    </w:p>
    <w:p w14:paraId="08236877" w14:textId="3B899FB7" w:rsidR="00092AD8" w:rsidRPr="00092AD8" w:rsidRDefault="00092AD8" w:rsidP="00092AD8">
      <w:pPr>
        <w:rPr>
          <w:sz w:val="28"/>
          <w:szCs w:val="28"/>
        </w:rPr>
      </w:pPr>
      <w:r w:rsidRPr="00092AD8">
        <w:rPr>
          <w:sz w:val="28"/>
          <w:szCs w:val="28"/>
        </w:rPr>
        <w:t xml:space="preserve">Validating </w:t>
      </w:r>
      <w:r w:rsidR="008A7253">
        <w:rPr>
          <w:sz w:val="28"/>
          <w:szCs w:val="28"/>
        </w:rPr>
        <w:t>b</w:t>
      </w:r>
      <w:r w:rsidRPr="00092AD8">
        <w:rPr>
          <w:sz w:val="28"/>
          <w:szCs w:val="28"/>
        </w:rPr>
        <w:t xml:space="preserve">lue </w:t>
      </w:r>
      <w:r w:rsidR="008A7253">
        <w:rPr>
          <w:sz w:val="28"/>
          <w:szCs w:val="28"/>
        </w:rPr>
        <w:t>z</w:t>
      </w:r>
      <w:r w:rsidRPr="00092AD8">
        <w:rPr>
          <w:sz w:val="28"/>
          <w:szCs w:val="28"/>
        </w:rPr>
        <w:t>ones</w:t>
      </w:r>
    </w:p>
    <w:p w14:paraId="516B64F0" w14:textId="77777777" w:rsidR="00092AD8" w:rsidRPr="00092AD8" w:rsidRDefault="00092AD8" w:rsidP="00092AD8">
      <w:pPr>
        <w:rPr>
          <w:b/>
          <w:bCs/>
        </w:rPr>
      </w:pPr>
    </w:p>
    <w:p w14:paraId="200C1E83" w14:textId="62094D6B" w:rsidR="00092AD8" w:rsidRPr="00092AD8" w:rsidRDefault="00092AD8" w:rsidP="00092AD8">
      <w:r w:rsidRPr="00092AD8">
        <w:t xml:space="preserve">Validating the presence of a </w:t>
      </w:r>
      <w:r w:rsidR="00F43DFD">
        <w:t>b</w:t>
      </w:r>
      <w:r w:rsidRPr="00092AD8">
        <w:t xml:space="preserve">lue </w:t>
      </w:r>
      <w:r w:rsidR="00F43DFD">
        <w:t>z</w:t>
      </w:r>
      <w:r w:rsidRPr="00092AD8">
        <w:t xml:space="preserve">one has been a rigorous process that varies between locales because of capricious data sources and availability. Most population subgroups seeking the </w:t>
      </w:r>
      <w:r w:rsidR="00F43DFD">
        <w:t>b</w:t>
      </w:r>
      <w:r w:rsidRPr="00092AD8">
        <w:t xml:space="preserve">lue </w:t>
      </w:r>
      <w:r w:rsidR="00F43DFD">
        <w:t>z</w:t>
      </w:r>
      <w:r w:rsidRPr="00092AD8">
        <w:t>one designation have been labeled invalid</w:t>
      </w:r>
      <w:r w:rsidRPr="00092AD8">
        <w:rPr>
          <w:rStyle w:val="EndnoteReference"/>
        </w:rPr>
        <w:endnoteReference w:id="1"/>
      </w:r>
      <w:r w:rsidRPr="00092AD8">
        <w:t xml:space="preserve"> because of the absence of reliable data</w:t>
      </w:r>
      <w:r w:rsidR="008A7253">
        <w:t>,</w:t>
      </w:r>
      <w:r w:rsidRPr="00092AD8">
        <w:t xml:space="preserve"> the presence of false or misleading claims of exceptional longevity</w:t>
      </w:r>
      <w:r w:rsidR="008A7253">
        <w:t>,</w:t>
      </w:r>
      <w:r w:rsidRPr="00092AD8">
        <w:rPr>
          <w:rStyle w:val="EndnoteReference"/>
        </w:rPr>
        <w:endnoteReference w:id="2"/>
      </w:r>
      <w:r w:rsidRPr="00092AD8">
        <w:rPr>
          <w:vertAlign w:val="superscript"/>
        </w:rPr>
        <w:t>,</w:t>
      </w:r>
      <w:r w:rsidRPr="00092AD8">
        <w:rPr>
          <w:rStyle w:val="EndnoteReference"/>
        </w:rPr>
        <w:endnoteReference w:id="3"/>
      </w:r>
      <w:r w:rsidRPr="00092AD8">
        <w:rPr>
          <w:vertAlign w:val="superscript"/>
        </w:rPr>
        <w:t>,</w:t>
      </w:r>
      <w:r w:rsidRPr="00092AD8">
        <w:rPr>
          <w:rStyle w:val="EndnoteReference"/>
        </w:rPr>
        <w:endnoteReference w:id="4"/>
      </w:r>
      <w:r w:rsidRPr="00092AD8">
        <w:t xml:space="preserve"> </w:t>
      </w:r>
      <w:r w:rsidR="008A7253">
        <w:t xml:space="preserve">or because the people living in these locations simply were not longevity outliers. </w:t>
      </w:r>
    </w:p>
    <w:p w14:paraId="0BFB3A78" w14:textId="77777777" w:rsidR="00092AD8" w:rsidRPr="00092AD8" w:rsidRDefault="00092AD8" w:rsidP="00092AD8"/>
    <w:p w14:paraId="3FFECDE2" w14:textId="2FA27255" w:rsidR="00092AD8" w:rsidRPr="00092AD8" w:rsidRDefault="00092AD8" w:rsidP="00092AD8">
      <w:r w:rsidRPr="00092AD8">
        <w:t xml:space="preserve">Blue </w:t>
      </w:r>
      <w:r w:rsidR="00F43DFD">
        <w:t>z</w:t>
      </w:r>
      <w:r w:rsidRPr="00092AD8">
        <w:t>one validation has historically followed several rules: First, the ages of older members of the population must be proven with minimal chance for errors. Second, the observed longevity of the candidate population must be reliably measured using standard demographic metrics. Third, only after the first two criteria are met, then a documented, reliable, comparable</w:t>
      </w:r>
      <w:r w:rsidR="00F43DFD">
        <w:t>,</w:t>
      </w:r>
      <w:r w:rsidRPr="00092AD8">
        <w:t xml:space="preserve"> and appropriate demographic frame of reference in other exceptionally long-lived populations (referred to here as ‘composite mortality’) must be identified to illustrate that the purported </w:t>
      </w:r>
      <w:r w:rsidR="00F43DFD">
        <w:t>b</w:t>
      </w:r>
      <w:r w:rsidRPr="00092AD8">
        <w:t xml:space="preserve">lue </w:t>
      </w:r>
      <w:r w:rsidR="00F43DFD">
        <w:t>z</w:t>
      </w:r>
      <w:r w:rsidRPr="00092AD8">
        <w:t xml:space="preserve">one is exhibiting outlier status beyond more commonly observed high longevity, survival, and prevalence thresholds. </w:t>
      </w:r>
    </w:p>
    <w:p w14:paraId="2D2D2B19" w14:textId="77777777" w:rsidR="00092AD8" w:rsidRPr="00092AD8" w:rsidRDefault="00092AD8" w:rsidP="00092AD8"/>
    <w:p w14:paraId="0AEC8182" w14:textId="447E330F" w:rsidR="002A330E" w:rsidRPr="00F43DFD" w:rsidRDefault="00F43DFD" w:rsidP="002A330E">
      <w:r>
        <w:t>Three</w:t>
      </w:r>
      <w:r w:rsidR="00092AD8" w:rsidRPr="00092AD8">
        <w:t xml:space="preserve"> of the original </w:t>
      </w:r>
      <w:r>
        <w:t>b</w:t>
      </w:r>
      <w:r w:rsidR="00092AD8" w:rsidRPr="00092AD8">
        <w:t xml:space="preserve">lue </w:t>
      </w:r>
      <w:r>
        <w:t>z</w:t>
      </w:r>
      <w:r w:rsidR="00092AD8" w:rsidRPr="00092AD8">
        <w:t>ones have now been revalidated in this analysis using newly developed demographic metrics applied to reliable vital statistics from each site.</w:t>
      </w:r>
      <w:r>
        <w:t xml:space="preserve"> Contained below are the historical validation exercises performed on each of the three blue zones described in this manuscript.</w:t>
      </w:r>
    </w:p>
    <w:p w14:paraId="2E30FE24" w14:textId="77777777" w:rsidR="002A330E" w:rsidRDefault="002A330E" w:rsidP="00042808">
      <w:pPr>
        <w:rPr>
          <w:b/>
          <w:bCs/>
        </w:rPr>
      </w:pPr>
    </w:p>
    <w:p w14:paraId="2EAEAB40" w14:textId="77777777" w:rsidR="009F640B" w:rsidRDefault="009F640B">
      <w:pPr>
        <w:rPr>
          <w:b/>
          <w:bCs/>
        </w:rPr>
      </w:pPr>
      <w:r>
        <w:rPr>
          <w:b/>
          <w:bCs/>
        </w:rPr>
        <w:br w:type="page"/>
      </w:r>
    </w:p>
    <w:p w14:paraId="5C8EA5DA" w14:textId="1C561D4C" w:rsidR="009F640B" w:rsidRPr="008E085E" w:rsidRDefault="009F640B" w:rsidP="009F640B">
      <w:pPr>
        <w:ind w:left="360"/>
        <w:jc w:val="center"/>
        <w:rPr>
          <w:sz w:val="28"/>
          <w:szCs w:val="28"/>
        </w:rPr>
      </w:pPr>
      <w:r w:rsidRPr="008E085E">
        <w:rPr>
          <w:sz w:val="28"/>
          <w:szCs w:val="28"/>
        </w:rPr>
        <w:lastRenderedPageBreak/>
        <w:t>Validation of the Sardinia, Italy blue zone</w:t>
      </w:r>
    </w:p>
    <w:p w14:paraId="0BA767C1" w14:textId="77777777" w:rsidR="009F640B" w:rsidRDefault="009F640B" w:rsidP="009F640B">
      <w:pPr>
        <w:pStyle w:val="NormalWeb"/>
        <w:spacing w:before="0" w:beforeAutospacing="0" w:after="480" w:afterAutospacing="0"/>
        <w:rPr>
          <w:sz w:val="28"/>
          <w:szCs w:val="28"/>
        </w:rPr>
      </w:pPr>
    </w:p>
    <w:p w14:paraId="56E74DF8" w14:textId="02A6F55E" w:rsidR="00DB354E" w:rsidRPr="009F640B" w:rsidRDefault="002A330E" w:rsidP="009F640B">
      <w:pPr>
        <w:pStyle w:val="NormalWeb"/>
        <w:spacing w:before="0" w:beforeAutospacing="0" w:after="480" w:afterAutospacing="0"/>
        <w:rPr>
          <w:sz w:val="28"/>
          <w:szCs w:val="28"/>
        </w:rPr>
      </w:pPr>
      <w:r w:rsidRPr="009F640B">
        <w:rPr>
          <w:sz w:val="28"/>
          <w:szCs w:val="28"/>
        </w:rPr>
        <w:t>Sardinia (1999) designation criteria</w:t>
      </w:r>
    </w:p>
    <w:p w14:paraId="4FB6B19C" w14:textId="72FCCEDD" w:rsidR="00DB354E" w:rsidRPr="00DB354E" w:rsidRDefault="00DB354E" w:rsidP="00DB354E">
      <w:pPr>
        <w:pStyle w:val="ListParagraph"/>
        <w:numPr>
          <w:ilvl w:val="0"/>
          <w:numId w:val="6"/>
        </w:numPr>
        <w:spacing w:before="100" w:beforeAutospacing="1" w:after="100" w:afterAutospacing="1"/>
        <w:rPr>
          <w:lang w:val="en-GB" w:eastAsia="it-IT"/>
        </w:rPr>
      </w:pPr>
      <w:r w:rsidRPr="00DB354E">
        <w:rPr>
          <w:lang w:val="en-GB" w:eastAsia="it-IT"/>
        </w:rPr>
        <w:t>Female/male ratio of centenarians</w:t>
      </w:r>
    </w:p>
    <w:p w14:paraId="46CA088C" w14:textId="3AC11BD3" w:rsidR="00DB354E" w:rsidRPr="00DB354E" w:rsidRDefault="00DB354E" w:rsidP="00DB354E">
      <w:pPr>
        <w:pStyle w:val="ListParagraph"/>
        <w:numPr>
          <w:ilvl w:val="0"/>
          <w:numId w:val="6"/>
        </w:numPr>
        <w:spacing w:before="100" w:beforeAutospacing="1" w:after="100" w:afterAutospacing="1"/>
        <w:rPr>
          <w:lang w:val="en-GB" w:eastAsia="it-IT"/>
        </w:rPr>
      </w:pPr>
      <w:r w:rsidRPr="00DB354E">
        <w:rPr>
          <w:lang w:val="en-GB" w:eastAsia="it-IT"/>
        </w:rPr>
        <w:t>Extreme Longevity Index (ELI) [defined as the percentage of persons born in Sardinia between 1880 and 1900, who became centenarians.]</w:t>
      </w:r>
    </w:p>
    <w:p w14:paraId="1336D093" w14:textId="247FE0FC" w:rsidR="00DB354E" w:rsidRDefault="00F43DFD" w:rsidP="00F43DFD">
      <w:pPr>
        <w:spacing w:before="100" w:beforeAutospacing="1" w:after="100" w:afterAutospacing="1"/>
        <w:rPr>
          <w:lang w:val="en-GB" w:eastAsia="it-IT"/>
        </w:rPr>
      </w:pPr>
      <w:r w:rsidRPr="00F43DFD">
        <w:rPr>
          <w:lang w:val="en-GB" w:eastAsia="it-IT"/>
        </w:rPr>
        <w:t>Although the existence of an area of unusually low mortality in central Sardinia had been known to demographers since 1961 on the basis of Italian census data</w:t>
      </w:r>
      <w:r>
        <w:rPr>
          <w:lang w:val="en-GB" w:eastAsia="it-IT"/>
        </w:rPr>
        <w:t>,</w:t>
      </w:r>
      <w:r>
        <w:rPr>
          <w:rStyle w:val="EndnoteReference"/>
          <w:lang w:val="en-GB" w:eastAsia="it-IT"/>
        </w:rPr>
        <w:endnoteReference w:id="5"/>
      </w:r>
      <w:r w:rsidRPr="00F43DFD">
        <w:rPr>
          <w:lang w:val="en-GB" w:eastAsia="it-IT"/>
        </w:rPr>
        <w:t xml:space="preserve"> a distinct longevity hotspot in </w:t>
      </w:r>
      <w:proofErr w:type="spellStart"/>
      <w:r w:rsidRPr="00F43DFD">
        <w:rPr>
          <w:lang w:val="en-GB" w:eastAsia="it-IT"/>
        </w:rPr>
        <w:t>Nuoro</w:t>
      </w:r>
      <w:proofErr w:type="spellEnd"/>
      <w:r w:rsidRPr="00F43DFD">
        <w:rPr>
          <w:lang w:val="en-GB" w:eastAsia="it-IT"/>
        </w:rPr>
        <w:t xml:space="preserve"> province (approximately 23.6 centenarians per 100,000 population, nearly three times the Italian national rate of 7.9/100,000) was identified </w:t>
      </w:r>
      <w:r w:rsidR="00992CAE">
        <w:rPr>
          <w:lang w:val="en-GB" w:eastAsia="it-IT"/>
        </w:rPr>
        <w:t xml:space="preserve">in </w:t>
      </w:r>
      <w:r w:rsidRPr="00F43DFD">
        <w:rPr>
          <w:lang w:val="en-GB" w:eastAsia="it-IT"/>
        </w:rPr>
        <w:t>1999 during a survey of all 377 Sardinian municipalities</w:t>
      </w:r>
      <w:r>
        <w:rPr>
          <w:lang w:val="en-GB" w:eastAsia="it-IT"/>
        </w:rPr>
        <w:t>.</w:t>
      </w:r>
      <w:r>
        <w:rPr>
          <w:rStyle w:val="EndnoteReference"/>
          <w:lang w:val="en-GB" w:eastAsia="it-IT"/>
        </w:rPr>
        <w:endnoteReference w:id="6"/>
      </w:r>
      <w:r w:rsidRPr="00F43DFD">
        <w:rPr>
          <w:lang w:val="en-GB" w:eastAsia="it-IT"/>
        </w:rPr>
        <w:t xml:space="preserve"> Moreover, the sex ratio among centenarians in this area was close to parity, a striking deviation from the typical female-dominated </w:t>
      </w:r>
      <w:r w:rsidR="00992CAE">
        <w:rPr>
          <w:lang w:val="en-GB" w:eastAsia="it-IT"/>
        </w:rPr>
        <w:t xml:space="preserve">sex </w:t>
      </w:r>
      <w:r w:rsidRPr="00F43DFD">
        <w:rPr>
          <w:lang w:val="en-GB" w:eastAsia="it-IT"/>
        </w:rPr>
        <w:t>ratio (3–4:1) observed in most populations</w:t>
      </w:r>
      <w:r>
        <w:rPr>
          <w:lang w:val="en-GB" w:eastAsia="it-IT"/>
        </w:rPr>
        <w:t>.</w:t>
      </w:r>
      <w:r w:rsidR="001E7985" w:rsidRPr="001E7985">
        <w:rPr>
          <w:rStyle w:val="EndnoteReference"/>
          <w:lang w:val="en-GB" w:eastAsia="it-IT"/>
        </w:rPr>
        <w:endnoteReference w:id="7"/>
      </w:r>
      <w:r w:rsidR="001E7985" w:rsidRPr="001E7985">
        <w:rPr>
          <w:vertAlign w:val="superscript"/>
          <w:lang w:val="en-GB" w:eastAsia="it-IT"/>
        </w:rPr>
        <w:t>,</w:t>
      </w:r>
      <w:r w:rsidR="001E7985" w:rsidRPr="001E7985">
        <w:rPr>
          <w:rStyle w:val="EndnoteReference"/>
          <w:lang w:val="en-GB" w:eastAsia="it-IT"/>
        </w:rPr>
        <w:endnoteReference w:id="8"/>
      </w:r>
      <w:r w:rsidR="001E7985" w:rsidRPr="001E7985">
        <w:rPr>
          <w:vertAlign w:val="superscript"/>
          <w:lang w:val="en-GB" w:eastAsia="it-IT"/>
        </w:rPr>
        <w:t>,</w:t>
      </w:r>
      <w:r w:rsidR="001E7985" w:rsidRPr="001E7985">
        <w:rPr>
          <w:rStyle w:val="EndnoteReference"/>
          <w:lang w:val="en-GB" w:eastAsia="it-IT"/>
        </w:rPr>
        <w:endnoteReference w:id="9"/>
      </w:r>
      <w:r w:rsidR="001E7985" w:rsidRPr="001E7985">
        <w:rPr>
          <w:vertAlign w:val="superscript"/>
          <w:lang w:val="en-GB" w:eastAsia="it-IT"/>
        </w:rPr>
        <w:t>,</w:t>
      </w:r>
      <w:r w:rsidR="001E7985" w:rsidRPr="001E7985">
        <w:rPr>
          <w:rStyle w:val="EndnoteReference"/>
          <w:lang w:val="en-GB" w:eastAsia="it-IT"/>
        </w:rPr>
        <w:endnoteReference w:id="10"/>
      </w:r>
      <w:r w:rsidR="001E7985" w:rsidRPr="001E7985">
        <w:rPr>
          <w:vertAlign w:val="superscript"/>
          <w:lang w:val="en-GB" w:eastAsia="it-IT"/>
        </w:rPr>
        <w:t>,</w:t>
      </w:r>
      <w:r w:rsidR="001E7985" w:rsidRPr="001E7985">
        <w:rPr>
          <w:rStyle w:val="EndnoteReference"/>
          <w:lang w:val="en-GB" w:eastAsia="it-IT"/>
        </w:rPr>
        <w:endnoteReference w:id="11"/>
      </w:r>
      <w:r w:rsidR="001E7985">
        <w:rPr>
          <w:lang w:val="en-GB" w:eastAsia="it-IT"/>
        </w:rPr>
        <w:t xml:space="preserve">  </w:t>
      </w:r>
      <w:r w:rsidRPr="00F43DFD">
        <w:rPr>
          <w:lang w:val="en-GB" w:eastAsia="it-IT"/>
        </w:rPr>
        <w:t>These anomalies, first brought to the attention of the scientific community in 1999,</w:t>
      </w:r>
      <w:r w:rsidR="0081761C">
        <w:rPr>
          <w:rStyle w:val="EndnoteReference"/>
          <w:lang w:val="en-GB" w:eastAsia="it-IT"/>
        </w:rPr>
        <w:endnoteReference w:id="12"/>
      </w:r>
      <w:r w:rsidRPr="00F43DFD">
        <w:rPr>
          <w:lang w:val="en-GB" w:eastAsia="it-IT"/>
        </w:rPr>
        <w:t xml:space="preserve"> underscored the need for thorough age validation and demographic analysis.</w:t>
      </w:r>
    </w:p>
    <w:p w14:paraId="5123A403" w14:textId="38EC56CB" w:rsidR="00F43DFD" w:rsidRPr="00F43DFD" w:rsidRDefault="00F43DFD" w:rsidP="00F43DFD">
      <w:pPr>
        <w:spacing w:before="100" w:beforeAutospacing="1" w:after="100" w:afterAutospacing="1"/>
        <w:rPr>
          <w:lang w:val="en-GB" w:eastAsia="it-IT"/>
        </w:rPr>
      </w:pPr>
      <w:r>
        <w:rPr>
          <w:lang w:val="en-GB" w:eastAsia="it-IT"/>
        </w:rPr>
        <w:t>I</w:t>
      </w:r>
      <w:r w:rsidRPr="00F43DFD">
        <w:rPr>
          <w:lang w:val="en-GB" w:eastAsia="it-IT"/>
        </w:rPr>
        <w:t>n January 2000, a systematic age validation study of Sardinian centenarians was launched to verify Sardinia’s status as a longevity outlier</w:t>
      </w:r>
      <w:r w:rsidR="0081761C">
        <w:rPr>
          <w:lang w:val="en-GB" w:eastAsia="it-IT"/>
        </w:rPr>
        <w:t>.</w:t>
      </w:r>
      <w:r w:rsidR="0081761C">
        <w:rPr>
          <w:rStyle w:val="EndnoteReference"/>
          <w:lang w:val="en-GB" w:eastAsia="it-IT"/>
        </w:rPr>
        <w:endnoteReference w:id="13"/>
      </w:r>
      <w:r w:rsidRPr="00F43DFD">
        <w:rPr>
          <w:lang w:val="en-GB" w:eastAsia="it-IT"/>
        </w:rPr>
        <w:t xml:space="preserve"> Rigorous age-verification procedures were applied: The exceptional ages of all reported centenarians were cross-checked against marginal death annotation on the corresponding birth records to eliminate any cases of age misreporting or duplication.</w:t>
      </w:r>
    </w:p>
    <w:p w14:paraId="5F57EB6B" w14:textId="77777777" w:rsidR="00F43DFD" w:rsidRPr="00F43DFD" w:rsidRDefault="00F43DFD" w:rsidP="00F43DFD">
      <w:pPr>
        <w:spacing w:before="100" w:beforeAutospacing="1" w:after="100" w:afterAutospacing="1"/>
        <w:rPr>
          <w:lang w:val="en-GB" w:eastAsia="it-IT"/>
        </w:rPr>
      </w:pPr>
      <w:r w:rsidRPr="00F43DFD">
        <w:rPr>
          <w:lang w:val="en-GB" w:eastAsia="it-IT"/>
        </w:rPr>
        <w:t>To quantitatively assess extreme longevity, a cohort life table approach was employed. An “Extreme Longevity Index” (ELI) was defined as the probability that a newborn in a given municipality would survive to age 100 (i.e., the cohort survival probability to 100 years). Specifically, for each municipality, all individuals born between 1880 and 1900 were identified and their survival was tracked to determine how many reached their 100th birthday during the period 1980–2000.</w:t>
      </w:r>
      <w:r w:rsidRPr="00F43DFD">
        <w:rPr>
          <w:vertAlign w:val="superscript"/>
          <w:lang w:val="en-GB" w:eastAsia="it-IT"/>
        </w:rPr>
        <w:t xml:space="preserve"> </w:t>
      </w:r>
      <w:r w:rsidRPr="00F43DFD">
        <w:rPr>
          <w:lang w:val="en-GB" w:eastAsia="it-IT"/>
        </w:rPr>
        <w:t>By aggregating births over that 20-year span (nearly 500,000 birth records across Sardinia), this approach provided a statistically robust measure of extreme survival.</w:t>
      </w:r>
    </w:p>
    <w:p w14:paraId="4AEF4A07" w14:textId="77777777" w:rsidR="00F43DFD" w:rsidRPr="00F43DFD" w:rsidRDefault="00F43DFD" w:rsidP="00F43DFD">
      <w:pPr>
        <w:spacing w:before="100" w:beforeAutospacing="1" w:after="100" w:afterAutospacing="1"/>
        <w:rPr>
          <w:lang w:val="en-GB" w:eastAsia="it-IT"/>
        </w:rPr>
      </w:pPr>
      <w:r w:rsidRPr="00F43DFD">
        <w:rPr>
          <w:lang w:val="en-GB" w:eastAsia="it-IT"/>
        </w:rPr>
        <w:t xml:space="preserve">Importantly, the ELI values are unlikely to be overestimated. This could occur only if some births were missing from the records (lowering the denominator), but here the number of births was obtained directly from original birth registers and all centenarians were identified and </w:t>
      </w:r>
      <w:proofErr w:type="gramStart"/>
      <w:r w:rsidRPr="00F43DFD">
        <w:rPr>
          <w:lang w:val="en-GB" w:eastAsia="it-IT"/>
        </w:rPr>
        <w:t>age-validated</w:t>
      </w:r>
      <w:proofErr w:type="gramEnd"/>
      <w:r w:rsidRPr="00F43DFD">
        <w:rPr>
          <w:lang w:val="en-GB" w:eastAsia="it-IT"/>
        </w:rPr>
        <w:t xml:space="preserve">. Nevertheless, ELI values ​​may be slightly underestimated if some newborns reached age 100 outside the municipality of birth without that information being recorded locally. Notably, nearly 30% of Sardinian municipalities had an ELI of 0, indicating that no one born between 1880 and 1900 in those areas survived to centenarian age. This methodology – calculating cohort survival to age 100 and validating each centenarian’s age with official records – ensured that Sardinia’s longevity patterns were grounded in verifiable demographic data rather than reporting artifacts. </w:t>
      </w:r>
    </w:p>
    <w:p w14:paraId="58F7C66F" w14:textId="73E61DBB" w:rsidR="00F43DFD" w:rsidRPr="00F43DFD" w:rsidRDefault="00F43DFD" w:rsidP="00F43DFD">
      <w:pPr>
        <w:spacing w:before="100" w:beforeAutospacing="1" w:after="100" w:afterAutospacing="1"/>
        <w:rPr>
          <w:lang w:val="en-GB" w:eastAsia="it-IT"/>
        </w:rPr>
      </w:pPr>
      <w:r w:rsidRPr="008A4160">
        <w:rPr>
          <w:lang w:eastAsia="it-IT"/>
        </w:rPr>
        <w:lastRenderedPageBreak/>
        <w:t xml:space="preserve">Using the ELI data, geographic maps of ELI values across Sardinian municipalities were created. </w:t>
      </w:r>
      <w:r w:rsidRPr="00F43DFD">
        <w:rPr>
          <w:lang w:val="en-GB" w:eastAsia="it-IT"/>
        </w:rPr>
        <w:t>Both smoothed</w:t>
      </w:r>
      <w:r w:rsidR="0081761C">
        <w:rPr>
          <w:rStyle w:val="EndnoteReference"/>
          <w:lang w:val="en-GB" w:eastAsia="it-IT"/>
        </w:rPr>
        <w:endnoteReference w:id="14"/>
      </w:r>
      <w:r w:rsidRPr="00F43DFD">
        <w:rPr>
          <w:lang w:val="en-GB" w:eastAsia="it-IT"/>
        </w:rPr>
        <w:t xml:space="preserve"> and unsmoothed</w:t>
      </w:r>
      <w:r w:rsidR="0081761C">
        <w:rPr>
          <w:rStyle w:val="EndnoteReference"/>
          <w:lang w:val="en-GB" w:eastAsia="it-IT"/>
        </w:rPr>
        <w:endnoteReference w:id="15"/>
      </w:r>
      <w:r w:rsidRPr="00F43DFD">
        <w:rPr>
          <w:lang w:val="en-GB" w:eastAsia="it-IT"/>
        </w:rPr>
        <w:t xml:space="preserve"> versions of these maps were produced via spatial analysis. This revealed several clusters of villages, where ELI values ​​were substantially higher than elsewhere on the island, indicating an exceptional concentration of long-livers. Marking these high-longevity villages in blue on a map of Sardinia gave rise to the term “</w:t>
      </w:r>
      <w:r w:rsidR="0081761C">
        <w:rPr>
          <w:lang w:val="en-GB" w:eastAsia="it-IT"/>
        </w:rPr>
        <w:t>b</w:t>
      </w:r>
      <w:r w:rsidRPr="00F43DFD">
        <w:rPr>
          <w:lang w:val="en-GB" w:eastAsia="it-IT"/>
        </w:rPr>
        <w:t xml:space="preserve">lue </w:t>
      </w:r>
      <w:r w:rsidR="0081761C">
        <w:rPr>
          <w:lang w:val="en-GB" w:eastAsia="it-IT"/>
        </w:rPr>
        <w:t>z</w:t>
      </w:r>
      <w:r w:rsidRPr="00F43DFD">
        <w:rPr>
          <w:lang w:val="en-GB" w:eastAsia="it-IT"/>
        </w:rPr>
        <w:t xml:space="preserve">one”. The largest such cluster was located in the central-eastern highlands (encompassing eastern </w:t>
      </w:r>
      <w:proofErr w:type="spellStart"/>
      <w:r w:rsidRPr="00F43DFD">
        <w:rPr>
          <w:lang w:val="en-GB" w:eastAsia="it-IT"/>
        </w:rPr>
        <w:t>Nuoro</w:t>
      </w:r>
      <w:proofErr w:type="spellEnd"/>
      <w:r w:rsidRPr="00F43DFD">
        <w:rPr>
          <w:lang w:val="en-GB" w:eastAsia="it-IT"/>
        </w:rPr>
        <w:t xml:space="preserve"> province, historically known as the </w:t>
      </w:r>
      <w:proofErr w:type="spellStart"/>
      <w:r w:rsidRPr="00F43DFD">
        <w:rPr>
          <w:i/>
          <w:iCs/>
          <w:lang w:val="en-GB" w:eastAsia="it-IT"/>
        </w:rPr>
        <w:t>Ogliastra</w:t>
      </w:r>
      <w:proofErr w:type="spellEnd"/>
      <w:r w:rsidRPr="00F43DFD">
        <w:rPr>
          <w:lang w:val="en-GB" w:eastAsia="it-IT"/>
        </w:rPr>
        <w:t xml:space="preserve"> subregion) while smaller clusters were scattered in other parts of Sardinia. The major hotspot comprised 14 villages in </w:t>
      </w:r>
      <w:proofErr w:type="spellStart"/>
      <w:r w:rsidRPr="00F43DFD">
        <w:rPr>
          <w:lang w:val="en-GB" w:eastAsia="it-IT"/>
        </w:rPr>
        <w:t>Ogliastra</w:t>
      </w:r>
      <w:proofErr w:type="spellEnd"/>
      <w:r w:rsidRPr="00F43DFD">
        <w:rPr>
          <w:lang w:val="en-GB" w:eastAsia="it-IT"/>
        </w:rPr>
        <w:t>, where ELI values were substantially higher than in the rest of the island (5.09 centenarians per thousand newborns compared with 1.81 in the rest of Sardinia), highlighting the extraordinary survival rates in that region.</w:t>
      </w:r>
    </w:p>
    <w:p w14:paraId="4F9182DC" w14:textId="77777777" w:rsidR="009F640B" w:rsidRDefault="009F640B">
      <w:pPr>
        <w:rPr>
          <w:b/>
          <w:bCs/>
        </w:rPr>
      </w:pPr>
      <w:r>
        <w:rPr>
          <w:b/>
          <w:bCs/>
        </w:rPr>
        <w:br w:type="page"/>
      </w:r>
    </w:p>
    <w:p w14:paraId="5987325D" w14:textId="6F4BF20B" w:rsidR="009F640B" w:rsidRPr="008E085E" w:rsidRDefault="009F640B" w:rsidP="009F640B">
      <w:pPr>
        <w:jc w:val="center"/>
        <w:rPr>
          <w:sz w:val="28"/>
          <w:szCs w:val="28"/>
        </w:rPr>
      </w:pPr>
      <w:r w:rsidRPr="008E085E">
        <w:rPr>
          <w:sz w:val="28"/>
          <w:szCs w:val="28"/>
        </w:rPr>
        <w:lastRenderedPageBreak/>
        <w:t>Validation of the Okinawa, Japan blue zone</w:t>
      </w:r>
    </w:p>
    <w:p w14:paraId="138EFB50" w14:textId="77777777" w:rsidR="009F640B" w:rsidRPr="009F640B" w:rsidRDefault="009F640B" w:rsidP="009F640B">
      <w:pPr>
        <w:jc w:val="center"/>
        <w:rPr>
          <w:b/>
          <w:bCs/>
        </w:rPr>
      </w:pPr>
    </w:p>
    <w:p w14:paraId="083BE816" w14:textId="7D4349DD" w:rsidR="00FD01FB" w:rsidRDefault="002A330E" w:rsidP="00DB354E">
      <w:pPr>
        <w:pStyle w:val="NormalWeb"/>
        <w:spacing w:before="0" w:beforeAutospacing="0" w:after="480" w:afterAutospacing="0"/>
        <w:rPr>
          <w:sz w:val="28"/>
          <w:szCs w:val="28"/>
        </w:rPr>
      </w:pPr>
      <w:r w:rsidRPr="009F640B">
        <w:rPr>
          <w:sz w:val="28"/>
          <w:szCs w:val="28"/>
        </w:rPr>
        <w:t xml:space="preserve">Okinawa (2001) </w:t>
      </w:r>
      <w:r w:rsidR="00042808" w:rsidRPr="009F640B">
        <w:rPr>
          <w:sz w:val="28"/>
          <w:szCs w:val="28"/>
        </w:rPr>
        <w:t>designation</w:t>
      </w:r>
      <w:r w:rsidRPr="009F640B">
        <w:rPr>
          <w:sz w:val="28"/>
          <w:szCs w:val="28"/>
        </w:rPr>
        <w:t xml:space="preserve"> criteria</w:t>
      </w:r>
      <w:r w:rsidR="008E085E">
        <w:rPr>
          <w:sz w:val="28"/>
          <w:szCs w:val="28"/>
        </w:rPr>
        <w:t xml:space="preserve"> </w:t>
      </w:r>
    </w:p>
    <w:p w14:paraId="1BA132CF" w14:textId="19EBDAF7" w:rsidR="00DB354E" w:rsidRPr="00FD01FB" w:rsidRDefault="008E085E" w:rsidP="00DB354E">
      <w:pPr>
        <w:pStyle w:val="NormalWeb"/>
        <w:spacing w:before="0" w:beforeAutospacing="0" w:after="480" w:afterAutospacing="0"/>
      </w:pPr>
      <w:r w:rsidRPr="00FD01FB">
        <w:t>Source of life tables for Japan, by prefecture.</w:t>
      </w:r>
      <w:r w:rsidRPr="00FD01FB">
        <w:rPr>
          <w:rStyle w:val="EndnoteReference"/>
        </w:rPr>
        <w:endnoteReference w:id="16"/>
      </w:r>
      <w:r w:rsidRPr="00FD01FB">
        <w:t xml:space="preserve"> Source of population size for Japan.</w:t>
      </w:r>
      <w:r w:rsidRPr="00FD01FB">
        <w:rPr>
          <w:rStyle w:val="EndnoteReference"/>
        </w:rPr>
        <w:endnoteReference w:id="17"/>
      </w:r>
    </w:p>
    <w:p w14:paraId="23A8050B" w14:textId="77777777" w:rsidR="00DB354E" w:rsidRDefault="00DB354E" w:rsidP="00DB354E">
      <w:pPr>
        <w:pStyle w:val="ListParagraph"/>
        <w:numPr>
          <w:ilvl w:val="0"/>
          <w:numId w:val="5"/>
        </w:numPr>
      </w:pPr>
      <w:r>
        <w:t>Centenarians per 100,000 population (2001)</w:t>
      </w:r>
    </w:p>
    <w:p w14:paraId="7FD635C8" w14:textId="77777777" w:rsidR="00DB354E" w:rsidRDefault="00DB354E" w:rsidP="00DB354E">
      <w:pPr>
        <w:pStyle w:val="ListParagraph"/>
        <w:numPr>
          <w:ilvl w:val="0"/>
          <w:numId w:val="5"/>
        </w:numPr>
      </w:pPr>
      <w:r>
        <w:t>Sex ratio at age 70 (2001)</w:t>
      </w:r>
    </w:p>
    <w:p w14:paraId="57DA4219" w14:textId="77777777" w:rsidR="00DB354E" w:rsidRDefault="00DB354E" w:rsidP="00DB354E">
      <w:pPr>
        <w:pStyle w:val="ListParagraph"/>
        <w:numPr>
          <w:ilvl w:val="0"/>
          <w:numId w:val="5"/>
        </w:numPr>
      </w:pPr>
      <w:proofErr w:type="gramStart"/>
      <w:r>
        <w:t>e</w:t>
      </w:r>
      <w:r w:rsidRPr="00DB354E">
        <w:rPr>
          <w:vertAlign w:val="subscript"/>
        </w:rPr>
        <w:t>(</w:t>
      </w:r>
      <w:proofErr w:type="gramEnd"/>
      <w:r w:rsidRPr="00DB354E">
        <w:rPr>
          <w:vertAlign w:val="subscript"/>
        </w:rPr>
        <w:t>70)</w:t>
      </w:r>
      <w:r>
        <w:t xml:space="preserve"> (2001)</w:t>
      </w:r>
    </w:p>
    <w:p w14:paraId="6B26B071" w14:textId="77777777" w:rsidR="00DB354E" w:rsidRDefault="00DB354E" w:rsidP="00DB354E">
      <w:pPr>
        <w:pStyle w:val="ListParagraph"/>
        <w:numPr>
          <w:ilvl w:val="0"/>
          <w:numId w:val="5"/>
        </w:numPr>
      </w:pPr>
      <w:r>
        <w:t>Life expectancy at birth in Okinawa relative to all of Japan</w:t>
      </w:r>
    </w:p>
    <w:p w14:paraId="06D4B958" w14:textId="1FA4B5C2" w:rsidR="00DB354E" w:rsidRDefault="00DB354E" w:rsidP="00BC6434">
      <w:pPr>
        <w:pStyle w:val="ListParagraph"/>
        <w:numPr>
          <w:ilvl w:val="0"/>
          <w:numId w:val="5"/>
        </w:numPr>
      </w:pPr>
      <w:r>
        <w:t>Per capita centenarian population in Okinawa relative to all of Japan</w:t>
      </w:r>
    </w:p>
    <w:p w14:paraId="0CDD9E42" w14:textId="77777777" w:rsidR="00BC6434" w:rsidRDefault="00BC6434" w:rsidP="00BC6434">
      <w:pPr>
        <w:pStyle w:val="ListParagraph"/>
      </w:pPr>
    </w:p>
    <w:p w14:paraId="5DF4330E" w14:textId="44FBB17C" w:rsidR="00DB354E" w:rsidRDefault="00F43DFD" w:rsidP="00DB354E">
      <w:pPr>
        <w:pStyle w:val="NormalWeb"/>
        <w:spacing w:before="0" w:beforeAutospacing="0" w:after="480" w:afterAutospacing="0"/>
      </w:pPr>
      <w:r w:rsidRPr="001A5FAF">
        <w:t>Comprehensive age</w:t>
      </w:r>
      <w:r w:rsidRPr="001A5FAF">
        <w:noBreakHyphen/>
        <w:t xml:space="preserve">validation procedures underpin the formal recognition of Okinawa Prefecture as a </w:t>
      </w:r>
      <w:r>
        <w:t>b</w:t>
      </w:r>
      <w:r w:rsidRPr="001A5FAF">
        <w:t>lue </w:t>
      </w:r>
      <w:r>
        <w:t>z</w:t>
      </w:r>
      <w:r w:rsidRPr="001A5FAF">
        <w:t>one. This note summarizes the systems, data sources, and verification methods supporting the reliability of age and mortality data for Okinawa and Japan as a whole.</w:t>
      </w:r>
    </w:p>
    <w:p w14:paraId="182AEA7D" w14:textId="1AC6F6BB" w:rsidR="00F43DFD" w:rsidRDefault="00F43DFD" w:rsidP="00DB354E">
      <w:pPr>
        <w:pStyle w:val="NormalWeb"/>
        <w:spacing w:before="0" w:beforeAutospacing="0" w:after="480" w:afterAutospacing="0"/>
        <w:rPr>
          <w:sz w:val="28"/>
          <w:szCs w:val="28"/>
        </w:rPr>
      </w:pPr>
      <w:r w:rsidRPr="00D47256">
        <w:rPr>
          <w:sz w:val="28"/>
          <w:szCs w:val="28"/>
        </w:rPr>
        <w:t>National and Prefectural Longevity Context</w:t>
      </w:r>
    </w:p>
    <w:p w14:paraId="41727E73" w14:textId="19EA9DDB" w:rsidR="00F43DFD" w:rsidRPr="001A5FAF" w:rsidRDefault="00F43DFD" w:rsidP="00F43DFD">
      <w:r w:rsidRPr="001A5FAF">
        <w:t>Japan has led the world in life expectancy since surpassing Sweden in the mid</w:t>
      </w:r>
      <w:r w:rsidRPr="001A5FAF">
        <w:noBreakHyphen/>
        <w:t>1970s,</w:t>
      </w:r>
      <w:r w:rsidR="00F46964">
        <w:rPr>
          <w:rStyle w:val="EndnoteReference"/>
        </w:rPr>
        <w:endnoteReference w:id="18"/>
      </w:r>
      <w:r w:rsidRPr="001A5FAF">
        <w:t xml:space="preserve"> primarily due to reductions in cerebrovascular disease and improved hypertension control. Okinawa Prefecture—an isolated island region—has consistently exhibited among the highest longevity levels in Japan since its reversion to Japanese administration in 1972</w:t>
      </w:r>
      <w:r>
        <w:t>.</w:t>
      </w:r>
      <w:r w:rsidR="00F46964">
        <w:rPr>
          <w:rStyle w:val="EndnoteReference"/>
        </w:rPr>
        <w:endnoteReference w:id="19"/>
      </w:r>
      <w:r w:rsidR="00F46964" w:rsidRPr="00F46964">
        <w:rPr>
          <w:vertAlign w:val="superscript"/>
        </w:rPr>
        <w:t>,</w:t>
      </w:r>
      <w:r w:rsidR="00F46964">
        <w:rPr>
          <w:rStyle w:val="EndnoteReference"/>
        </w:rPr>
        <w:endnoteReference w:id="20"/>
      </w:r>
      <w:r w:rsidRPr="001A5FAF">
        <w:t xml:space="preserve"> The Ministry of Health, </w:t>
      </w:r>
      <w:proofErr w:type="spellStart"/>
      <w:r w:rsidRPr="001A5FAF">
        <w:t>Labour</w:t>
      </w:r>
      <w:proofErr w:type="spellEnd"/>
      <w:r w:rsidRPr="001A5FAF">
        <w:t xml:space="preserve"> and Welfare’s </w:t>
      </w:r>
      <w:r w:rsidRPr="001A5FAF">
        <w:rPr>
          <w:i/>
          <w:iCs/>
        </w:rPr>
        <w:t>(MHLW) Annual Centenarian Report</w:t>
      </w:r>
      <w:r w:rsidRPr="001A5FAF">
        <w:t xml:space="preserve"> ranks Okinawa among the top prefectures for centenarian prevalence</w:t>
      </w:r>
      <w:r>
        <w:t>.</w:t>
      </w:r>
      <w:r w:rsidR="00F46964">
        <w:rPr>
          <w:rStyle w:val="EndnoteReference"/>
        </w:rPr>
        <w:endnoteReference w:id="21"/>
      </w:r>
      <w:r w:rsidRPr="001A5FAF">
        <w:t xml:space="preserve"> This exceptional profile prompted comprehensive validation of age</w:t>
      </w:r>
      <w:r w:rsidRPr="001A5FAF">
        <w:noBreakHyphen/>
        <w:t>reporting and demographic record</w:t>
      </w:r>
      <w:r w:rsidRPr="001A5FAF">
        <w:noBreakHyphen/>
        <w:t>keeping in the region.</w:t>
      </w:r>
    </w:p>
    <w:p w14:paraId="1BAC6336" w14:textId="77777777" w:rsidR="00F43DFD" w:rsidRDefault="00F43DFD" w:rsidP="00F43DFD">
      <w:pPr>
        <w:rPr>
          <w:sz w:val="28"/>
          <w:szCs w:val="28"/>
        </w:rPr>
      </w:pPr>
    </w:p>
    <w:p w14:paraId="6069CEBA" w14:textId="61BC9BA8" w:rsidR="00F43DFD" w:rsidRPr="00D47256" w:rsidRDefault="00F43DFD" w:rsidP="00F43DFD">
      <w:pPr>
        <w:rPr>
          <w:sz w:val="28"/>
          <w:szCs w:val="28"/>
        </w:rPr>
      </w:pPr>
      <w:r w:rsidRPr="00D47256">
        <w:rPr>
          <w:sz w:val="28"/>
          <w:szCs w:val="28"/>
        </w:rPr>
        <w:t>Japan’s Vital Statistics and Registration Systems</w:t>
      </w:r>
    </w:p>
    <w:p w14:paraId="64E03C80" w14:textId="77777777" w:rsidR="00F43DFD" w:rsidRDefault="00F43DFD" w:rsidP="00F43DFD"/>
    <w:p w14:paraId="562CA450" w14:textId="5ADEDE69" w:rsidR="00F43DFD" w:rsidRPr="001A5FAF" w:rsidRDefault="00F43DFD" w:rsidP="00F43DFD">
      <w:r w:rsidRPr="001A5FAF">
        <w:t>Age reporting in Japan is widely considered among the most reliable in the world</w:t>
      </w:r>
      <w:r>
        <w:t>.</w:t>
      </w:r>
      <w:r w:rsidR="00F46964" w:rsidRPr="00F46964">
        <w:rPr>
          <w:rStyle w:val="EndnoteReference"/>
        </w:rPr>
        <w:endnoteReference w:id="22"/>
      </w:r>
      <w:r w:rsidR="00F46964" w:rsidRPr="00F46964">
        <w:rPr>
          <w:vertAlign w:val="superscript"/>
        </w:rPr>
        <w:t>,</w:t>
      </w:r>
      <w:r w:rsidR="00F46964" w:rsidRPr="00F46964">
        <w:rPr>
          <w:rStyle w:val="EndnoteReference"/>
        </w:rPr>
        <w:endnoteReference w:id="23"/>
      </w:r>
      <w:r w:rsidR="00F46964" w:rsidRPr="00F46964">
        <w:rPr>
          <w:vertAlign w:val="superscript"/>
        </w:rPr>
        <w:t>,</w:t>
      </w:r>
      <w:r w:rsidR="00F46964" w:rsidRPr="00F46964">
        <w:rPr>
          <w:rStyle w:val="EndnoteReference"/>
        </w:rPr>
        <w:endnoteReference w:id="24"/>
      </w:r>
      <w:r w:rsidRPr="00F46964">
        <w:rPr>
          <w:vertAlign w:val="superscript"/>
        </w:rPr>
        <w:t xml:space="preserve"> </w:t>
      </w:r>
      <w:r w:rsidRPr="001A5FAF">
        <w:t xml:space="preserve">The </w:t>
      </w:r>
      <w:proofErr w:type="spellStart"/>
      <w:r w:rsidRPr="001A5FAF">
        <w:rPr>
          <w:i/>
          <w:iCs/>
        </w:rPr>
        <w:t>koseki</w:t>
      </w:r>
      <w:proofErr w:type="spellEnd"/>
      <w:r w:rsidRPr="001A5FAF">
        <w:t xml:space="preserve"> (family registry), established in 1872, records all births, deaths, and marriages; it is continuously updated by law and linked to the </w:t>
      </w:r>
      <w:proofErr w:type="spellStart"/>
      <w:r w:rsidRPr="001A5FAF">
        <w:rPr>
          <w:i/>
          <w:iCs/>
        </w:rPr>
        <w:t>jūmin</w:t>
      </w:r>
      <w:proofErr w:type="spellEnd"/>
      <w:r w:rsidRPr="001A5FAF">
        <w:rPr>
          <w:i/>
          <w:iCs/>
        </w:rPr>
        <w:t> </w:t>
      </w:r>
      <w:proofErr w:type="spellStart"/>
      <w:r w:rsidRPr="001A5FAF">
        <w:rPr>
          <w:i/>
          <w:iCs/>
        </w:rPr>
        <w:t>daichō</w:t>
      </w:r>
      <w:proofErr w:type="spellEnd"/>
      <w:r w:rsidRPr="001A5FAF">
        <w:t xml:space="preserve"> (resident register, since 1914). These registries are reconciled with quinquennial censuses and the </w:t>
      </w:r>
      <w:r w:rsidRPr="001A5FAF">
        <w:rPr>
          <w:i/>
          <w:iCs/>
        </w:rPr>
        <w:t>Vital Statistics of Japan</w:t>
      </w:r>
      <w:r w:rsidRPr="001A5FAF">
        <w:t>, maintaining internal consistency</w:t>
      </w:r>
      <w:r>
        <w:t>.</w:t>
      </w:r>
      <w:r w:rsidR="00F46964">
        <w:rPr>
          <w:rStyle w:val="EndnoteReference"/>
        </w:rPr>
        <w:endnoteReference w:id="25"/>
      </w:r>
    </w:p>
    <w:p w14:paraId="3DC8E270" w14:textId="77777777" w:rsidR="00F43DFD" w:rsidRDefault="00F43DFD" w:rsidP="00F43DFD"/>
    <w:p w14:paraId="09A87CBD" w14:textId="38A5B6A0" w:rsidR="00F43DFD" w:rsidRPr="001A5FAF" w:rsidRDefault="00F43DFD" w:rsidP="00F43DFD">
      <w:r w:rsidRPr="001A5FAF">
        <w:t>Since 2002, records have been digitized and cross</w:t>
      </w:r>
      <w:r w:rsidRPr="001A5FAF">
        <w:noBreakHyphen/>
        <w:t xml:space="preserve">linked nationally, increasing accuracy. Occasional anomalies, such as the disputed case of </w:t>
      </w:r>
      <w:proofErr w:type="spellStart"/>
      <w:r w:rsidRPr="001A5FAF">
        <w:t>Shigechiyo</w:t>
      </w:r>
      <w:proofErr w:type="spellEnd"/>
      <w:r w:rsidRPr="001A5FAF">
        <w:t> Izumi once believed to have lived 120 years, have been re</w:t>
      </w:r>
      <w:r w:rsidRPr="001A5FAF">
        <w:noBreakHyphen/>
        <w:t>evaluated and corrected</w:t>
      </w:r>
      <w:r>
        <w:t>.</w:t>
      </w:r>
      <w:r w:rsidR="00F46964">
        <w:rPr>
          <w:rStyle w:val="EndnoteReference"/>
        </w:rPr>
        <w:endnoteReference w:id="26"/>
      </w:r>
      <w:r w:rsidRPr="001A5FAF">
        <w:t xml:space="preserve"> Japan’s mortality and age</w:t>
      </w:r>
      <w:r w:rsidRPr="001A5FAF">
        <w:noBreakHyphen/>
        <w:t xml:space="preserve">reporting integrity </w:t>
      </w:r>
      <w:proofErr w:type="gramStart"/>
      <w:r w:rsidRPr="001A5FAF">
        <w:t>are</w:t>
      </w:r>
      <w:proofErr w:type="gramEnd"/>
      <w:r w:rsidRPr="001A5FAF">
        <w:t xml:space="preserve"> further validated through inclusion in the Human Mortality Database (HMD)—internationally regarded as the </w:t>
      </w:r>
      <w:r w:rsidRPr="001A5FAF">
        <w:rPr>
          <w:i/>
          <w:iCs/>
        </w:rPr>
        <w:t>gold standard</w:t>
      </w:r>
      <w:r w:rsidRPr="001A5FAF">
        <w:t xml:space="preserve"> for completeness and internal consistency</w:t>
      </w:r>
      <w:r>
        <w:t>.</w:t>
      </w:r>
      <w:r w:rsidR="00F46964">
        <w:rPr>
          <w:rStyle w:val="EndnoteReference"/>
        </w:rPr>
        <w:endnoteReference w:id="27"/>
      </w:r>
    </w:p>
    <w:p w14:paraId="4AB53684" w14:textId="77777777" w:rsidR="00F43DFD" w:rsidRDefault="00F43DFD" w:rsidP="00F43DFD">
      <w:pPr>
        <w:rPr>
          <w:sz w:val="28"/>
          <w:szCs w:val="28"/>
        </w:rPr>
      </w:pPr>
    </w:p>
    <w:p w14:paraId="67FC4A72" w14:textId="77777777" w:rsidR="00BC6434" w:rsidRDefault="00BC6434" w:rsidP="00F43DFD">
      <w:pPr>
        <w:rPr>
          <w:sz w:val="28"/>
          <w:szCs w:val="28"/>
        </w:rPr>
      </w:pPr>
    </w:p>
    <w:p w14:paraId="08614BAA" w14:textId="77777777" w:rsidR="00BC6434" w:rsidRDefault="00BC6434" w:rsidP="00F43DFD">
      <w:pPr>
        <w:rPr>
          <w:sz w:val="28"/>
          <w:szCs w:val="28"/>
        </w:rPr>
      </w:pPr>
    </w:p>
    <w:p w14:paraId="1FC612D0" w14:textId="54C0ED6D" w:rsidR="00F43DFD" w:rsidRPr="00D47256" w:rsidRDefault="00F43DFD" w:rsidP="00F43DFD">
      <w:pPr>
        <w:rPr>
          <w:sz w:val="28"/>
          <w:szCs w:val="28"/>
        </w:rPr>
      </w:pPr>
      <w:r w:rsidRPr="00D47256">
        <w:rPr>
          <w:sz w:val="28"/>
          <w:szCs w:val="28"/>
        </w:rPr>
        <w:lastRenderedPageBreak/>
        <w:t>Age Validation in Okinawa</w:t>
      </w:r>
    </w:p>
    <w:p w14:paraId="09FFB5B0" w14:textId="77777777" w:rsidR="00F43DFD" w:rsidRDefault="00F43DFD" w:rsidP="00F43DFD"/>
    <w:p w14:paraId="0CCC793A" w14:textId="7CD6C0E5" w:rsidR="00F43DFD" w:rsidRPr="001A5FAF" w:rsidRDefault="00F43DFD" w:rsidP="00F43DFD">
      <w:r w:rsidRPr="001A5FAF">
        <w:t>Japanese registry reliability has enabled rigorous validation of centenarian records in Okinawa</w:t>
      </w:r>
      <w:r w:rsidR="0033089E">
        <w:t>.</w:t>
      </w:r>
      <w:r w:rsidR="0033089E" w:rsidRPr="0033089E">
        <w:rPr>
          <w:rStyle w:val="EndnoteReference"/>
        </w:rPr>
        <w:endnoteReference w:id="28"/>
      </w:r>
      <w:r w:rsidR="0033089E" w:rsidRPr="0033089E">
        <w:rPr>
          <w:vertAlign w:val="superscript"/>
        </w:rPr>
        <w:t>,</w:t>
      </w:r>
      <w:r w:rsidR="0033089E" w:rsidRPr="0033089E">
        <w:rPr>
          <w:rStyle w:val="EndnoteReference"/>
        </w:rPr>
        <w:endnoteReference w:id="29"/>
      </w:r>
      <w:r w:rsidR="0033089E" w:rsidRPr="0033089E">
        <w:rPr>
          <w:vertAlign w:val="superscript"/>
        </w:rPr>
        <w:t>,</w:t>
      </w:r>
      <w:r w:rsidR="0033089E" w:rsidRPr="0033089E">
        <w:rPr>
          <w:rStyle w:val="EndnoteReference"/>
        </w:rPr>
        <w:endnoteReference w:id="30"/>
      </w:r>
      <w:r w:rsidRPr="001A5FAF">
        <w:t xml:space="preserve"> Saito (2010) highlighted the centrality of family and resident registration in confirming extreme ages</w:t>
      </w:r>
      <w:r>
        <w:t>,</w:t>
      </w:r>
      <w:r w:rsidR="0033089E">
        <w:rPr>
          <w:rStyle w:val="EndnoteReference"/>
        </w:rPr>
        <w:endnoteReference w:id="31"/>
      </w:r>
      <w:r>
        <w:t xml:space="preserve"> </w:t>
      </w:r>
      <w:r w:rsidRPr="001A5FAF">
        <w:t xml:space="preserve">while </w:t>
      </w:r>
      <w:proofErr w:type="spellStart"/>
      <w:r w:rsidRPr="001A5FAF">
        <w:t>Poulain</w:t>
      </w:r>
      <w:proofErr w:type="spellEnd"/>
      <w:r w:rsidRPr="001A5FAF">
        <w:t> and Herm observed continuing longevity advantages in Okinawa’s older cohorts</w:t>
      </w:r>
      <w:r>
        <w:t>.</w:t>
      </w:r>
      <w:r w:rsidR="0033089E">
        <w:rPr>
          <w:rStyle w:val="EndnoteReference"/>
        </w:rPr>
        <w:endnoteReference w:id="32"/>
      </w:r>
      <w:r>
        <w:t xml:space="preserve"> </w:t>
      </w:r>
      <w:r w:rsidRPr="001A5FAF">
        <w:t>Reports of “missing centenarians” in 2010 were later explained as clerical mismatches following post</w:t>
      </w:r>
      <w:r w:rsidRPr="001A5FAF">
        <w:noBreakHyphen/>
        <w:t>war relocations and unreported emigrations, rather than falsified ages.</w:t>
      </w:r>
      <w:r w:rsidR="0033089E">
        <w:rPr>
          <w:rStyle w:val="EndnoteReference"/>
        </w:rPr>
        <w:endnoteReference w:id="33"/>
      </w:r>
      <w:r w:rsidRPr="001A5FAF">
        <w:t xml:space="preserve"> Multiple studies have confirmed that Japan’s centenarian data remained demographically sound after these audits.</w:t>
      </w:r>
    </w:p>
    <w:p w14:paraId="72F11364" w14:textId="77777777" w:rsidR="00F43DFD" w:rsidRDefault="00F43DFD" w:rsidP="00F43DFD"/>
    <w:p w14:paraId="1B535A5F" w14:textId="617B5825" w:rsidR="00F43DFD" w:rsidRPr="001A5FAF" w:rsidRDefault="00F43DFD" w:rsidP="00F43DFD">
      <w:r w:rsidRPr="001A5FAF">
        <w:t>According to the Annual Centenarian Report</w:t>
      </w:r>
      <w:r>
        <w:t>,</w:t>
      </w:r>
      <w:r w:rsidR="007B4539">
        <w:rPr>
          <w:rStyle w:val="EndnoteReference"/>
        </w:rPr>
        <w:endnoteReference w:id="34"/>
      </w:r>
      <w:r w:rsidRPr="001A5FAF">
        <w:t>Japan recorded 92</w:t>
      </w:r>
      <w:r>
        <w:t>,</w:t>
      </w:r>
      <w:r w:rsidRPr="001A5FAF">
        <w:t>139 centenarians, up ~</w:t>
      </w:r>
      <w:r>
        <w:t xml:space="preserve"> </w:t>
      </w:r>
      <w:r w:rsidRPr="001A5FAF">
        <w:t>4</w:t>
      </w:r>
      <w:r>
        <w:t>,</w:t>
      </w:r>
      <w:r w:rsidRPr="001A5FAF">
        <w:t>000 from 2024, corresponding to 73.6 per 100 000 population nationally. Okinawa Prefecture reported 97.3 per 100 000, maintaining one of Japan’s highest densities, particularly among women.</w:t>
      </w:r>
    </w:p>
    <w:p w14:paraId="0316C954" w14:textId="77777777" w:rsidR="00F43DFD" w:rsidRDefault="00F43DFD" w:rsidP="00F43DFD"/>
    <w:p w14:paraId="67BEC01B" w14:textId="2D0F5AB2" w:rsidR="00F43DFD" w:rsidRPr="001A5FAF" w:rsidRDefault="00F43DFD" w:rsidP="00F43DFD">
      <w:r w:rsidRPr="00D47256">
        <w:t>Year</w:t>
      </w:r>
      <w:r w:rsidRPr="00D47256">
        <w:noBreakHyphen/>
        <w:t>to</w:t>
      </w:r>
      <w:r w:rsidRPr="00D47256">
        <w:noBreakHyphen/>
        <w:t>year comparisons (2020 → 2025) show steady but modestly slowing growth:</w:t>
      </w:r>
      <w:r w:rsidRPr="001A5FAF">
        <w:t xml:space="preserve"> national totals rose from ≈ 80 450 to ≈ 92 000 (+ 24 %), while prevalence increased</w:t>
      </w:r>
      <w:r w:rsidR="007B4539">
        <w:t xml:space="preserve"> </w:t>
      </w:r>
      <w:r w:rsidRPr="001A5FAF">
        <w:t>from ≈ 63 to 73.6 per 100 000. Okinawa’s rate climbed from ≈ 84 to 97 per 100 000 (+ 16 %), keeping it among the top two prefectures alongside Shimane. The proportion of women remained ≈ 88 – 89 %, and regional differences narrowed slightly as the digitized registry reduced prefectural disparities.</w:t>
      </w:r>
    </w:p>
    <w:p w14:paraId="6833F275" w14:textId="77777777" w:rsidR="00F43DFD" w:rsidRDefault="00F43DFD" w:rsidP="00F43DFD"/>
    <w:p w14:paraId="1BDCC498" w14:textId="564C8295" w:rsidR="00F43DFD" w:rsidRPr="001A5FAF" w:rsidRDefault="00F43DFD" w:rsidP="00F43DFD">
      <w:r w:rsidRPr="001A5FAF">
        <w:t>Earlier field studies</w:t>
      </w:r>
      <w:r w:rsidR="007B4539">
        <w:t xml:space="preserve"> </w:t>
      </w:r>
      <w:r w:rsidRPr="001A5FAF">
        <w:t>verified Okinawan centenarians through direct interviews and cross</w:t>
      </w:r>
      <w:r w:rsidRPr="001A5FAF">
        <w:noBreakHyphen/>
        <w:t xml:space="preserve">referenced </w:t>
      </w:r>
      <w:proofErr w:type="spellStart"/>
      <w:r w:rsidRPr="001A5FAF">
        <w:rPr>
          <w:i/>
          <w:iCs/>
        </w:rPr>
        <w:t>koseki</w:t>
      </w:r>
      <w:proofErr w:type="spellEnd"/>
      <w:r w:rsidRPr="001A5FAF">
        <w:t> records.</w:t>
      </w:r>
      <w:r w:rsidR="007B4539">
        <w:rPr>
          <w:rStyle w:val="EndnoteReference"/>
        </w:rPr>
        <w:endnoteReference w:id="35"/>
      </w:r>
      <w:r w:rsidRPr="001A5FAF">
        <w:t> Age heaping was absent, maximum ages aligned with validated global data, and demographic indicators (e.g. sex ratios, mortality gradients) supported legitimate exceptional longevity</w:t>
      </w:r>
      <w:r w:rsidR="007B4539">
        <w:t>.</w:t>
      </w:r>
      <w:r w:rsidR="007B4539" w:rsidRPr="00982727">
        <w:rPr>
          <w:rStyle w:val="EndnoteReference"/>
        </w:rPr>
        <w:endnoteReference w:id="36"/>
      </w:r>
      <w:r w:rsidR="007B4539" w:rsidRPr="00982727">
        <w:rPr>
          <w:vertAlign w:val="superscript"/>
        </w:rPr>
        <w:t>,</w:t>
      </w:r>
      <w:r w:rsidR="007B4539" w:rsidRPr="00982727">
        <w:rPr>
          <w:rStyle w:val="EndnoteReference"/>
        </w:rPr>
        <w:endnoteReference w:id="37"/>
      </w:r>
      <w:r w:rsidR="00982727" w:rsidRPr="00982727">
        <w:rPr>
          <w:vertAlign w:val="superscript"/>
        </w:rPr>
        <w:t>,</w:t>
      </w:r>
      <w:r w:rsidR="00982727" w:rsidRPr="00982727">
        <w:rPr>
          <w:rStyle w:val="EndnoteReference"/>
        </w:rPr>
        <w:endnoteReference w:id="38"/>
      </w:r>
      <w:r w:rsidR="00982727">
        <w:t xml:space="preserve"> </w:t>
      </w:r>
      <w:r w:rsidRPr="001A5FAF">
        <w:t>Okinawans also may display genetic isolation and variants—particularly in the </w:t>
      </w:r>
      <w:r w:rsidRPr="001A5FAF">
        <w:rPr>
          <w:i/>
          <w:iCs/>
        </w:rPr>
        <w:t>FOXO3A</w:t>
      </w:r>
      <w:r w:rsidRPr="001A5FAF">
        <w:t> gene—linked to extended lifespan although specific population based genetic studies remain in their infancy</w:t>
      </w:r>
      <w:r w:rsidR="00982727">
        <w:t>.</w:t>
      </w:r>
      <w:r w:rsidR="00982727" w:rsidRPr="00982727">
        <w:rPr>
          <w:rStyle w:val="EndnoteReference"/>
        </w:rPr>
        <w:endnoteReference w:id="39"/>
      </w:r>
      <w:r w:rsidR="00982727" w:rsidRPr="00982727">
        <w:rPr>
          <w:vertAlign w:val="superscript"/>
        </w:rPr>
        <w:t>,</w:t>
      </w:r>
      <w:r w:rsidR="00982727" w:rsidRPr="00982727">
        <w:rPr>
          <w:rStyle w:val="EndnoteReference"/>
        </w:rPr>
        <w:endnoteReference w:id="40"/>
      </w:r>
      <w:r w:rsidR="00982727" w:rsidRPr="00982727">
        <w:rPr>
          <w:vertAlign w:val="superscript"/>
        </w:rPr>
        <w:t>,</w:t>
      </w:r>
      <w:r w:rsidR="00982727" w:rsidRPr="00982727">
        <w:rPr>
          <w:rStyle w:val="EndnoteReference"/>
        </w:rPr>
        <w:endnoteReference w:id="41"/>
      </w:r>
    </w:p>
    <w:p w14:paraId="33A3754B" w14:textId="77777777" w:rsidR="00F43DFD" w:rsidRDefault="00F43DFD" w:rsidP="00F43DFD">
      <w:pPr>
        <w:rPr>
          <w:sz w:val="28"/>
          <w:szCs w:val="28"/>
        </w:rPr>
      </w:pPr>
    </w:p>
    <w:p w14:paraId="7F6ECD90" w14:textId="2BE963B9" w:rsidR="00F43DFD" w:rsidRPr="00D47256" w:rsidRDefault="00F43DFD" w:rsidP="00F43DFD">
      <w:pPr>
        <w:rPr>
          <w:sz w:val="28"/>
          <w:szCs w:val="28"/>
        </w:rPr>
      </w:pPr>
      <w:r w:rsidRPr="00D47256">
        <w:rPr>
          <w:sz w:val="28"/>
          <w:szCs w:val="28"/>
        </w:rPr>
        <w:t>Demographic and Statistical Cross</w:t>
      </w:r>
      <w:r w:rsidRPr="00D47256">
        <w:rPr>
          <w:sz w:val="28"/>
          <w:szCs w:val="28"/>
        </w:rPr>
        <w:noBreakHyphen/>
        <w:t>Validation</w:t>
      </w:r>
    </w:p>
    <w:p w14:paraId="06EA3896" w14:textId="77777777" w:rsidR="00F43DFD" w:rsidRDefault="00F43DFD" w:rsidP="00F43DFD"/>
    <w:p w14:paraId="58D0FF0D" w14:textId="073847DA" w:rsidR="00F43DFD" w:rsidRPr="001A5FAF" w:rsidRDefault="00F43DFD" w:rsidP="00F43DFD">
      <w:r w:rsidRPr="001A5FAF">
        <w:t>Comprehensive checks include:</w:t>
      </w:r>
      <w:r w:rsidRPr="001A5FAF">
        <w:br/>
        <w:t>1.  Inter</w:t>
      </w:r>
      <w:r w:rsidRPr="001A5FAF">
        <w:noBreakHyphen/>
        <w:t>prefectural comparisons confirming that prevalence patterns match national gradients.</w:t>
      </w:r>
      <w:r w:rsidRPr="001A5FAF">
        <w:br/>
        <w:t>2.  Intra</w:t>
      </w:r>
      <w:r w:rsidRPr="001A5FAF">
        <w:noBreakHyphen/>
        <w:t>prefectural validation using reconstructed post</w:t>
      </w:r>
      <w:r w:rsidRPr="001A5FAF">
        <w:noBreakHyphen/>
        <w:t>war registries.</w:t>
      </w:r>
      <w:r w:rsidRPr="001A5FAF">
        <w:br/>
        <w:t>3.  Secular</w:t>
      </w:r>
      <w:r w:rsidRPr="001A5FAF">
        <w:noBreakHyphen/>
        <w:t>trend analysis showing proportional increases with declining mortality.</w:t>
      </w:r>
      <w:r w:rsidRPr="001A5FAF">
        <w:br/>
        <w:t>4.  Maximum</w:t>
      </w:r>
      <w:r w:rsidRPr="001A5FAF">
        <w:noBreakHyphen/>
        <w:t>age consistency with validated longevity data</w:t>
      </w:r>
      <w:r w:rsidR="00982727">
        <w:t>.</w:t>
      </w:r>
      <w:r w:rsidR="00982727">
        <w:rPr>
          <w:rStyle w:val="EndnoteReference"/>
        </w:rPr>
        <w:endnoteReference w:id="42"/>
      </w:r>
      <w:r w:rsidRPr="001A5FAF">
        <w:br/>
        <w:t>5.  Age</w:t>
      </w:r>
      <w:r w:rsidRPr="001A5FAF">
        <w:noBreakHyphen/>
        <w:t>heaping absence confirming accurate age declaration.</w:t>
      </w:r>
      <w:r w:rsidRPr="001A5FAF">
        <w:br/>
        <w:t>6.  Expected sex ratio favoring females</w:t>
      </w:r>
      <w:r w:rsidR="00982727">
        <w:t>.</w:t>
      </w:r>
      <w:r w:rsidR="00982727">
        <w:rPr>
          <w:rStyle w:val="EndnoteReference"/>
        </w:rPr>
        <w:endnoteReference w:id="43"/>
      </w:r>
    </w:p>
    <w:p w14:paraId="64D58BBC" w14:textId="15292F4B" w:rsidR="00F43DFD" w:rsidRDefault="00F43DFD" w:rsidP="00F43DFD">
      <w:r w:rsidRPr="001A5FAF">
        <w:t>These methods show random, non</w:t>
      </w:r>
      <w:r w:rsidRPr="001A5FAF">
        <w:noBreakHyphen/>
        <w:t>systematic minor errors and overall registry precision consistent with the highest international standards.</w:t>
      </w:r>
    </w:p>
    <w:p w14:paraId="68081374" w14:textId="77777777" w:rsidR="00982727" w:rsidRPr="001A5FAF" w:rsidRDefault="00982727" w:rsidP="00F43DFD"/>
    <w:p w14:paraId="6F5E885B" w14:textId="628985AB" w:rsidR="00F43DFD" w:rsidRPr="00D47256" w:rsidRDefault="00F43DFD" w:rsidP="00F43DFD">
      <w:pPr>
        <w:rPr>
          <w:sz w:val="28"/>
          <w:szCs w:val="28"/>
        </w:rPr>
      </w:pPr>
      <w:r w:rsidRPr="00D47256">
        <w:rPr>
          <w:sz w:val="28"/>
          <w:szCs w:val="28"/>
        </w:rPr>
        <w:t>Comparative Data Quality</w:t>
      </w:r>
    </w:p>
    <w:p w14:paraId="31BD58A2" w14:textId="77777777" w:rsidR="00F43DFD" w:rsidRDefault="00F43DFD" w:rsidP="00F43DFD"/>
    <w:p w14:paraId="18A1FBD4" w14:textId="4EA52D08" w:rsidR="00F43DFD" w:rsidRPr="001A5FAF" w:rsidRDefault="00F43DFD" w:rsidP="00F43DFD">
      <w:r w:rsidRPr="001A5FAF">
        <w:t xml:space="preserve">Japan’s civil registration achieves &gt; 99.9 % coverage of births and deaths, comparable to Sweden and Switzerland and exceeding most countries’ verification capacity. Its inclusion in the HMD places it within the world’s top reliability tier for demographic data. By comparison, even </w:t>
      </w:r>
      <w:r w:rsidRPr="001A5FAF">
        <w:lastRenderedPageBreak/>
        <w:t>developed nations such as Italy or South Korea display minor inconsistencies at the oldest ages, while low</w:t>
      </w:r>
      <w:r w:rsidRPr="001A5FAF">
        <w:noBreakHyphen/>
        <w:t xml:space="preserve"> and middle</w:t>
      </w:r>
      <w:r w:rsidRPr="001A5FAF">
        <w:noBreakHyphen/>
        <w:t xml:space="preserve">income countries lack complete registration systems. Japan’s longevity data thus represent a </w:t>
      </w:r>
      <w:r w:rsidRPr="001A5FAF">
        <w:rPr>
          <w:i/>
          <w:iCs/>
        </w:rPr>
        <w:t>global benchmark</w:t>
      </w:r>
      <w:r w:rsidRPr="001A5FAF">
        <w:t xml:space="preserve"> for age</w:t>
      </w:r>
      <w:r w:rsidRPr="001A5FAF">
        <w:noBreakHyphen/>
        <w:t>validation integrity.</w:t>
      </w:r>
    </w:p>
    <w:p w14:paraId="7A060FF8" w14:textId="77777777" w:rsidR="00F43DFD" w:rsidRDefault="00F43DFD" w:rsidP="00F43DFD">
      <w:pPr>
        <w:rPr>
          <w:sz w:val="28"/>
          <w:szCs w:val="28"/>
        </w:rPr>
      </w:pPr>
    </w:p>
    <w:p w14:paraId="1946B5BB" w14:textId="5CAB9792" w:rsidR="00F43DFD" w:rsidRPr="00D47256" w:rsidRDefault="00992CAE" w:rsidP="00F43DFD">
      <w:pPr>
        <w:rPr>
          <w:sz w:val="28"/>
          <w:szCs w:val="28"/>
        </w:rPr>
      </w:pPr>
      <w:r>
        <w:rPr>
          <w:sz w:val="28"/>
          <w:szCs w:val="28"/>
        </w:rPr>
        <w:t>Summary</w:t>
      </w:r>
    </w:p>
    <w:p w14:paraId="6750FF21" w14:textId="77777777" w:rsidR="00F43DFD" w:rsidRDefault="00F43DFD" w:rsidP="00F43DFD"/>
    <w:p w14:paraId="63EF7338" w14:textId="77777777" w:rsidR="00982727" w:rsidRDefault="00F43DFD" w:rsidP="00F43DFD">
      <w:r w:rsidRPr="001A5FAF">
        <w:t>Empirical validation confirms that:</w:t>
      </w:r>
    </w:p>
    <w:p w14:paraId="48B685E0" w14:textId="2A9FA368" w:rsidR="00F43DFD" w:rsidRPr="001A5FAF" w:rsidRDefault="00F43DFD" w:rsidP="00F43DFD">
      <w:r w:rsidRPr="001A5FAF">
        <w:br/>
      </w:r>
      <w:r w:rsidR="0079191E">
        <w:t xml:space="preserve">- </w:t>
      </w:r>
      <w:r w:rsidRPr="001A5FAF">
        <w:t>Age</w:t>
      </w:r>
      <w:r w:rsidRPr="001A5FAF">
        <w:noBreakHyphen/>
        <w:t>reporting errors are minimal and randomly distributed.</w:t>
      </w:r>
      <w:r w:rsidRPr="001A5FAF">
        <w:br/>
      </w:r>
      <w:proofErr w:type="gramStart"/>
      <w:r w:rsidRPr="001A5FAF">
        <w:t>-  Inter</w:t>
      </w:r>
      <w:proofErr w:type="gramEnd"/>
      <w:r w:rsidRPr="001A5FAF">
        <w:noBreakHyphen/>
        <w:t xml:space="preserve"> and intra</w:t>
      </w:r>
      <w:r w:rsidRPr="001A5FAF">
        <w:noBreakHyphen/>
        <w:t>prefectural longevity patterns are internally consistent.</w:t>
      </w:r>
      <w:r w:rsidRPr="001A5FAF">
        <w:br/>
        <w:t>-  Post</w:t>
      </w:r>
      <w:r w:rsidRPr="001A5FAF">
        <w:noBreakHyphen/>
        <w:t>WWII registry reconstruction preserved high accuracy.</w:t>
      </w:r>
      <w:r w:rsidRPr="001A5FAF">
        <w:br/>
        <w:t>-  Centenarian prevalence trends correspond with demographic expectations.</w:t>
      </w:r>
      <w:r w:rsidRPr="001A5FAF">
        <w:br/>
        <w:t>-  Female predominance and absence of age heaping support authenticity.</w:t>
      </w:r>
    </w:p>
    <w:p w14:paraId="48A8EB2B" w14:textId="77777777" w:rsidR="00982727" w:rsidRDefault="00982727" w:rsidP="00F43DFD"/>
    <w:p w14:paraId="1A291B61" w14:textId="29C455C0" w:rsidR="009F640B" w:rsidRPr="00982727" w:rsidRDefault="00F43DFD" w:rsidP="00982727">
      <w:r w:rsidRPr="001A5FAF">
        <w:t xml:space="preserve">Okinawa’s registry data remain accurate, resilient, and reflective of genuine exceptional longevity. These outcomes confirm Japan’s position as a </w:t>
      </w:r>
      <w:r w:rsidRPr="00992CAE">
        <w:t>global leader in demographic data quality</w:t>
      </w:r>
      <w:r w:rsidRPr="001A5FAF">
        <w:t xml:space="preserve"> and support Okinawa’s enduring classification as a region of verified exceptional survival.</w:t>
      </w:r>
    </w:p>
    <w:p w14:paraId="698F64EA" w14:textId="77777777" w:rsidR="009F640B" w:rsidRDefault="009F640B" w:rsidP="009F640B">
      <w:pPr>
        <w:jc w:val="center"/>
        <w:rPr>
          <w:b/>
          <w:bCs/>
        </w:rPr>
      </w:pPr>
    </w:p>
    <w:p w14:paraId="76861DDA" w14:textId="77777777" w:rsidR="009F640B" w:rsidRDefault="009F640B">
      <w:pPr>
        <w:rPr>
          <w:b/>
          <w:bCs/>
        </w:rPr>
      </w:pPr>
      <w:r>
        <w:rPr>
          <w:b/>
          <w:bCs/>
        </w:rPr>
        <w:br w:type="page"/>
      </w:r>
    </w:p>
    <w:p w14:paraId="578A0258" w14:textId="2A5E8395" w:rsidR="0079191E" w:rsidRPr="00252A47" w:rsidRDefault="009F640B" w:rsidP="00252A47">
      <w:pPr>
        <w:jc w:val="center"/>
        <w:rPr>
          <w:b/>
          <w:bCs/>
        </w:rPr>
      </w:pPr>
      <w:r w:rsidRPr="007F7A44">
        <w:rPr>
          <w:b/>
          <w:bCs/>
        </w:rPr>
        <w:lastRenderedPageBreak/>
        <w:t>Validation of the Nicoya,</w:t>
      </w:r>
      <w:r>
        <w:rPr>
          <w:b/>
          <w:bCs/>
        </w:rPr>
        <w:t xml:space="preserve"> Costa Rica blue zone</w:t>
      </w:r>
    </w:p>
    <w:p w14:paraId="3741405B" w14:textId="77777777" w:rsidR="00252A47" w:rsidRDefault="00252A47" w:rsidP="009F640B">
      <w:pPr>
        <w:pStyle w:val="NormalWeb"/>
        <w:spacing w:before="0" w:beforeAutospacing="0" w:after="480" w:afterAutospacing="0"/>
      </w:pPr>
    </w:p>
    <w:p w14:paraId="3C46A6DB" w14:textId="04E872B8" w:rsidR="002A330E" w:rsidRPr="009F640B" w:rsidRDefault="002A330E" w:rsidP="009F640B">
      <w:pPr>
        <w:pStyle w:val="NormalWeb"/>
        <w:spacing w:before="0" w:beforeAutospacing="0" w:after="480" w:afterAutospacing="0"/>
      </w:pPr>
      <w:r w:rsidRPr="009F640B">
        <w:t>Nicoya</w:t>
      </w:r>
      <w:r w:rsidR="00833A3F">
        <w:t>’s</w:t>
      </w:r>
      <w:r w:rsidRPr="009F640B">
        <w:t xml:space="preserve"> </w:t>
      </w:r>
      <w:r w:rsidR="0059440C" w:rsidRPr="009F640B">
        <w:t>designation criteria</w:t>
      </w:r>
      <w:r w:rsidR="003805B8">
        <w:t xml:space="preserve"> in 2007 was</w:t>
      </w:r>
      <w:r w:rsidR="00B969BE">
        <w:t xml:space="preserve"> based on </w:t>
      </w:r>
      <w:r w:rsidR="003805B8">
        <w:t xml:space="preserve">field observations by international experts and </w:t>
      </w:r>
      <w:r w:rsidR="00314574">
        <w:t xml:space="preserve">local </w:t>
      </w:r>
      <w:r w:rsidR="00B969BE">
        <w:t>unpublished academic papers</w:t>
      </w:r>
      <w:r w:rsidR="003805B8">
        <w:t>, which were</w:t>
      </w:r>
      <w:r w:rsidR="00B969BE">
        <w:t xml:space="preserve"> later published in 2008 and, particularly, 201</w:t>
      </w:r>
      <w:r w:rsidR="00244607">
        <w:t>3</w:t>
      </w:r>
      <w:r w:rsidR="00B969BE">
        <w:t xml:space="preserve"> </w:t>
      </w:r>
      <w:r w:rsidR="00244607">
        <w:t>peer-reviewed</w:t>
      </w:r>
      <w:r w:rsidR="00B969BE">
        <w:t xml:space="preserve"> articles</w:t>
      </w:r>
      <w:r w:rsidR="00E31D49">
        <w:t>.</w:t>
      </w:r>
      <w:r w:rsidR="00E31D49" w:rsidRPr="00E31D49">
        <w:rPr>
          <w:rStyle w:val="EndnoteReference"/>
        </w:rPr>
        <w:endnoteReference w:id="44"/>
      </w:r>
      <w:r w:rsidR="00E31D49" w:rsidRPr="00E31D49">
        <w:rPr>
          <w:vertAlign w:val="superscript"/>
        </w:rPr>
        <w:t>,</w:t>
      </w:r>
      <w:r w:rsidR="00E31D49" w:rsidRPr="00E31D49">
        <w:rPr>
          <w:rStyle w:val="EndnoteReference"/>
        </w:rPr>
        <w:endnoteReference w:id="45"/>
      </w:r>
      <w:r w:rsidR="00DA334E" w:rsidRPr="00E31D49">
        <w:rPr>
          <w:vertAlign w:val="superscript"/>
        </w:rPr>
        <w:t xml:space="preserve"> </w:t>
      </w:r>
      <w:r w:rsidR="00DA334E">
        <w:t xml:space="preserve"> A more recent article published in 2023</w:t>
      </w:r>
      <w:r w:rsidR="00E31D49">
        <w:rPr>
          <w:rStyle w:val="EndnoteReference"/>
        </w:rPr>
        <w:endnoteReference w:id="46"/>
      </w:r>
      <w:r w:rsidR="00DA334E">
        <w:t xml:space="preserve"> revalidated the exceptional longevity of </w:t>
      </w:r>
      <w:proofErr w:type="spellStart"/>
      <w:r w:rsidR="00DA334E">
        <w:t>Nicoyan</w:t>
      </w:r>
      <w:proofErr w:type="spellEnd"/>
      <w:r w:rsidR="00DA334E">
        <w:t xml:space="preserve"> males but only for cohorts born before the 1940s</w:t>
      </w:r>
      <w:r w:rsidR="004A6B96">
        <w:t>. It was</w:t>
      </w:r>
      <w:r w:rsidR="00DA334E">
        <w:t xml:space="preserve"> found </w:t>
      </w:r>
      <w:r w:rsidR="00833A3F">
        <w:t xml:space="preserve">that the </w:t>
      </w:r>
      <w:r w:rsidR="003805B8">
        <w:t>Nicoya</w:t>
      </w:r>
      <w:r w:rsidR="00833A3F">
        <w:t xml:space="preserve"> advantage is disappearing</w:t>
      </w:r>
      <w:r w:rsidR="00DA334E">
        <w:t xml:space="preserve"> </w:t>
      </w:r>
      <w:r w:rsidR="00833A3F">
        <w:t>in a trend driven mostly by cohort effects.</w:t>
      </w:r>
    </w:p>
    <w:p w14:paraId="7D7C0216" w14:textId="21EEBBFE" w:rsidR="002A330E" w:rsidRPr="0054579D" w:rsidRDefault="00D167F6" w:rsidP="002A330E">
      <w:pPr>
        <w:pStyle w:val="ListParagraph"/>
        <w:numPr>
          <w:ilvl w:val="0"/>
          <w:numId w:val="3"/>
        </w:numPr>
        <w:rPr>
          <w:color w:val="1B1B1B"/>
          <w:shd w:val="clear" w:color="auto" w:fill="FFFFFF"/>
        </w:rPr>
      </w:pPr>
      <w:r w:rsidRPr="0054579D">
        <w:rPr>
          <w:color w:val="1B1B1B"/>
          <w:shd w:val="clear" w:color="auto" w:fill="FFFFFF"/>
        </w:rPr>
        <w:t>Older adult</w:t>
      </w:r>
      <w:r w:rsidR="0054579D" w:rsidRPr="0054579D">
        <w:rPr>
          <w:color w:val="1B1B1B"/>
          <w:shd w:val="clear" w:color="auto" w:fill="FFFFFF"/>
        </w:rPr>
        <w:t>’s</w:t>
      </w:r>
      <w:r w:rsidRPr="0054579D">
        <w:rPr>
          <w:color w:val="1B1B1B"/>
          <w:shd w:val="clear" w:color="auto" w:fill="FFFFFF"/>
        </w:rPr>
        <w:t xml:space="preserve"> death </w:t>
      </w:r>
      <w:r w:rsidR="00DB354E" w:rsidRPr="0054579D">
        <w:rPr>
          <w:color w:val="1B1B1B"/>
          <w:shd w:val="clear" w:color="auto" w:fill="FFFFFF"/>
        </w:rPr>
        <w:t>r</w:t>
      </w:r>
      <w:r w:rsidR="002A330E" w:rsidRPr="0054579D">
        <w:rPr>
          <w:color w:val="1B1B1B"/>
          <w:shd w:val="clear" w:color="auto" w:fill="FFFFFF"/>
        </w:rPr>
        <w:t xml:space="preserve">ate </w:t>
      </w:r>
      <w:r w:rsidR="00DB354E" w:rsidRPr="0054579D">
        <w:rPr>
          <w:color w:val="1B1B1B"/>
          <w:shd w:val="clear" w:color="auto" w:fill="FFFFFF"/>
        </w:rPr>
        <w:t>r</w:t>
      </w:r>
      <w:r w:rsidR="002A330E" w:rsidRPr="0054579D">
        <w:rPr>
          <w:color w:val="1B1B1B"/>
          <w:shd w:val="clear" w:color="auto" w:fill="FFFFFF"/>
        </w:rPr>
        <w:t>atio</w:t>
      </w:r>
      <w:r w:rsidR="00D6379F" w:rsidRPr="0054579D">
        <w:rPr>
          <w:color w:val="1B1B1B"/>
          <w:shd w:val="clear" w:color="auto" w:fill="FFFFFF"/>
        </w:rPr>
        <w:t xml:space="preserve"> </w:t>
      </w:r>
      <w:r w:rsidRPr="0054579D">
        <w:rPr>
          <w:color w:val="1B1B1B"/>
          <w:shd w:val="clear" w:color="auto" w:fill="FFFFFF"/>
        </w:rPr>
        <w:t>(Nicoya / Costa Rica)</w:t>
      </w:r>
      <w:r w:rsidR="00B969BE">
        <w:rPr>
          <w:color w:val="1B1B1B"/>
          <w:shd w:val="clear" w:color="auto" w:fill="FFFFFF"/>
        </w:rPr>
        <w:t>,</w:t>
      </w:r>
      <w:r w:rsidR="008A1A73">
        <w:rPr>
          <w:color w:val="1B1B1B"/>
          <w:shd w:val="clear" w:color="auto" w:fill="FFFFFF"/>
        </w:rPr>
        <w:t xml:space="preserve"> period</w:t>
      </w:r>
      <w:r w:rsidR="008A1A73" w:rsidRPr="0054579D">
        <w:rPr>
          <w:color w:val="1B1B1B"/>
          <w:shd w:val="clear" w:color="auto" w:fill="FFFFFF"/>
        </w:rPr>
        <w:t xml:space="preserve"> </w:t>
      </w:r>
      <w:r w:rsidR="002A330E" w:rsidRPr="0054579D">
        <w:rPr>
          <w:color w:val="1B1B1B"/>
          <w:shd w:val="clear" w:color="auto" w:fill="FFFFFF"/>
        </w:rPr>
        <w:t>1990-2011</w:t>
      </w:r>
    </w:p>
    <w:p w14:paraId="196900BA" w14:textId="0AB11BE6" w:rsidR="002A330E" w:rsidRPr="0054579D" w:rsidRDefault="00B94A85" w:rsidP="002A330E">
      <w:pPr>
        <w:pStyle w:val="ListParagraph"/>
        <w:numPr>
          <w:ilvl w:val="0"/>
          <w:numId w:val="3"/>
        </w:numPr>
        <w:rPr>
          <w:color w:val="1B1B1B"/>
          <w:shd w:val="clear" w:color="auto" w:fill="FFFFFF"/>
        </w:rPr>
      </w:pPr>
      <w:r w:rsidRPr="0054579D">
        <w:rPr>
          <w:color w:val="1B1B1B"/>
          <w:shd w:val="clear" w:color="auto" w:fill="FFFFFF"/>
        </w:rPr>
        <w:t>Period s</w:t>
      </w:r>
      <w:r w:rsidR="002A330E" w:rsidRPr="0054579D">
        <w:rPr>
          <w:color w:val="1B1B1B"/>
          <w:shd w:val="clear" w:color="auto" w:fill="FFFFFF"/>
        </w:rPr>
        <w:t xml:space="preserve">urvival from age 60 </w:t>
      </w:r>
      <w:r w:rsidR="00314574">
        <w:rPr>
          <w:color w:val="1B1B1B"/>
          <w:shd w:val="clear" w:color="auto" w:fill="FFFFFF"/>
        </w:rPr>
        <w:t>to</w:t>
      </w:r>
      <w:r w:rsidR="00314574" w:rsidRPr="0054579D">
        <w:rPr>
          <w:color w:val="1B1B1B"/>
          <w:shd w:val="clear" w:color="auto" w:fill="FFFFFF"/>
        </w:rPr>
        <w:t xml:space="preserve"> </w:t>
      </w:r>
      <w:r w:rsidR="002A330E" w:rsidRPr="0054579D">
        <w:rPr>
          <w:color w:val="1B1B1B"/>
          <w:shd w:val="clear" w:color="auto" w:fill="FFFFFF"/>
        </w:rPr>
        <w:t>100</w:t>
      </w:r>
    </w:p>
    <w:p w14:paraId="6C4DA76D" w14:textId="6BC35DC1" w:rsidR="002A330E" w:rsidRPr="0054579D" w:rsidRDefault="00B94A85" w:rsidP="002A330E">
      <w:pPr>
        <w:pStyle w:val="ListParagraph"/>
        <w:numPr>
          <w:ilvl w:val="0"/>
          <w:numId w:val="3"/>
        </w:numPr>
        <w:rPr>
          <w:color w:val="1B1B1B"/>
          <w:shd w:val="clear" w:color="auto" w:fill="FFFFFF"/>
        </w:rPr>
      </w:pPr>
      <w:r w:rsidRPr="0054579D">
        <w:rPr>
          <w:color w:val="1B1B1B"/>
          <w:shd w:val="clear" w:color="auto" w:fill="FFFFFF"/>
        </w:rPr>
        <w:t>Period</w:t>
      </w:r>
      <w:r w:rsidR="00314574">
        <w:rPr>
          <w:color w:val="1B1B1B"/>
          <w:shd w:val="clear" w:color="auto" w:fill="FFFFFF"/>
        </w:rPr>
        <w:t xml:space="preserve"> (1990-2011)</w:t>
      </w:r>
      <w:r w:rsidRPr="0054579D">
        <w:rPr>
          <w:color w:val="1B1B1B"/>
          <w:shd w:val="clear" w:color="auto" w:fill="FFFFFF"/>
        </w:rPr>
        <w:t xml:space="preserve"> l</w:t>
      </w:r>
      <w:r w:rsidR="0059440C" w:rsidRPr="0054579D">
        <w:rPr>
          <w:color w:val="1B1B1B"/>
          <w:shd w:val="clear" w:color="auto" w:fill="FFFFFF"/>
        </w:rPr>
        <w:t>ife expectancy at age 60 [</w:t>
      </w:r>
      <w:proofErr w:type="gramStart"/>
      <w:r w:rsidR="002A330E" w:rsidRPr="0054579D">
        <w:rPr>
          <w:color w:val="1B1B1B"/>
          <w:shd w:val="clear" w:color="auto" w:fill="FFFFFF"/>
        </w:rPr>
        <w:t>e</w:t>
      </w:r>
      <w:r w:rsidR="002A330E" w:rsidRPr="0054579D">
        <w:rPr>
          <w:color w:val="1B1B1B"/>
          <w:shd w:val="clear" w:color="auto" w:fill="FFFFFF"/>
          <w:vertAlign w:val="subscript"/>
        </w:rPr>
        <w:t>(</w:t>
      </w:r>
      <w:proofErr w:type="gramEnd"/>
      <w:r w:rsidR="002A330E" w:rsidRPr="0054579D">
        <w:rPr>
          <w:color w:val="1B1B1B"/>
          <w:shd w:val="clear" w:color="auto" w:fill="FFFFFF"/>
          <w:vertAlign w:val="subscript"/>
        </w:rPr>
        <w:t>60)</w:t>
      </w:r>
      <w:r w:rsidR="0059440C" w:rsidRPr="0054579D">
        <w:rPr>
          <w:color w:val="1B1B1B"/>
          <w:shd w:val="clear" w:color="auto" w:fill="FFFFFF"/>
        </w:rPr>
        <w:t xml:space="preserve">] compared with Japan </w:t>
      </w:r>
      <w:r w:rsidR="00150D5E" w:rsidRPr="0054579D">
        <w:rPr>
          <w:color w:val="1B1B1B"/>
          <w:shd w:val="clear" w:color="auto" w:fill="FFFFFF"/>
        </w:rPr>
        <w:t>and Costa Rica</w:t>
      </w:r>
      <w:r w:rsidR="0059440C" w:rsidRPr="0054579D">
        <w:rPr>
          <w:color w:val="1B1B1B"/>
          <w:shd w:val="clear" w:color="auto" w:fill="FFFFFF"/>
        </w:rPr>
        <w:t>.</w:t>
      </w:r>
    </w:p>
    <w:p w14:paraId="6FF4F557" w14:textId="62B25D36" w:rsidR="00571CA5" w:rsidRPr="0054579D" w:rsidRDefault="00314574" w:rsidP="006B6C47">
      <w:pPr>
        <w:pStyle w:val="ListParagraph"/>
        <w:numPr>
          <w:ilvl w:val="0"/>
          <w:numId w:val="3"/>
        </w:numPr>
        <w:rPr>
          <w:color w:val="1B1B1B"/>
          <w:shd w:val="clear" w:color="auto" w:fill="FFFFFF"/>
        </w:rPr>
      </w:pPr>
      <w:r>
        <w:rPr>
          <w:color w:val="1B1B1B"/>
          <w:shd w:val="clear" w:color="auto" w:fill="FFFFFF"/>
        </w:rPr>
        <w:t>R</w:t>
      </w:r>
      <w:r w:rsidR="00386EC9" w:rsidRPr="0054579D">
        <w:rPr>
          <w:color w:val="1B1B1B"/>
          <w:shd w:val="clear" w:color="auto" w:fill="FFFFFF"/>
        </w:rPr>
        <w:t xml:space="preserve">egion </w:t>
      </w:r>
      <w:r w:rsidR="00B969BE">
        <w:rPr>
          <w:color w:val="1B1B1B"/>
          <w:shd w:val="clear" w:color="auto" w:fill="FFFFFF"/>
        </w:rPr>
        <w:t xml:space="preserve">borders </w:t>
      </w:r>
      <w:r w:rsidR="00386EC9" w:rsidRPr="0054579D">
        <w:rPr>
          <w:color w:val="1B1B1B"/>
          <w:shd w:val="clear" w:color="auto" w:fill="FFFFFF"/>
        </w:rPr>
        <w:t>identified with spatial analysis of adult mortality using the “</w:t>
      </w:r>
      <w:proofErr w:type="spellStart"/>
      <w:r w:rsidR="00386EC9" w:rsidRPr="0054579D">
        <w:rPr>
          <w:color w:val="1B1B1B"/>
          <w:shd w:val="clear" w:color="auto" w:fill="FFFFFF"/>
        </w:rPr>
        <w:t>Sa</w:t>
      </w:r>
      <w:r w:rsidR="00D167F6" w:rsidRPr="0054579D">
        <w:rPr>
          <w:color w:val="1B1B1B"/>
          <w:shd w:val="clear" w:color="auto" w:fill="FFFFFF"/>
        </w:rPr>
        <w:t>t</w:t>
      </w:r>
      <w:r w:rsidR="00EC1053" w:rsidRPr="0054579D">
        <w:rPr>
          <w:color w:val="1B1B1B"/>
          <w:shd w:val="clear" w:color="auto" w:fill="FFFFFF"/>
        </w:rPr>
        <w:t>S</w:t>
      </w:r>
      <w:r w:rsidR="00386EC9" w:rsidRPr="0054579D">
        <w:rPr>
          <w:color w:val="1B1B1B"/>
          <w:shd w:val="clear" w:color="auto" w:fill="FFFFFF"/>
        </w:rPr>
        <w:t>can</w:t>
      </w:r>
      <w:proofErr w:type="spellEnd"/>
      <w:r w:rsidR="00386EC9" w:rsidRPr="0054579D">
        <w:rPr>
          <w:color w:val="1B1B1B"/>
          <w:shd w:val="clear" w:color="auto" w:fill="FFFFFF"/>
        </w:rPr>
        <w:t>” procedur</w:t>
      </w:r>
      <w:r w:rsidR="00E31D49">
        <w:rPr>
          <w:color w:val="1B1B1B"/>
          <w:shd w:val="clear" w:color="auto" w:fill="FFFFFF"/>
        </w:rPr>
        <w:t>e</w:t>
      </w:r>
      <w:r w:rsidR="00E31D49">
        <w:rPr>
          <w:rStyle w:val="EndnoteReference"/>
          <w:color w:val="1B1B1B"/>
          <w:shd w:val="clear" w:color="auto" w:fill="FFFFFF"/>
        </w:rPr>
        <w:endnoteReference w:id="47"/>
      </w:r>
    </w:p>
    <w:p w14:paraId="17713712" w14:textId="06A5D7EB" w:rsidR="00D167F6" w:rsidRPr="0054579D" w:rsidRDefault="00D167F6" w:rsidP="006B6C47">
      <w:pPr>
        <w:pStyle w:val="ListParagraph"/>
        <w:numPr>
          <w:ilvl w:val="0"/>
          <w:numId w:val="3"/>
        </w:numPr>
        <w:rPr>
          <w:color w:val="1B1B1B"/>
          <w:shd w:val="clear" w:color="auto" w:fill="FFFFFF"/>
        </w:rPr>
      </w:pPr>
      <w:r w:rsidRPr="0054579D">
        <w:rPr>
          <w:color w:val="1B1B1B"/>
          <w:shd w:val="clear" w:color="auto" w:fill="FFFFFF"/>
        </w:rPr>
        <w:t>Biomarkers, diet, health risks, and longitudinal survival follow-up assessed comparatively as part of the Costa Rican</w:t>
      </w:r>
      <w:r w:rsidR="00B94A85" w:rsidRPr="0054579D">
        <w:rPr>
          <w:color w:val="1B1B1B"/>
          <w:shd w:val="clear" w:color="auto" w:fill="FFFFFF"/>
        </w:rPr>
        <w:t xml:space="preserve"> Study of Longevity and Healthy Aging (CRELES)</w:t>
      </w:r>
      <w:r w:rsidR="00E31D49">
        <w:rPr>
          <w:rStyle w:val="EndnoteReference"/>
          <w:color w:val="1B1B1B"/>
          <w:shd w:val="clear" w:color="auto" w:fill="FFFFFF"/>
        </w:rPr>
        <w:endnoteReference w:id="48"/>
      </w:r>
    </w:p>
    <w:p w14:paraId="20961933" w14:textId="77777777" w:rsidR="006B6C47" w:rsidRPr="006B6C47" w:rsidRDefault="006B6C47" w:rsidP="006B6C47">
      <w:pPr>
        <w:pStyle w:val="ListParagraph"/>
        <w:rPr>
          <w:color w:val="1B1B1B"/>
          <w:shd w:val="clear" w:color="auto" w:fill="FFFFFF"/>
        </w:rPr>
      </w:pPr>
    </w:p>
    <w:p w14:paraId="3D8DA49A" w14:textId="77777777" w:rsidR="00F43DFD" w:rsidRDefault="00F43DFD" w:rsidP="00F43DFD">
      <w:pPr>
        <w:rPr>
          <w:b/>
          <w:bCs/>
        </w:rPr>
      </w:pPr>
    </w:p>
    <w:p w14:paraId="714C54B4" w14:textId="77777777" w:rsidR="005466F2" w:rsidRPr="00BC22A6" w:rsidRDefault="005466F2" w:rsidP="005466F2">
      <w:pPr>
        <w:pStyle w:val="NormalWeb"/>
        <w:spacing w:before="0" w:beforeAutospacing="0" w:after="480" w:afterAutospacing="0"/>
        <w:rPr>
          <w:color w:val="FF0000"/>
        </w:rPr>
      </w:pPr>
      <w:r w:rsidRPr="00BC22A6">
        <w:t>The identification of Nicoya as a longevity hotspot was not based on counts of centenarian or supercentenarian numbers, which are confounded by the high Costa Rican birth rates of the past, migration, and age-exaggeration bias. Instead, it was based on statistical analyses of death rates and survival probabilities among older adults that were estimated using exclusively documented age information from the national birth registry. Costa Rican nationals receive a unique identification card (cédula) upon birth, which allows the linkage of information from various databases, including the death and birth national registries, as well as databases of surviving persons like voting rolls for presidential elections or the CRELES longitudinal study.</w:t>
      </w:r>
    </w:p>
    <w:p w14:paraId="0549C99A" w14:textId="07B2E800" w:rsidR="00496EF7" w:rsidRDefault="005466F2" w:rsidP="00F43DFD">
      <w:pPr>
        <w:rPr>
          <w:color w:val="1B1B1B"/>
        </w:rPr>
      </w:pPr>
      <w:r w:rsidRPr="005466F2">
        <w:rPr>
          <w:color w:val="1B1B1B"/>
        </w:rPr>
        <w:t>The Costa Rican civil registration system, established in 1883, was graded as “complete” by the United Nations in 1961.</w:t>
      </w:r>
      <w:r w:rsidR="00E31D49">
        <w:rPr>
          <w:rStyle w:val="EndnoteReference"/>
          <w:color w:val="1B1B1B"/>
        </w:rPr>
        <w:endnoteReference w:id="49"/>
      </w:r>
      <w:r w:rsidRPr="005466F2">
        <w:rPr>
          <w:color w:val="1B1B1B"/>
        </w:rPr>
        <w:t xml:space="preserve">  In a 1999 global study, Costa Rica was one of eleven developing countries with both complete and accurate vital registration statistics.</w:t>
      </w:r>
      <w:r w:rsidR="00E31D49">
        <w:rPr>
          <w:rStyle w:val="EndnoteReference"/>
          <w:color w:val="1B1B1B"/>
        </w:rPr>
        <w:endnoteReference w:id="50"/>
      </w:r>
      <w:r w:rsidRPr="005466F2">
        <w:rPr>
          <w:color w:val="1B1B1B"/>
        </w:rPr>
        <w:t xml:space="preserve">  Two recent evaluations of coverage of Costa Rican death and birth registries have concluded that they are complete</w:t>
      </w:r>
      <w:r w:rsidR="00E31D49">
        <w:rPr>
          <w:color w:val="1B1B1B"/>
        </w:rPr>
        <w:t>.</w:t>
      </w:r>
      <w:r w:rsidR="00E31D49" w:rsidRPr="00E31D49">
        <w:rPr>
          <w:rStyle w:val="EndnoteReference"/>
          <w:color w:val="1B1B1B"/>
        </w:rPr>
        <w:endnoteReference w:id="51"/>
      </w:r>
      <w:r w:rsidR="00E31D49" w:rsidRPr="00E31D49">
        <w:rPr>
          <w:color w:val="1B1B1B"/>
          <w:vertAlign w:val="superscript"/>
        </w:rPr>
        <w:t>,</w:t>
      </w:r>
      <w:r w:rsidR="00E31D49" w:rsidRPr="00E31D49">
        <w:rPr>
          <w:rStyle w:val="EndnoteReference"/>
          <w:color w:val="1B1B1B"/>
        </w:rPr>
        <w:endnoteReference w:id="52"/>
      </w:r>
      <w:r w:rsidRPr="00E31D49">
        <w:rPr>
          <w:color w:val="1B1B1B"/>
          <w:vertAlign w:val="superscript"/>
        </w:rPr>
        <w:t xml:space="preserve"> </w:t>
      </w:r>
      <w:r w:rsidRPr="005466F2">
        <w:rPr>
          <w:color w:val="1B1B1B"/>
        </w:rPr>
        <w:t xml:space="preserve"> Most importantly, evidence from the CRELES survey confirmed the completeness of registration </w:t>
      </w:r>
      <w:r w:rsidR="004A6B96">
        <w:rPr>
          <w:color w:val="1B1B1B"/>
        </w:rPr>
        <w:t xml:space="preserve">of </w:t>
      </w:r>
      <w:r w:rsidRPr="005466F2">
        <w:rPr>
          <w:color w:val="1B1B1B"/>
        </w:rPr>
        <w:t xml:space="preserve">deaths of elderly people: out of 566 deaths found during household visits in the survey, only five (less than 1%) were not found in the death registry (they </w:t>
      </w:r>
      <w:r w:rsidR="00336A62">
        <w:rPr>
          <w:color w:val="1B1B1B"/>
        </w:rPr>
        <w:t>might</w:t>
      </w:r>
      <w:r w:rsidRPr="005466F2">
        <w:rPr>
          <w:color w:val="1B1B1B"/>
        </w:rPr>
        <w:t xml:space="preserve"> </w:t>
      </w:r>
      <w:r w:rsidR="00336A62">
        <w:rPr>
          <w:color w:val="1B1B1B"/>
        </w:rPr>
        <w:t>be</w:t>
      </w:r>
      <w:r w:rsidRPr="005466F2">
        <w:rPr>
          <w:color w:val="1B1B1B"/>
        </w:rPr>
        <w:t xml:space="preserve"> registered with a wrong identification), which gives a reasonable assurance that registration of deaths in Costa Rica is essentially complete.</w:t>
      </w:r>
    </w:p>
    <w:p w14:paraId="0076C9B8" w14:textId="77777777" w:rsidR="0009343D" w:rsidRDefault="0009343D" w:rsidP="00F43DFD">
      <w:pPr>
        <w:rPr>
          <w:color w:val="1B1B1B"/>
        </w:rPr>
      </w:pPr>
    </w:p>
    <w:p w14:paraId="7B400181" w14:textId="59401CBE" w:rsidR="0009343D" w:rsidRDefault="0009343D" w:rsidP="0009343D">
      <w:pPr>
        <w:rPr>
          <w:color w:val="1B1B1B"/>
        </w:rPr>
      </w:pPr>
      <w:r w:rsidRPr="0009343D">
        <w:rPr>
          <w:color w:val="1B1B1B"/>
        </w:rPr>
        <w:t>Two main demographic analyses conducted for the period 1990-2011 validated the designation of Nicoya as “blue zone”:</w:t>
      </w:r>
      <w:r w:rsidR="00E31D49">
        <w:rPr>
          <w:rStyle w:val="EndnoteReference"/>
          <w:color w:val="1B1B1B"/>
        </w:rPr>
        <w:endnoteReference w:id="53"/>
      </w:r>
    </w:p>
    <w:p w14:paraId="16229D52" w14:textId="77777777" w:rsidR="00B3628C" w:rsidRPr="0009343D" w:rsidRDefault="00B3628C" w:rsidP="0009343D">
      <w:pPr>
        <w:rPr>
          <w:color w:val="1B1B1B"/>
        </w:rPr>
      </w:pPr>
    </w:p>
    <w:p w14:paraId="6186A9BF" w14:textId="09A99F88" w:rsidR="0009343D" w:rsidRPr="004A6B96" w:rsidRDefault="0009343D" w:rsidP="004A6B96">
      <w:pPr>
        <w:pStyle w:val="ListParagraph"/>
        <w:numPr>
          <w:ilvl w:val="0"/>
          <w:numId w:val="8"/>
        </w:numPr>
        <w:ind w:left="360" w:hanging="360"/>
        <w:rPr>
          <w:color w:val="1B1B1B"/>
        </w:rPr>
      </w:pPr>
      <w:r w:rsidRPr="004A6B96">
        <w:rPr>
          <w:color w:val="1B1B1B"/>
        </w:rPr>
        <w:t xml:space="preserve">Spatial analysis was conducted on quasi-extinct cohorts born before 1920 and alive in 1990 to uncover clusters of significantly lower elderly mortality in Costa Rica. The analysis involved 78,000 death records from 1990 to 2011, along with 2,000 individuals still alive in </w:t>
      </w:r>
      <w:r w:rsidRPr="004A6B96">
        <w:rPr>
          <w:color w:val="1B1B1B"/>
        </w:rPr>
        <w:lastRenderedPageBreak/>
        <w:t xml:space="preserve">December 2011 from the voting registry. The </w:t>
      </w:r>
      <w:proofErr w:type="spellStart"/>
      <w:r w:rsidRPr="004A6B96">
        <w:rPr>
          <w:color w:val="1B1B1B"/>
        </w:rPr>
        <w:t>SatScan</w:t>
      </w:r>
      <w:proofErr w:type="spellEnd"/>
      <w:r w:rsidRPr="004A6B96">
        <w:rPr>
          <w:color w:val="1B1B1B"/>
        </w:rPr>
        <w:t xml:space="preserve"> procedure revealed a dominant cluster of lower-than-expected elderly mortality in the Peninsula of Nicoya, encompassing the cantons of Santa Cruz, Carrillo, Nicoya, </w:t>
      </w:r>
      <w:proofErr w:type="spellStart"/>
      <w:r w:rsidRPr="004A6B96">
        <w:rPr>
          <w:color w:val="1B1B1B"/>
        </w:rPr>
        <w:t>Hojancha</w:t>
      </w:r>
      <w:proofErr w:type="spellEnd"/>
      <w:r w:rsidRPr="004A6B96">
        <w:rPr>
          <w:color w:val="1B1B1B"/>
        </w:rPr>
        <w:t xml:space="preserve">, and </w:t>
      </w:r>
      <w:proofErr w:type="spellStart"/>
      <w:r w:rsidRPr="004A6B96">
        <w:rPr>
          <w:color w:val="1B1B1B"/>
        </w:rPr>
        <w:t>Nandayure</w:t>
      </w:r>
      <w:proofErr w:type="spellEnd"/>
      <w:r w:rsidRPr="004A6B96">
        <w:rPr>
          <w:color w:val="1B1B1B"/>
        </w:rPr>
        <w:t>. The death rate ratio in this cluster was 0.83 (0.80 to 0.86 confidence interval at 95%), significantly lower than the national rate for people born before 1920 (aged 70 and over) during the studied period.</w:t>
      </w:r>
      <w:r w:rsidR="00B3628C">
        <w:rPr>
          <w:color w:val="1B1B1B"/>
        </w:rPr>
        <w:br/>
      </w:r>
    </w:p>
    <w:p w14:paraId="062AF635" w14:textId="0E7A3BCC" w:rsidR="0009343D" w:rsidRPr="004A6B96" w:rsidRDefault="0009343D" w:rsidP="004A6B96">
      <w:pPr>
        <w:pStyle w:val="ListParagraph"/>
        <w:numPr>
          <w:ilvl w:val="0"/>
          <w:numId w:val="8"/>
        </w:numPr>
        <w:ind w:left="360" w:hanging="360"/>
        <w:rPr>
          <w:color w:val="1B1B1B"/>
        </w:rPr>
      </w:pPr>
      <w:r w:rsidRPr="004A6B96">
        <w:rPr>
          <w:color w:val="1B1B1B"/>
        </w:rPr>
        <w:t xml:space="preserve">A 21-year survival follow-up of a nationally representative sample of 16,300 elderly Costa Ricans, including 923 </w:t>
      </w:r>
      <w:proofErr w:type="spellStart"/>
      <w:r w:rsidRPr="004A6B96">
        <w:rPr>
          <w:color w:val="1B1B1B"/>
        </w:rPr>
        <w:t>Nicoyans</w:t>
      </w:r>
      <w:proofErr w:type="spellEnd"/>
      <w:r w:rsidRPr="004A6B96">
        <w:rPr>
          <w:color w:val="1B1B1B"/>
        </w:rPr>
        <w:t xml:space="preserve">.  In this CRELES longitudinal survey all ages were computed from the dates of births in the national registry.  The </w:t>
      </w:r>
      <w:proofErr w:type="spellStart"/>
      <w:r w:rsidRPr="004A6B96">
        <w:rPr>
          <w:color w:val="1B1B1B"/>
        </w:rPr>
        <w:t>Nicoyan’s</w:t>
      </w:r>
      <w:proofErr w:type="spellEnd"/>
      <w:r w:rsidRPr="004A6B96">
        <w:rPr>
          <w:color w:val="1B1B1B"/>
        </w:rPr>
        <w:t xml:space="preserve"> death rate ratio for males 1990–2011 was 0.80 (0.69–0.93 CI) compared to the national rate. For a 60-year</w:t>
      </w:r>
      <w:r w:rsidR="004A6B96">
        <w:rPr>
          <w:color w:val="1B1B1B"/>
        </w:rPr>
        <w:t>-</w:t>
      </w:r>
      <w:r w:rsidRPr="004A6B96">
        <w:rPr>
          <w:color w:val="1B1B1B"/>
        </w:rPr>
        <w:t xml:space="preserve">old </w:t>
      </w:r>
      <w:proofErr w:type="spellStart"/>
      <w:r w:rsidRPr="004A6B96">
        <w:rPr>
          <w:color w:val="1B1B1B"/>
        </w:rPr>
        <w:t>Nicoyan</w:t>
      </w:r>
      <w:proofErr w:type="spellEnd"/>
      <w:r w:rsidRPr="004A6B96">
        <w:rPr>
          <w:color w:val="1B1B1B"/>
        </w:rPr>
        <w:t xml:space="preserve"> male in this sample, the probability of becoming centenarian was seven times that of a Japanese male, and his life expectancy was 2.2 years greater.  CRELES biomarkers data also showed that </w:t>
      </w:r>
      <w:proofErr w:type="spellStart"/>
      <w:r w:rsidRPr="004A6B96">
        <w:rPr>
          <w:color w:val="1B1B1B"/>
        </w:rPr>
        <w:t>Nicoyans</w:t>
      </w:r>
      <w:proofErr w:type="spellEnd"/>
      <w:r w:rsidRPr="004A6B96">
        <w:rPr>
          <w:color w:val="1B1B1B"/>
        </w:rPr>
        <w:t xml:space="preserve"> have a significant metabolic advantage and they are leaner, taller, suffer fewer disabilities, and less cognitive decline. Two markers of ageing and stress—telomere length and dehydroepiandrosterone sulphate—are also more favorable. The Nicoya diet is prosaic and abundant in traditional foods like rice, beans and animal protein, with low glycemic index and high fiber content.</w:t>
      </w:r>
    </w:p>
    <w:p w14:paraId="3933FF5C" w14:textId="77777777" w:rsidR="0009343D" w:rsidRPr="0009343D" w:rsidRDefault="0009343D" w:rsidP="0009343D">
      <w:pPr>
        <w:rPr>
          <w:color w:val="1B1B1B"/>
        </w:rPr>
      </w:pPr>
    </w:p>
    <w:p w14:paraId="55C97BC9" w14:textId="77777777" w:rsidR="002B462A" w:rsidRDefault="00B3628C" w:rsidP="007B3623">
      <w:pPr>
        <w:pStyle w:val="NormalWeb"/>
        <w:pBdr>
          <w:bottom w:val="single" w:sz="12" w:space="1" w:color="auto"/>
        </w:pBdr>
        <w:spacing w:before="0" w:beforeAutospacing="0" w:after="480" w:afterAutospacing="0"/>
      </w:pPr>
      <w:r>
        <w:rPr>
          <w:color w:val="1B1B1B"/>
        </w:rPr>
        <w:t xml:space="preserve">Bottom line: the validity of Nicoya’s designation as a blue zone is assured </w:t>
      </w:r>
      <w:proofErr w:type="gramStart"/>
      <w:r>
        <w:rPr>
          <w:color w:val="1B1B1B"/>
        </w:rPr>
        <w:t>by:</w:t>
      </w:r>
      <w:proofErr w:type="gramEnd"/>
      <w:r>
        <w:rPr>
          <w:color w:val="1B1B1B"/>
        </w:rPr>
        <w:t xml:space="preserve"> 1) avoiding misleading self-reported ages and 2) using death registry that has proved to be complete.</w:t>
      </w:r>
    </w:p>
    <w:p w14:paraId="66D9C514" w14:textId="03C91F7C" w:rsidR="00F43DFD" w:rsidRPr="002B462A" w:rsidRDefault="00B94A85" w:rsidP="007B3623">
      <w:pPr>
        <w:pStyle w:val="NormalWeb"/>
        <w:pBdr>
          <w:bottom w:val="single" w:sz="12" w:space="1" w:color="auto"/>
        </w:pBdr>
        <w:spacing w:before="0" w:beforeAutospacing="0" w:after="480" w:afterAutospacing="0"/>
      </w:pPr>
      <w:r>
        <w:rPr>
          <w:b/>
          <w:bCs/>
        </w:rPr>
        <w:fldChar w:fldCharType="begin"/>
      </w:r>
      <w:r>
        <w:rPr>
          <w:b/>
          <w:bCs/>
        </w:rPr>
        <w:instrText xml:space="preserve"> ADDIN EN.REFLIST </w:instrText>
      </w:r>
      <w:r>
        <w:rPr>
          <w:b/>
          <w:bCs/>
        </w:rPr>
        <w:fldChar w:fldCharType="end"/>
      </w:r>
    </w:p>
    <w:sectPr w:rsidR="00F43DFD" w:rsidRPr="002B462A" w:rsidSect="005211DA">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ADC6E" w14:textId="77777777" w:rsidR="00E13EE4" w:rsidRDefault="00E13EE4" w:rsidP="002A330E">
      <w:r>
        <w:separator/>
      </w:r>
    </w:p>
  </w:endnote>
  <w:endnote w:type="continuationSeparator" w:id="0">
    <w:p w14:paraId="7368EE20" w14:textId="77777777" w:rsidR="00E13EE4" w:rsidRDefault="00E13EE4" w:rsidP="002A330E">
      <w:r>
        <w:continuationSeparator/>
      </w:r>
    </w:p>
  </w:endnote>
  <w:endnote w:id="1">
    <w:p w14:paraId="27AE087E" w14:textId="678A7BE4" w:rsidR="00092AD8" w:rsidRPr="002B462A" w:rsidRDefault="00092AD8" w:rsidP="00092AD8">
      <w:pPr>
        <w:pStyle w:val="EndnoteText"/>
        <w:rPr>
          <w:sz w:val="24"/>
          <w:szCs w:val="24"/>
        </w:rPr>
      </w:pPr>
      <w:r w:rsidRPr="002B462A">
        <w:rPr>
          <w:rStyle w:val="EndnoteReference"/>
          <w:sz w:val="24"/>
          <w:szCs w:val="24"/>
        </w:rPr>
        <w:endnoteRef/>
      </w:r>
      <w:r w:rsidRPr="002B462A">
        <w:rPr>
          <w:sz w:val="24"/>
          <w:szCs w:val="24"/>
        </w:rPr>
        <w:t xml:space="preserve"> </w:t>
      </w:r>
      <w:proofErr w:type="spellStart"/>
      <w:r w:rsidRPr="002B462A">
        <w:rPr>
          <w:color w:val="222222"/>
          <w:sz w:val="24"/>
          <w:szCs w:val="24"/>
          <w:shd w:val="clear" w:color="auto" w:fill="FFFFFF"/>
        </w:rPr>
        <w:t>Poulain</w:t>
      </w:r>
      <w:proofErr w:type="spellEnd"/>
      <w:r w:rsidRPr="002B462A">
        <w:rPr>
          <w:color w:val="222222"/>
          <w:sz w:val="24"/>
          <w:szCs w:val="24"/>
          <w:shd w:val="clear" w:color="auto" w:fill="FFFFFF"/>
        </w:rPr>
        <w:t xml:space="preserve">, M., Herm, A. Blue Zone, a Demographic Concept and Beyond. </w:t>
      </w:r>
      <w:r w:rsidRPr="001E7985">
        <w:rPr>
          <w:i/>
          <w:iCs/>
          <w:color w:val="222222"/>
          <w:sz w:val="24"/>
          <w:szCs w:val="24"/>
          <w:shd w:val="clear" w:color="auto" w:fill="FFFFFF"/>
        </w:rPr>
        <w:t>American Journal of Lifestyle Medicine</w:t>
      </w:r>
      <w:r w:rsidRPr="002B462A">
        <w:rPr>
          <w:color w:val="222222"/>
          <w:sz w:val="24"/>
          <w:szCs w:val="24"/>
          <w:shd w:val="clear" w:color="auto" w:fill="FFFFFF"/>
        </w:rPr>
        <w:t xml:space="preserve">. </w:t>
      </w:r>
      <w:r w:rsidR="001E7985">
        <w:rPr>
          <w:color w:val="222222"/>
          <w:sz w:val="24"/>
          <w:szCs w:val="24"/>
          <w:shd w:val="clear" w:color="auto" w:fill="FFFFFF"/>
        </w:rPr>
        <w:t>(</w:t>
      </w:r>
      <w:r w:rsidRPr="002B462A">
        <w:rPr>
          <w:color w:val="222222"/>
          <w:sz w:val="24"/>
          <w:szCs w:val="24"/>
          <w:shd w:val="clear" w:color="auto" w:fill="FFFFFF"/>
        </w:rPr>
        <w:t>2025</w:t>
      </w:r>
      <w:r w:rsidR="001E7985">
        <w:rPr>
          <w:color w:val="222222"/>
          <w:sz w:val="24"/>
          <w:szCs w:val="24"/>
          <w:shd w:val="clear" w:color="auto" w:fill="FFFFFF"/>
        </w:rPr>
        <w:t>)</w:t>
      </w:r>
      <w:r w:rsidRPr="002B462A">
        <w:rPr>
          <w:color w:val="222222"/>
          <w:sz w:val="24"/>
          <w:szCs w:val="24"/>
          <w:shd w:val="clear" w:color="auto" w:fill="FFFFFF"/>
        </w:rPr>
        <w:t>.</w:t>
      </w:r>
    </w:p>
  </w:endnote>
  <w:endnote w:id="2">
    <w:p w14:paraId="5A889BAB" w14:textId="506C726B" w:rsidR="00092AD8" w:rsidRPr="002B462A" w:rsidRDefault="00092AD8" w:rsidP="00092AD8">
      <w:pPr>
        <w:autoSpaceDE w:val="0"/>
        <w:autoSpaceDN w:val="0"/>
        <w:adjustRightInd w:val="0"/>
        <w:rPr>
          <w:color w:val="000000"/>
        </w:rPr>
      </w:pPr>
      <w:r w:rsidRPr="002B462A">
        <w:rPr>
          <w:rStyle w:val="EndnoteReference"/>
        </w:rPr>
        <w:endnoteRef/>
      </w:r>
      <w:r w:rsidRPr="002B462A">
        <w:t xml:space="preserve"> </w:t>
      </w:r>
      <w:r w:rsidRPr="002B462A">
        <w:rPr>
          <w:color w:val="000000"/>
        </w:rPr>
        <w:t xml:space="preserve">Perls, T, Kunkel, L.M., Puca, A.A. The genetics of exceptional human longevity. </w:t>
      </w:r>
      <w:r w:rsidRPr="001E7985">
        <w:rPr>
          <w:i/>
          <w:iCs/>
          <w:color w:val="000000"/>
        </w:rPr>
        <w:t>J Am Geriatr Soc</w:t>
      </w:r>
      <w:r w:rsidRPr="002B462A">
        <w:rPr>
          <w:color w:val="000000"/>
        </w:rPr>
        <w:t xml:space="preserve">. </w:t>
      </w:r>
      <w:r w:rsidRPr="001E7985">
        <w:rPr>
          <w:b/>
          <w:bCs/>
          <w:color w:val="000000"/>
        </w:rPr>
        <w:t>50</w:t>
      </w:r>
      <w:r w:rsidRPr="002B462A">
        <w:rPr>
          <w:color w:val="000000"/>
        </w:rPr>
        <w:t>: 359-368</w:t>
      </w:r>
      <w:r w:rsidR="001E7985">
        <w:rPr>
          <w:color w:val="000000"/>
        </w:rPr>
        <w:t xml:space="preserve"> (2002).</w:t>
      </w:r>
    </w:p>
  </w:endnote>
  <w:endnote w:id="3">
    <w:p w14:paraId="45C8DD6A" w14:textId="07C75FFD" w:rsidR="00092AD8" w:rsidRPr="002B462A" w:rsidRDefault="00092AD8" w:rsidP="00092AD8">
      <w:r w:rsidRPr="002B462A">
        <w:rPr>
          <w:rStyle w:val="EndnoteReference"/>
        </w:rPr>
        <w:endnoteRef/>
      </w:r>
      <w:r w:rsidRPr="002B462A">
        <w:t xml:space="preserve"> </w:t>
      </w:r>
      <w:r w:rsidRPr="002B462A">
        <w:rPr>
          <w:color w:val="222222"/>
          <w:shd w:val="clear" w:color="auto" w:fill="FFFFFF"/>
        </w:rPr>
        <w:t xml:space="preserve">Bennett, N.G., Garson, L.K. Extraordinary longevity in the Soviet Union: Fact or </w:t>
      </w:r>
      <w:proofErr w:type="gramStart"/>
      <w:r w:rsidRPr="002B462A">
        <w:rPr>
          <w:color w:val="222222"/>
          <w:shd w:val="clear" w:color="auto" w:fill="FFFFFF"/>
        </w:rPr>
        <w:t>artifact?.</w:t>
      </w:r>
      <w:proofErr w:type="gramEnd"/>
      <w:r w:rsidRPr="002B462A">
        <w:rPr>
          <w:color w:val="222222"/>
          <w:shd w:val="clear" w:color="auto" w:fill="FFFFFF"/>
        </w:rPr>
        <w:t> </w:t>
      </w:r>
      <w:r w:rsidRPr="002B462A">
        <w:rPr>
          <w:i/>
          <w:iCs/>
          <w:color w:val="222222"/>
          <w:shd w:val="clear" w:color="auto" w:fill="FFFFFF"/>
        </w:rPr>
        <w:t>The Gerontologist</w:t>
      </w:r>
      <w:r w:rsidRPr="002B462A">
        <w:rPr>
          <w:color w:val="222222"/>
          <w:shd w:val="clear" w:color="auto" w:fill="FFFFFF"/>
        </w:rPr>
        <w:t xml:space="preserve">, 1986; </w:t>
      </w:r>
      <w:r w:rsidRPr="001E7985">
        <w:rPr>
          <w:b/>
          <w:bCs/>
          <w:color w:val="222222"/>
          <w:shd w:val="clear" w:color="auto" w:fill="FFFFFF"/>
        </w:rPr>
        <w:t>26</w:t>
      </w:r>
      <w:r w:rsidRPr="002B462A">
        <w:rPr>
          <w:color w:val="222222"/>
          <w:shd w:val="clear" w:color="auto" w:fill="FFFFFF"/>
        </w:rPr>
        <w:t>(4), 358-361</w:t>
      </w:r>
      <w:r w:rsidR="001E7985">
        <w:rPr>
          <w:color w:val="222222"/>
          <w:shd w:val="clear" w:color="auto" w:fill="FFFFFF"/>
        </w:rPr>
        <w:t xml:space="preserve"> (.1986)</w:t>
      </w:r>
    </w:p>
  </w:endnote>
  <w:endnote w:id="4">
    <w:p w14:paraId="7FBE98F0" w14:textId="61EF0FA0" w:rsidR="00201E86" w:rsidRPr="002B462A" w:rsidRDefault="00092AD8" w:rsidP="00092AD8">
      <w:pPr>
        <w:rPr>
          <w:color w:val="222222"/>
          <w:shd w:val="clear" w:color="auto" w:fill="FFFFFF"/>
        </w:rPr>
      </w:pPr>
      <w:r w:rsidRPr="002B462A">
        <w:rPr>
          <w:rStyle w:val="EndnoteReference"/>
        </w:rPr>
        <w:endnoteRef/>
      </w:r>
      <w:r w:rsidRPr="002B462A">
        <w:t xml:space="preserve"> </w:t>
      </w:r>
      <w:r w:rsidRPr="002B462A">
        <w:rPr>
          <w:color w:val="222222"/>
          <w:shd w:val="clear" w:color="auto" w:fill="FFFFFF"/>
        </w:rPr>
        <w:t>Mazess, R.B., Forman, S.H. Longevity and age exaggeration in Vilcabamba, Ecuador. </w:t>
      </w:r>
      <w:r w:rsidRPr="002B462A">
        <w:rPr>
          <w:i/>
          <w:iCs/>
          <w:color w:val="222222"/>
          <w:shd w:val="clear" w:color="auto" w:fill="FFFFFF"/>
        </w:rPr>
        <w:t>Journal of Gerontology</w:t>
      </w:r>
      <w:r w:rsidR="001E7985">
        <w:rPr>
          <w:i/>
          <w:iCs/>
          <w:color w:val="222222"/>
          <w:shd w:val="clear" w:color="auto" w:fill="FFFFFF"/>
        </w:rPr>
        <w:t>.</w:t>
      </w:r>
      <w:r w:rsidRPr="002B462A">
        <w:rPr>
          <w:color w:val="222222"/>
          <w:shd w:val="clear" w:color="auto" w:fill="FFFFFF"/>
        </w:rPr>
        <w:t> </w:t>
      </w:r>
      <w:r w:rsidRPr="001E7985">
        <w:rPr>
          <w:b/>
          <w:bCs/>
          <w:color w:val="222222"/>
          <w:shd w:val="clear" w:color="auto" w:fill="FFFFFF"/>
        </w:rPr>
        <w:t>34</w:t>
      </w:r>
      <w:r w:rsidRPr="002B462A">
        <w:rPr>
          <w:color w:val="222222"/>
          <w:shd w:val="clear" w:color="auto" w:fill="FFFFFF"/>
        </w:rPr>
        <w:t>(1): 94-98</w:t>
      </w:r>
      <w:r w:rsidR="001E7985">
        <w:rPr>
          <w:color w:val="222222"/>
          <w:shd w:val="clear" w:color="auto" w:fill="FFFFFF"/>
        </w:rPr>
        <w:t xml:space="preserve"> (1979).</w:t>
      </w:r>
    </w:p>
  </w:endnote>
  <w:endnote w:id="5">
    <w:p w14:paraId="0869C514" w14:textId="43027E58" w:rsidR="00F43DFD" w:rsidRPr="002B462A" w:rsidRDefault="00F43DFD">
      <w:pPr>
        <w:pStyle w:val="EndnoteText"/>
        <w:rPr>
          <w:sz w:val="24"/>
          <w:szCs w:val="24"/>
        </w:rPr>
      </w:pPr>
      <w:r w:rsidRPr="002B462A">
        <w:rPr>
          <w:rStyle w:val="EndnoteReference"/>
          <w:sz w:val="24"/>
          <w:szCs w:val="24"/>
        </w:rPr>
        <w:endnoteRef/>
      </w:r>
      <w:r w:rsidRPr="002B462A">
        <w:rPr>
          <w:sz w:val="24"/>
          <w:szCs w:val="24"/>
        </w:rPr>
        <w:t xml:space="preserve"> </w:t>
      </w:r>
      <w:r w:rsidRPr="002B462A">
        <w:rPr>
          <w:sz w:val="24"/>
          <w:szCs w:val="24"/>
          <w:lang w:val="it-IT"/>
        </w:rPr>
        <w:t>Esposito M. Dinamiche demografiche dei comuni della Sardegna (1961-2010). In: Dinamiche demografiche in Sardegna tra passato e futuro. Marco Breschi Ed. Udine, Forum 2012.</w:t>
      </w:r>
    </w:p>
  </w:endnote>
  <w:endnote w:id="6">
    <w:p w14:paraId="3BCFF6F4" w14:textId="77777777" w:rsidR="00F43DFD" w:rsidRPr="002B462A" w:rsidRDefault="00F43DFD" w:rsidP="00F43DFD">
      <w:r w:rsidRPr="002B462A">
        <w:rPr>
          <w:rStyle w:val="EndnoteReference"/>
        </w:rPr>
        <w:endnoteRef/>
      </w:r>
      <w:r w:rsidRPr="002B462A">
        <w:t xml:space="preserve"> </w:t>
      </w:r>
      <w:r w:rsidRPr="002B462A">
        <w:rPr>
          <w:lang w:val="it-IT"/>
        </w:rPr>
        <w:t xml:space="preserve">Deiana L, Ferrucci L, Pes GM, et al. </w:t>
      </w:r>
      <w:r w:rsidRPr="002B462A">
        <w:t>AKEntAnnos. The Sardinia Study of Extreme</w:t>
      </w:r>
    </w:p>
    <w:p w14:paraId="76BE5397" w14:textId="2DBFAAB6" w:rsidR="00F43DFD" w:rsidRPr="002B462A" w:rsidRDefault="00F43DFD" w:rsidP="00F43DFD">
      <w:pPr>
        <w:pStyle w:val="EndnoteText"/>
        <w:rPr>
          <w:sz w:val="24"/>
          <w:szCs w:val="24"/>
        </w:rPr>
      </w:pPr>
      <w:r w:rsidRPr="002B462A">
        <w:rPr>
          <w:sz w:val="24"/>
          <w:szCs w:val="24"/>
        </w:rPr>
        <w:t xml:space="preserve">Longevity. </w:t>
      </w:r>
      <w:r w:rsidRPr="001E7985">
        <w:rPr>
          <w:i/>
          <w:iCs/>
          <w:sz w:val="24"/>
          <w:szCs w:val="24"/>
        </w:rPr>
        <w:t>Aging Clin Exp Res</w:t>
      </w:r>
      <w:r w:rsidRPr="002B462A">
        <w:rPr>
          <w:sz w:val="24"/>
          <w:szCs w:val="24"/>
        </w:rPr>
        <w:t xml:space="preserve">. </w:t>
      </w:r>
      <w:r w:rsidRPr="001E7985">
        <w:rPr>
          <w:b/>
          <w:bCs/>
          <w:sz w:val="24"/>
          <w:szCs w:val="24"/>
        </w:rPr>
        <w:t>11</w:t>
      </w:r>
      <w:r w:rsidRPr="002B462A">
        <w:rPr>
          <w:sz w:val="24"/>
          <w:szCs w:val="24"/>
        </w:rPr>
        <w:t>(3):142-9</w:t>
      </w:r>
      <w:r w:rsidR="001E7985">
        <w:rPr>
          <w:sz w:val="24"/>
          <w:szCs w:val="24"/>
        </w:rPr>
        <w:t xml:space="preserve"> (1999).</w:t>
      </w:r>
    </w:p>
  </w:endnote>
  <w:endnote w:id="7">
    <w:p w14:paraId="792622F4" w14:textId="3BD6F4A4" w:rsidR="001E7985" w:rsidRDefault="001E7985">
      <w:pPr>
        <w:pStyle w:val="EndnoteText"/>
      </w:pPr>
      <w:r>
        <w:rPr>
          <w:rStyle w:val="EndnoteReference"/>
        </w:rPr>
        <w:endnoteRef/>
      </w:r>
      <w:r>
        <w:t xml:space="preserve"> </w:t>
      </w:r>
      <w:r w:rsidRPr="002B462A">
        <w:rPr>
          <w:sz w:val="24"/>
          <w:szCs w:val="24"/>
          <w:lang w:val="it-IT"/>
        </w:rPr>
        <w:t xml:space="preserve">Esposito M. Dinamiche demografiche dei comuni della Sardegna (1961-2010). In: Dinamiche demografiche in Sardegna tra passato e futuro. Marco </w:t>
      </w:r>
      <w:proofErr w:type="spellStart"/>
      <w:r w:rsidRPr="002B462A">
        <w:rPr>
          <w:sz w:val="24"/>
          <w:szCs w:val="24"/>
          <w:lang w:val="it-IT"/>
        </w:rPr>
        <w:t>Breschi</w:t>
      </w:r>
      <w:proofErr w:type="spellEnd"/>
      <w:r w:rsidRPr="002B462A">
        <w:rPr>
          <w:sz w:val="24"/>
          <w:szCs w:val="24"/>
          <w:lang w:val="it-IT"/>
        </w:rPr>
        <w:t xml:space="preserve"> Ed. Udine, Forum 2012.</w:t>
      </w:r>
    </w:p>
  </w:endnote>
  <w:endnote w:id="8">
    <w:p w14:paraId="744162FB" w14:textId="77777777" w:rsidR="001E7985" w:rsidRPr="002B462A" w:rsidRDefault="001E7985" w:rsidP="001E7985">
      <w:r>
        <w:rPr>
          <w:rStyle w:val="EndnoteReference"/>
        </w:rPr>
        <w:endnoteRef/>
      </w:r>
      <w:r>
        <w:t xml:space="preserve"> </w:t>
      </w:r>
      <w:proofErr w:type="spellStart"/>
      <w:r w:rsidRPr="002B462A">
        <w:rPr>
          <w:lang w:val="it-IT"/>
        </w:rPr>
        <w:t>Deiana</w:t>
      </w:r>
      <w:proofErr w:type="spellEnd"/>
      <w:r w:rsidRPr="002B462A">
        <w:rPr>
          <w:lang w:val="it-IT"/>
        </w:rPr>
        <w:t xml:space="preserve"> L, Ferrucci L, </w:t>
      </w:r>
      <w:proofErr w:type="spellStart"/>
      <w:r w:rsidRPr="002B462A">
        <w:rPr>
          <w:lang w:val="it-IT"/>
        </w:rPr>
        <w:t>Pes</w:t>
      </w:r>
      <w:proofErr w:type="spellEnd"/>
      <w:r w:rsidRPr="002B462A">
        <w:rPr>
          <w:lang w:val="it-IT"/>
        </w:rPr>
        <w:t xml:space="preserve"> GM, et al. </w:t>
      </w:r>
      <w:proofErr w:type="spellStart"/>
      <w:r w:rsidRPr="002B462A">
        <w:t>AKEntAnnos</w:t>
      </w:r>
      <w:proofErr w:type="spellEnd"/>
      <w:r w:rsidRPr="002B462A">
        <w:t>. The Sardinia Study of Extreme</w:t>
      </w:r>
    </w:p>
    <w:p w14:paraId="32EE3029" w14:textId="023ACFDB" w:rsidR="001E7985" w:rsidRDefault="001E7985" w:rsidP="001E7985">
      <w:r w:rsidRPr="002B462A">
        <w:t xml:space="preserve">Longevity. </w:t>
      </w:r>
      <w:r w:rsidRPr="001E7985">
        <w:rPr>
          <w:i/>
          <w:iCs/>
        </w:rPr>
        <w:t>Aging Clin Exp Res</w:t>
      </w:r>
      <w:r w:rsidRPr="002B462A">
        <w:t xml:space="preserve">. </w:t>
      </w:r>
      <w:r w:rsidRPr="001E7985">
        <w:rPr>
          <w:b/>
          <w:bCs/>
        </w:rPr>
        <w:t>11</w:t>
      </w:r>
      <w:r w:rsidRPr="002B462A">
        <w:t>(3):142-9</w:t>
      </w:r>
      <w:r>
        <w:t xml:space="preserve"> (1999). </w:t>
      </w:r>
    </w:p>
  </w:endnote>
  <w:endnote w:id="9">
    <w:p w14:paraId="190F1CC8" w14:textId="09EA85BD" w:rsidR="001E7985" w:rsidRDefault="001E7985">
      <w:pPr>
        <w:pStyle w:val="EndnoteText"/>
      </w:pPr>
      <w:r>
        <w:rPr>
          <w:rStyle w:val="EndnoteReference"/>
        </w:rPr>
        <w:endnoteRef/>
      </w:r>
      <w:r>
        <w:t xml:space="preserve"> </w:t>
      </w:r>
      <w:r w:rsidRPr="002B462A">
        <w:rPr>
          <w:sz w:val="24"/>
          <w:szCs w:val="24"/>
        </w:rPr>
        <w:t>Pes GM. The Sardinian Centenarian Study. Research Workshop on “Genes, Genealogy and Longevity”; Max-Planck-Gesellschaft: Montpellier, France, 1999.</w:t>
      </w:r>
    </w:p>
  </w:endnote>
  <w:endnote w:id="10">
    <w:p w14:paraId="6C09624B" w14:textId="77777777" w:rsidR="001E7985" w:rsidRPr="002B462A" w:rsidRDefault="001E7985" w:rsidP="001E7985">
      <w:r>
        <w:rPr>
          <w:rStyle w:val="EndnoteReference"/>
        </w:rPr>
        <w:endnoteRef/>
      </w:r>
      <w:r>
        <w:t xml:space="preserve"> </w:t>
      </w:r>
      <w:proofErr w:type="spellStart"/>
      <w:r w:rsidRPr="002B462A">
        <w:t>Poulain</w:t>
      </w:r>
      <w:proofErr w:type="spellEnd"/>
      <w:r w:rsidRPr="002B462A">
        <w:t xml:space="preserve"> M, Pes GM, </w:t>
      </w:r>
      <w:proofErr w:type="spellStart"/>
      <w:r w:rsidRPr="002B462A">
        <w:t>Grasland</w:t>
      </w:r>
      <w:proofErr w:type="spellEnd"/>
      <w:r w:rsidRPr="002B462A">
        <w:t xml:space="preserve"> C, et al. Identification of a geographic area</w:t>
      </w:r>
    </w:p>
    <w:p w14:paraId="26DDE2A9" w14:textId="389ED97C" w:rsidR="001E7985" w:rsidRDefault="001E7985" w:rsidP="001E7985">
      <w:r w:rsidRPr="002B462A">
        <w:t xml:space="preserve">characterized by extreme longevity in the Sardinia island: the AKEA study. </w:t>
      </w:r>
      <w:r w:rsidRPr="001E7985">
        <w:rPr>
          <w:i/>
          <w:iCs/>
        </w:rPr>
        <w:t xml:space="preserve">Exp </w:t>
      </w:r>
      <w:proofErr w:type="spellStart"/>
      <w:r w:rsidRPr="001E7985">
        <w:rPr>
          <w:i/>
          <w:iCs/>
        </w:rPr>
        <w:t>Gerontol</w:t>
      </w:r>
      <w:proofErr w:type="spellEnd"/>
      <w:r w:rsidRPr="002B462A">
        <w:t xml:space="preserve">. </w:t>
      </w:r>
      <w:r w:rsidRPr="001E7985">
        <w:rPr>
          <w:b/>
          <w:bCs/>
        </w:rPr>
        <w:t>39</w:t>
      </w:r>
      <w:r w:rsidRPr="002B462A">
        <w:t>(9):1423-9</w:t>
      </w:r>
      <w:r>
        <w:t xml:space="preserve"> (2004).</w:t>
      </w:r>
    </w:p>
  </w:endnote>
  <w:endnote w:id="11">
    <w:p w14:paraId="033BD6B7" w14:textId="17186D72" w:rsidR="001E7985" w:rsidRPr="001E7985" w:rsidRDefault="001E7985" w:rsidP="001E7985">
      <w:pPr>
        <w:rPr>
          <w:lang w:val="en-GB" w:eastAsia="it-IT"/>
        </w:rPr>
      </w:pPr>
      <w:r>
        <w:rPr>
          <w:rStyle w:val="EndnoteReference"/>
        </w:rPr>
        <w:endnoteRef/>
      </w:r>
      <w:r>
        <w:t xml:space="preserve"> </w:t>
      </w:r>
      <w:proofErr w:type="spellStart"/>
      <w:r w:rsidRPr="002B462A">
        <w:rPr>
          <w:lang w:eastAsia="it-IT"/>
        </w:rPr>
        <w:t>Tolu</w:t>
      </w:r>
      <w:r>
        <w:rPr>
          <w:lang w:eastAsia="it-IT"/>
        </w:rPr>
        <w:t>,</w:t>
      </w:r>
      <w:r w:rsidRPr="002B462A">
        <w:rPr>
          <w:lang w:eastAsia="it-IT"/>
        </w:rPr>
        <w:t xml:space="preserve"> </w:t>
      </w:r>
      <w:proofErr w:type="spellEnd"/>
      <w:r w:rsidRPr="002B462A">
        <w:rPr>
          <w:lang w:eastAsia="it-IT"/>
        </w:rPr>
        <w:t>F</w:t>
      </w:r>
      <w:r>
        <w:rPr>
          <w:lang w:eastAsia="it-IT"/>
        </w:rPr>
        <w:t>.</w:t>
      </w:r>
      <w:r w:rsidRPr="002B462A">
        <w:rPr>
          <w:lang w:eastAsia="it-IT"/>
        </w:rPr>
        <w:t>, Palermo</w:t>
      </w:r>
      <w:r>
        <w:rPr>
          <w:lang w:eastAsia="it-IT"/>
        </w:rPr>
        <w:t>,</w:t>
      </w:r>
      <w:r w:rsidRPr="002B462A">
        <w:rPr>
          <w:lang w:eastAsia="it-IT"/>
        </w:rPr>
        <w:t xml:space="preserve"> M</w:t>
      </w:r>
      <w:r>
        <w:rPr>
          <w:lang w:eastAsia="it-IT"/>
        </w:rPr>
        <w:t>.</w:t>
      </w:r>
      <w:r w:rsidRPr="002B462A">
        <w:rPr>
          <w:lang w:eastAsia="it-IT"/>
        </w:rPr>
        <w:t>, Dore</w:t>
      </w:r>
      <w:r>
        <w:rPr>
          <w:lang w:eastAsia="it-IT"/>
        </w:rPr>
        <w:t>,</w:t>
      </w:r>
      <w:r w:rsidRPr="002B462A">
        <w:rPr>
          <w:lang w:eastAsia="it-IT"/>
        </w:rPr>
        <w:t xml:space="preserve"> M</w:t>
      </w:r>
      <w:r>
        <w:rPr>
          <w:lang w:eastAsia="it-IT"/>
        </w:rPr>
        <w:t>.</w:t>
      </w:r>
      <w:r w:rsidRPr="002B462A">
        <w:rPr>
          <w:lang w:eastAsia="it-IT"/>
        </w:rPr>
        <w:t>P</w:t>
      </w:r>
      <w:r>
        <w:rPr>
          <w:lang w:eastAsia="it-IT"/>
        </w:rPr>
        <w:t>.</w:t>
      </w:r>
      <w:r w:rsidRPr="002B462A">
        <w:rPr>
          <w:lang w:eastAsia="it-IT"/>
        </w:rPr>
        <w:t xml:space="preserve">, </w:t>
      </w:r>
      <w:r>
        <w:rPr>
          <w:lang w:eastAsia="it-IT"/>
        </w:rPr>
        <w:t xml:space="preserve">et al. </w:t>
      </w:r>
      <w:r w:rsidRPr="002B462A">
        <w:rPr>
          <w:lang w:val="en-GB" w:eastAsia="it-IT"/>
        </w:rPr>
        <w:t>Association of endemic goitre and exceptional longevity in Sardinia: evidence from an ecological study.</w:t>
      </w:r>
      <w:r>
        <w:rPr>
          <w:lang w:val="en-GB" w:eastAsia="it-IT"/>
        </w:rPr>
        <w:t xml:space="preserve"> </w:t>
      </w:r>
      <w:r w:rsidRPr="001E7985">
        <w:rPr>
          <w:i/>
          <w:iCs/>
          <w:lang w:val="en-GB" w:eastAsia="it-IT"/>
        </w:rPr>
        <w:t>Eur J Ageing</w:t>
      </w:r>
      <w:r w:rsidRPr="002B462A">
        <w:rPr>
          <w:lang w:val="en-GB" w:eastAsia="it-IT"/>
        </w:rPr>
        <w:t xml:space="preserve">. </w:t>
      </w:r>
      <w:r w:rsidRPr="001E7985">
        <w:rPr>
          <w:b/>
          <w:bCs/>
          <w:lang w:val="en-GB" w:eastAsia="it-IT"/>
        </w:rPr>
        <w:t>16</w:t>
      </w:r>
      <w:r w:rsidRPr="002B462A">
        <w:rPr>
          <w:lang w:val="en-GB" w:eastAsia="it-IT"/>
        </w:rPr>
        <w:t>(4):405-414</w:t>
      </w:r>
      <w:r>
        <w:rPr>
          <w:lang w:val="en-GB" w:eastAsia="it-IT"/>
        </w:rPr>
        <w:t xml:space="preserve"> (2019)</w:t>
      </w:r>
      <w:r w:rsidRPr="002B462A">
        <w:rPr>
          <w:lang w:val="en-GB" w:eastAsia="it-IT"/>
        </w:rPr>
        <w:t xml:space="preserve">. </w:t>
      </w:r>
    </w:p>
  </w:endnote>
  <w:endnote w:id="12">
    <w:p w14:paraId="6E1F8CC9" w14:textId="5F5CCDBB" w:rsidR="0081761C" w:rsidRPr="002B462A" w:rsidRDefault="0081761C">
      <w:pPr>
        <w:pStyle w:val="EndnoteText"/>
        <w:rPr>
          <w:sz w:val="24"/>
          <w:szCs w:val="24"/>
        </w:rPr>
      </w:pPr>
      <w:r w:rsidRPr="002B462A">
        <w:rPr>
          <w:rStyle w:val="EndnoteReference"/>
          <w:sz w:val="24"/>
          <w:szCs w:val="24"/>
        </w:rPr>
        <w:endnoteRef/>
      </w:r>
      <w:r w:rsidRPr="002B462A">
        <w:rPr>
          <w:sz w:val="24"/>
          <w:szCs w:val="24"/>
        </w:rPr>
        <w:t xml:space="preserve"> Pes</w:t>
      </w:r>
      <w:r w:rsidR="001E7985">
        <w:rPr>
          <w:sz w:val="24"/>
          <w:szCs w:val="24"/>
        </w:rPr>
        <w:t>,</w:t>
      </w:r>
      <w:r w:rsidRPr="002B462A">
        <w:rPr>
          <w:sz w:val="24"/>
          <w:szCs w:val="24"/>
        </w:rPr>
        <w:t xml:space="preserve"> G</w:t>
      </w:r>
      <w:r w:rsidR="001E7985">
        <w:rPr>
          <w:sz w:val="24"/>
          <w:szCs w:val="24"/>
        </w:rPr>
        <w:t>.</w:t>
      </w:r>
      <w:r w:rsidRPr="002B462A">
        <w:rPr>
          <w:sz w:val="24"/>
          <w:szCs w:val="24"/>
        </w:rPr>
        <w:t>M. The Sardinian Centenarian Study. Research Workshop on “Genes, Genealogy and Longevity”; Max-Planck-Gesellschaft: Montpellier, France, 1999.</w:t>
      </w:r>
    </w:p>
  </w:endnote>
  <w:endnote w:id="13">
    <w:p w14:paraId="6E79EF81" w14:textId="77777777" w:rsidR="0081761C" w:rsidRPr="002B462A" w:rsidRDefault="0081761C" w:rsidP="0081761C">
      <w:r w:rsidRPr="002B462A">
        <w:rPr>
          <w:rStyle w:val="EndnoteReference"/>
        </w:rPr>
        <w:endnoteRef/>
      </w:r>
      <w:r w:rsidRPr="002B462A">
        <w:t xml:space="preserve"> Poulain M, Pes GM, Grasland C, et al. Identification of a geographic area</w:t>
      </w:r>
    </w:p>
    <w:p w14:paraId="4DF4B2E0" w14:textId="542AF23F" w:rsidR="0081761C" w:rsidRPr="002B462A" w:rsidRDefault="0081761C" w:rsidP="0081761C">
      <w:r w:rsidRPr="002B462A">
        <w:t>characterized by extreme longevity in the Sardinia island: the AKEA study. Exp Gerontol. 39(9):1423-9</w:t>
      </w:r>
      <w:r w:rsidR="001E7985">
        <w:t xml:space="preserve"> (2004)</w:t>
      </w:r>
      <w:r w:rsidRPr="002B462A">
        <w:t xml:space="preserve">. </w:t>
      </w:r>
    </w:p>
  </w:endnote>
  <w:endnote w:id="14">
    <w:p w14:paraId="64EA72CF" w14:textId="660FE457" w:rsidR="0081761C" w:rsidRPr="002B462A" w:rsidRDefault="0081761C" w:rsidP="0081761C">
      <w:r w:rsidRPr="002B462A">
        <w:rPr>
          <w:rStyle w:val="EndnoteReference"/>
        </w:rPr>
        <w:endnoteRef/>
      </w:r>
      <w:r w:rsidRPr="002B462A">
        <w:t xml:space="preserve"> </w:t>
      </w:r>
      <w:proofErr w:type="spellStart"/>
      <w:r w:rsidRPr="002B462A">
        <w:t>Poulain</w:t>
      </w:r>
      <w:proofErr w:type="spellEnd"/>
      <w:r w:rsidR="001E7985">
        <w:t>,</w:t>
      </w:r>
      <w:r w:rsidRPr="002B462A">
        <w:t xml:space="preserve"> M</w:t>
      </w:r>
      <w:r w:rsidR="001E7985">
        <w:t>.</w:t>
      </w:r>
      <w:r w:rsidRPr="002B462A">
        <w:t>, Pes</w:t>
      </w:r>
      <w:r w:rsidR="001E7985">
        <w:t>,</w:t>
      </w:r>
      <w:r w:rsidRPr="002B462A">
        <w:t xml:space="preserve"> G</w:t>
      </w:r>
      <w:r w:rsidR="001E7985">
        <w:t>.</w:t>
      </w:r>
      <w:r w:rsidRPr="002B462A">
        <w:t>M</w:t>
      </w:r>
      <w:r w:rsidR="001E7985">
        <w:t>.</w:t>
      </w:r>
      <w:r w:rsidRPr="002B462A">
        <w:t xml:space="preserve">, </w:t>
      </w:r>
      <w:proofErr w:type="spellStart"/>
      <w:r w:rsidRPr="002B462A">
        <w:t>Grasland</w:t>
      </w:r>
      <w:proofErr w:type="spellEnd"/>
      <w:r w:rsidR="001E7985">
        <w:t>,</w:t>
      </w:r>
      <w:r w:rsidRPr="002B462A">
        <w:t xml:space="preserve"> C</w:t>
      </w:r>
      <w:r w:rsidR="001E7985">
        <w:t>.</w:t>
      </w:r>
      <w:r w:rsidRPr="002B462A">
        <w:t>, et al. Identification of a geographic area</w:t>
      </w:r>
    </w:p>
    <w:p w14:paraId="677BB5CD" w14:textId="4685656C" w:rsidR="0081761C" w:rsidRPr="002B462A" w:rsidRDefault="0081761C" w:rsidP="0081761C">
      <w:r w:rsidRPr="002B462A">
        <w:t>characterized by extreme longevity in the Sardinia island: the AKEA study. Exp Gerontol. 39(9):1423-9</w:t>
      </w:r>
      <w:r w:rsidR="001E7985">
        <w:t xml:space="preserve"> (2004).</w:t>
      </w:r>
    </w:p>
  </w:endnote>
  <w:endnote w:id="15">
    <w:p w14:paraId="5E0F96ED" w14:textId="4AE45534" w:rsidR="0081761C" w:rsidRPr="002B462A" w:rsidRDefault="0081761C" w:rsidP="0081761C">
      <w:pPr>
        <w:rPr>
          <w:lang w:val="en-GB" w:eastAsia="it-IT"/>
        </w:rPr>
      </w:pPr>
      <w:r w:rsidRPr="002B462A">
        <w:rPr>
          <w:rStyle w:val="EndnoteReference"/>
        </w:rPr>
        <w:endnoteRef/>
      </w:r>
      <w:r w:rsidRPr="002B462A">
        <w:t xml:space="preserve"> </w:t>
      </w:r>
      <w:r w:rsidRPr="002B462A">
        <w:rPr>
          <w:lang w:eastAsia="it-IT"/>
        </w:rPr>
        <w:t>Tolu</w:t>
      </w:r>
      <w:r w:rsidR="001E7985">
        <w:rPr>
          <w:lang w:eastAsia="it-IT"/>
        </w:rPr>
        <w:t>,</w:t>
      </w:r>
      <w:r w:rsidRPr="002B462A">
        <w:rPr>
          <w:lang w:eastAsia="it-IT"/>
        </w:rPr>
        <w:t xml:space="preserve"> F</w:t>
      </w:r>
      <w:r w:rsidR="001E7985">
        <w:rPr>
          <w:lang w:eastAsia="it-IT"/>
        </w:rPr>
        <w:t>.</w:t>
      </w:r>
      <w:r w:rsidRPr="002B462A">
        <w:rPr>
          <w:lang w:eastAsia="it-IT"/>
        </w:rPr>
        <w:t>, Palermo</w:t>
      </w:r>
      <w:r w:rsidR="001E7985">
        <w:rPr>
          <w:lang w:eastAsia="it-IT"/>
        </w:rPr>
        <w:t>,</w:t>
      </w:r>
      <w:r w:rsidRPr="002B462A">
        <w:rPr>
          <w:lang w:eastAsia="it-IT"/>
        </w:rPr>
        <w:t xml:space="preserve"> M</w:t>
      </w:r>
      <w:r w:rsidR="001E7985">
        <w:rPr>
          <w:lang w:eastAsia="it-IT"/>
        </w:rPr>
        <w:t>.</w:t>
      </w:r>
      <w:r w:rsidRPr="002B462A">
        <w:rPr>
          <w:lang w:eastAsia="it-IT"/>
        </w:rPr>
        <w:t>, Dore</w:t>
      </w:r>
      <w:r w:rsidR="001E7985">
        <w:rPr>
          <w:lang w:eastAsia="it-IT"/>
        </w:rPr>
        <w:t>,</w:t>
      </w:r>
      <w:r w:rsidRPr="002B462A">
        <w:rPr>
          <w:lang w:eastAsia="it-IT"/>
        </w:rPr>
        <w:t xml:space="preserve"> M</w:t>
      </w:r>
      <w:r w:rsidR="001E7985">
        <w:rPr>
          <w:lang w:eastAsia="it-IT"/>
        </w:rPr>
        <w:t>.</w:t>
      </w:r>
      <w:r w:rsidRPr="002B462A">
        <w:rPr>
          <w:lang w:eastAsia="it-IT"/>
        </w:rPr>
        <w:t>P</w:t>
      </w:r>
      <w:r w:rsidR="001E7985">
        <w:rPr>
          <w:lang w:eastAsia="it-IT"/>
        </w:rPr>
        <w:t>.</w:t>
      </w:r>
      <w:r w:rsidRPr="002B462A">
        <w:rPr>
          <w:lang w:eastAsia="it-IT"/>
        </w:rPr>
        <w:t xml:space="preserve">, </w:t>
      </w:r>
      <w:r w:rsidR="001E7985">
        <w:rPr>
          <w:lang w:eastAsia="it-IT"/>
        </w:rPr>
        <w:t xml:space="preserve">et al. </w:t>
      </w:r>
      <w:r w:rsidRPr="002B462A">
        <w:rPr>
          <w:lang w:val="en-GB" w:eastAsia="it-IT"/>
        </w:rPr>
        <w:t>Association of endemic goitre and exceptional longevity in Sardinia: evidence from an ecological study.</w:t>
      </w:r>
      <w:r w:rsidR="001E7985">
        <w:rPr>
          <w:lang w:val="en-GB" w:eastAsia="it-IT"/>
        </w:rPr>
        <w:t xml:space="preserve"> </w:t>
      </w:r>
      <w:r w:rsidRPr="001E7985">
        <w:rPr>
          <w:i/>
          <w:iCs/>
          <w:lang w:val="en-GB" w:eastAsia="it-IT"/>
        </w:rPr>
        <w:t>Eur J Ageing</w:t>
      </w:r>
      <w:r w:rsidRPr="002B462A">
        <w:rPr>
          <w:lang w:val="en-GB" w:eastAsia="it-IT"/>
        </w:rPr>
        <w:t xml:space="preserve">. </w:t>
      </w:r>
      <w:r w:rsidRPr="001E7985">
        <w:rPr>
          <w:b/>
          <w:bCs/>
          <w:lang w:val="en-GB" w:eastAsia="it-IT"/>
        </w:rPr>
        <w:t>16</w:t>
      </w:r>
      <w:r w:rsidRPr="002B462A">
        <w:rPr>
          <w:lang w:val="en-GB" w:eastAsia="it-IT"/>
        </w:rPr>
        <w:t>(4):405-414</w:t>
      </w:r>
      <w:r w:rsidR="001E7985">
        <w:rPr>
          <w:lang w:val="en-GB" w:eastAsia="it-IT"/>
        </w:rPr>
        <w:t xml:space="preserve"> (2019).</w:t>
      </w:r>
    </w:p>
  </w:endnote>
  <w:endnote w:id="16">
    <w:p w14:paraId="2173499B" w14:textId="77777777" w:rsidR="008E085E" w:rsidRPr="002B462A" w:rsidRDefault="008E085E" w:rsidP="008E085E">
      <w:pPr>
        <w:pStyle w:val="EndnoteText"/>
        <w:rPr>
          <w:sz w:val="24"/>
          <w:szCs w:val="24"/>
        </w:rPr>
      </w:pPr>
      <w:r w:rsidRPr="002B462A">
        <w:rPr>
          <w:rStyle w:val="EndnoteReference"/>
          <w:sz w:val="24"/>
          <w:szCs w:val="24"/>
        </w:rPr>
        <w:endnoteRef/>
      </w:r>
      <w:r w:rsidRPr="002B462A">
        <w:rPr>
          <w:sz w:val="24"/>
          <w:szCs w:val="24"/>
        </w:rPr>
        <w:t xml:space="preserve"> https://www.ipss.go.jp/p-toukei/JMD/47/index-en.html</w:t>
      </w:r>
    </w:p>
  </w:endnote>
  <w:endnote w:id="17">
    <w:p w14:paraId="5EDB7FD2" w14:textId="77777777" w:rsidR="008E085E" w:rsidRPr="002B462A" w:rsidRDefault="008E085E" w:rsidP="008E085E">
      <w:pPr>
        <w:pStyle w:val="EndnoteText"/>
        <w:rPr>
          <w:sz w:val="24"/>
          <w:szCs w:val="24"/>
        </w:rPr>
      </w:pPr>
      <w:r w:rsidRPr="002B462A">
        <w:rPr>
          <w:rStyle w:val="EndnoteReference"/>
          <w:sz w:val="24"/>
          <w:szCs w:val="24"/>
        </w:rPr>
        <w:endnoteRef/>
      </w:r>
      <w:r w:rsidRPr="002B462A">
        <w:rPr>
          <w:sz w:val="24"/>
          <w:szCs w:val="24"/>
        </w:rPr>
        <w:t xml:space="preserve"> https://www.e-stat.go.jp/en/stat-search/files?page=1&amp;layout=datalist&amp;toukei=00200524&amp;tstat=000000090001&amp;cycle=7&amp;year=20010&amp;month=0&amp;tclass1=000001011679</w:t>
      </w:r>
    </w:p>
  </w:endnote>
  <w:endnote w:id="18">
    <w:p w14:paraId="0354E584" w14:textId="4FAE8A15"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Ikeda N, Saito E, Kondo N </w:t>
      </w:r>
      <w:r w:rsidRPr="002B462A">
        <w:rPr>
          <w:i/>
          <w:iCs/>
          <w:sz w:val="24"/>
          <w:szCs w:val="24"/>
        </w:rPr>
        <w:t>et al.</w:t>
      </w:r>
      <w:r w:rsidRPr="002B462A">
        <w:rPr>
          <w:sz w:val="24"/>
          <w:szCs w:val="24"/>
        </w:rPr>
        <w:t> What has made the population</w:t>
      </w:r>
      <w:r w:rsidR="001E7985">
        <w:rPr>
          <w:sz w:val="24"/>
          <w:szCs w:val="24"/>
        </w:rPr>
        <w:t xml:space="preserve"> </w:t>
      </w:r>
      <w:r w:rsidRPr="002B462A">
        <w:rPr>
          <w:sz w:val="24"/>
          <w:szCs w:val="24"/>
        </w:rPr>
        <w:t>of Japan healthy? </w:t>
      </w:r>
      <w:r w:rsidRPr="002B462A">
        <w:rPr>
          <w:i/>
          <w:iCs/>
          <w:sz w:val="24"/>
          <w:szCs w:val="24"/>
        </w:rPr>
        <w:t>Lancet</w:t>
      </w:r>
      <w:r w:rsidRPr="002B462A">
        <w:rPr>
          <w:sz w:val="24"/>
          <w:szCs w:val="24"/>
        </w:rPr>
        <w:t> </w:t>
      </w:r>
      <w:r w:rsidRPr="002B462A">
        <w:rPr>
          <w:b/>
          <w:bCs/>
          <w:sz w:val="24"/>
          <w:szCs w:val="24"/>
        </w:rPr>
        <w:t>378</w:t>
      </w:r>
      <w:r w:rsidRPr="002B462A">
        <w:rPr>
          <w:sz w:val="24"/>
          <w:szCs w:val="24"/>
        </w:rPr>
        <w:t>, 1094–1105 (2011).</w:t>
      </w:r>
    </w:p>
  </w:endnote>
  <w:endnote w:id="19">
    <w:p w14:paraId="275890DD" w14:textId="736B9729"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Ministry of Health, Labour and Welfare (MHLW). </w:t>
      </w:r>
      <w:r w:rsidRPr="002B462A">
        <w:rPr>
          <w:i/>
          <w:iCs/>
          <w:sz w:val="24"/>
          <w:szCs w:val="24"/>
        </w:rPr>
        <w:t>Vital Statistics of Japan</w:t>
      </w:r>
      <w:r w:rsidRPr="002B462A">
        <w:rPr>
          <w:sz w:val="24"/>
          <w:szCs w:val="24"/>
        </w:rPr>
        <w:t> (annual vols).</w:t>
      </w:r>
    </w:p>
  </w:endnote>
  <w:endnote w:id="20">
    <w:p w14:paraId="200A2418" w14:textId="138F1D2B"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Cabinet Office of Japan. </w:t>
      </w:r>
      <w:r w:rsidRPr="002B462A">
        <w:rPr>
          <w:i/>
          <w:iCs/>
          <w:sz w:val="24"/>
          <w:szCs w:val="24"/>
        </w:rPr>
        <w:t>Annual Report on the Aging Society 2022.</w:t>
      </w:r>
      <w:r w:rsidRPr="002B462A">
        <w:rPr>
          <w:sz w:val="24"/>
          <w:szCs w:val="24"/>
        </w:rPr>
        <w:t> Cabinet Office (2022).</w:t>
      </w:r>
    </w:p>
  </w:endnote>
  <w:endnote w:id="21">
    <w:p w14:paraId="4187764F" w14:textId="2B186B88"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MHLW. </w:t>
      </w:r>
      <w:r w:rsidRPr="002B462A">
        <w:rPr>
          <w:i/>
          <w:iCs/>
          <w:sz w:val="24"/>
          <w:szCs w:val="24"/>
        </w:rPr>
        <w:t>Annual Centenarian </w:t>
      </w:r>
      <w:proofErr w:type="spellStart"/>
      <w:r w:rsidRPr="002B462A">
        <w:rPr>
          <w:i/>
          <w:iCs/>
          <w:sz w:val="24"/>
          <w:szCs w:val="24"/>
        </w:rPr>
        <w:t>Report.</w:t>
      </w:r>
      <w:r w:rsidRPr="002B462A">
        <w:rPr>
          <w:sz w:val="24"/>
          <w:szCs w:val="24"/>
        </w:rPr>
        <w:t>Japan</w:t>
      </w:r>
      <w:proofErr w:type="spellEnd"/>
      <w:r w:rsidRPr="002B462A">
        <w:rPr>
          <w:sz w:val="24"/>
          <w:szCs w:val="24"/>
        </w:rPr>
        <w:t xml:space="preserve"> Ministry of Health, </w:t>
      </w:r>
      <w:proofErr w:type="spellStart"/>
      <w:r w:rsidRPr="002B462A">
        <w:rPr>
          <w:sz w:val="24"/>
          <w:szCs w:val="24"/>
        </w:rPr>
        <w:t>Labour</w:t>
      </w:r>
      <w:proofErr w:type="spellEnd"/>
      <w:r w:rsidRPr="002B462A">
        <w:rPr>
          <w:sz w:val="24"/>
          <w:szCs w:val="24"/>
        </w:rPr>
        <w:t> &amp; Welfare, (2025).</w:t>
      </w:r>
    </w:p>
  </w:endnote>
  <w:endnote w:id="22">
    <w:p w14:paraId="08AB2CC4" w14:textId="552EB382"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Jeune B &amp; Vaupel J W (eds). </w:t>
      </w:r>
      <w:r w:rsidRPr="002B462A">
        <w:rPr>
          <w:i/>
          <w:iCs/>
          <w:sz w:val="24"/>
          <w:szCs w:val="24"/>
        </w:rPr>
        <w:t>Exceptional Longevity: From Prehistory to the Present.</w:t>
      </w:r>
      <w:r w:rsidRPr="002B462A">
        <w:rPr>
          <w:sz w:val="24"/>
          <w:szCs w:val="24"/>
        </w:rPr>
        <w:t>  (Odense Univ Press, 1995).</w:t>
      </w:r>
    </w:p>
  </w:endnote>
  <w:endnote w:id="23">
    <w:p w14:paraId="2D56E72A" w14:textId="2EE61228"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Kono S. Reliability of Japanese population data systems. </w:t>
      </w:r>
      <w:r w:rsidRPr="002B462A">
        <w:rPr>
          <w:i/>
          <w:iCs/>
          <w:sz w:val="24"/>
          <w:szCs w:val="24"/>
        </w:rPr>
        <w:t>Demogr Res</w:t>
      </w:r>
      <w:r w:rsidRPr="002B462A">
        <w:rPr>
          <w:sz w:val="24"/>
          <w:szCs w:val="24"/>
        </w:rPr>
        <w:t> </w:t>
      </w:r>
      <w:r w:rsidRPr="002B462A">
        <w:rPr>
          <w:b/>
          <w:bCs/>
          <w:sz w:val="24"/>
          <w:szCs w:val="24"/>
        </w:rPr>
        <w:t>25</w:t>
      </w:r>
      <w:r w:rsidRPr="002B462A">
        <w:rPr>
          <w:sz w:val="24"/>
          <w:szCs w:val="24"/>
        </w:rPr>
        <w:t>, 235–268 (2011).</w:t>
      </w:r>
    </w:p>
  </w:endnote>
  <w:endnote w:id="24">
    <w:p w14:paraId="308444D9" w14:textId="1B76E7E6" w:rsidR="00F46964" w:rsidRPr="002B462A" w:rsidRDefault="00F46964" w:rsidP="00F46964">
      <w:pPr>
        <w:rPr>
          <w:i/>
          <w:iCs/>
        </w:rPr>
      </w:pPr>
      <w:r w:rsidRPr="002B462A">
        <w:rPr>
          <w:rStyle w:val="EndnoteReference"/>
        </w:rPr>
        <w:endnoteRef/>
      </w:r>
      <w:r w:rsidRPr="002B462A">
        <w:t xml:space="preserve"> Human Mortality Database. </w:t>
      </w:r>
      <w:r w:rsidRPr="002B462A">
        <w:rPr>
          <w:i/>
          <w:iCs/>
        </w:rPr>
        <w:t>University of California, Berkeley (USA), and Max Planck </w:t>
      </w:r>
    </w:p>
    <w:p w14:paraId="7661B6B3" w14:textId="5D51FA18" w:rsidR="00F46964" w:rsidRPr="002B462A" w:rsidRDefault="00F46964" w:rsidP="00F46964">
      <w:pPr>
        <w:pStyle w:val="EndnoteText"/>
        <w:rPr>
          <w:sz w:val="24"/>
          <w:szCs w:val="24"/>
        </w:rPr>
      </w:pPr>
      <w:r w:rsidRPr="002B462A">
        <w:rPr>
          <w:i/>
          <w:iCs/>
          <w:sz w:val="24"/>
          <w:szCs w:val="24"/>
        </w:rPr>
        <w:t>Institute for Demographic Research (Germany).</w:t>
      </w:r>
      <w:r w:rsidRPr="002B462A">
        <w:rPr>
          <w:sz w:val="24"/>
          <w:szCs w:val="24"/>
        </w:rPr>
        <w:t> [www.mortality.org] (accessed Nov 2025).</w:t>
      </w:r>
    </w:p>
  </w:endnote>
  <w:endnote w:id="25">
    <w:p w14:paraId="54CD5082" w14:textId="14D1759C"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Statistics Bureau of Japan. </w:t>
      </w:r>
      <w:r w:rsidRPr="002B462A">
        <w:rPr>
          <w:i/>
          <w:iCs/>
          <w:sz w:val="24"/>
          <w:szCs w:val="24"/>
        </w:rPr>
        <w:t>Census of Japan (1920–2020 editions).</w:t>
      </w:r>
      <w:r w:rsidRPr="002B462A">
        <w:rPr>
          <w:sz w:val="24"/>
          <w:szCs w:val="24"/>
        </w:rPr>
        <w:t> (2021).</w:t>
      </w:r>
    </w:p>
  </w:endnote>
  <w:endnote w:id="26">
    <w:p w14:paraId="6787C635" w14:textId="16049F95" w:rsidR="00F46964" w:rsidRPr="002B462A" w:rsidRDefault="00F46964">
      <w:pPr>
        <w:pStyle w:val="EndnoteText"/>
        <w:rPr>
          <w:sz w:val="24"/>
          <w:szCs w:val="24"/>
        </w:rPr>
      </w:pPr>
      <w:r w:rsidRPr="002B462A">
        <w:rPr>
          <w:rStyle w:val="EndnoteReference"/>
          <w:sz w:val="24"/>
          <w:szCs w:val="24"/>
        </w:rPr>
        <w:endnoteRef/>
      </w:r>
      <w:r w:rsidRPr="002B462A">
        <w:rPr>
          <w:sz w:val="24"/>
          <w:szCs w:val="24"/>
        </w:rPr>
        <w:t xml:space="preserve"> Kono S. Reliability of Japanese population data systems. </w:t>
      </w:r>
      <w:r w:rsidRPr="002B462A">
        <w:rPr>
          <w:i/>
          <w:iCs/>
          <w:sz w:val="24"/>
          <w:szCs w:val="24"/>
        </w:rPr>
        <w:t>Demogr Res</w:t>
      </w:r>
      <w:r w:rsidRPr="002B462A">
        <w:rPr>
          <w:sz w:val="24"/>
          <w:szCs w:val="24"/>
        </w:rPr>
        <w:t> </w:t>
      </w:r>
      <w:r w:rsidRPr="002B462A">
        <w:rPr>
          <w:b/>
          <w:bCs/>
          <w:sz w:val="24"/>
          <w:szCs w:val="24"/>
        </w:rPr>
        <w:t>25</w:t>
      </w:r>
      <w:r w:rsidRPr="002B462A">
        <w:rPr>
          <w:sz w:val="24"/>
          <w:szCs w:val="24"/>
        </w:rPr>
        <w:t>, 235–268 (2011).</w:t>
      </w:r>
    </w:p>
  </w:endnote>
  <w:endnote w:id="27">
    <w:p w14:paraId="0C0AB5C4" w14:textId="3E4C2A0C" w:rsidR="00F46964" w:rsidRPr="002B462A" w:rsidRDefault="00F46964" w:rsidP="00F46964">
      <w:pPr>
        <w:rPr>
          <w:i/>
          <w:iCs/>
        </w:rPr>
      </w:pPr>
      <w:r w:rsidRPr="002B462A">
        <w:rPr>
          <w:rStyle w:val="EndnoteReference"/>
        </w:rPr>
        <w:endnoteRef/>
      </w:r>
      <w:r w:rsidRPr="002B462A">
        <w:t xml:space="preserve"> Human Mortality Database. </w:t>
      </w:r>
      <w:r w:rsidRPr="002B462A">
        <w:rPr>
          <w:i/>
          <w:iCs/>
        </w:rPr>
        <w:t>University of California, Berkeley (USA), and Max Planck </w:t>
      </w:r>
    </w:p>
    <w:p w14:paraId="485BD843" w14:textId="11EBE464" w:rsidR="00F46964" w:rsidRPr="002B462A" w:rsidRDefault="00F46964" w:rsidP="00F46964">
      <w:pPr>
        <w:pStyle w:val="EndnoteText"/>
        <w:rPr>
          <w:sz w:val="24"/>
          <w:szCs w:val="24"/>
        </w:rPr>
      </w:pPr>
      <w:r w:rsidRPr="002B462A">
        <w:rPr>
          <w:i/>
          <w:iCs/>
          <w:sz w:val="24"/>
          <w:szCs w:val="24"/>
        </w:rPr>
        <w:t>Institute for Demographic Research (Germany).</w:t>
      </w:r>
      <w:r w:rsidRPr="002B462A">
        <w:rPr>
          <w:sz w:val="24"/>
          <w:szCs w:val="24"/>
        </w:rPr>
        <w:t> [www.mortality.org] (accessed Nov 2025).</w:t>
      </w:r>
    </w:p>
  </w:endnote>
  <w:endnote w:id="28">
    <w:p w14:paraId="64A1C38A" w14:textId="7C5E3485" w:rsidR="0033089E" w:rsidRPr="002B462A" w:rsidRDefault="0033089E" w:rsidP="0033089E">
      <w:pPr>
        <w:rPr>
          <w:i/>
          <w:iCs/>
        </w:rPr>
      </w:pPr>
      <w:r w:rsidRPr="002B462A">
        <w:rPr>
          <w:rStyle w:val="EndnoteReference"/>
        </w:rPr>
        <w:endnoteRef/>
      </w:r>
      <w:r w:rsidRPr="002B462A">
        <w:t xml:space="preserve"> Human Mortality Database. </w:t>
      </w:r>
      <w:r w:rsidRPr="002B462A">
        <w:rPr>
          <w:i/>
          <w:iCs/>
        </w:rPr>
        <w:t>University of California, Berkeley (USA), and Max Planck </w:t>
      </w:r>
    </w:p>
    <w:p w14:paraId="39116F1E" w14:textId="2CD772AE" w:rsidR="0033089E" w:rsidRPr="002B462A" w:rsidRDefault="0033089E" w:rsidP="0033089E">
      <w:pPr>
        <w:pStyle w:val="EndnoteText"/>
        <w:rPr>
          <w:sz w:val="24"/>
          <w:szCs w:val="24"/>
        </w:rPr>
      </w:pPr>
      <w:r w:rsidRPr="002B462A">
        <w:rPr>
          <w:i/>
          <w:iCs/>
          <w:sz w:val="24"/>
          <w:szCs w:val="24"/>
        </w:rPr>
        <w:t>Institute for Demographic Research (Germany).</w:t>
      </w:r>
      <w:r w:rsidRPr="002B462A">
        <w:rPr>
          <w:sz w:val="24"/>
          <w:szCs w:val="24"/>
        </w:rPr>
        <w:t> [www.mortality.org] (accessed Nov 2025).</w:t>
      </w:r>
    </w:p>
  </w:endnote>
  <w:endnote w:id="29">
    <w:p w14:paraId="07EB4D3E" w14:textId="355DE01B" w:rsidR="0033089E" w:rsidRPr="002B462A" w:rsidRDefault="0033089E">
      <w:pPr>
        <w:pStyle w:val="EndnoteText"/>
        <w:rPr>
          <w:sz w:val="24"/>
          <w:szCs w:val="24"/>
        </w:rPr>
      </w:pPr>
      <w:r w:rsidRPr="002B462A">
        <w:rPr>
          <w:rStyle w:val="EndnoteReference"/>
          <w:sz w:val="24"/>
          <w:szCs w:val="24"/>
        </w:rPr>
        <w:endnoteRef/>
      </w:r>
      <w:r w:rsidRPr="002B462A">
        <w:rPr>
          <w:sz w:val="24"/>
          <w:szCs w:val="24"/>
        </w:rPr>
        <w:t xml:space="preserve"> Wilmoth J R, Skytthe A &amp; Jeune B. </w:t>
      </w:r>
      <w:r w:rsidRPr="002B462A">
        <w:rPr>
          <w:i/>
          <w:iCs/>
          <w:sz w:val="24"/>
          <w:szCs w:val="24"/>
        </w:rPr>
        <w:t>Validation of the longevity of Shigechiyo Izumi.</w:t>
      </w:r>
      <w:r w:rsidRPr="002B462A">
        <w:rPr>
          <w:sz w:val="24"/>
          <w:szCs w:val="24"/>
        </w:rPr>
        <w:t> (</w:t>
      </w:r>
      <w:proofErr w:type="gramStart"/>
      <w:r w:rsidRPr="002B462A">
        <w:rPr>
          <w:sz w:val="24"/>
          <w:szCs w:val="24"/>
        </w:rPr>
        <w:t>Univ </w:t>
      </w:r>
      <w:r w:rsidR="001E7985">
        <w:rPr>
          <w:sz w:val="24"/>
          <w:szCs w:val="24"/>
        </w:rPr>
        <w:t xml:space="preserve"> </w:t>
      </w:r>
      <w:r w:rsidRPr="002B462A">
        <w:rPr>
          <w:sz w:val="24"/>
          <w:szCs w:val="24"/>
        </w:rPr>
        <w:t>of</w:t>
      </w:r>
      <w:proofErr w:type="gramEnd"/>
      <w:r w:rsidRPr="002B462A">
        <w:rPr>
          <w:sz w:val="24"/>
          <w:szCs w:val="24"/>
        </w:rPr>
        <w:t> Southern Denmark Res Rep, 1996).</w:t>
      </w:r>
    </w:p>
  </w:endnote>
  <w:endnote w:id="30">
    <w:p w14:paraId="07AF190F" w14:textId="308743AB" w:rsidR="0033089E" w:rsidRPr="002B462A" w:rsidRDefault="0033089E">
      <w:pPr>
        <w:pStyle w:val="EndnoteText"/>
        <w:rPr>
          <w:sz w:val="24"/>
          <w:szCs w:val="24"/>
        </w:rPr>
      </w:pPr>
      <w:r w:rsidRPr="002B462A">
        <w:rPr>
          <w:rStyle w:val="EndnoteReference"/>
          <w:sz w:val="24"/>
          <w:szCs w:val="24"/>
        </w:rPr>
        <w:endnoteRef/>
      </w:r>
      <w:r w:rsidRPr="002B462A">
        <w:rPr>
          <w:sz w:val="24"/>
          <w:szCs w:val="24"/>
        </w:rPr>
        <w:t xml:space="preserve"> Robine J M &amp; Allard M. Validation of extreme longevity cases: The Japanese experience. 71–84 (1999).</w:t>
      </w:r>
    </w:p>
  </w:endnote>
  <w:endnote w:id="31">
    <w:p w14:paraId="013BC336" w14:textId="7F3FD080" w:rsidR="0033089E" w:rsidRPr="002B462A" w:rsidRDefault="0033089E">
      <w:pPr>
        <w:pStyle w:val="EndnoteText"/>
        <w:rPr>
          <w:sz w:val="24"/>
          <w:szCs w:val="24"/>
        </w:rPr>
      </w:pPr>
      <w:r w:rsidRPr="002B462A">
        <w:rPr>
          <w:rStyle w:val="EndnoteReference"/>
          <w:sz w:val="24"/>
          <w:szCs w:val="24"/>
        </w:rPr>
        <w:endnoteRef/>
      </w:r>
      <w:r w:rsidRPr="002B462A">
        <w:rPr>
          <w:sz w:val="24"/>
          <w:szCs w:val="24"/>
        </w:rPr>
        <w:t>Saito Y. Supercentenarians in Japan. In </w:t>
      </w:r>
      <w:r w:rsidRPr="002B462A">
        <w:rPr>
          <w:i/>
          <w:iCs/>
          <w:sz w:val="24"/>
          <w:szCs w:val="24"/>
        </w:rPr>
        <w:t>Supercentenarians. Demographic Research Monographs</w:t>
      </w:r>
      <w:r w:rsidRPr="002B462A">
        <w:rPr>
          <w:sz w:val="24"/>
          <w:szCs w:val="24"/>
        </w:rPr>
        <w:t> 75–99 (Springer</w:t>
      </w:r>
      <w:r w:rsidRPr="002B462A">
        <w:rPr>
          <w:sz w:val="24"/>
          <w:szCs w:val="24"/>
        </w:rPr>
        <w:noBreakHyphen/>
        <w:t>Verlag, 2010).</w:t>
      </w:r>
    </w:p>
  </w:endnote>
  <w:endnote w:id="32">
    <w:p w14:paraId="1108AC28" w14:textId="63402928" w:rsidR="0033089E" w:rsidRPr="002B462A" w:rsidRDefault="0033089E">
      <w:pPr>
        <w:pStyle w:val="EndnoteText"/>
        <w:rPr>
          <w:sz w:val="24"/>
          <w:szCs w:val="24"/>
        </w:rPr>
      </w:pPr>
      <w:r w:rsidRPr="002B462A">
        <w:rPr>
          <w:rStyle w:val="EndnoteReference"/>
          <w:sz w:val="24"/>
          <w:szCs w:val="24"/>
        </w:rPr>
        <w:endnoteRef/>
      </w:r>
      <w:r w:rsidRPr="002B462A">
        <w:rPr>
          <w:sz w:val="24"/>
          <w:szCs w:val="24"/>
        </w:rPr>
        <w:t xml:space="preserve"> Poulain M.</w:t>
      </w:r>
      <w:r w:rsidR="0079191E" w:rsidRPr="002B462A">
        <w:rPr>
          <w:sz w:val="24"/>
          <w:szCs w:val="24"/>
        </w:rPr>
        <w:t xml:space="preserve"> </w:t>
      </w:r>
      <w:r w:rsidRPr="002B462A">
        <w:rPr>
          <w:sz w:val="24"/>
          <w:szCs w:val="24"/>
        </w:rPr>
        <w:t>e</w:t>
      </w:r>
      <w:r w:rsidRPr="002B462A">
        <w:rPr>
          <w:i/>
          <w:iCs/>
          <w:sz w:val="24"/>
          <w:szCs w:val="24"/>
        </w:rPr>
        <w:t>t al.</w:t>
      </w:r>
      <w:r w:rsidRPr="002B462A">
        <w:rPr>
          <w:sz w:val="24"/>
          <w:szCs w:val="24"/>
        </w:rPr>
        <w:t> Blue Zones: Areas of exceptional longevity around the world. </w:t>
      </w:r>
      <w:r w:rsidRPr="002B462A">
        <w:rPr>
          <w:i/>
          <w:iCs/>
          <w:sz w:val="24"/>
          <w:szCs w:val="24"/>
        </w:rPr>
        <w:t>Population</w:t>
      </w:r>
      <w:r w:rsidRPr="002B462A">
        <w:rPr>
          <w:sz w:val="24"/>
          <w:szCs w:val="24"/>
        </w:rPr>
        <w:t> </w:t>
      </w:r>
      <w:r w:rsidRPr="002B462A">
        <w:rPr>
          <w:b/>
          <w:bCs/>
          <w:sz w:val="24"/>
          <w:szCs w:val="24"/>
        </w:rPr>
        <w:t>74</w:t>
      </w:r>
      <w:r w:rsidRPr="002B462A">
        <w:rPr>
          <w:sz w:val="24"/>
          <w:szCs w:val="24"/>
        </w:rPr>
        <w:t>, 281–302 (2019).</w:t>
      </w:r>
    </w:p>
  </w:endnote>
  <w:endnote w:id="33">
    <w:p w14:paraId="7A9AE9AD" w14:textId="26FFE30B" w:rsidR="0033089E" w:rsidRPr="002B462A" w:rsidRDefault="0033089E" w:rsidP="0033089E">
      <w:pPr>
        <w:pStyle w:val="EndnoteText"/>
        <w:rPr>
          <w:sz w:val="24"/>
          <w:szCs w:val="24"/>
        </w:rPr>
      </w:pPr>
      <w:r w:rsidRPr="002B462A">
        <w:rPr>
          <w:rStyle w:val="EndnoteReference"/>
          <w:sz w:val="24"/>
          <w:szCs w:val="24"/>
        </w:rPr>
        <w:endnoteRef/>
      </w:r>
      <w:r w:rsidRPr="002B462A">
        <w:rPr>
          <w:sz w:val="24"/>
          <w:szCs w:val="24"/>
        </w:rPr>
        <w:t>Saito Y, Imai Y &amp; Yasumura S. Verification of centenarian status in Japan after the 2010 registry review. </w:t>
      </w:r>
      <w:r w:rsidRPr="002B462A">
        <w:rPr>
          <w:i/>
          <w:iCs/>
          <w:sz w:val="24"/>
          <w:szCs w:val="24"/>
        </w:rPr>
        <w:t>Jpn J Public Health</w:t>
      </w:r>
      <w:r w:rsidRPr="002B462A">
        <w:rPr>
          <w:sz w:val="24"/>
          <w:szCs w:val="24"/>
        </w:rPr>
        <w:t> </w:t>
      </w:r>
      <w:r w:rsidRPr="002B462A">
        <w:rPr>
          <w:b/>
          <w:bCs/>
          <w:sz w:val="24"/>
          <w:szCs w:val="24"/>
        </w:rPr>
        <w:t>58</w:t>
      </w:r>
      <w:r w:rsidRPr="002B462A">
        <w:rPr>
          <w:sz w:val="24"/>
          <w:szCs w:val="24"/>
        </w:rPr>
        <w:t>, 415–423 (2011).</w:t>
      </w:r>
    </w:p>
  </w:endnote>
  <w:endnote w:id="34">
    <w:p w14:paraId="6587692C" w14:textId="280AEE97" w:rsidR="007B4539" w:rsidRPr="002B462A" w:rsidRDefault="007B4539">
      <w:pPr>
        <w:pStyle w:val="EndnoteText"/>
        <w:rPr>
          <w:sz w:val="24"/>
          <w:szCs w:val="24"/>
        </w:rPr>
      </w:pPr>
      <w:r w:rsidRPr="002B462A">
        <w:rPr>
          <w:rStyle w:val="EndnoteReference"/>
          <w:sz w:val="24"/>
          <w:szCs w:val="24"/>
        </w:rPr>
        <w:endnoteRef/>
      </w:r>
      <w:r w:rsidRPr="002B462A">
        <w:rPr>
          <w:sz w:val="24"/>
          <w:szCs w:val="24"/>
        </w:rPr>
        <w:t xml:space="preserve"> MHLW. </w:t>
      </w:r>
      <w:r w:rsidRPr="002B462A">
        <w:rPr>
          <w:i/>
          <w:iCs/>
          <w:sz w:val="24"/>
          <w:szCs w:val="24"/>
        </w:rPr>
        <w:t>Annual Centenarian </w:t>
      </w:r>
      <w:proofErr w:type="spellStart"/>
      <w:r w:rsidRPr="002B462A">
        <w:rPr>
          <w:i/>
          <w:iCs/>
          <w:sz w:val="24"/>
          <w:szCs w:val="24"/>
        </w:rPr>
        <w:t>Report.</w:t>
      </w:r>
      <w:r w:rsidRPr="002B462A">
        <w:rPr>
          <w:sz w:val="24"/>
          <w:szCs w:val="24"/>
        </w:rPr>
        <w:t>Japan</w:t>
      </w:r>
      <w:proofErr w:type="spellEnd"/>
      <w:r w:rsidRPr="002B462A">
        <w:rPr>
          <w:sz w:val="24"/>
          <w:szCs w:val="24"/>
        </w:rPr>
        <w:t xml:space="preserve"> Ministry of Health, </w:t>
      </w:r>
      <w:proofErr w:type="spellStart"/>
      <w:r w:rsidRPr="002B462A">
        <w:rPr>
          <w:sz w:val="24"/>
          <w:szCs w:val="24"/>
        </w:rPr>
        <w:t>Labour</w:t>
      </w:r>
      <w:proofErr w:type="spellEnd"/>
      <w:r w:rsidRPr="002B462A">
        <w:rPr>
          <w:sz w:val="24"/>
          <w:szCs w:val="24"/>
        </w:rPr>
        <w:t> &amp; Welfare, (2025).</w:t>
      </w:r>
    </w:p>
  </w:endnote>
  <w:endnote w:id="35">
    <w:p w14:paraId="33B8D1F6" w14:textId="0B4D205C" w:rsidR="007B4539" w:rsidRPr="002B462A" w:rsidRDefault="007B4539">
      <w:pPr>
        <w:pStyle w:val="EndnoteText"/>
        <w:rPr>
          <w:sz w:val="24"/>
          <w:szCs w:val="24"/>
        </w:rPr>
      </w:pPr>
      <w:r w:rsidRPr="002B462A">
        <w:rPr>
          <w:rStyle w:val="EndnoteReference"/>
          <w:sz w:val="24"/>
          <w:szCs w:val="24"/>
        </w:rPr>
        <w:endnoteRef/>
      </w:r>
      <w:r w:rsidRPr="002B462A">
        <w:rPr>
          <w:sz w:val="24"/>
          <w:szCs w:val="24"/>
        </w:rPr>
        <w:t>Willcox</w:t>
      </w:r>
      <w:r w:rsidR="001E7985">
        <w:rPr>
          <w:sz w:val="24"/>
          <w:szCs w:val="24"/>
        </w:rPr>
        <w:t>,</w:t>
      </w:r>
      <w:r w:rsidRPr="002B462A">
        <w:rPr>
          <w:sz w:val="24"/>
          <w:szCs w:val="24"/>
        </w:rPr>
        <w:t> D</w:t>
      </w:r>
      <w:r w:rsidR="001E7985">
        <w:rPr>
          <w:sz w:val="24"/>
          <w:szCs w:val="24"/>
        </w:rPr>
        <w:t>.</w:t>
      </w:r>
      <w:r w:rsidRPr="002B462A">
        <w:rPr>
          <w:sz w:val="24"/>
          <w:szCs w:val="24"/>
        </w:rPr>
        <w:t> C</w:t>
      </w:r>
      <w:r w:rsidR="001E7985">
        <w:rPr>
          <w:sz w:val="24"/>
          <w:szCs w:val="24"/>
        </w:rPr>
        <w:t>.</w:t>
      </w:r>
      <w:r w:rsidRPr="002B462A">
        <w:rPr>
          <w:sz w:val="24"/>
          <w:szCs w:val="24"/>
        </w:rPr>
        <w:t>, Willcox</w:t>
      </w:r>
      <w:r w:rsidR="001E7985">
        <w:rPr>
          <w:sz w:val="24"/>
          <w:szCs w:val="24"/>
        </w:rPr>
        <w:t>,</w:t>
      </w:r>
      <w:r w:rsidRPr="002B462A">
        <w:rPr>
          <w:sz w:val="24"/>
          <w:szCs w:val="24"/>
        </w:rPr>
        <w:t> B</w:t>
      </w:r>
      <w:r w:rsidR="001E7985">
        <w:rPr>
          <w:sz w:val="24"/>
          <w:szCs w:val="24"/>
        </w:rPr>
        <w:t>.</w:t>
      </w:r>
      <w:r w:rsidRPr="002B462A">
        <w:rPr>
          <w:sz w:val="24"/>
          <w:szCs w:val="24"/>
        </w:rPr>
        <w:t> </w:t>
      </w:r>
      <w:proofErr w:type="gramStart"/>
      <w:r w:rsidRPr="002B462A">
        <w:rPr>
          <w:sz w:val="24"/>
          <w:szCs w:val="24"/>
        </w:rPr>
        <w:t>J</w:t>
      </w:r>
      <w:r w:rsidR="001E7985">
        <w:rPr>
          <w:sz w:val="24"/>
          <w:szCs w:val="24"/>
        </w:rPr>
        <w:t>.,</w:t>
      </w:r>
      <w:r w:rsidRPr="002B462A">
        <w:rPr>
          <w:sz w:val="24"/>
          <w:szCs w:val="24"/>
        </w:rPr>
        <w:t>Suzuki</w:t>
      </w:r>
      <w:proofErr w:type="gramEnd"/>
      <w:r w:rsidRPr="002B462A">
        <w:rPr>
          <w:sz w:val="24"/>
          <w:szCs w:val="24"/>
        </w:rPr>
        <w:t> M. Caloric restriction and human longevity: Lessons from t</w:t>
      </w:r>
      <w:r w:rsidR="001E7985">
        <w:rPr>
          <w:sz w:val="24"/>
          <w:szCs w:val="24"/>
        </w:rPr>
        <w:t>h</w:t>
      </w:r>
      <w:r w:rsidRPr="002B462A">
        <w:rPr>
          <w:sz w:val="24"/>
          <w:szCs w:val="24"/>
        </w:rPr>
        <w:t>e Okinawans. </w:t>
      </w:r>
      <w:r w:rsidRPr="002B462A">
        <w:rPr>
          <w:i/>
          <w:iCs/>
          <w:sz w:val="24"/>
          <w:szCs w:val="24"/>
        </w:rPr>
        <w:t>Biogerontology</w:t>
      </w:r>
      <w:r w:rsidRPr="002B462A">
        <w:rPr>
          <w:sz w:val="24"/>
          <w:szCs w:val="24"/>
        </w:rPr>
        <w:t> </w:t>
      </w:r>
      <w:r w:rsidRPr="002B462A">
        <w:rPr>
          <w:b/>
          <w:bCs/>
          <w:sz w:val="24"/>
          <w:szCs w:val="24"/>
        </w:rPr>
        <w:t>2</w:t>
      </w:r>
      <w:r w:rsidRPr="002B462A">
        <w:rPr>
          <w:sz w:val="24"/>
          <w:szCs w:val="24"/>
        </w:rPr>
        <w:t>, 153–158 (2001).</w:t>
      </w:r>
    </w:p>
  </w:endnote>
  <w:endnote w:id="36">
    <w:p w14:paraId="105301F5" w14:textId="7532857B" w:rsidR="007B4539" w:rsidRPr="002B462A" w:rsidRDefault="007B4539">
      <w:pPr>
        <w:pStyle w:val="EndnoteText"/>
        <w:rPr>
          <w:sz w:val="24"/>
          <w:szCs w:val="24"/>
        </w:rPr>
      </w:pPr>
      <w:r w:rsidRPr="002B462A">
        <w:rPr>
          <w:rStyle w:val="EndnoteReference"/>
          <w:sz w:val="24"/>
          <w:szCs w:val="24"/>
        </w:rPr>
        <w:endnoteRef/>
      </w:r>
      <w:r w:rsidRPr="002B462A">
        <w:rPr>
          <w:sz w:val="24"/>
          <w:szCs w:val="24"/>
        </w:rPr>
        <w:t>Willcox</w:t>
      </w:r>
      <w:r w:rsidR="001E7985">
        <w:rPr>
          <w:sz w:val="24"/>
          <w:szCs w:val="24"/>
        </w:rPr>
        <w:t>,</w:t>
      </w:r>
      <w:r w:rsidRPr="002B462A">
        <w:rPr>
          <w:sz w:val="24"/>
          <w:szCs w:val="24"/>
        </w:rPr>
        <w:t> D</w:t>
      </w:r>
      <w:r w:rsidR="001E7985">
        <w:rPr>
          <w:sz w:val="24"/>
          <w:szCs w:val="24"/>
        </w:rPr>
        <w:t>.</w:t>
      </w:r>
      <w:r w:rsidRPr="002B462A">
        <w:rPr>
          <w:sz w:val="24"/>
          <w:szCs w:val="24"/>
        </w:rPr>
        <w:t>C</w:t>
      </w:r>
      <w:r w:rsidR="001E7985">
        <w:rPr>
          <w:sz w:val="24"/>
          <w:szCs w:val="24"/>
        </w:rPr>
        <w:t>.</w:t>
      </w:r>
      <w:r w:rsidRPr="002B462A">
        <w:rPr>
          <w:sz w:val="24"/>
          <w:szCs w:val="24"/>
        </w:rPr>
        <w:t>, Willcox</w:t>
      </w:r>
      <w:r w:rsidR="001E7985">
        <w:rPr>
          <w:sz w:val="24"/>
          <w:szCs w:val="24"/>
        </w:rPr>
        <w:t>,</w:t>
      </w:r>
      <w:r w:rsidRPr="002B462A">
        <w:rPr>
          <w:sz w:val="24"/>
          <w:szCs w:val="24"/>
        </w:rPr>
        <w:t> B</w:t>
      </w:r>
      <w:r w:rsidR="001E7985">
        <w:rPr>
          <w:sz w:val="24"/>
          <w:szCs w:val="24"/>
        </w:rPr>
        <w:t>.</w:t>
      </w:r>
      <w:r w:rsidRPr="002B462A">
        <w:rPr>
          <w:sz w:val="24"/>
          <w:szCs w:val="24"/>
        </w:rPr>
        <w:t> J</w:t>
      </w:r>
      <w:r w:rsidR="001E7985">
        <w:rPr>
          <w:sz w:val="24"/>
          <w:szCs w:val="24"/>
        </w:rPr>
        <w:t xml:space="preserve">., </w:t>
      </w:r>
      <w:r w:rsidRPr="002B462A">
        <w:rPr>
          <w:sz w:val="24"/>
          <w:szCs w:val="24"/>
        </w:rPr>
        <w:t>Suzuki M. Caloric restriction and human longevity: Lessons from the Okinawans. </w:t>
      </w:r>
      <w:r w:rsidRPr="002B462A">
        <w:rPr>
          <w:i/>
          <w:iCs/>
          <w:sz w:val="24"/>
          <w:szCs w:val="24"/>
        </w:rPr>
        <w:t>Biogerontology</w:t>
      </w:r>
      <w:r w:rsidRPr="002B462A">
        <w:rPr>
          <w:sz w:val="24"/>
          <w:szCs w:val="24"/>
        </w:rPr>
        <w:t> </w:t>
      </w:r>
      <w:r w:rsidRPr="002B462A">
        <w:rPr>
          <w:b/>
          <w:bCs/>
          <w:sz w:val="24"/>
          <w:szCs w:val="24"/>
        </w:rPr>
        <w:t>2</w:t>
      </w:r>
      <w:r w:rsidRPr="002B462A">
        <w:rPr>
          <w:sz w:val="24"/>
          <w:szCs w:val="24"/>
        </w:rPr>
        <w:t>, 153–158 (2001).</w:t>
      </w:r>
    </w:p>
  </w:endnote>
  <w:endnote w:id="37">
    <w:p w14:paraId="567247DE" w14:textId="2E37C1B0" w:rsidR="007B4539" w:rsidRPr="002B462A" w:rsidRDefault="007B4539">
      <w:pPr>
        <w:pStyle w:val="EndnoteText"/>
        <w:rPr>
          <w:sz w:val="24"/>
          <w:szCs w:val="24"/>
        </w:rPr>
      </w:pPr>
      <w:r w:rsidRPr="002B462A">
        <w:rPr>
          <w:rStyle w:val="EndnoteReference"/>
          <w:sz w:val="24"/>
          <w:szCs w:val="24"/>
        </w:rPr>
        <w:endnoteRef/>
      </w:r>
      <w:r w:rsidRPr="002B462A">
        <w:rPr>
          <w:sz w:val="24"/>
          <w:szCs w:val="24"/>
        </w:rPr>
        <w:t>Gondo</w:t>
      </w:r>
      <w:r w:rsidR="001E7985">
        <w:rPr>
          <w:sz w:val="24"/>
          <w:szCs w:val="24"/>
        </w:rPr>
        <w:t>,</w:t>
      </w:r>
      <w:r w:rsidRPr="002B462A">
        <w:rPr>
          <w:sz w:val="24"/>
          <w:szCs w:val="24"/>
        </w:rPr>
        <w:t> Y </w:t>
      </w:r>
      <w:r w:rsidRPr="002B462A">
        <w:rPr>
          <w:i/>
          <w:iCs/>
          <w:sz w:val="24"/>
          <w:szCs w:val="24"/>
        </w:rPr>
        <w:t>et al.</w:t>
      </w:r>
      <w:r w:rsidRPr="002B462A">
        <w:rPr>
          <w:sz w:val="24"/>
          <w:szCs w:val="24"/>
        </w:rPr>
        <w:t> Functional capacity and longevity among Japanese centenarians. </w:t>
      </w:r>
      <w:r w:rsidRPr="002B462A">
        <w:rPr>
          <w:i/>
          <w:iCs/>
          <w:sz w:val="24"/>
          <w:szCs w:val="24"/>
        </w:rPr>
        <w:t>Geriat Gerontol Int</w:t>
      </w:r>
      <w:r w:rsidRPr="002B462A">
        <w:rPr>
          <w:sz w:val="24"/>
          <w:szCs w:val="24"/>
        </w:rPr>
        <w:t> </w:t>
      </w:r>
      <w:r w:rsidRPr="002B462A">
        <w:rPr>
          <w:b/>
          <w:bCs/>
          <w:sz w:val="24"/>
          <w:szCs w:val="24"/>
        </w:rPr>
        <w:t>6</w:t>
      </w:r>
      <w:r w:rsidRPr="002B462A">
        <w:rPr>
          <w:sz w:val="24"/>
          <w:szCs w:val="24"/>
        </w:rPr>
        <w:t>, 5–17 (2006).</w:t>
      </w:r>
    </w:p>
  </w:endnote>
  <w:endnote w:id="38">
    <w:p w14:paraId="4708C0A3" w14:textId="6C3DAA64" w:rsidR="00982727" w:rsidRPr="002B462A" w:rsidRDefault="00982727">
      <w:pPr>
        <w:pStyle w:val="EndnoteText"/>
        <w:rPr>
          <w:sz w:val="24"/>
          <w:szCs w:val="24"/>
        </w:rPr>
      </w:pPr>
      <w:r w:rsidRPr="002B462A">
        <w:rPr>
          <w:rStyle w:val="EndnoteReference"/>
          <w:sz w:val="24"/>
          <w:szCs w:val="24"/>
        </w:rPr>
        <w:endnoteRef/>
      </w:r>
      <w:r w:rsidRPr="002B462A">
        <w:rPr>
          <w:sz w:val="24"/>
          <w:szCs w:val="24"/>
        </w:rPr>
        <w:t>Willcox D C, Willcox B J, He Q, Wang N C &amp; Suzuki M. They really are that old: Validation of centenarian prevalence in Okinawa. </w:t>
      </w:r>
      <w:r w:rsidRPr="002B462A">
        <w:rPr>
          <w:i/>
          <w:iCs/>
          <w:sz w:val="24"/>
          <w:szCs w:val="24"/>
        </w:rPr>
        <w:t>J Gerontol </w:t>
      </w:r>
      <w:proofErr w:type="gramStart"/>
      <w:r w:rsidRPr="002B462A">
        <w:rPr>
          <w:i/>
          <w:iCs/>
          <w:sz w:val="24"/>
          <w:szCs w:val="24"/>
        </w:rPr>
        <w:t>A</w:t>
      </w:r>
      <w:proofErr w:type="gramEnd"/>
      <w:r w:rsidRPr="002B462A">
        <w:rPr>
          <w:i/>
          <w:iCs/>
          <w:sz w:val="24"/>
          <w:szCs w:val="24"/>
        </w:rPr>
        <w:t> Biol Sci Med Sci</w:t>
      </w:r>
      <w:r w:rsidRPr="002B462A">
        <w:rPr>
          <w:sz w:val="24"/>
          <w:szCs w:val="24"/>
        </w:rPr>
        <w:t> </w:t>
      </w:r>
      <w:r w:rsidRPr="002B462A">
        <w:rPr>
          <w:b/>
          <w:bCs/>
          <w:sz w:val="24"/>
          <w:szCs w:val="24"/>
        </w:rPr>
        <w:t>63</w:t>
      </w:r>
      <w:r w:rsidRPr="002B462A">
        <w:rPr>
          <w:sz w:val="24"/>
          <w:szCs w:val="24"/>
        </w:rPr>
        <w:t>, 338–349 (2008).</w:t>
      </w:r>
    </w:p>
  </w:endnote>
  <w:endnote w:id="39">
    <w:p w14:paraId="0C25084C" w14:textId="4253B39A" w:rsidR="00982727" w:rsidRPr="002B462A" w:rsidRDefault="00982727">
      <w:pPr>
        <w:pStyle w:val="EndnoteText"/>
        <w:rPr>
          <w:sz w:val="24"/>
          <w:szCs w:val="24"/>
        </w:rPr>
      </w:pPr>
      <w:r w:rsidRPr="002B462A">
        <w:rPr>
          <w:rStyle w:val="EndnoteReference"/>
          <w:sz w:val="24"/>
          <w:szCs w:val="24"/>
        </w:rPr>
        <w:endnoteRef/>
      </w:r>
      <w:r w:rsidRPr="002B462A">
        <w:rPr>
          <w:sz w:val="24"/>
          <w:szCs w:val="24"/>
        </w:rPr>
        <w:t> Poulain M &amp; Herm A. Exceptional longevity in Okinawa: Demographic trends since 1975. </w:t>
      </w:r>
      <w:r w:rsidRPr="002B462A">
        <w:rPr>
          <w:i/>
          <w:iCs/>
          <w:sz w:val="24"/>
          <w:szCs w:val="24"/>
        </w:rPr>
        <w:t>J Intern Med</w:t>
      </w:r>
      <w:r w:rsidRPr="002B462A">
        <w:rPr>
          <w:sz w:val="24"/>
          <w:szCs w:val="24"/>
        </w:rPr>
        <w:t> </w:t>
      </w:r>
      <w:r w:rsidRPr="002B462A">
        <w:rPr>
          <w:b/>
          <w:bCs/>
          <w:sz w:val="24"/>
          <w:szCs w:val="24"/>
        </w:rPr>
        <w:t>295</w:t>
      </w:r>
      <w:r w:rsidRPr="002B462A">
        <w:rPr>
          <w:sz w:val="24"/>
          <w:szCs w:val="24"/>
        </w:rPr>
        <w:t>, 387–399 (2024).</w:t>
      </w:r>
    </w:p>
  </w:endnote>
  <w:endnote w:id="40">
    <w:p w14:paraId="03D3AFE2" w14:textId="280EED06" w:rsidR="00982727" w:rsidRPr="002B462A" w:rsidRDefault="00982727">
      <w:pPr>
        <w:pStyle w:val="EndnoteText"/>
        <w:rPr>
          <w:sz w:val="24"/>
          <w:szCs w:val="24"/>
        </w:rPr>
      </w:pPr>
      <w:r w:rsidRPr="002B462A">
        <w:rPr>
          <w:rStyle w:val="EndnoteReference"/>
          <w:sz w:val="24"/>
          <w:szCs w:val="24"/>
        </w:rPr>
        <w:endnoteRef/>
      </w:r>
      <w:r w:rsidRPr="002B462A">
        <w:rPr>
          <w:sz w:val="24"/>
          <w:szCs w:val="24"/>
        </w:rPr>
        <w:t>Bendjilali N </w:t>
      </w:r>
      <w:r w:rsidRPr="002B462A">
        <w:rPr>
          <w:i/>
          <w:iCs/>
          <w:sz w:val="24"/>
          <w:szCs w:val="24"/>
        </w:rPr>
        <w:t>et al.</w:t>
      </w:r>
      <w:r w:rsidRPr="002B462A">
        <w:rPr>
          <w:sz w:val="24"/>
          <w:szCs w:val="24"/>
        </w:rPr>
        <w:t> Who are the Okinawans? Genome</w:t>
      </w:r>
      <w:r w:rsidRPr="002B462A">
        <w:rPr>
          <w:sz w:val="24"/>
          <w:szCs w:val="24"/>
        </w:rPr>
        <w:noBreakHyphen/>
        <w:t>wide insights into longevity in an isolated population. </w:t>
      </w:r>
      <w:r w:rsidRPr="002B462A">
        <w:rPr>
          <w:i/>
          <w:iCs/>
          <w:sz w:val="24"/>
          <w:szCs w:val="24"/>
        </w:rPr>
        <w:t>J Gerontol A</w:t>
      </w:r>
      <w:r w:rsidRPr="002B462A">
        <w:rPr>
          <w:sz w:val="24"/>
          <w:szCs w:val="24"/>
        </w:rPr>
        <w:t> </w:t>
      </w:r>
      <w:r w:rsidRPr="002B462A">
        <w:rPr>
          <w:b/>
          <w:bCs/>
          <w:sz w:val="24"/>
          <w:szCs w:val="24"/>
        </w:rPr>
        <w:t>69</w:t>
      </w:r>
      <w:r w:rsidRPr="002B462A">
        <w:rPr>
          <w:sz w:val="24"/>
          <w:szCs w:val="24"/>
        </w:rPr>
        <w:t>, 1474–1484 (2014).</w:t>
      </w:r>
    </w:p>
  </w:endnote>
  <w:endnote w:id="41">
    <w:p w14:paraId="49DB86F7" w14:textId="38BD4F43" w:rsidR="00982727" w:rsidRPr="002B462A" w:rsidRDefault="00982727">
      <w:pPr>
        <w:pStyle w:val="EndnoteText"/>
        <w:rPr>
          <w:sz w:val="24"/>
          <w:szCs w:val="24"/>
        </w:rPr>
      </w:pPr>
      <w:r w:rsidRPr="002B462A">
        <w:rPr>
          <w:rStyle w:val="EndnoteReference"/>
          <w:sz w:val="24"/>
          <w:szCs w:val="24"/>
        </w:rPr>
        <w:endnoteRef/>
      </w:r>
      <w:r w:rsidRPr="002B462A">
        <w:rPr>
          <w:sz w:val="24"/>
          <w:szCs w:val="24"/>
        </w:rPr>
        <w:t> Nakao R </w:t>
      </w:r>
      <w:r w:rsidRPr="002B462A">
        <w:rPr>
          <w:i/>
          <w:iCs/>
          <w:sz w:val="24"/>
          <w:szCs w:val="24"/>
        </w:rPr>
        <w:t>et al.</w:t>
      </w:r>
      <w:r w:rsidRPr="002B462A">
        <w:rPr>
          <w:sz w:val="24"/>
          <w:szCs w:val="24"/>
        </w:rPr>
        <w:t> Population structure and genetic ancestry of the Okinawan people. </w:t>
      </w:r>
      <w:r w:rsidRPr="002B462A">
        <w:rPr>
          <w:i/>
          <w:iCs/>
          <w:sz w:val="24"/>
          <w:szCs w:val="24"/>
        </w:rPr>
        <w:t>Anthropol Sci</w:t>
      </w:r>
      <w:r w:rsidRPr="002B462A">
        <w:rPr>
          <w:sz w:val="24"/>
          <w:szCs w:val="24"/>
        </w:rPr>
        <w:t> </w:t>
      </w:r>
      <w:r w:rsidRPr="002B462A">
        <w:rPr>
          <w:b/>
          <w:bCs/>
          <w:sz w:val="24"/>
          <w:szCs w:val="24"/>
        </w:rPr>
        <w:t>127</w:t>
      </w:r>
      <w:r w:rsidRPr="002B462A">
        <w:rPr>
          <w:sz w:val="24"/>
          <w:szCs w:val="24"/>
        </w:rPr>
        <w:t>, 83–94 (2019).</w:t>
      </w:r>
    </w:p>
  </w:endnote>
  <w:endnote w:id="42">
    <w:p w14:paraId="1D5C07B4" w14:textId="51968319" w:rsidR="00982727" w:rsidRPr="002B462A" w:rsidRDefault="00982727">
      <w:pPr>
        <w:pStyle w:val="EndnoteText"/>
        <w:rPr>
          <w:sz w:val="24"/>
          <w:szCs w:val="24"/>
        </w:rPr>
      </w:pPr>
      <w:r w:rsidRPr="002B462A">
        <w:rPr>
          <w:rStyle w:val="EndnoteReference"/>
          <w:sz w:val="24"/>
          <w:szCs w:val="24"/>
        </w:rPr>
        <w:endnoteRef/>
      </w:r>
      <w:r w:rsidRPr="002B462A">
        <w:rPr>
          <w:sz w:val="24"/>
          <w:szCs w:val="24"/>
        </w:rPr>
        <w:t>  Gondo Y </w:t>
      </w:r>
      <w:r w:rsidRPr="002B462A">
        <w:rPr>
          <w:i/>
          <w:iCs/>
          <w:sz w:val="24"/>
          <w:szCs w:val="24"/>
        </w:rPr>
        <w:t>et al.</w:t>
      </w:r>
      <w:r w:rsidRPr="002B462A">
        <w:rPr>
          <w:sz w:val="24"/>
          <w:szCs w:val="24"/>
        </w:rPr>
        <w:t> Functional capacity and longevity among Japanese centenarians. </w:t>
      </w:r>
      <w:r w:rsidRPr="002B462A">
        <w:rPr>
          <w:i/>
          <w:iCs/>
          <w:sz w:val="24"/>
          <w:szCs w:val="24"/>
        </w:rPr>
        <w:t>Geriat Gerontol Int</w:t>
      </w:r>
      <w:r w:rsidRPr="002B462A">
        <w:rPr>
          <w:sz w:val="24"/>
          <w:szCs w:val="24"/>
        </w:rPr>
        <w:t> </w:t>
      </w:r>
      <w:r w:rsidRPr="002B462A">
        <w:rPr>
          <w:b/>
          <w:bCs/>
          <w:sz w:val="24"/>
          <w:szCs w:val="24"/>
        </w:rPr>
        <w:t>6</w:t>
      </w:r>
      <w:r w:rsidRPr="002B462A">
        <w:rPr>
          <w:sz w:val="24"/>
          <w:szCs w:val="24"/>
        </w:rPr>
        <w:t>, 5–17 (2006).</w:t>
      </w:r>
    </w:p>
  </w:endnote>
  <w:endnote w:id="43">
    <w:p w14:paraId="61FB4D47" w14:textId="1155B91A" w:rsidR="00244607" w:rsidRPr="002B462A" w:rsidRDefault="00982727">
      <w:pPr>
        <w:pStyle w:val="EndnoteText"/>
        <w:rPr>
          <w:sz w:val="24"/>
          <w:szCs w:val="24"/>
        </w:rPr>
      </w:pPr>
      <w:r w:rsidRPr="002B462A">
        <w:rPr>
          <w:rStyle w:val="EndnoteReference"/>
          <w:sz w:val="24"/>
          <w:szCs w:val="24"/>
        </w:rPr>
        <w:endnoteRef/>
      </w:r>
      <w:r w:rsidRPr="002B462A">
        <w:rPr>
          <w:sz w:val="24"/>
          <w:szCs w:val="24"/>
        </w:rPr>
        <w:t>Willcox D C, Willcox B J, He Q, Wang N C &amp; Suzuki M. They really are that old: Validation of centenarian prevalence in Okinawa. </w:t>
      </w:r>
      <w:r w:rsidRPr="002B462A">
        <w:rPr>
          <w:i/>
          <w:iCs/>
          <w:sz w:val="24"/>
          <w:szCs w:val="24"/>
        </w:rPr>
        <w:t>J Gerontol </w:t>
      </w:r>
      <w:proofErr w:type="gramStart"/>
      <w:r w:rsidRPr="002B462A">
        <w:rPr>
          <w:i/>
          <w:iCs/>
          <w:sz w:val="24"/>
          <w:szCs w:val="24"/>
        </w:rPr>
        <w:t>A</w:t>
      </w:r>
      <w:proofErr w:type="gramEnd"/>
      <w:r w:rsidRPr="002B462A">
        <w:rPr>
          <w:i/>
          <w:iCs/>
          <w:sz w:val="24"/>
          <w:szCs w:val="24"/>
        </w:rPr>
        <w:t> Biol Sci Med Sci</w:t>
      </w:r>
      <w:r w:rsidRPr="002B462A">
        <w:rPr>
          <w:sz w:val="24"/>
          <w:szCs w:val="24"/>
        </w:rPr>
        <w:t> </w:t>
      </w:r>
      <w:r w:rsidRPr="002B462A">
        <w:rPr>
          <w:b/>
          <w:bCs/>
          <w:sz w:val="24"/>
          <w:szCs w:val="24"/>
        </w:rPr>
        <w:t>63</w:t>
      </w:r>
      <w:r w:rsidRPr="002B462A">
        <w:rPr>
          <w:sz w:val="24"/>
          <w:szCs w:val="24"/>
        </w:rPr>
        <w:t>, 338–349 (2008).</w:t>
      </w:r>
    </w:p>
  </w:endnote>
  <w:endnote w:id="44">
    <w:p w14:paraId="0ED380DF" w14:textId="7D609F92"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w:t>
      </w:r>
      <w:r w:rsidRPr="002B462A">
        <w:rPr>
          <w:rFonts w:eastAsiaTheme="minorHAnsi"/>
          <w:color w:val="000000"/>
          <w:sz w:val="24"/>
          <w:szCs w:val="24"/>
        </w:rPr>
        <w:t xml:space="preserve">Rosero-Bixby, L., The Exceptionally High Life Expectancy of Costa Rican Nonagenarians. </w:t>
      </w:r>
      <w:r w:rsidRPr="002B462A">
        <w:rPr>
          <w:rFonts w:eastAsiaTheme="minorHAnsi"/>
          <w:i/>
          <w:iCs/>
          <w:color w:val="000000"/>
          <w:sz w:val="24"/>
          <w:szCs w:val="24"/>
        </w:rPr>
        <w:t>Demography</w:t>
      </w:r>
      <w:r w:rsidRPr="002B462A">
        <w:rPr>
          <w:rFonts w:eastAsiaTheme="minorHAnsi"/>
          <w:color w:val="000000"/>
          <w:sz w:val="24"/>
          <w:szCs w:val="24"/>
        </w:rPr>
        <w:t xml:space="preserve">, 2008. </w:t>
      </w:r>
      <w:r w:rsidRPr="002B462A">
        <w:rPr>
          <w:rFonts w:eastAsiaTheme="minorHAnsi"/>
          <w:b/>
          <w:bCs/>
          <w:color w:val="000000"/>
          <w:sz w:val="24"/>
          <w:szCs w:val="24"/>
        </w:rPr>
        <w:t>45</w:t>
      </w:r>
      <w:r w:rsidRPr="002B462A">
        <w:rPr>
          <w:rFonts w:eastAsiaTheme="minorHAnsi"/>
          <w:color w:val="000000"/>
          <w:sz w:val="24"/>
          <w:szCs w:val="24"/>
        </w:rPr>
        <w:t>(3): p. 673-691.</w:t>
      </w:r>
    </w:p>
  </w:endnote>
  <w:endnote w:id="45">
    <w:p w14:paraId="56AB5F0A" w14:textId="0A7A2D41"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Rosero-Bixby L, Dow WH, </w:t>
      </w:r>
      <w:proofErr w:type="spellStart"/>
      <w:r w:rsidRPr="002B462A">
        <w:rPr>
          <w:sz w:val="24"/>
          <w:szCs w:val="24"/>
        </w:rPr>
        <w:t>Rehkopf</w:t>
      </w:r>
      <w:proofErr w:type="spellEnd"/>
      <w:r w:rsidRPr="002B462A">
        <w:rPr>
          <w:sz w:val="24"/>
          <w:szCs w:val="24"/>
        </w:rPr>
        <w:t xml:space="preserve"> DH. The Nicoya region of Costa Rica: a high longevity island for elderly males. </w:t>
      </w:r>
      <w:r w:rsidRPr="001E7985">
        <w:rPr>
          <w:i/>
          <w:iCs/>
          <w:sz w:val="24"/>
          <w:szCs w:val="24"/>
        </w:rPr>
        <w:t xml:space="preserve">Vienna </w:t>
      </w:r>
      <w:proofErr w:type="spellStart"/>
      <w:r w:rsidRPr="001E7985">
        <w:rPr>
          <w:i/>
          <w:iCs/>
          <w:sz w:val="24"/>
          <w:szCs w:val="24"/>
        </w:rPr>
        <w:t>Yearb</w:t>
      </w:r>
      <w:proofErr w:type="spellEnd"/>
      <w:r w:rsidRPr="001E7985">
        <w:rPr>
          <w:i/>
          <w:iCs/>
          <w:sz w:val="24"/>
          <w:szCs w:val="24"/>
        </w:rPr>
        <w:t xml:space="preserve"> </w:t>
      </w:r>
      <w:proofErr w:type="spellStart"/>
      <w:r w:rsidRPr="001E7985">
        <w:rPr>
          <w:i/>
          <w:iCs/>
          <w:sz w:val="24"/>
          <w:szCs w:val="24"/>
        </w:rPr>
        <w:t>Popul</w:t>
      </w:r>
      <w:proofErr w:type="spellEnd"/>
      <w:r w:rsidRPr="001E7985">
        <w:rPr>
          <w:i/>
          <w:iCs/>
          <w:sz w:val="24"/>
          <w:szCs w:val="24"/>
        </w:rPr>
        <w:t xml:space="preserve"> Res</w:t>
      </w:r>
      <w:r w:rsidRPr="002B462A">
        <w:rPr>
          <w:sz w:val="24"/>
          <w:szCs w:val="24"/>
        </w:rPr>
        <w:t xml:space="preserve">. </w:t>
      </w:r>
      <w:r w:rsidRPr="001E7985">
        <w:rPr>
          <w:b/>
          <w:bCs/>
          <w:sz w:val="24"/>
          <w:szCs w:val="24"/>
        </w:rPr>
        <w:t>11</w:t>
      </w:r>
      <w:r w:rsidRPr="002B462A">
        <w:rPr>
          <w:sz w:val="24"/>
          <w:szCs w:val="24"/>
        </w:rPr>
        <w:t>:109-136.</w:t>
      </w:r>
      <w:r w:rsidR="001E7985">
        <w:rPr>
          <w:sz w:val="24"/>
          <w:szCs w:val="24"/>
        </w:rPr>
        <w:t xml:space="preserve"> (2013). </w:t>
      </w:r>
    </w:p>
  </w:endnote>
  <w:endnote w:id="46">
    <w:p w14:paraId="6485A2FB" w14:textId="0F32941A"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Rosero-Bixby, L., The vanishing advantage of longevity in Nicoya, Costa Rica: A cohort shift. </w:t>
      </w:r>
      <w:r w:rsidRPr="001E7985">
        <w:rPr>
          <w:i/>
          <w:iCs/>
          <w:sz w:val="24"/>
          <w:szCs w:val="24"/>
        </w:rPr>
        <w:t>Demographic Research</w:t>
      </w:r>
      <w:r w:rsidR="001E7985">
        <w:rPr>
          <w:sz w:val="24"/>
          <w:szCs w:val="24"/>
        </w:rPr>
        <w:t xml:space="preserve">. </w:t>
      </w:r>
      <w:r w:rsidRPr="001E7985">
        <w:rPr>
          <w:b/>
          <w:bCs/>
          <w:sz w:val="24"/>
          <w:szCs w:val="24"/>
        </w:rPr>
        <w:t>49</w:t>
      </w:r>
      <w:r w:rsidRPr="002B462A">
        <w:rPr>
          <w:sz w:val="24"/>
          <w:szCs w:val="24"/>
        </w:rPr>
        <w:t xml:space="preserve">(27): </w:t>
      </w:r>
      <w:r w:rsidR="001E7985">
        <w:rPr>
          <w:sz w:val="24"/>
          <w:szCs w:val="24"/>
        </w:rPr>
        <w:t>7</w:t>
      </w:r>
      <w:r w:rsidRPr="002B462A">
        <w:rPr>
          <w:sz w:val="24"/>
          <w:szCs w:val="24"/>
        </w:rPr>
        <w:t>23-736</w:t>
      </w:r>
      <w:r w:rsidR="001E7985">
        <w:rPr>
          <w:sz w:val="24"/>
          <w:szCs w:val="24"/>
        </w:rPr>
        <w:t xml:space="preserve"> (2023).</w:t>
      </w:r>
    </w:p>
  </w:endnote>
  <w:endnote w:id="47">
    <w:p w14:paraId="6FAEB9B4" w14:textId="0FB625DC" w:rsidR="00E31D49" w:rsidRPr="001E7985" w:rsidRDefault="00E31D49">
      <w:pPr>
        <w:pStyle w:val="EndnoteText"/>
        <w:rPr>
          <w:color w:val="000000" w:themeColor="text1"/>
          <w:sz w:val="24"/>
          <w:szCs w:val="24"/>
        </w:rPr>
      </w:pPr>
      <w:r w:rsidRPr="001E7985">
        <w:rPr>
          <w:rStyle w:val="EndnoteReference"/>
          <w:color w:val="000000" w:themeColor="text1"/>
          <w:sz w:val="24"/>
          <w:szCs w:val="24"/>
        </w:rPr>
        <w:endnoteRef/>
      </w:r>
      <w:r w:rsidRPr="001E7985">
        <w:rPr>
          <w:color w:val="000000" w:themeColor="text1"/>
          <w:sz w:val="24"/>
          <w:szCs w:val="24"/>
        </w:rPr>
        <w:t xml:space="preserve"> </w:t>
      </w:r>
      <w:hyperlink r:id="rId1" w:history="1">
        <w:r w:rsidRPr="001E7985">
          <w:rPr>
            <w:rStyle w:val="Hyperlink"/>
            <w:color w:val="000000" w:themeColor="text1"/>
            <w:sz w:val="24"/>
            <w:szCs w:val="24"/>
          </w:rPr>
          <w:t>https://www.satscan.org/</w:t>
        </w:r>
      </w:hyperlink>
    </w:p>
  </w:endnote>
  <w:endnote w:id="48">
    <w:p w14:paraId="23591150" w14:textId="22465D7D" w:rsidR="00E31D49" w:rsidRPr="002B462A" w:rsidRDefault="00E31D49">
      <w:pPr>
        <w:pStyle w:val="EndnoteText"/>
        <w:rPr>
          <w:sz w:val="24"/>
          <w:szCs w:val="24"/>
        </w:rPr>
      </w:pPr>
      <w:r w:rsidRPr="001E7985">
        <w:rPr>
          <w:rStyle w:val="EndnoteReference"/>
          <w:color w:val="000000" w:themeColor="text1"/>
          <w:sz w:val="24"/>
          <w:szCs w:val="24"/>
        </w:rPr>
        <w:endnoteRef/>
      </w:r>
      <w:r w:rsidRPr="001E7985">
        <w:rPr>
          <w:color w:val="000000" w:themeColor="text1"/>
          <w:sz w:val="24"/>
          <w:szCs w:val="24"/>
        </w:rPr>
        <w:t xml:space="preserve"> </w:t>
      </w:r>
      <w:r w:rsidRPr="001E7985">
        <w:rPr>
          <w:rStyle w:val="Hyperlink"/>
          <w:color w:val="000000" w:themeColor="text1"/>
          <w:sz w:val="24"/>
          <w:szCs w:val="24"/>
        </w:rPr>
        <w:t xml:space="preserve">Rosero-Bixby, L., W.H. Dow, and G. </w:t>
      </w:r>
      <w:proofErr w:type="spellStart"/>
      <w:r w:rsidRPr="001E7985">
        <w:rPr>
          <w:rStyle w:val="Hyperlink"/>
          <w:color w:val="000000" w:themeColor="text1"/>
          <w:sz w:val="24"/>
          <w:szCs w:val="24"/>
        </w:rPr>
        <w:t>Brenes</w:t>
      </w:r>
      <w:proofErr w:type="spellEnd"/>
      <w:r w:rsidRPr="001E7985">
        <w:rPr>
          <w:rStyle w:val="Hyperlink"/>
          <w:color w:val="000000" w:themeColor="text1"/>
          <w:sz w:val="24"/>
          <w:szCs w:val="24"/>
        </w:rPr>
        <w:t xml:space="preserve">, Costa Rican Longevity and Healthy Aging Study (CRELES), in Encyclopedia of Gerontology and Population Aging, D. Gu and M. Dupre, Editors. 2021, Springer International Publishing: Cham. p. 1192-1196. </w:t>
      </w:r>
      <w:r w:rsidRPr="001E7985">
        <w:rPr>
          <w:rFonts w:eastAsiaTheme="minorHAnsi"/>
          <w:color w:val="000000" w:themeColor="text1"/>
          <w:sz w:val="24"/>
          <w:szCs w:val="24"/>
        </w:rPr>
        <w:t>DOI 10.1007/978-3-030-22009-9_334.</w:t>
      </w:r>
    </w:p>
  </w:endnote>
  <w:endnote w:id="49">
    <w:p w14:paraId="097E10B8" w14:textId="41CF0851"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United Nations. Demographic Yearbook. New York: United Nations; 1961.</w:t>
      </w:r>
    </w:p>
  </w:endnote>
  <w:endnote w:id="50">
    <w:p w14:paraId="4CAEE815" w14:textId="08E54B8F"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Hill K, </w:t>
      </w:r>
      <w:proofErr w:type="spellStart"/>
      <w:r w:rsidRPr="002B462A">
        <w:rPr>
          <w:sz w:val="24"/>
          <w:szCs w:val="24"/>
        </w:rPr>
        <w:t>Pande</w:t>
      </w:r>
      <w:proofErr w:type="spellEnd"/>
      <w:r w:rsidRPr="002B462A">
        <w:rPr>
          <w:sz w:val="24"/>
          <w:szCs w:val="24"/>
        </w:rPr>
        <w:t xml:space="preserve"> R, </w:t>
      </w:r>
      <w:proofErr w:type="spellStart"/>
      <w:r w:rsidRPr="002B462A">
        <w:rPr>
          <w:sz w:val="24"/>
          <w:szCs w:val="24"/>
        </w:rPr>
        <w:t>Mahy</w:t>
      </w:r>
      <w:proofErr w:type="spellEnd"/>
      <w:r w:rsidRPr="002B462A">
        <w:rPr>
          <w:sz w:val="24"/>
          <w:szCs w:val="24"/>
        </w:rPr>
        <w:t xml:space="preserve"> M, Jones G. Trends in Child Mortality in the Developing World 1960 to 1996. New York: UNICEF; 1999.</w:t>
      </w:r>
    </w:p>
  </w:endnote>
  <w:endnote w:id="51">
    <w:p w14:paraId="3FB34851" w14:textId="788DAD38"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Pérez-</w:t>
      </w:r>
      <w:proofErr w:type="spellStart"/>
      <w:r w:rsidRPr="002B462A">
        <w:rPr>
          <w:sz w:val="24"/>
          <w:szCs w:val="24"/>
        </w:rPr>
        <w:t>Brignoli</w:t>
      </w:r>
      <w:proofErr w:type="spellEnd"/>
      <w:r w:rsidRPr="002B462A">
        <w:rPr>
          <w:sz w:val="24"/>
          <w:szCs w:val="24"/>
        </w:rPr>
        <w:t xml:space="preserve"> H, López-Ruiz LA. </w:t>
      </w:r>
      <w:proofErr w:type="spellStart"/>
      <w:r w:rsidRPr="002B462A">
        <w:rPr>
          <w:sz w:val="24"/>
          <w:szCs w:val="24"/>
        </w:rPr>
        <w:t>Evaluación</w:t>
      </w:r>
      <w:proofErr w:type="spellEnd"/>
      <w:r w:rsidRPr="002B462A">
        <w:rPr>
          <w:sz w:val="24"/>
          <w:szCs w:val="24"/>
        </w:rPr>
        <w:t xml:space="preserve"> de </w:t>
      </w:r>
      <w:proofErr w:type="spellStart"/>
      <w:r w:rsidRPr="002B462A">
        <w:rPr>
          <w:sz w:val="24"/>
          <w:szCs w:val="24"/>
        </w:rPr>
        <w:t>cobertura</w:t>
      </w:r>
      <w:proofErr w:type="spellEnd"/>
      <w:r w:rsidRPr="002B462A">
        <w:rPr>
          <w:sz w:val="24"/>
          <w:szCs w:val="24"/>
        </w:rPr>
        <w:t xml:space="preserve">: </w:t>
      </w:r>
      <w:proofErr w:type="spellStart"/>
      <w:r w:rsidRPr="002B462A">
        <w:rPr>
          <w:sz w:val="24"/>
          <w:szCs w:val="24"/>
        </w:rPr>
        <w:t>estadísticas</w:t>
      </w:r>
      <w:proofErr w:type="spellEnd"/>
      <w:r w:rsidRPr="002B462A">
        <w:rPr>
          <w:sz w:val="24"/>
          <w:szCs w:val="24"/>
        </w:rPr>
        <w:t xml:space="preserve"> de </w:t>
      </w:r>
      <w:proofErr w:type="spellStart"/>
      <w:r w:rsidRPr="002B462A">
        <w:rPr>
          <w:sz w:val="24"/>
          <w:szCs w:val="24"/>
        </w:rPr>
        <w:t>nacimiento</w:t>
      </w:r>
      <w:proofErr w:type="spellEnd"/>
      <w:r w:rsidRPr="002B462A">
        <w:rPr>
          <w:sz w:val="24"/>
          <w:szCs w:val="24"/>
        </w:rPr>
        <w:t xml:space="preserve"> y </w:t>
      </w:r>
      <w:proofErr w:type="spellStart"/>
      <w:r w:rsidRPr="002B462A">
        <w:rPr>
          <w:sz w:val="24"/>
          <w:szCs w:val="24"/>
        </w:rPr>
        <w:t>defunción</w:t>
      </w:r>
      <w:proofErr w:type="spellEnd"/>
      <w:r w:rsidRPr="002B462A">
        <w:rPr>
          <w:sz w:val="24"/>
          <w:szCs w:val="24"/>
        </w:rPr>
        <w:t xml:space="preserve"> Costa Rica 2000-2012. San </w:t>
      </w:r>
      <w:proofErr w:type="spellStart"/>
      <w:r w:rsidRPr="002B462A">
        <w:rPr>
          <w:sz w:val="24"/>
          <w:szCs w:val="24"/>
        </w:rPr>
        <w:t>josé</w:t>
      </w:r>
      <w:proofErr w:type="spellEnd"/>
      <w:r w:rsidRPr="002B462A">
        <w:rPr>
          <w:sz w:val="24"/>
          <w:szCs w:val="24"/>
        </w:rPr>
        <w:t xml:space="preserve">, Costa Rica: Instituto Nacional de </w:t>
      </w:r>
      <w:proofErr w:type="spellStart"/>
      <w:r w:rsidRPr="002B462A">
        <w:rPr>
          <w:sz w:val="24"/>
          <w:szCs w:val="24"/>
        </w:rPr>
        <w:t>Estadística</w:t>
      </w:r>
      <w:proofErr w:type="spellEnd"/>
      <w:r w:rsidRPr="002B462A">
        <w:rPr>
          <w:sz w:val="24"/>
          <w:szCs w:val="24"/>
        </w:rPr>
        <w:t xml:space="preserve"> y </w:t>
      </w:r>
      <w:proofErr w:type="spellStart"/>
      <w:r w:rsidRPr="002B462A">
        <w:rPr>
          <w:sz w:val="24"/>
          <w:szCs w:val="24"/>
        </w:rPr>
        <w:t>Censos</w:t>
      </w:r>
      <w:proofErr w:type="spellEnd"/>
      <w:r w:rsidRPr="002B462A">
        <w:rPr>
          <w:sz w:val="24"/>
          <w:szCs w:val="24"/>
        </w:rPr>
        <w:t xml:space="preserve"> (INEC); 2017.</w:t>
      </w:r>
    </w:p>
  </w:endnote>
  <w:endnote w:id="52">
    <w:p w14:paraId="71030467" w14:textId="12196606" w:rsidR="00E31D49" w:rsidRPr="002B462A" w:rsidRDefault="00E31D49">
      <w:pPr>
        <w:pStyle w:val="EndnoteText"/>
        <w:rPr>
          <w:sz w:val="24"/>
          <w:szCs w:val="24"/>
        </w:rPr>
      </w:pPr>
      <w:r w:rsidRPr="002B462A">
        <w:rPr>
          <w:rStyle w:val="EndnoteReference"/>
          <w:sz w:val="24"/>
          <w:szCs w:val="24"/>
        </w:rPr>
        <w:endnoteRef/>
      </w:r>
      <w:r w:rsidRPr="002B462A">
        <w:rPr>
          <w:sz w:val="24"/>
          <w:szCs w:val="24"/>
        </w:rPr>
        <w:t xml:space="preserve"> Glei DA, Barbieri M, </w:t>
      </w:r>
      <w:proofErr w:type="spellStart"/>
      <w:r w:rsidRPr="002B462A">
        <w:rPr>
          <w:sz w:val="24"/>
          <w:szCs w:val="24"/>
        </w:rPr>
        <w:t>Santamaría</w:t>
      </w:r>
      <w:proofErr w:type="spellEnd"/>
      <w:r w:rsidRPr="002B462A">
        <w:rPr>
          <w:sz w:val="24"/>
          <w:szCs w:val="24"/>
        </w:rPr>
        <w:t xml:space="preserve">-Ulloa C. Costa Rican mortality 1950-2013: an evaluation of data quality and trends compared with other countries. Demographic research. </w:t>
      </w:r>
      <w:r w:rsidR="001E7985" w:rsidRPr="001E7985">
        <w:rPr>
          <w:b/>
          <w:bCs/>
          <w:sz w:val="24"/>
          <w:szCs w:val="24"/>
        </w:rPr>
        <w:t>4</w:t>
      </w:r>
      <w:r w:rsidRPr="001E7985">
        <w:rPr>
          <w:b/>
          <w:bCs/>
          <w:sz w:val="24"/>
          <w:szCs w:val="24"/>
        </w:rPr>
        <w:t>0</w:t>
      </w:r>
      <w:r w:rsidRPr="002B462A">
        <w:rPr>
          <w:sz w:val="24"/>
          <w:szCs w:val="24"/>
        </w:rPr>
        <w:t>:835</w:t>
      </w:r>
      <w:r w:rsidR="001E7985">
        <w:rPr>
          <w:sz w:val="24"/>
          <w:szCs w:val="24"/>
        </w:rPr>
        <w:t xml:space="preserve"> (2019).</w:t>
      </w:r>
    </w:p>
  </w:endnote>
  <w:endnote w:id="53">
    <w:p w14:paraId="1CAEAB47" w14:textId="713D55CE" w:rsidR="00E31D49" w:rsidRPr="00E31D49" w:rsidRDefault="00E31D49">
      <w:pPr>
        <w:pStyle w:val="EndnoteText"/>
        <w:rPr>
          <w:sz w:val="24"/>
          <w:szCs w:val="24"/>
        </w:rPr>
      </w:pPr>
      <w:r w:rsidRPr="002B462A">
        <w:rPr>
          <w:rStyle w:val="EndnoteReference"/>
          <w:sz w:val="24"/>
          <w:szCs w:val="24"/>
        </w:rPr>
        <w:endnoteRef/>
      </w:r>
      <w:r w:rsidRPr="002B462A">
        <w:rPr>
          <w:sz w:val="24"/>
          <w:szCs w:val="24"/>
        </w:rPr>
        <w:t xml:space="preserve"> Rosero-Bixby L, Dow WH, </w:t>
      </w:r>
      <w:proofErr w:type="spellStart"/>
      <w:r w:rsidRPr="002B462A">
        <w:rPr>
          <w:sz w:val="24"/>
          <w:szCs w:val="24"/>
        </w:rPr>
        <w:t>Rehkopf</w:t>
      </w:r>
      <w:proofErr w:type="spellEnd"/>
      <w:r w:rsidRPr="002B462A">
        <w:rPr>
          <w:sz w:val="24"/>
          <w:szCs w:val="24"/>
        </w:rPr>
        <w:t xml:space="preserve"> DH. The Nicoya region of Costa Rica: A high longevity island for elderly males. Vienna Yearbook of Population Research 2013. </w:t>
      </w:r>
      <w:r w:rsidRPr="001E7985">
        <w:rPr>
          <w:b/>
          <w:bCs/>
          <w:sz w:val="24"/>
          <w:szCs w:val="24"/>
        </w:rPr>
        <w:t>11</w:t>
      </w:r>
      <w:r w:rsidRPr="002B462A">
        <w:rPr>
          <w:sz w:val="24"/>
          <w:szCs w:val="24"/>
        </w:rPr>
        <w:t>:109-36</w:t>
      </w:r>
      <w:r w:rsidR="001E7985">
        <w:rPr>
          <w:sz w:val="24"/>
          <w:szCs w:val="24"/>
        </w:rPr>
        <w:t xml:space="preserve">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6922415"/>
      <w:docPartObj>
        <w:docPartGallery w:val="Page Numbers (Bottom of Page)"/>
        <w:docPartUnique/>
      </w:docPartObj>
    </w:sdtPr>
    <w:sdtEndPr>
      <w:rPr>
        <w:rStyle w:val="PageNumber"/>
      </w:rPr>
    </w:sdtEndPr>
    <w:sdtContent>
      <w:p w14:paraId="1782391D" w14:textId="1BF23861" w:rsidR="003E2AC0" w:rsidRDefault="003E2AC0" w:rsidP="000043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807E82" w14:textId="77777777" w:rsidR="003E2AC0" w:rsidRDefault="003E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0597562"/>
      <w:docPartObj>
        <w:docPartGallery w:val="Page Numbers (Bottom of Page)"/>
        <w:docPartUnique/>
      </w:docPartObj>
    </w:sdtPr>
    <w:sdtEndPr>
      <w:rPr>
        <w:rStyle w:val="PageNumber"/>
      </w:rPr>
    </w:sdtEndPr>
    <w:sdtContent>
      <w:p w14:paraId="76E873AC" w14:textId="4B31F87C" w:rsidR="003E2AC0" w:rsidRDefault="003E2AC0" w:rsidP="000043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CD815B" w14:textId="77777777" w:rsidR="003E2AC0" w:rsidRDefault="003E2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CA512" w14:textId="77777777" w:rsidR="00E13EE4" w:rsidRDefault="00E13EE4" w:rsidP="002A330E">
      <w:r>
        <w:separator/>
      </w:r>
    </w:p>
  </w:footnote>
  <w:footnote w:type="continuationSeparator" w:id="0">
    <w:p w14:paraId="5C5551C3" w14:textId="77777777" w:rsidR="00E13EE4" w:rsidRDefault="00E13EE4" w:rsidP="002A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D307F"/>
    <w:multiLevelType w:val="hybridMultilevel"/>
    <w:tmpl w:val="262CB95C"/>
    <w:lvl w:ilvl="0" w:tplc="8558EFDA">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D5CC0"/>
    <w:multiLevelType w:val="hybridMultilevel"/>
    <w:tmpl w:val="A37A0BA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11E81"/>
    <w:multiLevelType w:val="multilevel"/>
    <w:tmpl w:val="F2FE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4748D"/>
    <w:multiLevelType w:val="hybridMultilevel"/>
    <w:tmpl w:val="3A64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238C6"/>
    <w:multiLevelType w:val="hybridMultilevel"/>
    <w:tmpl w:val="A5F892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129CA"/>
    <w:multiLevelType w:val="hybridMultilevel"/>
    <w:tmpl w:val="9DAAF4FA"/>
    <w:lvl w:ilvl="0" w:tplc="C9F69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DC57EC"/>
    <w:multiLevelType w:val="hybridMultilevel"/>
    <w:tmpl w:val="F97CAC52"/>
    <w:lvl w:ilvl="0" w:tplc="4B50C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870B3"/>
    <w:multiLevelType w:val="hybridMultilevel"/>
    <w:tmpl w:val="FEF83A8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wepxvv0rp0t7eftthped50sze0ad9dddwe&quot;&gt;rosero-bib-Converted&lt;record-ids&gt;&lt;item&gt;1995&lt;/item&gt;&lt;/record-ids&gt;&lt;/item&gt;&lt;/Libraries&gt;"/>
  </w:docVars>
  <w:rsids>
    <w:rsidRoot w:val="002A330E"/>
    <w:rsid w:val="00042808"/>
    <w:rsid w:val="000875B2"/>
    <w:rsid w:val="00092AD8"/>
    <w:rsid w:val="0009343D"/>
    <w:rsid w:val="000C0B5C"/>
    <w:rsid w:val="000C3901"/>
    <w:rsid w:val="000C791E"/>
    <w:rsid w:val="000E35BB"/>
    <w:rsid w:val="00111886"/>
    <w:rsid w:val="00116D54"/>
    <w:rsid w:val="00150D5E"/>
    <w:rsid w:val="00180325"/>
    <w:rsid w:val="0019477D"/>
    <w:rsid w:val="001A4E79"/>
    <w:rsid w:val="001D4054"/>
    <w:rsid w:val="001E7985"/>
    <w:rsid w:val="00201E86"/>
    <w:rsid w:val="00220BB7"/>
    <w:rsid w:val="00244607"/>
    <w:rsid w:val="00252A47"/>
    <w:rsid w:val="002778F2"/>
    <w:rsid w:val="002A330E"/>
    <w:rsid w:val="002B462A"/>
    <w:rsid w:val="00314574"/>
    <w:rsid w:val="0033089E"/>
    <w:rsid w:val="00336A62"/>
    <w:rsid w:val="003409D3"/>
    <w:rsid w:val="003805B8"/>
    <w:rsid w:val="003846A3"/>
    <w:rsid w:val="00386EC9"/>
    <w:rsid w:val="00390FBE"/>
    <w:rsid w:val="003D76BA"/>
    <w:rsid w:val="003E2AC0"/>
    <w:rsid w:val="00450961"/>
    <w:rsid w:val="00496EF7"/>
    <w:rsid w:val="004A0932"/>
    <w:rsid w:val="004A6B96"/>
    <w:rsid w:val="004B16DD"/>
    <w:rsid w:val="00502BA0"/>
    <w:rsid w:val="005211DA"/>
    <w:rsid w:val="00540D47"/>
    <w:rsid w:val="0054579D"/>
    <w:rsid w:val="005466F2"/>
    <w:rsid w:val="00571CA5"/>
    <w:rsid w:val="0059440C"/>
    <w:rsid w:val="005C5F40"/>
    <w:rsid w:val="005D7DF4"/>
    <w:rsid w:val="005E7DF3"/>
    <w:rsid w:val="00601B9D"/>
    <w:rsid w:val="0063520B"/>
    <w:rsid w:val="00667262"/>
    <w:rsid w:val="00682D83"/>
    <w:rsid w:val="00697766"/>
    <w:rsid w:val="006A0270"/>
    <w:rsid w:val="006B6C47"/>
    <w:rsid w:val="006C5101"/>
    <w:rsid w:val="007103BD"/>
    <w:rsid w:val="007541C6"/>
    <w:rsid w:val="0079191E"/>
    <w:rsid w:val="007B103F"/>
    <w:rsid w:val="007B3623"/>
    <w:rsid w:val="007B4539"/>
    <w:rsid w:val="007F2C54"/>
    <w:rsid w:val="00806167"/>
    <w:rsid w:val="0081761C"/>
    <w:rsid w:val="00833A3F"/>
    <w:rsid w:val="00867AF2"/>
    <w:rsid w:val="00872A89"/>
    <w:rsid w:val="008A1A73"/>
    <w:rsid w:val="008A7253"/>
    <w:rsid w:val="008E085E"/>
    <w:rsid w:val="009212B7"/>
    <w:rsid w:val="00977E01"/>
    <w:rsid w:val="00982727"/>
    <w:rsid w:val="00992CAE"/>
    <w:rsid w:val="009B0C65"/>
    <w:rsid w:val="009F640B"/>
    <w:rsid w:val="00A43BCF"/>
    <w:rsid w:val="00B3628C"/>
    <w:rsid w:val="00B734B9"/>
    <w:rsid w:val="00B735C8"/>
    <w:rsid w:val="00B94A85"/>
    <w:rsid w:val="00B969BE"/>
    <w:rsid w:val="00BC6434"/>
    <w:rsid w:val="00BF4948"/>
    <w:rsid w:val="00C00FE4"/>
    <w:rsid w:val="00CD2BE6"/>
    <w:rsid w:val="00D167F6"/>
    <w:rsid w:val="00D404EB"/>
    <w:rsid w:val="00D6379F"/>
    <w:rsid w:val="00DA334E"/>
    <w:rsid w:val="00DB354E"/>
    <w:rsid w:val="00E1090D"/>
    <w:rsid w:val="00E13EE4"/>
    <w:rsid w:val="00E24879"/>
    <w:rsid w:val="00E31D49"/>
    <w:rsid w:val="00E72CD2"/>
    <w:rsid w:val="00EB3E85"/>
    <w:rsid w:val="00EC1053"/>
    <w:rsid w:val="00EE6C8D"/>
    <w:rsid w:val="00F2706A"/>
    <w:rsid w:val="00F3712D"/>
    <w:rsid w:val="00F43DFD"/>
    <w:rsid w:val="00F46964"/>
    <w:rsid w:val="00FD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64265"/>
  <w15:chartTrackingRefBased/>
  <w15:docId w15:val="{D47F7D45-5B62-F242-96C6-550B8CD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30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330E"/>
    <w:rPr>
      <w:sz w:val="20"/>
      <w:szCs w:val="20"/>
    </w:rPr>
  </w:style>
  <w:style w:type="character" w:customStyle="1" w:styleId="FootnoteTextChar">
    <w:name w:val="Footnote Text Char"/>
    <w:basedOn w:val="DefaultParagraphFont"/>
    <w:link w:val="FootnoteText"/>
    <w:uiPriority w:val="99"/>
    <w:semiHidden/>
    <w:rsid w:val="002A330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330E"/>
    <w:rPr>
      <w:vertAlign w:val="superscript"/>
    </w:rPr>
  </w:style>
  <w:style w:type="paragraph" w:styleId="ListParagraph">
    <w:name w:val="List Paragraph"/>
    <w:basedOn w:val="Normal"/>
    <w:link w:val="ListParagraphChar"/>
    <w:uiPriority w:val="34"/>
    <w:qFormat/>
    <w:rsid w:val="002A330E"/>
    <w:pPr>
      <w:ind w:left="720"/>
      <w:contextualSpacing/>
    </w:pPr>
  </w:style>
  <w:style w:type="paragraph" w:styleId="NormalWeb">
    <w:name w:val="Normal (Web)"/>
    <w:basedOn w:val="Normal"/>
    <w:uiPriority w:val="99"/>
    <w:unhideWhenUsed/>
    <w:rsid w:val="002A330E"/>
    <w:pPr>
      <w:spacing w:before="100" w:beforeAutospacing="1" w:after="100" w:afterAutospacing="1"/>
    </w:pPr>
  </w:style>
  <w:style w:type="paragraph" w:styleId="EndnoteText">
    <w:name w:val="endnote text"/>
    <w:basedOn w:val="Normal"/>
    <w:link w:val="EndnoteTextChar"/>
    <w:uiPriority w:val="99"/>
    <w:semiHidden/>
    <w:unhideWhenUsed/>
    <w:rsid w:val="00042808"/>
    <w:rPr>
      <w:sz w:val="20"/>
      <w:szCs w:val="20"/>
    </w:rPr>
  </w:style>
  <w:style w:type="character" w:customStyle="1" w:styleId="EndnoteTextChar">
    <w:name w:val="Endnote Text Char"/>
    <w:basedOn w:val="DefaultParagraphFont"/>
    <w:link w:val="EndnoteText"/>
    <w:uiPriority w:val="99"/>
    <w:semiHidden/>
    <w:rsid w:val="0004280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42808"/>
    <w:rPr>
      <w:vertAlign w:val="superscript"/>
    </w:rPr>
  </w:style>
  <w:style w:type="paragraph" w:styleId="Footer">
    <w:name w:val="footer"/>
    <w:basedOn w:val="Normal"/>
    <w:link w:val="FooterChar"/>
    <w:uiPriority w:val="99"/>
    <w:unhideWhenUsed/>
    <w:rsid w:val="003E2AC0"/>
    <w:pPr>
      <w:tabs>
        <w:tab w:val="center" w:pos="4680"/>
        <w:tab w:val="right" w:pos="9360"/>
      </w:tabs>
    </w:pPr>
  </w:style>
  <w:style w:type="character" w:customStyle="1" w:styleId="FooterChar">
    <w:name w:val="Footer Char"/>
    <w:basedOn w:val="DefaultParagraphFont"/>
    <w:link w:val="Footer"/>
    <w:uiPriority w:val="99"/>
    <w:rsid w:val="003E2AC0"/>
    <w:rPr>
      <w:rFonts w:ascii="Times New Roman" w:eastAsia="Times New Roman" w:hAnsi="Times New Roman" w:cs="Times New Roman"/>
    </w:rPr>
  </w:style>
  <w:style w:type="character" w:styleId="PageNumber">
    <w:name w:val="page number"/>
    <w:basedOn w:val="DefaultParagraphFont"/>
    <w:uiPriority w:val="99"/>
    <w:semiHidden/>
    <w:unhideWhenUsed/>
    <w:rsid w:val="003E2AC0"/>
  </w:style>
  <w:style w:type="paragraph" w:styleId="CommentText">
    <w:name w:val="annotation text"/>
    <w:basedOn w:val="Normal"/>
    <w:link w:val="CommentTextChar"/>
    <w:uiPriority w:val="99"/>
    <w:unhideWhenUsed/>
    <w:rsid w:val="00092AD8"/>
    <w:rPr>
      <w:sz w:val="20"/>
      <w:szCs w:val="20"/>
    </w:rPr>
  </w:style>
  <w:style w:type="character" w:customStyle="1" w:styleId="CommentTextChar">
    <w:name w:val="Comment Text Char"/>
    <w:basedOn w:val="DefaultParagraphFont"/>
    <w:link w:val="CommentText"/>
    <w:uiPriority w:val="99"/>
    <w:rsid w:val="00092A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92AD8"/>
    <w:rPr>
      <w:sz w:val="16"/>
      <w:szCs w:val="16"/>
    </w:rPr>
  </w:style>
  <w:style w:type="paragraph" w:styleId="BalloonText">
    <w:name w:val="Balloon Text"/>
    <w:basedOn w:val="Normal"/>
    <w:link w:val="BalloonTextChar"/>
    <w:uiPriority w:val="99"/>
    <w:semiHidden/>
    <w:unhideWhenUsed/>
    <w:rsid w:val="00092AD8"/>
    <w:rPr>
      <w:sz w:val="18"/>
      <w:szCs w:val="18"/>
    </w:rPr>
  </w:style>
  <w:style w:type="character" w:customStyle="1" w:styleId="BalloonTextChar">
    <w:name w:val="Balloon Text Char"/>
    <w:basedOn w:val="DefaultParagraphFont"/>
    <w:link w:val="BalloonText"/>
    <w:uiPriority w:val="99"/>
    <w:semiHidden/>
    <w:rsid w:val="00092AD8"/>
    <w:rPr>
      <w:rFonts w:ascii="Times New Roman" w:eastAsia="Times New Roman" w:hAnsi="Times New Roman" w:cs="Times New Roman"/>
      <w:sz w:val="18"/>
      <w:szCs w:val="18"/>
    </w:rPr>
  </w:style>
  <w:style w:type="paragraph" w:styleId="Revision">
    <w:name w:val="Revision"/>
    <w:hidden/>
    <w:uiPriority w:val="99"/>
    <w:semiHidden/>
    <w:rsid w:val="0011188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C1053"/>
    <w:rPr>
      <w:b/>
      <w:bCs/>
    </w:rPr>
  </w:style>
  <w:style w:type="character" w:customStyle="1" w:styleId="CommentSubjectChar">
    <w:name w:val="Comment Subject Char"/>
    <w:basedOn w:val="CommentTextChar"/>
    <w:link w:val="CommentSubject"/>
    <w:uiPriority w:val="99"/>
    <w:semiHidden/>
    <w:rsid w:val="00EC105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C1053"/>
    <w:rPr>
      <w:color w:val="0563C1" w:themeColor="hyperlink"/>
      <w:u w:val="single"/>
    </w:rPr>
  </w:style>
  <w:style w:type="character" w:styleId="UnresolvedMention">
    <w:name w:val="Unresolved Mention"/>
    <w:basedOn w:val="DefaultParagraphFont"/>
    <w:uiPriority w:val="99"/>
    <w:semiHidden/>
    <w:unhideWhenUsed/>
    <w:rsid w:val="00EC1053"/>
    <w:rPr>
      <w:color w:val="605E5C"/>
      <w:shd w:val="clear" w:color="auto" w:fill="E1DFDD"/>
    </w:rPr>
  </w:style>
  <w:style w:type="character" w:styleId="Emphasis">
    <w:name w:val="Emphasis"/>
    <w:basedOn w:val="DefaultParagraphFont"/>
    <w:uiPriority w:val="20"/>
    <w:qFormat/>
    <w:rsid w:val="00F43DFD"/>
    <w:rPr>
      <w:i/>
      <w:iCs/>
    </w:rPr>
  </w:style>
  <w:style w:type="character" w:styleId="HTMLCite">
    <w:name w:val="HTML Cite"/>
    <w:basedOn w:val="DefaultParagraphFont"/>
    <w:uiPriority w:val="99"/>
    <w:semiHidden/>
    <w:unhideWhenUsed/>
    <w:rsid w:val="00F43DFD"/>
    <w:rPr>
      <w:i/>
      <w:iCs/>
    </w:rPr>
  </w:style>
  <w:style w:type="paragraph" w:customStyle="1" w:styleId="EndNoteBibliographyTitle">
    <w:name w:val="EndNote Bibliography Title"/>
    <w:basedOn w:val="Normal"/>
    <w:link w:val="EndNoteBibliographyTitleChar"/>
    <w:rsid w:val="00B94A85"/>
    <w:pPr>
      <w:jc w:val="center"/>
    </w:pPr>
  </w:style>
  <w:style w:type="character" w:customStyle="1" w:styleId="ListParagraphChar">
    <w:name w:val="List Paragraph Char"/>
    <w:basedOn w:val="DefaultParagraphFont"/>
    <w:link w:val="ListParagraph"/>
    <w:uiPriority w:val="34"/>
    <w:rsid w:val="00B94A85"/>
    <w:rPr>
      <w:rFonts w:ascii="Times New Roman" w:eastAsia="Times New Roman" w:hAnsi="Times New Roman" w:cs="Times New Roman"/>
    </w:rPr>
  </w:style>
  <w:style w:type="character" w:customStyle="1" w:styleId="EndNoteBibliographyTitleChar">
    <w:name w:val="EndNote Bibliography Title Char"/>
    <w:basedOn w:val="ListParagraphChar"/>
    <w:link w:val="EndNoteBibliographyTitle"/>
    <w:rsid w:val="00B94A85"/>
    <w:rPr>
      <w:rFonts w:ascii="Times New Roman" w:eastAsia="Times New Roman" w:hAnsi="Times New Roman" w:cs="Times New Roman"/>
    </w:rPr>
  </w:style>
  <w:style w:type="paragraph" w:customStyle="1" w:styleId="EndNoteBibliography">
    <w:name w:val="EndNote Bibliography"/>
    <w:basedOn w:val="Normal"/>
    <w:link w:val="EndNoteBibliographyChar"/>
    <w:rsid w:val="00B94A85"/>
  </w:style>
  <w:style w:type="character" w:customStyle="1" w:styleId="EndNoteBibliographyChar">
    <w:name w:val="EndNote Bibliography Char"/>
    <w:basedOn w:val="ListParagraphChar"/>
    <w:link w:val="EndNoteBibliography"/>
    <w:rsid w:val="00B94A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sats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Olshansky</dc:creator>
  <cp:keywords/>
  <dc:description/>
  <cp:lastModifiedBy>Jay Olshansky</cp:lastModifiedBy>
  <cp:revision>2</cp:revision>
  <dcterms:created xsi:type="dcterms:W3CDTF">2026-01-01T23:50:00Z</dcterms:created>
  <dcterms:modified xsi:type="dcterms:W3CDTF">2026-01-01T23:50:00Z</dcterms:modified>
</cp:coreProperties>
</file>