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3FA9" w14:textId="5C238C6E" w:rsidR="00EB135B" w:rsidRPr="006C0DE6" w:rsidRDefault="00EB135B" w:rsidP="00EB13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Materials </w:t>
      </w:r>
    </w:p>
    <w:p w14:paraId="4A1B157A" w14:textId="4A3F8E7A" w:rsidR="00EB135B" w:rsidRPr="006C0DE6" w:rsidRDefault="00EB135B" w:rsidP="00EB135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6C0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DE6">
        <w:rPr>
          <w:rFonts w:ascii="Times New Roman" w:hAnsi="Times New Roman" w:cs="Times New Roman"/>
          <w:b/>
          <w:bCs/>
          <w:sz w:val="24"/>
          <w:szCs w:val="24"/>
        </w:rPr>
        <w:t>Tables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13D66B" w14:textId="4075342F" w:rsidR="00EB135B" w:rsidRPr="006C0DE6" w:rsidRDefault="00EB135B" w:rsidP="00EB13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E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C0DE6">
        <w:rPr>
          <w:rFonts w:ascii="Times New Roman" w:hAnsi="Times New Roman" w:cs="Times New Roman"/>
          <w:b/>
          <w:bCs/>
          <w:sz w:val="24"/>
          <w:szCs w:val="24"/>
        </w:rPr>
        <w:t>1. Prevalence of behavioural health risk factors by remoteness (%)</w: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1559"/>
        <w:gridCol w:w="2693"/>
      </w:tblGrid>
      <w:tr w:rsidR="00EB135B" w:rsidRPr="006C0DE6" w14:paraId="290DBCB3" w14:textId="77777777" w:rsidTr="00CA4715">
        <w:trPr>
          <w:trHeight w:val="31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0158C54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Health Measure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5B55AF8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(%)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96F97AA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Inner Regional (%)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1A17BE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/ Remote (%)</w:t>
            </w:r>
          </w:p>
        </w:tc>
      </w:tr>
      <w:tr w:rsidR="00EB135B" w:rsidRPr="006C0DE6" w14:paraId="3307B5D2" w14:textId="77777777" w:rsidTr="00CA4715">
        <w:trPr>
          <w:trHeight w:val="313"/>
        </w:trPr>
        <w:tc>
          <w:tcPr>
            <w:tcW w:w="340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F0CEF5B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Current daily smoker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E471EBE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9.4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9735111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13.3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7F9BE56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16.7</w:t>
            </w:r>
          </w:p>
        </w:tc>
      </w:tr>
      <w:tr w:rsidR="00EB135B" w:rsidRPr="006C0DE6" w14:paraId="2D60B902" w14:textId="77777777" w:rsidTr="00CA4715">
        <w:trPr>
          <w:trHeight w:val="313"/>
        </w:trPr>
        <w:tc>
          <w:tcPr>
            <w:tcW w:w="3402" w:type="dxa"/>
            <w:noWrap/>
            <w:vAlign w:val="bottom"/>
            <w:hideMark/>
          </w:tcPr>
          <w:p w14:paraId="49D70531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Did not meet 2014 physical activity guidelines</w:t>
            </w:r>
          </w:p>
        </w:tc>
        <w:tc>
          <w:tcPr>
            <w:tcW w:w="1418" w:type="dxa"/>
            <w:noWrap/>
            <w:vAlign w:val="bottom"/>
            <w:hideMark/>
          </w:tcPr>
          <w:p w14:paraId="58EF02B7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74.9</w:t>
            </w:r>
          </w:p>
        </w:tc>
        <w:tc>
          <w:tcPr>
            <w:tcW w:w="1559" w:type="dxa"/>
            <w:noWrap/>
            <w:vAlign w:val="bottom"/>
            <w:hideMark/>
          </w:tcPr>
          <w:p w14:paraId="6447FF1E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74.1</w:t>
            </w:r>
          </w:p>
        </w:tc>
        <w:tc>
          <w:tcPr>
            <w:tcW w:w="2693" w:type="dxa"/>
            <w:noWrap/>
            <w:vAlign w:val="bottom"/>
            <w:hideMark/>
          </w:tcPr>
          <w:p w14:paraId="39131D88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79.8</w:t>
            </w:r>
          </w:p>
        </w:tc>
      </w:tr>
      <w:tr w:rsidR="00EB135B" w:rsidRPr="006C0DE6" w14:paraId="543FFD20" w14:textId="77777777" w:rsidTr="00CA4715">
        <w:trPr>
          <w:trHeight w:val="313"/>
        </w:trPr>
        <w:tc>
          <w:tcPr>
            <w:tcW w:w="3402" w:type="dxa"/>
            <w:noWrap/>
            <w:vAlign w:val="bottom"/>
            <w:hideMark/>
          </w:tcPr>
          <w:p w14:paraId="72A649F4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High blood pressure (≥140 / 90 mmHg)</w:t>
            </w:r>
          </w:p>
        </w:tc>
        <w:tc>
          <w:tcPr>
            <w:tcW w:w="1418" w:type="dxa"/>
            <w:noWrap/>
            <w:vAlign w:val="bottom"/>
            <w:hideMark/>
          </w:tcPr>
          <w:p w14:paraId="707019BD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22.4</w:t>
            </w:r>
          </w:p>
        </w:tc>
        <w:tc>
          <w:tcPr>
            <w:tcW w:w="1559" w:type="dxa"/>
            <w:noWrap/>
            <w:vAlign w:val="bottom"/>
            <w:hideMark/>
          </w:tcPr>
          <w:p w14:paraId="17984A7E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26.2</w:t>
            </w:r>
          </w:p>
        </w:tc>
        <w:tc>
          <w:tcPr>
            <w:tcW w:w="2693" w:type="dxa"/>
            <w:noWrap/>
            <w:vAlign w:val="bottom"/>
            <w:hideMark/>
          </w:tcPr>
          <w:p w14:paraId="486E8DBA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25.2</w:t>
            </w:r>
          </w:p>
        </w:tc>
      </w:tr>
      <w:tr w:rsidR="00EB135B" w:rsidRPr="006C0DE6" w14:paraId="3011DBD6" w14:textId="77777777" w:rsidTr="00CA4715">
        <w:trPr>
          <w:trHeight w:val="313"/>
        </w:trPr>
        <w:tc>
          <w:tcPr>
            <w:tcW w:w="3402" w:type="dxa"/>
            <w:noWrap/>
            <w:vAlign w:val="bottom"/>
            <w:hideMark/>
          </w:tcPr>
          <w:p w14:paraId="35DE8553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Obese (30.00 or more)</w:t>
            </w:r>
          </w:p>
        </w:tc>
        <w:tc>
          <w:tcPr>
            <w:tcW w:w="1418" w:type="dxa"/>
            <w:noWrap/>
            <w:vAlign w:val="bottom"/>
            <w:hideMark/>
          </w:tcPr>
          <w:p w14:paraId="34AD8CAE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30.1</w:t>
            </w:r>
          </w:p>
        </w:tc>
        <w:tc>
          <w:tcPr>
            <w:tcW w:w="1559" w:type="dxa"/>
            <w:noWrap/>
            <w:vAlign w:val="bottom"/>
            <w:hideMark/>
          </w:tcPr>
          <w:p w14:paraId="00FACCA7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36.8</w:t>
            </w:r>
          </w:p>
        </w:tc>
        <w:tc>
          <w:tcPr>
            <w:tcW w:w="2693" w:type="dxa"/>
            <w:noWrap/>
            <w:vAlign w:val="bottom"/>
            <w:hideMark/>
          </w:tcPr>
          <w:p w14:paraId="3089C330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35.8</w:t>
            </w:r>
          </w:p>
        </w:tc>
      </w:tr>
      <w:tr w:rsidR="00EB135B" w:rsidRPr="006C0DE6" w14:paraId="319272DE" w14:textId="77777777" w:rsidTr="00CA4715">
        <w:trPr>
          <w:trHeight w:val="313"/>
        </w:trPr>
        <w:tc>
          <w:tcPr>
            <w:tcW w:w="3402" w:type="dxa"/>
            <w:noWrap/>
            <w:vAlign w:val="bottom"/>
            <w:hideMark/>
          </w:tcPr>
          <w:p w14:paraId="382B6617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Overweight / Obese (25.00 or more)</w:t>
            </w:r>
          </w:p>
        </w:tc>
        <w:tc>
          <w:tcPr>
            <w:tcW w:w="1418" w:type="dxa"/>
            <w:noWrap/>
            <w:vAlign w:val="bottom"/>
            <w:hideMark/>
          </w:tcPr>
          <w:p w14:paraId="73F84B2B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64.3</w:t>
            </w:r>
          </w:p>
        </w:tc>
        <w:tc>
          <w:tcPr>
            <w:tcW w:w="1559" w:type="dxa"/>
            <w:noWrap/>
            <w:vAlign w:val="bottom"/>
            <w:hideMark/>
          </w:tcPr>
          <w:p w14:paraId="1768ABCE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69.6</w:t>
            </w:r>
          </w:p>
        </w:tc>
        <w:tc>
          <w:tcPr>
            <w:tcW w:w="2693" w:type="dxa"/>
            <w:noWrap/>
            <w:vAlign w:val="bottom"/>
            <w:hideMark/>
          </w:tcPr>
          <w:p w14:paraId="2593C8FE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70.8</w:t>
            </w:r>
          </w:p>
        </w:tc>
      </w:tr>
    </w:tbl>
    <w:p w14:paraId="5A4D8A22" w14:textId="77777777" w:rsidR="00EB135B" w:rsidRPr="006C0DE6" w:rsidRDefault="00EB135B" w:rsidP="00EB1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E6">
        <w:rPr>
          <w:rFonts w:ascii="Times New Roman" w:hAnsi="Times New Roman" w:cs="Times New Roman"/>
          <w:sz w:val="24"/>
          <w:szCs w:val="24"/>
        </w:rPr>
        <w:t>Notes: Includes smoking, alcohol consumption, physical activity, and related indicators. Percentages refer to adults aged 18 years and over. Source: Australian Bureau of Statistics, National Health Survey 2022.</w:t>
      </w:r>
    </w:p>
    <w:p w14:paraId="6BB9323C" w14:textId="77777777" w:rsidR="00EB135B" w:rsidRPr="006C0DE6" w:rsidRDefault="00EB135B" w:rsidP="00EB1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9199D" w14:textId="5518DCC4" w:rsidR="00EB135B" w:rsidRPr="006C0DE6" w:rsidRDefault="00EB135B" w:rsidP="00EB13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E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C0DE6">
        <w:rPr>
          <w:rFonts w:ascii="Times New Roman" w:hAnsi="Times New Roman" w:cs="Times New Roman"/>
          <w:b/>
          <w:bCs/>
          <w:sz w:val="24"/>
          <w:szCs w:val="24"/>
        </w:rPr>
        <w:t>2. Prevalence of cardiometabolic health risk factors by remoteness (%)</w:t>
      </w:r>
    </w:p>
    <w:tbl>
      <w:tblPr>
        <w:tblW w:w="8957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559"/>
        <w:gridCol w:w="2083"/>
        <w:gridCol w:w="1126"/>
        <w:gridCol w:w="1070"/>
      </w:tblGrid>
      <w:tr w:rsidR="00EB135B" w:rsidRPr="006C0DE6" w14:paraId="1ACE1580" w14:textId="77777777" w:rsidTr="00CA4715">
        <w:trPr>
          <w:trHeight w:val="31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E87294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Health Measure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38069BD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(%)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0654690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/ Remote (%)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850C00E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Absolute Gap (pp)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CE4A656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Ratio</w:t>
            </w:r>
          </w:p>
        </w:tc>
      </w:tr>
      <w:tr w:rsidR="00EB135B" w:rsidRPr="006C0DE6" w14:paraId="1C85A910" w14:textId="77777777" w:rsidTr="00CA4715">
        <w:trPr>
          <w:trHeight w:val="316"/>
        </w:trPr>
        <w:tc>
          <w:tcPr>
            <w:tcW w:w="311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F1B8479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Current daily smoker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DB5FFE9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9.4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A273B21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16.7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E141E47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7.3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4DA79F7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1.78</w:t>
            </w:r>
          </w:p>
        </w:tc>
      </w:tr>
      <w:tr w:rsidR="00EB135B" w:rsidRPr="006C0DE6" w14:paraId="12ED62F0" w14:textId="77777777" w:rsidTr="00CA4715">
        <w:trPr>
          <w:trHeight w:val="316"/>
        </w:trPr>
        <w:tc>
          <w:tcPr>
            <w:tcW w:w="3119" w:type="dxa"/>
            <w:noWrap/>
            <w:vAlign w:val="bottom"/>
            <w:hideMark/>
          </w:tcPr>
          <w:p w14:paraId="4EB3845B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Did not meet 2014 physical activity guidelines</w:t>
            </w:r>
          </w:p>
        </w:tc>
        <w:tc>
          <w:tcPr>
            <w:tcW w:w="1559" w:type="dxa"/>
            <w:noWrap/>
            <w:vAlign w:val="bottom"/>
            <w:hideMark/>
          </w:tcPr>
          <w:p w14:paraId="57E98414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74.9</w:t>
            </w:r>
          </w:p>
        </w:tc>
        <w:tc>
          <w:tcPr>
            <w:tcW w:w="2083" w:type="dxa"/>
            <w:noWrap/>
            <w:vAlign w:val="bottom"/>
            <w:hideMark/>
          </w:tcPr>
          <w:p w14:paraId="347CD81F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79.8</w:t>
            </w:r>
          </w:p>
        </w:tc>
        <w:tc>
          <w:tcPr>
            <w:tcW w:w="1126" w:type="dxa"/>
            <w:noWrap/>
            <w:vAlign w:val="bottom"/>
            <w:hideMark/>
          </w:tcPr>
          <w:p w14:paraId="347BE378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4.9</w:t>
            </w:r>
          </w:p>
        </w:tc>
        <w:tc>
          <w:tcPr>
            <w:tcW w:w="1070" w:type="dxa"/>
            <w:noWrap/>
            <w:vAlign w:val="bottom"/>
            <w:hideMark/>
          </w:tcPr>
          <w:p w14:paraId="0FD25401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1.07</w:t>
            </w:r>
          </w:p>
        </w:tc>
      </w:tr>
      <w:tr w:rsidR="00EB135B" w:rsidRPr="006C0DE6" w14:paraId="2778CC9E" w14:textId="77777777" w:rsidTr="00CA4715">
        <w:trPr>
          <w:trHeight w:val="316"/>
        </w:trPr>
        <w:tc>
          <w:tcPr>
            <w:tcW w:w="3119" w:type="dxa"/>
            <w:noWrap/>
            <w:vAlign w:val="bottom"/>
            <w:hideMark/>
          </w:tcPr>
          <w:p w14:paraId="37F949FC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High blood pressure (≥140 / 90 mmHg)</w:t>
            </w:r>
          </w:p>
        </w:tc>
        <w:tc>
          <w:tcPr>
            <w:tcW w:w="1559" w:type="dxa"/>
            <w:noWrap/>
            <w:vAlign w:val="bottom"/>
            <w:hideMark/>
          </w:tcPr>
          <w:p w14:paraId="7198163F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22.4</w:t>
            </w:r>
          </w:p>
        </w:tc>
        <w:tc>
          <w:tcPr>
            <w:tcW w:w="2083" w:type="dxa"/>
            <w:noWrap/>
            <w:vAlign w:val="bottom"/>
            <w:hideMark/>
          </w:tcPr>
          <w:p w14:paraId="729A5696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25.2</w:t>
            </w:r>
          </w:p>
        </w:tc>
        <w:tc>
          <w:tcPr>
            <w:tcW w:w="1126" w:type="dxa"/>
            <w:noWrap/>
            <w:vAlign w:val="bottom"/>
            <w:hideMark/>
          </w:tcPr>
          <w:p w14:paraId="25F8A152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2.8</w:t>
            </w:r>
          </w:p>
        </w:tc>
        <w:tc>
          <w:tcPr>
            <w:tcW w:w="1070" w:type="dxa"/>
            <w:noWrap/>
            <w:vAlign w:val="bottom"/>
            <w:hideMark/>
          </w:tcPr>
          <w:p w14:paraId="4E517EC3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1.13</w:t>
            </w:r>
          </w:p>
        </w:tc>
      </w:tr>
      <w:tr w:rsidR="00EB135B" w:rsidRPr="006C0DE6" w14:paraId="0906B860" w14:textId="77777777" w:rsidTr="00CA4715">
        <w:trPr>
          <w:trHeight w:val="316"/>
        </w:trPr>
        <w:tc>
          <w:tcPr>
            <w:tcW w:w="3119" w:type="dxa"/>
            <w:noWrap/>
            <w:vAlign w:val="bottom"/>
            <w:hideMark/>
          </w:tcPr>
          <w:p w14:paraId="604E91B4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Obese (30.00 or more)</w:t>
            </w:r>
          </w:p>
        </w:tc>
        <w:tc>
          <w:tcPr>
            <w:tcW w:w="1559" w:type="dxa"/>
            <w:noWrap/>
            <w:vAlign w:val="bottom"/>
            <w:hideMark/>
          </w:tcPr>
          <w:p w14:paraId="41388B18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30.1</w:t>
            </w:r>
          </w:p>
        </w:tc>
        <w:tc>
          <w:tcPr>
            <w:tcW w:w="2083" w:type="dxa"/>
            <w:noWrap/>
            <w:vAlign w:val="bottom"/>
            <w:hideMark/>
          </w:tcPr>
          <w:p w14:paraId="313CF65B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35.8</w:t>
            </w:r>
          </w:p>
        </w:tc>
        <w:tc>
          <w:tcPr>
            <w:tcW w:w="1126" w:type="dxa"/>
            <w:noWrap/>
            <w:vAlign w:val="bottom"/>
            <w:hideMark/>
          </w:tcPr>
          <w:p w14:paraId="0AC3C459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5.7</w:t>
            </w:r>
          </w:p>
        </w:tc>
        <w:tc>
          <w:tcPr>
            <w:tcW w:w="1070" w:type="dxa"/>
            <w:noWrap/>
            <w:vAlign w:val="bottom"/>
            <w:hideMark/>
          </w:tcPr>
          <w:p w14:paraId="13504228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1.19</w:t>
            </w:r>
          </w:p>
        </w:tc>
      </w:tr>
      <w:tr w:rsidR="00EB135B" w:rsidRPr="006C0DE6" w14:paraId="42A54DED" w14:textId="77777777" w:rsidTr="00CA4715">
        <w:trPr>
          <w:trHeight w:val="316"/>
        </w:trPr>
        <w:tc>
          <w:tcPr>
            <w:tcW w:w="3119" w:type="dxa"/>
            <w:noWrap/>
            <w:vAlign w:val="bottom"/>
            <w:hideMark/>
          </w:tcPr>
          <w:p w14:paraId="61DBE50F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Overweight / Obese (25.00 or more)</w:t>
            </w:r>
          </w:p>
        </w:tc>
        <w:tc>
          <w:tcPr>
            <w:tcW w:w="1559" w:type="dxa"/>
            <w:noWrap/>
            <w:vAlign w:val="bottom"/>
            <w:hideMark/>
          </w:tcPr>
          <w:p w14:paraId="4BEF5467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64.3</w:t>
            </w:r>
          </w:p>
        </w:tc>
        <w:tc>
          <w:tcPr>
            <w:tcW w:w="2083" w:type="dxa"/>
            <w:noWrap/>
            <w:vAlign w:val="bottom"/>
            <w:hideMark/>
          </w:tcPr>
          <w:p w14:paraId="3785D919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70.8</w:t>
            </w:r>
          </w:p>
        </w:tc>
        <w:tc>
          <w:tcPr>
            <w:tcW w:w="1126" w:type="dxa"/>
            <w:noWrap/>
            <w:vAlign w:val="bottom"/>
            <w:hideMark/>
          </w:tcPr>
          <w:p w14:paraId="24E65A38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6.5</w:t>
            </w:r>
          </w:p>
        </w:tc>
        <w:tc>
          <w:tcPr>
            <w:tcW w:w="1070" w:type="dxa"/>
            <w:noWrap/>
            <w:vAlign w:val="bottom"/>
            <w:hideMark/>
          </w:tcPr>
          <w:p w14:paraId="341FCA6C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1.1</w:t>
            </w:r>
          </w:p>
        </w:tc>
      </w:tr>
    </w:tbl>
    <w:p w14:paraId="5AAB5BE1" w14:textId="77777777" w:rsidR="00EB135B" w:rsidRPr="006C0DE6" w:rsidRDefault="00EB135B" w:rsidP="00EB1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E6">
        <w:rPr>
          <w:rFonts w:ascii="Times New Roman" w:hAnsi="Times New Roman" w:cs="Times New Roman"/>
          <w:sz w:val="24"/>
          <w:szCs w:val="24"/>
        </w:rPr>
        <w:t>Notes: Includes obesity, overweight, blood pressure, and related indicators. Percentages refer to adults aged 18 years and over. Source: Australian Bureau of Statistics, National Health Survey 2022.</w:t>
      </w:r>
    </w:p>
    <w:p w14:paraId="7AF0BE52" w14:textId="77777777" w:rsidR="00EB135B" w:rsidRPr="006C0DE6" w:rsidRDefault="00EB135B" w:rsidP="00EB1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24C19" w14:textId="10A8BC2F" w:rsidR="00EB135B" w:rsidRPr="006C0DE6" w:rsidRDefault="00EB135B" w:rsidP="00EB13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E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C0DE6">
        <w:rPr>
          <w:rFonts w:ascii="Times New Roman" w:hAnsi="Times New Roman" w:cs="Times New Roman"/>
          <w:b/>
          <w:bCs/>
          <w:sz w:val="24"/>
          <w:szCs w:val="24"/>
        </w:rPr>
        <w:t>3. Absolute differences in behavioural health risk factors between major cities and outer regional/remote areas</w:t>
      </w:r>
    </w:p>
    <w:tbl>
      <w:tblPr>
        <w:tblW w:w="9134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63"/>
        <w:gridCol w:w="1702"/>
        <w:gridCol w:w="1984"/>
        <w:gridCol w:w="1763"/>
      </w:tblGrid>
      <w:tr w:rsidR="00EB135B" w:rsidRPr="006C0DE6" w14:paraId="578C61F2" w14:textId="77777777" w:rsidTr="00CA4715">
        <w:trPr>
          <w:trHeight w:val="30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8EE1BBF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Health Measure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AB3EDD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Lowest Group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197665F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Lowest Value (%)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83F2C4A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Highest Group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A9314A8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Highest Value (%)</w:t>
            </w:r>
          </w:p>
        </w:tc>
      </w:tr>
      <w:tr w:rsidR="00EB135B" w:rsidRPr="006C0DE6" w14:paraId="642DB798" w14:textId="77777777" w:rsidTr="00CA4715">
        <w:trPr>
          <w:trHeight w:val="300"/>
        </w:trPr>
        <w:tc>
          <w:tcPr>
            <w:tcW w:w="212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F9676DA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Current daily smoker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A5A5F4B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8066868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9.4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8E04568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/ Remote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ED388A4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16.7</w:t>
            </w:r>
          </w:p>
        </w:tc>
      </w:tr>
      <w:tr w:rsidR="00EB135B" w:rsidRPr="006C0DE6" w14:paraId="7C081238" w14:textId="77777777" w:rsidTr="00CA4715">
        <w:trPr>
          <w:trHeight w:val="300"/>
        </w:trPr>
        <w:tc>
          <w:tcPr>
            <w:tcW w:w="2122" w:type="dxa"/>
            <w:noWrap/>
            <w:vAlign w:val="bottom"/>
            <w:hideMark/>
          </w:tcPr>
          <w:p w14:paraId="48E92F04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Did not meet 2014 physical activity guidelines</w:t>
            </w:r>
          </w:p>
        </w:tc>
        <w:tc>
          <w:tcPr>
            <w:tcW w:w="1563" w:type="dxa"/>
            <w:noWrap/>
            <w:vAlign w:val="bottom"/>
            <w:hideMark/>
          </w:tcPr>
          <w:p w14:paraId="34BD7C67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Inner Regional</w:t>
            </w:r>
          </w:p>
        </w:tc>
        <w:tc>
          <w:tcPr>
            <w:tcW w:w="1702" w:type="dxa"/>
            <w:noWrap/>
            <w:vAlign w:val="bottom"/>
            <w:hideMark/>
          </w:tcPr>
          <w:p w14:paraId="645A4DFD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74.1</w:t>
            </w:r>
          </w:p>
        </w:tc>
        <w:tc>
          <w:tcPr>
            <w:tcW w:w="1984" w:type="dxa"/>
            <w:noWrap/>
            <w:vAlign w:val="bottom"/>
            <w:hideMark/>
          </w:tcPr>
          <w:p w14:paraId="776EC331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/ Remote</w:t>
            </w:r>
          </w:p>
        </w:tc>
        <w:tc>
          <w:tcPr>
            <w:tcW w:w="1763" w:type="dxa"/>
            <w:noWrap/>
            <w:vAlign w:val="bottom"/>
            <w:hideMark/>
          </w:tcPr>
          <w:p w14:paraId="6F43184C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79.8</w:t>
            </w:r>
          </w:p>
        </w:tc>
      </w:tr>
      <w:tr w:rsidR="00EB135B" w:rsidRPr="006C0DE6" w14:paraId="56EDC610" w14:textId="77777777" w:rsidTr="00CA4715">
        <w:trPr>
          <w:trHeight w:val="300"/>
        </w:trPr>
        <w:tc>
          <w:tcPr>
            <w:tcW w:w="2122" w:type="dxa"/>
            <w:noWrap/>
            <w:vAlign w:val="bottom"/>
            <w:hideMark/>
          </w:tcPr>
          <w:p w14:paraId="5CAFDCDD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High blood pressure (≥140 / 90 mmHg)</w:t>
            </w:r>
          </w:p>
        </w:tc>
        <w:tc>
          <w:tcPr>
            <w:tcW w:w="1563" w:type="dxa"/>
            <w:noWrap/>
            <w:vAlign w:val="bottom"/>
            <w:hideMark/>
          </w:tcPr>
          <w:p w14:paraId="61B8E120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</w:t>
            </w:r>
          </w:p>
        </w:tc>
        <w:tc>
          <w:tcPr>
            <w:tcW w:w="1702" w:type="dxa"/>
            <w:noWrap/>
            <w:vAlign w:val="bottom"/>
            <w:hideMark/>
          </w:tcPr>
          <w:p w14:paraId="0CA17679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22.4</w:t>
            </w:r>
          </w:p>
        </w:tc>
        <w:tc>
          <w:tcPr>
            <w:tcW w:w="1984" w:type="dxa"/>
            <w:noWrap/>
            <w:vAlign w:val="bottom"/>
            <w:hideMark/>
          </w:tcPr>
          <w:p w14:paraId="294ABE60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Inner Regional</w:t>
            </w:r>
          </w:p>
        </w:tc>
        <w:tc>
          <w:tcPr>
            <w:tcW w:w="1763" w:type="dxa"/>
            <w:noWrap/>
            <w:vAlign w:val="bottom"/>
            <w:hideMark/>
          </w:tcPr>
          <w:p w14:paraId="3376281E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26.2</w:t>
            </w:r>
          </w:p>
        </w:tc>
      </w:tr>
      <w:tr w:rsidR="00EB135B" w:rsidRPr="006C0DE6" w14:paraId="2849A3EC" w14:textId="77777777" w:rsidTr="00CA4715">
        <w:trPr>
          <w:trHeight w:val="300"/>
        </w:trPr>
        <w:tc>
          <w:tcPr>
            <w:tcW w:w="2122" w:type="dxa"/>
            <w:noWrap/>
            <w:vAlign w:val="bottom"/>
            <w:hideMark/>
          </w:tcPr>
          <w:p w14:paraId="7AD4325E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Obese (30.00 or more)</w:t>
            </w:r>
          </w:p>
        </w:tc>
        <w:tc>
          <w:tcPr>
            <w:tcW w:w="1563" w:type="dxa"/>
            <w:noWrap/>
            <w:vAlign w:val="bottom"/>
            <w:hideMark/>
          </w:tcPr>
          <w:p w14:paraId="399D4931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</w:t>
            </w:r>
          </w:p>
        </w:tc>
        <w:tc>
          <w:tcPr>
            <w:tcW w:w="1702" w:type="dxa"/>
            <w:noWrap/>
            <w:vAlign w:val="bottom"/>
            <w:hideMark/>
          </w:tcPr>
          <w:p w14:paraId="620DBF2E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30.1</w:t>
            </w:r>
          </w:p>
        </w:tc>
        <w:tc>
          <w:tcPr>
            <w:tcW w:w="1984" w:type="dxa"/>
            <w:noWrap/>
            <w:vAlign w:val="bottom"/>
            <w:hideMark/>
          </w:tcPr>
          <w:p w14:paraId="446C3482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Inner Regional</w:t>
            </w:r>
          </w:p>
        </w:tc>
        <w:tc>
          <w:tcPr>
            <w:tcW w:w="1763" w:type="dxa"/>
            <w:noWrap/>
            <w:vAlign w:val="bottom"/>
            <w:hideMark/>
          </w:tcPr>
          <w:p w14:paraId="06272F2E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36.8</w:t>
            </w:r>
          </w:p>
        </w:tc>
      </w:tr>
      <w:tr w:rsidR="00EB135B" w:rsidRPr="006C0DE6" w14:paraId="032EF0F4" w14:textId="77777777" w:rsidTr="00CA4715">
        <w:trPr>
          <w:trHeight w:val="300"/>
        </w:trPr>
        <w:tc>
          <w:tcPr>
            <w:tcW w:w="2122" w:type="dxa"/>
            <w:noWrap/>
            <w:vAlign w:val="bottom"/>
            <w:hideMark/>
          </w:tcPr>
          <w:p w14:paraId="2C224EA8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Overweight / Obese (25.00 or more)</w:t>
            </w:r>
          </w:p>
        </w:tc>
        <w:tc>
          <w:tcPr>
            <w:tcW w:w="1563" w:type="dxa"/>
            <w:noWrap/>
            <w:vAlign w:val="bottom"/>
            <w:hideMark/>
          </w:tcPr>
          <w:p w14:paraId="3B30462B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</w:t>
            </w:r>
          </w:p>
        </w:tc>
        <w:tc>
          <w:tcPr>
            <w:tcW w:w="1702" w:type="dxa"/>
            <w:noWrap/>
            <w:vAlign w:val="bottom"/>
            <w:hideMark/>
          </w:tcPr>
          <w:p w14:paraId="4600AFDF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64.3</w:t>
            </w:r>
          </w:p>
        </w:tc>
        <w:tc>
          <w:tcPr>
            <w:tcW w:w="1984" w:type="dxa"/>
            <w:noWrap/>
            <w:vAlign w:val="bottom"/>
            <w:hideMark/>
          </w:tcPr>
          <w:p w14:paraId="2367C618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/ Remote</w:t>
            </w:r>
          </w:p>
        </w:tc>
        <w:tc>
          <w:tcPr>
            <w:tcW w:w="1763" w:type="dxa"/>
            <w:noWrap/>
            <w:vAlign w:val="bottom"/>
            <w:hideMark/>
          </w:tcPr>
          <w:p w14:paraId="5F275684" w14:textId="77777777" w:rsidR="00EB135B" w:rsidRPr="006C0DE6" w:rsidRDefault="00EB135B" w:rsidP="00CA47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70.8</w:t>
            </w:r>
          </w:p>
        </w:tc>
      </w:tr>
    </w:tbl>
    <w:p w14:paraId="3ADE82CE" w14:textId="77777777" w:rsidR="00EB135B" w:rsidRPr="006C0DE6" w:rsidRDefault="00EB135B" w:rsidP="00EB1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E6">
        <w:rPr>
          <w:rFonts w:ascii="Times New Roman" w:hAnsi="Times New Roman" w:cs="Times New Roman"/>
          <w:sz w:val="24"/>
          <w:szCs w:val="24"/>
        </w:rPr>
        <w:lastRenderedPageBreak/>
        <w:t>Notes: Absolute differences are expressed in percentage points. Source: Australian Bureau of Statistics, National Health Survey 2022.</w:t>
      </w:r>
    </w:p>
    <w:p w14:paraId="054CDB3B" w14:textId="77777777" w:rsidR="00EB135B" w:rsidRPr="006C0DE6" w:rsidRDefault="00EB135B" w:rsidP="00EB1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30800" w14:textId="4AFD5291" w:rsidR="00EB135B" w:rsidRPr="006C0DE6" w:rsidRDefault="00EB135B" w:rsidP="00EB1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E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C0DE6">
        <w:rPr>
          <w:rFonts w:ascii="Times New Roman" w:hAnsi="Times New Roman" w:cs="Times New Roman"/>
          <w:b/>
          <w:bCs/>
          <w:sz w:val="24"/>
          <w:szCs w:val="24"/>
        </w:rPr>
        <w:t>4. Relative differences in behavioural health risk factors between major cities and outer regional/remote areas</w: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418"/>
        <w:gridCol w:w="1417"/>
        <w:gridCol w:w="1559"/>
      </w:tblGrid>
      <w:tr w:rsidR="00EB135B" w:rsidRPr="006C0DE6" w14:paraId="7148A2A8" w14:textId="77777777" w:rsidTr="00CA4715">
        <w:trPr>
          <w:trHeight w:val="30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DD6D039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Health Measure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4FF0E05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Lowest Group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7C9C4A3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Lowest Value 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2896D7F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Highest Group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D3A512A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Highest Value (%)</w:t>
            </w:r>
          </w:p>
        </w:tc>
      </w:tr>
      <w:tr w:rsidR="00EB135B" w:rsidRPr="006C0DE6" w14:paraId="682DD55F" w14:textId="77777777" w:rsidTr="00CA4715"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A94F541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Australian Adult Alcohol Guideline 2020 – Exceeded guideline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F917996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AF22118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25.6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5EC7900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and Remote Australia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BEAC254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30.9</w:t>
            </w:r>
          </w:p>
        </w:tc>
      </w:tr>
      <w:tr w:rsidR="00EB135B" w:rsidRPr="006C0DE6" w14:paraId="4D4DAFE2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15F9AF1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Consumed 5 or more drinks on any day in the last 12 months at least monthly</w:t>
            </w:r>
          </w:p>
        </w:tc>
        <w:tc>
          <w:tcPr>
            <w:tcW w:w="1984" w:type="dxa"/>
            <w:noWrap/>
            <w:vAlign w:val="bottom"/>
            <w:hideMark/>
          </w:tcPr>
          <w:p w14:paraId="0BC7EBF1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0FB32E9B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19.9</w:t>
            </w:r>
          </w:p>
        </w:tc>
        <w:tc>
          <w:tcPr>
            <w:tcW w:w="1417" w:type="dxa"/>
            <w:noWrap/>
            <w:vAlign w:val="bottom"/>
            <w:hideMark/>
          </w:tcPr>
          <w:p w14:paraId="680FB0AB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and Remote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3CF99173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24.6</w:t>
            </w:r>
          </w:p>
        </w:tc>
      </w:tr>
      <w:tr w:rsidR="00EB135B" w:rsidRPr="006C0DE6" w14:paraId="385DC310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8615967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Consumed more than 10 drinks in the last week</w:t>
            </w:r>
          </w:p>
        </w:tc>
        <w:tc>
          <w:tcPr>
            <w:tcW w:w="1984" w:type="dxa"/>
            <w:noWrap/>
            <w:vAlign w:val="bottom"/>
            <w:hideMark/>
          </w:tcPr>
          <w:p w14:paraId="09AF9844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307125FF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17.2</w:t>
            </w:r>
          </w:p>
        </w:tc>
        <w:tc>
          <w:tcPr>
            <w:tcW w:w="1417" w:type="dxa"/>
            <w:noWrap/>
            <w:vAlign w:val="bottom"/>
            <w:hideMark/>
          </w:tcPr>
          <w:p w14:paraId="7FCB7170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Inner Regional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3ACBD2AB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23</w:t>
            </w:r>
          </w:p>
        </w:tc>
      </w:tr>
      <w:tr w:rsidR="00EB135B" w:rsidRPr="006C0DE6" w14:paraId="54175184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0110798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Current daily e-cigarette / vaping device use</w:t>
            </w:r>
          </w:p>
        </w:tc>
        <w:tc>
          <w:tcPr>
            <w:tcW w:w="1984" w:type="dxa"/>
            <w:noWrap/>
            <w:vAlign w:val="bottom"/>
            <w:hideMark/>
          </w:tcPr>
          <w:p w14:paraId="285D1056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and Remote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15487CFA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2.3</w:t>
            </w:r>
          </w:p>
        </w:tc>
        <w:tc>
          <w:tcPr>
            <w:tcW w:w="1417" w:type="dxa"/>
            <w:noWrap/>
            <w:vAlign w:val="bottom"/>
            <w:hideMark/>
          </w:tcPr>
          <w:p w14:paraId="18EF39BF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2C870D55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3.2</w:t>
            </w:r>
          </w:p>
        </w:tc>
      </w:tr>
      <w:tr w:rsidR="00EB135B" w:rsidRPr="006C0DE6" w14:paraId="676954EB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D9F146A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Current daily smoker</w:t>
            </w:r>
          </w:p>
        </w:tc>
        <w:tc>
          <w:tcPr>
            <w:tcW w:w="1984" w:type="dxa"/>
            <w:noWrap/>
            <w:vAlign w:val="bottom"/>
            <w:hideMark/>
          </w:tcPr>
          <w:p w14:paraId="7ADEE9B7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54B90F0F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9.4</w:t>
            </w:r>
          </w:p>
        </w:tc>
        <w:tc>
          <w:tcPr>
            <w:tcW w:w="1417" w:type="dxa"/>
            <w:noWrap/>
            <w:vAlign w:val="bottom"/>
            <w:hideMark/>
          </w:tcPr>
          <w:p w14:paraId="5A839CC5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and Remote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0622281B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16.7</w:t>
            </w:r>
          </w:p>
        </w:tc>
      </w:tr>
      <w:tr w:rsidR="00EB135B" w:rsidRPr="006C0DE6" w14:paraId="04B3EA7D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EEBB5A7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Daily consumption of fruit — Did not meet recommendation</w:t>
            </w:r>
          </w:p>
        </w:tc>
        <w:tc>
          <w:tcPr>
            <w:tcW w:w="1984" w:type="dxa"/>
            <w:noWrap/>
            <w:vAlign w:val="bottom"/>
            <w:hideMark/>
          </w:tcPr>
          <w:p w14:paraId="43A4B24B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Inner Regional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2058ACEF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54.7</w:t>
            </w:r>
          </w:p>
        </w:tc>
        <w:tc>
          <w:tcPr>
            <w:tcW w:w="1417" w:type="dxa"/>
            <w:noWrap/>
            <w:vAlign w:val="bottom"/>
            <w:hideMark/>
          </w:tcPr>
          <w:p w14:paraId="04EEFD75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and Remote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5F7E208F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58.6</w:t>
            </w:r>
          </w:p>
        </w:tc>
      </w:tr>
      <w:tr w:rsidR="00EB135B" w:rsidRPr="006C0DE6" w14:paraId="0098B068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5377D67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Daily consumption of vegetables — Did not meet recommendation</w:t>
            </w:r>
          </w:p>
        </w:tc>
        <w:tc>
          <w:tcPr>
            <w:tcW w:w="1984" w:type="dxa"/>
            <w:noWrap/>
            <w:vAlign w:val="bottom"/>
            <w:hideMark/>
          </w:tcPr>
          <w:p w14:paraId="3CD2908A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Inner Regional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74FFD9D8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91.2</w:t>
            </w:r>
          </w:p>
        </w:tc>
        <w:tc>
          <w:tcPr>
            <w:tcW w:w="1417" w:type="dxa"/>
            <w:noWrap/>
            <w:vAlign w:val="bottom"/>
            <w:hideMark/>
          </w:tcPr>
          <w:p w14:paraId="165519E6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59CF4BB8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94.1</w:t>
            </w:r>
          </w:p>
        </w:tc>
      </w:tr>
      <w:tr w:rsidR="00EB135B" w:rsidRPr="006C0DE6" w14:paraId="3228854B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CB44218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Did not meet 2014 physical activity guidelines</w:t>
            </w:r>
          </w:p>
        </w:tc>
        <w:tc>
          <w:tcPr>
            <w:tcW w:w="1984" w:type="dxa"/>
            <w:noWrap/>
            <w:vAlign w:val="bottom"/>
            <w:hideMark/>
          </w:tcPr>
          <w:p w14:paraId="2A589B64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Inner Regional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244E1655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74.1</w:t>
            </w:r>
          </w:p>
        </w:tc>
        <w:tc>
          <w:tcPr>
            <w:tcW w:w="1417" w:type="dxa"/>
            <w:noWrap/>
            <w:vAlign w:val="bottom"/>
            <w:hideMark/>
          </w:tcPr>
          <w:p w14:paraId="62BB8DE6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and Remote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503F9449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79.8</w:t>
            </w:r>
          </w:p>
        </w:tc>
      </w:tr>
      <w:tr w:rsidR="00EB135B" w:rsidRPr="006C0DE6" w14:paraId="1E70DC8B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78E60BE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Did not meet 2014 physical activity guidelines excluding workplace activity</w:t>
            </w:r>
          </w:p>
        </w:tc>
        <w:tc>
          <w:tcPr>
            <w:tcW w:w="1984" w:type="dxa"/>
            <w:noWrap/>
            <w:vAlign w:val="bottom"/>
            <w:hideMark/>
          </w:tcPr>
          <w:p w14:paraId="0C223257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16F1FADD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75.6</w:t>
            </w:r>
          </w:p>
        </w:tc>
        <w:tc>
          <w:tcPr>
            <w:tcW w:w="1417" w:type="dxa"/>
            <w:noWrap/>
            <w:vAlign w:val="bottom"/>
            <w:hideMark/>
          </w:tcPr>
          <w:p w14:paraId="5C31C028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and Remote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7BA5B07E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80.4</w:t>
            </w:r>
          </w:p>
        </w:tc>
      </w:tr>
      <w:tr w:rsidR="00EB135B" w:rsidRPr="006C0DE6" w14:paraId="6F5B1FD7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AC98341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High blood pressure (≥140 / 90 mmHg)</w:t>
            </w:r>
          </w:p>
        </w:tc>
        <w:tc>
          <w:tcPr>
            <w:tcW w:w="1984" w:type="dxa"/>
            <w:noWrap/>
            <w:vAlign w:val="bottom"/>
            <w:hideMark/>
          </w:tcPr>
          <w:p w14:paraId="4FBD4EBF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2C82D239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22.4</w:t>
            </w:r>
          </w:p>
        </w:tc>
        <w:tc>
          <w:tcPr>
            <w:tcW w:w="1417" w:type="dxa"/>
            <w:noWrap/>
            <w:vAlign w:val="bottom"/>
            <w:hideMark/>
          </w:tcPr>
          <w:p w14:paraId="31C7B092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Inner Regional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54CD9F0A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26.2</w:t>
            </w:r>
          </w:p>
        </w:tc>
      </w:tr>
      <w:tr w:rsidR="00EB135B" w:rsidRPr="006C0DE6" w14:paraId="72FEBE61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5E179D0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Increased risk</w:t>
            </w:r>
          </w:p>
        </w:tc>
        <w:tc>
          <w:tcPr>
            <w:tcW w:w="1984" w:type="dxa"/>
            <w:noWrap/>
            <w:vAlign w:val="bottom"/>
            <w:hideMark/>
          </w:tcPr>
          <w:p w14:paraId="060ADA09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and Remote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695B4AF5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19.9</w:t>
            </w:r>
          </w:p>
        </w:tc>
        <w:tc>
          <w:tcPr>
            <w:tcW w:w="1417" w:type="dxa"/>
            <w:noWrap/>
            <w:vAlign w:val="bottom"/>
            <w:hideMark/>
          </w:tcPr>
          <w:p w14:paraId="6E5781FA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Inner Regional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2E224005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21.1</w:t>
            </w:r>
          </w:p>
        </w:tc>
      </w:tr>
      <w:tr w:rsidR="00EB135B" w:rsidRPr="006C0DE6" w14:paraId="7797402A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1DA82C7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Obese (30.00 or more)</w:t>
            </w:r>
          </w:p>
        </w:tc>
        <w:tc>
          <w:tcPr>
            <w:tcW w:w="1984" w:type="dxa"/>
            <w:noWrap/>
            <w:vAlign w:val="bottom"/>
            <w:hideMark/>
          </w:tcPr>
          <w:p w14:paraId="26D7E9BB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442E71D1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30.1</w:t>
            </w:r>
          </w:p>
        </w:tc>
        <w:tc>
          <w:tcPr>
            <w:tcW w:w="1417" w:type="dxa"/>
            <w:noWrap/>
            <w:vAlign w:val="bottom"/>
            <w:hideMark/>
          </w:tcPr>
          <w:p w14:paraId="44D13252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Inner Regional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28845400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36.8</w:t>
            </w:r>
          </w:p>
        </w:tc>
      </w:tr>
      <w:tr w:rsidR="00EB135B" w:rsidRPr="006C0DE6" w14:paraId="32EF41F8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08585FF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Overweight (25.00 – 29.99)</w:t>
            </w:r>
          </w:p>
        </w:tc>
        <w:tc>
          <w:tcPr>
            <w:tcW w:w="1984" w:type="dxa"/>
            <w:noWrap/>
            <w:vAlign w:val="bottom"/>
            <w:hideMark/>
          </w:tcPr>
          <w:p w14:paraId="1D722922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Inner Regional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3FA0B83F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32.7</w:t>
            </w:r>
          </w:p>
        </w:tc>
        <w:tc>
          <w:tcPr>
            <w:tcW w:w="1417" w:type="dxa"/>
            <w:noWrap/>
            <w:vAlign w:val="bottom"/>
            <w:hideMark/>
          </w:tcPr>
          <w:p w14:paraId="13C92564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Outer Regional and Remote </w:t>
            </w: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>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26AC16B1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>34.9</w:t>
            </w:r>
          </w:p>
        </w:tc>
      </w:tr>
      <w:tr w:rsidR="00EB135B" w:rsidRPr="006C0DE6" w14:paraId="73EA3FD5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FC28D61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Overweight / Obese (25.00 or more)</w:t>
            </w:r>
          </w:p>
        </w:tc>
        <w:tc>
          <w:tcPr>
            <w:tcW w:w="1984" w:type="dxa"/>
            <w:noWrap/>
            <w:vAlign w:val="bottom"/>
            <w:hideMark/>
          </w:tcPr>
          <w:p w14:paraId="05B68441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45FC6610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64.3</w:t>
            </w:r>
          </w:p>
        </w:tc>
        <w:tc>
          <w:tcPr>
            <w:tcW w:w="1417" w:type="dxa"/>
            <w:noWrap/>
            <w:vAlign w:val="bottom"/>
            <w:hideMark/>
          </w:tcPr>
          <w:p w14:paraId="7EE45358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and Remote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185E4784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70.8</w:t>
            </w:r>
          </w:p>
        </w:tc>
      </w:tr>
      <w:tr w:rsidR="00EB135B" w:rsidRPr="006C0DE6" w14:paraId="577F3A69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C9FC703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Substantially increased risk</w:t>
            </w:r>
          </w:p>
        </w:tc>
        <w:tc>
          <w:tcPr>
            <w:tcW w:w="1984" w:type="dxa"/>
            <w:noWrap/>
            <w:vAlign w:val="bottom"/>
            <w:hideMark/>
          </w:tcPr>
          <w:p w14:paraId="18A2A904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333AB9B9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44.9</w:t>
            </w:r>
          </w:p>
        </w:tc>
        <w:tc>
          <w:tcPr>
            <w:tcW w:w="1417" w:type="dxa"/>
            <w:noWrap/>
            <w:vAlign w:val="bottom"/>
            <w:hideMark/>
          </w:tcPr>
          <w:p w14:paraId="6EF3BBAE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and Remote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1773FB5F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53.9</w:t>
            </w:r>
          </w:p>
        </w:tc>
      </w:tr>
      <w:tr w:rsidR="00EB135B" w:rsidRPr="006C0DE6" w14:paraId="2D89375B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6F0B240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Zero minutes of physical activity</w:t>
            </w:r>
          </w:p>
        </w:tc>
        <w:tc>
          <w:tcPr>
            <w:tcW w:w="1984" w:type="dxa"/>
            <w:noWrap/>
            <w:vAlign w:val="bottom"/>
            <w:hideMark/>
          </w:tcPr>
          <w:p w14:paraId="1AF30E81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798028C0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10.5</w:t>
            </w:r>
          </w:p>
        </w:tc>
        <w:tc>
          <w:tcPr>
            <w:tcW w:w="1417" w:type="dxa"/>
            <w:noWrap/>
            <w:vAlign w:val="bottom"/>
            <w:hideMark/>
          </w:tcPr>
          <w:p w14:paraId="44A84F4D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and Remote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07F71910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18.2</w:t>
            </w:r>
          </w:p>
        </w:tc>
      </w:tr>
      <w:tr w:rsidR="00EB135B" w:rsidRPr="006C0DE6" w14:paraId="335BEA0E" w14:textId="77777777" w:rsidTr="00CA4715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41D6EE9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Zero minutes of physical activity excluding workplace</w:t>
            </w:r>
          </w:p>
        </w:tc>
        <w:tc>
          <w:tcPr>
            <w:tcW w:w="1984" w:type="dxa"/>
            <w:noWrap/>
            <w:vAlign w:val="bottom"/>
            <w:hideMark/>
          </w:tcPr>
          <w:p w14:paraId="783493BE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Major Cities of Australia</w:t>
            </w:r>
          </w:p>
        </w:tc>
        <w:tc>
          <w:tcPr>
            <w:tcW w:w="1418" w:type="dxa"/>
            <w:noWrap/>
            <w:vAlign w:val="bottom"/>
            <w:hideMark/>
          </w:tcPr>
          <w:p w14:paraId="1414DB95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12.7</w:t>
            </w:r>
          </w:p>
        </w:tc>
        <w:tc>
          <w:tcPr>
            <w:tcW w:w="1417" w:type="dxa"/>
            <w:noWrap/>
            <w:vAlign w:val="bottom"/>
            <w:hideMark/>
          </w:tcPr>
          <w:p w14:paraId="7F38AAD5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Outer Regional and Remote Australia</w:t>
            </w:r>
          </w:p>
        </w:tc>
        <w:tc>
          <w:tcPr>
            <w:tcW w:w="1559" w:type="dxa"/>
            <w:noWrap/>
            <w:vAlign w:val="bottom"/>
            <w:hideMark/>
          </w:tcPr>
          <w:p w14:paraId="3BFEA710" w14:textId="77777777" w:rsidR="00EB135B" w:rsidRPr="006C0DE6" w:rsidRDefault="00EB135B" w:rsidP="00CA471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6C0DE6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23.1</w:t>
            </w:r>
          </w:p>
        </w:tc>
      </w:tr>
    </w:tbl>
    <w:p w14:paraId="682EDB5F" w14:textId="77777777" w:rsidR="00EB135B" w:rsidRPr="006C0DE6" w:rsidRDefault="00EB135B" w:rsidP="00EB13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E6">
        <w:rPr>
          <w:rFonts w:ascii="Times New Roman" w:hAnsi="Times New Roman" w:cs="Times New Roman"/>
          <w:sz w:val="24"/>
          <w:szCs w:val="24"/>
        </w:rPr>
        <w:t>Notes: Relative differences are expressed as prevalence ratios. Source: Australian Bureau of Statistics, National Health Survey 2022.</w:t>
      </w:r>
    </w:p>
    <w:p w14:paraId="68A2C5DE" w14:textId="00BF4C4B" w:rsidR="00EB135B" w:rsidRPr="006C0DE6" w:rsidRDefault="00EB135B" w:rsidP="00EB13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6C0DE6">
        <w:rPr>
          <w:rFonts w:ascii="Times New Roman" w:hAnsi="Times New Roman" w:cs="Times New Roman"/>
          <w:b/>
          <w:bCs/>
          <w:sz w:val="24"/>
          <w:szCs w:val="24"/>
        </w:rPr>
        <w:t xml:space="preserve"> Figures</w:t>
      </w:r>
    </w:p>
    <w:p w14:paraId="478DC73D" w14:textId="084FF4AA" w:rsidR="00EB135B" w:rsidRPr="006C0DE6" w:rsidRDefault="00EB135B" w:rsidP="00EB13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E6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C0DE6">
        <w:rPr>
          <w:rFonts w:ascii="Times New Roman" w:hAnsi="Times New Roman" w:cs="Times New Roman"/>
          <w:b/>
          <w:bCs/>
          <w:sz w:val="24"/>
          <w:szCs w:val="24"/>
        </w:rPr>
        <w:t>1. Prevalence of alcohol-related risk indicators by remoteness of residence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B135B" w:rsidRPr="006C0DE6" w14:paraId="0B16BE5D" w14:textId="77777777" w:rsidTr="00CA4715">
        <w:tc>
          <w:tcPr>
            <w:tcW w:w="9242" w:type="dxa"/>
          </w:tcPr>
          <w:p w14:paraId="25215716" w14:textId="77777777" w:rsidR="00EB135B" w:rsidRPr="006C0DE6" w:rsidRDefault="00EB135B" w:rsidP="00CA471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E6">
              <w:rPr>
                <w:noProof/>
              </w:rPr>
              <w:drawing>
                <wp:inline distT="0" distB="0" distL="0" distR="0" wp14:anchorId="09262463" wp14:editId="174E9DAB">
                  <wp:extent cx="5731510" cy="3439160"/>
                  <wp:effectExtent l="0" t="0" r="0" b="0"/>
                  <wp:docPr id="1905236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43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35B" w:rsidRPr="006C0DE6" w14:paraId="27E68EB9" w14:textId="77777777" w:rsidTr="00CA4715">
        <w:tc>
          <w:tcPr>
            <w:tcW w:w="9242" w:type="dxa"/>
          </w:tcPr>
          <w:p w14:paraId="0291A153" w14:textId="77777777" w:rsidR="00EB135B" w:rsidRPr="006C0DE6" w:rsidRDefault="00EB135B" w:rsidP="00CA4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E6">
              <w:rPr>
                <w:rFonts w:ascii="Times New Roman" w:hAnsi="Times New Roman" w:cs="Times New Roman"/>
                <w:sz w:val="24"/>
                <w:szCs w:val="24"/>
              </w:rPr>
              <w:t>Notes: Percentages refer to adults aged 18 years and over. Source: Australian Bureau of Statistics, National Health Survey 2022.</w:t>
            </w:r>
          </w:p>
        </w:tc>
      </w:tr>
    </w:tbl>
    <w:p w14:paraId="52FE1112" w14:textId="77777777" w:rsidR="00EB135B" w:rsidRPr="006C0DE6" w:rsidRDefault="00EB135B" w:rsidP="00EB13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1C36A" w14:textId="3E5B87A6" w:rsidR="00EB135B" w:rsidRPr="006C0DE6" w:rsidRDefault="00EB135B" w:rsidP="00EB13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DE6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C0DE6">
        <w:rPr>
          <w:rFonts w:ascii="Times New Roman" w:hAnsi="Times New Roman" w:cs="Times New Roman"/>
          <w:b/>
          <w:bCs/>
          <w:sz w:val="24"/>
          <w:szCs w:val="24"/>
        </w:rPr>
        <w:t>2. Prevalence of extreme physical inactivity by remoteness of residence</w:t>
      </w:r>
    </w:p>
    <w:p w14:paraId="2B12BE95" w14:textId="77777777" w:rsidR="00EB135B" w:rsidRPr="006C0DE6" w:rsidRDefault="00EB135B" w:rsidP="00EB1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E6">
        <w:rPr>
          <w:noProof/>
        </w:rPr>
        <w:lastRenderedPageBreak/>
        <w:drawing>
          <wp:inline distT="0" distB="0" distL="0" distR="0" wp14:anchorId="3E036956" wp14:editId="23ECD545">
            <wp:extent cx="5731510" cy="3439160"/>
            <wp:effectExtent l="0" t="0" r="0" b="0"/>
            <wp:docPr id="101434922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DE6">
        <w:rPr>
          <w:rFonts w:ascii="Times New Roman" w:hAnsi="Times New Roman" w:cs="Times New Roman"/>
          <w:sz w:val="24"/>
          <w:szCs w:val="24"/>
        </w:rPr>
        <w:t>Notes: Extreme inactivity defined as zero minutes of physical activity. Percentages refer to adults aged 18 years and over. Source: Australian Bureau of Statistics, National Health Survey 2022.</w:t>
      </w:r>
    </w:p>
    <w:p w14:paraId="57C25C70" w14:textId="77777777" w:rsidR="007620C5" w:rsidRDefault="007620C5"/>
    <w:sectPr w:rsidR="00762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702"/>
    <w:rsid w:val="002F4D18"/>
    <w:rsid w:val="00557962"/>
    <w:rsid w:val="00606702"/>
    <w:rsid w:val="007620C5"/>
    <w:rsid w:val="00A31A71"/>
    <w:rsid w:val="00A75259"/>
    <w:rsid w:val="00D03D79"/>
    <w:rsid w:val="00D15480"/>
    <w:rsid w:val="00E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74AD"/>
  <w15:chartTrackingRefBased/>
  <w15:docId w15:val="{E9FDA282-6423-4369-9363-271C1930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35B"/>
  </w:style>
  <w:style w:type="paragraph" w:styleId="Heading1">
    <w:name w:val="heading 1"/>
    <w:basedOn w:val="Normal"/>
    <w:next w:val="Normal"/>
    <w:link w:val="Heading1Char"/>
    <w:uiPriority w:val="9"/>
    <w:qFormat/>
    <w:rsid w:val="00606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7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Manu</dc:creator>
  <cp:keywords/>
  <dc:description/>
  <cp:lastModifiedBy>Emmanuel Manu</cp:lastModifiedBy>
  <cp:revision>2</cp:revision>
  <dcterms:created xsi:type="dcterms:W3CDTF">2026-01-01T20:54:00Z</dcterms:created>
  <dcterms:modified xsi:type="dcterms:W3CDTF">2026-01-01T20:57:00Z</dcterms:modified>
</cp:coreProperties>
</file>