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86E4" w14:textId="77777777" w:rsidR="005A5FD6" w:rsidRDefault="005A5FD6" w:rsidP="005A5FD6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Supplementary Table S1. Sociodemographic and lifestyle factors associated with Mediterranean diet adherence categories</w:t>
      </w: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10"/>
        <w:gridCol w:w="1510"/>
        <w:gridCol w:w="1511"/>
        <w:gridCol w:w="1129"/>
      </w:tblGrid>
      <w:tr w:rsidR="005A5FD6" w14:paraId="6E47DF00" w14:textId="77777777" w:rsidTr="005A5FD6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08CDA4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Variable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5ED50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Low adherence (n=30)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DDCA5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Moderate adherence (n=122)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7683D3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High adherence (n=13)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C2658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p value*</w:t>
            </w:r>
          </w:p>
        </w:tc>
      </w:tr>
      <w:tr w:rsidR="005A5FD6" w14:paraId="17C6E8E6" w14:textId="77777777" w:rsidTr="005A5FD6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42E574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Sex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69870E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6EFDD9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D5EE6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E7B24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</w:tr>
      <w:tr w:rsidR="005A5FD6" w14:paraId="4837E9D9" w14:textId="77777777" w:rsidTr="005A5FD6">
        <w:tc>
          <w:tcPr>
            <w:tcW w:w="3402" w:type="dxa"/>
            <w:vAlign w:val="center"/>
            <w:hideMark/>
          </w:tcPr>
          <w:p w14:paraId="44E18AB5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Female, n (%)</w:t>
            </w:r>
          </w:p>
        </w:tc>
        <w:tc>
          <w:tcPr>
            <w:tcW w:w="1510" w:type="dxa"/>
            <w:vAlign w:val="center"/>
            <w:hideMark/>
          </w:tcPr>
          <w:p w14:paraId="1B9322B7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24 (80.0)</w:t>
            </w:r>
          </w:p>
        </w:tc>
        <w:tc>
          <w:tcPr>
            <w:tcW w:w="1510" w:type="dxa"/>
            <w:vAlign w:val="center"/>
            <w:hideMark/>
          </w:tcPr>
          <w:p w14:paraId="76A77B9A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80 (65.6)</w:t>
            </w:r>
          </w:p>
        </w:tc>
        <w:tc>
          <w:tcPr>
            <w:tcW w:w="1511" w:type="dxa"/>
            <w:vAlign w:val="center"/>
            <w:hideMark/>
          </w:tcPr>
          <w:p w14:paraId="123DBAD5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13 (100.0)</w:t>
            </w:r>
          </w:p>
        </w:tc>
        <w:tc>
          <w:tcPr>
            <w:tcW w:w="1129" w:type="dxa"/>
            <w:vMerge w:val="restart"/>
            <w:vAlign w:val="center"/>
            <w:hideMark/>
          </w:tcPr>
          <w:p w14:paraId="653548D4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0.016</w:t>
            </w:r>
          </w:p>
        </w:tc>
      </w:tr>
      <w:tr w:rsidR="005A5FD6" w14:paraId="6578F760" w14:textId="77777777" w:rsidTr="005A5FD6">
        <w:tc>
          <w:tcPr>
            <w:tcW w:w="3402" w:type="dxa"/>
            <w:vAlign w:val="center"/>
            <w:hideMark/>
          </w:tcPr>
          <w:p w14:paraId="2412F4D6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Male, n (%)</w:t>
            </w:r>
          </w:p>
        </w:tc>
        <w:tc>
          <w:tcPr>
            <w:tcW w:w="1510" w:type="dxa"/>
            <w:vAlign w:val="center"/>
            <w:hideMark/>
          </w:tcPr>
          <w:p w14:paraId="064788C4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6 (20.0)</w:t>
            </w:r>
          </w:p>
        </w:tc>
        <w:tc>
          <w:tcPr>
            <w:tcW w:w="1510" w:type="dxa"/>
            <w:vAlign w:val="center"/>
            <w:hideMark/>
          </w:tcPr>
          <w:p w14:paraId="01568493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42 (34.4)</w:t>
            </w:r>
          </w:p>
        </w:tc>
        <w:tc>
          <w:tcPr>
            <w:tcW w:w="1511" w:type="dxa"/>
            <w:vAlign w:val="center"/>
            <w:hideMark/>
          </w:tcPr>
          <w:p w14:paraId="6F28A5CF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0 (0.0)</w:t>
            </w:r>
          </w:p>
        </w:tc>
        <w:tc>
          <w:tcPr>
            <w:tcW w:w="0" w:type="auto"/>
            <w:vMerge/>
            <w:vAlign w:val="center"/>
            <w:hideMark/>
          </w:tcPr>
          <w:p w14:paraId="056DEF10" w14:textId="77777777" w:rsidR="005A5FD6" w:rsidRDefault="005A5FD6">
            <w:pPr>
              <w:spacing w:line="240" w:lineRule="auto"/>
              <w:rPr>
                <w:rFonts w:ascii="Times New Roman" w:hAnsi="Times New Roman"/>
                <w:color w:val="EE0000"/>
              </w:rPr>
            </w:pPr>
          </w:p>
        </w:tc>
      </w:tr>
      <w:tr w:rsidR="005A5FD6" w14:paraId="3A5BA289" w14:textId="77777777" w:rsidTr="005A5FD6">
        <w:tc>
          <w:tcPr>
            <w:tcW w:w="3402" w:type="dxa"/>
            <w:vAlign w:val="center"/>
            <w:hideMark/>
          </w:tcPr>
          <w:p w14:paraId="6CB71169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Marital status</w:t>
            </w:r>
          </w:p>
        </w:tc>
        <w:tc>
          <w:tcPr>
            <w:tcW w:w="1510" w:type="dxa"/>
            <w:vAlign w:val="center"/>
          </w:tcPr>
          <w:p w14:paraId="4623ECCB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0" w:type="dxa"/>
            <w:vAlign w:val="center"/>
          </w:tcPr>
          <w:p w14:paraId="6B400721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1" w:type="dxa"/>
            <w:vAlign w:val="center"/>
          </w:tcPr>
          <w:p w14:paraId="125E5F99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129" w:type="dxa"/>
            <w:vAlign w:val="center"/>
          </w:tcPr>
          <w:p w14:paraId="4986258E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</w:tr>
      <w:tr w:rsidR="005A5FD6" w14:paraId="12CB461A" w14:textId="77777777" w:rsidTr="005A5FD6">
        <w:tc>
          <w:tcPr>
            <w:tcW w:w="3402" w:type="dxa"/>
            <w:vAlign w:val="center"/>
            <w:hideMark/>
          </w:tcPr>
          <w:p w14:paraId="68773576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Married, n (%)</w:t>
            </w:r>
          </w:p>
        </w:tc>
        <w:tc>
          <w:tcPr>
            <w:tcW w:w="1510" w:type="dxa"/>
            <w:vAlign w:val="center"/>
            <w:hideMark/>
          </w:tcPr>
          <w:p w14:paraId="404AEBF3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10 (33.3)</w:t>
            </w:r>
          </w:p>
        </w:tc>
        <w:tc>
          <w:tcPr>
            <w:tcW w:w="1510" w:type="dxa"/>
            <w:vAlign w:val="center"/>
            <w:hideMark/>
          </w:tcPr>
          <w:p w14:paraId="154A9B54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89 (73.0)</w:t>
            </w:r>
          </w:p>
        </w:tc>
        <w:tc>
          <w:tcPr>
            <w:tcW w:w="1511" w:type="dxa"/>
            <w:vAlign w:val="center"/>
            <w:hideMark/>
          </w:tcPr>
          <w:p w14:paraId="6A359505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9 (69.2)</w:t>
            </w:r>
          </w:p>
        </w:tc>
        <w:tc>
          <w:tcPr>
            <w:tcW w:w="1129" w:type="dxa"/>
            <w:vMerge w:val="restart"/>
            <w:vAlign w:val="center"/>
            <w:hideMark/>
          </w:tcPr>
          <w:p w14:paraId="24A2C0CD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&lt;0.001</w:t>
            </w:r>
          </w:p>
        </w:tc>
      </w:tr>
      <w:tr w:rsidR="005A5FD6" w14:paraId="482F22C6" w14:textId="77777777" w:rsidTr="005A5FD6">
        <w:tc>
          <w:tcPr>
            <w:tcW w:w="3402" w:type="dxa"/>
            <w:vAlign w:val="center"/>
            <w:hideMark/>
          </w:tcPr>
          <w:p w14:paraId="1B4D0DD1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Single, n (%)</w:t>
            </w:r>
          </w:p>
        </w:tc>
        <w:tc>
          <w:tcPr>
            <w:tcW w:w="1510" w:type="dxa"/>
            <w:vAlign w:val="center"/>
            <w:hideMark/>
          </w:tcPr>
          <w:p w14:paraId="7617D181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20 (66.7)</w:t>
            </w:r>
          </w:p>
        </w:tc>
        <w:tc>
          <w:tcPr>
            <w:tcW w:w="1510" w:type="dxa"/>
            <w:vAlign w:val="center"/>
            <w:hideMark/>
          </w:tcPr>
          <w:p w14:paraId="0ACD461E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33 (27.0)</w:t>
            </w:r>
          </w:p>
        </w:tc>
        <w:tc>
          <w:tcPr>
            <w:tcW w:w="1511" w:type="dxa"/>
            <w:vAlign w:val="center"/>
            <w:hideMark/>
          </w:tcPr>
          <w:p w14:paraId="000790F1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4 (30.8)</w:t>
            </w:r>
          </w:p>
        </w:tc>
        <w:tc>
          <w:tcPr>
            <w:tcW w:w="0" w:type="auto"/>
            <w:vMerge/>
            <w:vAlign w:val="center"/>
            <w:hideMark/>
          </w:tcPr>
          <w:p w14:paraId="3D502F30" w14:textId="77777777" w:rsidR="005A5FD6" w:rsidRDefault="005A5FD6">
            <w:pPr>
              <w:spacing w:line="240" w:lineRule="auto"/>
              <w:rPr>
                <w:rFonts w:ascii="Times New Roman" w:hAnsi="Times New Roman"/>
                <w:color w:val="EE0000"/>
              </w:rPr>
            </w:pPr>
          </w:p>
        </w:tc>
      </w:tr>
      <w:tr w:rsidR="005A5FD6" w14:paraId="217A5E80" w14:textId="77777777" w:rsidTr="005A5FD6">
        <w:tc>
          <w:tcPr>
            <w:tcW w:w="3402" w:type="dxa"/>
            <w:vAlign w:val="center"/>
            <w:hideMark/>
          </w:tcPr>
          <w:p w14:paraId="5355E157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Living arrangement</w:t>
            </w:r>
          </w:p>
        </w:tc>
        <w:tc>
          <w:tcPr>
            <w:tcW w:w="1510" w:type="dxa"/>
            <w:vAlign w:val="center"/>
          </w:tcPr>
          <w:p w14:paraId="20B2B786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0" w:type="dxa"/>
            <w:vAlign w:val="center"/>
          </w:tcPr>
          <w:p w14:paraId="03375F42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1" w:type="dxa"/>
            <w:vAlign w:val="center"/>
          </w:tcPr>
          <w:p w14:paraId="7E4E16B4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129" w:type="dxa"/>
            <w:vAlign w:val="center"/>
          </w:tcPr>
          <w:p w14:paraId="14C9EC49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</w:tr>
      <w:tr w:rsidR="005A5FD6" w14:paraId="46344F27" w14:textId="77777777" w:rsidTr="005A5FD6">
        <w:tc>
          <w:tcPr>
            <w:tcW w:w="3402" w:type="dxa"/>
            <w:vAlign w:val="center"/>
            <w:hideMark/>
          </w:tcPr>
          <w:p w14:paraId="6E880DE4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Living alone, n (%)</w:t>
            </w:r>
          </w:p>
        </w:tc>
        <w:tc>
          <w:tcPr>
            <w:tcW w:w="1510" w:type="dxa"/>
            <w:vAlign w:val="center"/>
            <w:hideMark/>
          </w:tcPr>
          <w:p w14:paraId="7489E946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12 (40.0)</w:t>
            </w:r>
          </w:p>
        </w:tc>
        <w:tc>
          <w:tcPr>
            <w:tcW w:w="1510" w:type="dxa"/>
            <w:vAlign w:val="center"/>
            <w:hideMark/>
          </w:tcPr>
          <w:p w14:paraId="69C70F99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18 (14.8)</w:t>
            </w:r>
          </w:p>
        </w:tc>
        <w:tc>
          <w:tcPr>
            <w:tcW w:w="1511" w:type="dxa"/>
            <w:vAlign w:val="center"/>
            <w:hideMark/>
          </w:tcPr>
          <w:p w14:paraId="14AE5373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3 (23.1)</w:t>
            </w:r>
          </w:p>
        </w:tc>
        <w:tc>
          <w:tcPr>
            <w:tcW w:w="1129" w:type="dxa"/>
            <w:vMerge w:val="restart"/>
            <w:vAlign w:val="center"/>
            <w:hideMark/>
          </w:tcPr>
          <w:p w14:paraId="7EC427B5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0.008</w:t>
            </w:r>
          </w:p>
        </w:tc>
      </w:tr>
      <w:tr w:rsidR="005A5FD6" w14:paraId="660EB5BA" w14:textId="77777777" w:rsidTr="005A5FD6">
        <w:tc>
          <w:tcPr>
            <w:tcW w:w="3402" w:type="dxa"/>
            <w:vAlign w:val="center"/>
            <w:hideMark/>
          </w:tcPr>
          <w:p w14:paraId="5FCD6382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Living with family, n (%)</w:t>
            </w:r>
          </w:p>
        </w:tc>
        <w:tc>
          <w:tcPr>
            <w:tcW w:w="1510" w:type="dxa"/>
            <w:vAlign w:val="center"/>
            <w:hideMark/>
          </w:tcPr>
          <w:p w14:paraId="656F51FC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18 (60.0)</w:t>
            </w:r>
          </w:p>
        </w:tc>
        <w:tc>
          <w:tcPr>
            <w:tcW w:w="1510" w:type="dxa"/>
            <w:vAlign w:val="center"/>
            <w:hideMark/>
          </w:tcPr>
          <w:p w14:paraId="7AA90FA1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104 (85.2)</w:t>
            </w:r>
          </w:p>
        </w:tc>
        <w:tc>
          <w:tcPr>
            <w:tcW w:w="1511" w:type="dxa"/>
            <w:vAlign w:val="center"/>
            <w:hideMark/>
          </w:tcPr>
          <w:p w14:paraId="42C98096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10 (76.9)</w:t>
            </w:r>
          </w:p>
        </w:tc>
        <w:tc>
          <w:tcPr>
            <w:tcW w:w="0" w:type="auto"/>
            <w:vMerge/>
            <w:vAlign w:val="center"/>
            <w:hideMark/>
          </w:tcPr>
          <w:p w14:paraId="4756BFF3" w14:textId="77777777" w:rsidR="005A5FD6" w:rsidRDefault="005A5FD6">
            <w:pPr>
              <w:spacing w:line="240" w:lineRule="auto"/>
              <w:rPr>
                <w:rFonts w:ascii="Times New Roman" w:hAnsi="Times New Roman"/>
                <w:color w:val="EE0000"/>
              </w:rPr>
            </w:pPr>
          </w:p>
        </w:tc>
      </w:tr>
      <w:tr w:rsidR="005A5FD6" w14:paraId="0673D80A" w14:textId="77777777" w:rsidTr="005A5FD6">
        <w:tc>
          <w:tcPr>
            <w:tcW w:w="3402" w:type="dxa"/>
            <w:vAlign w:val="center"/>
            <w:hideMark/>
          </w:tcPr>
          <w:p w14:paraId="5D5E825A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Meal-skipping behaviors</w:t>
            </w:r>
          </w:p>
        </w:tc>
        <w:tc>
          <w:tcPr>
            <w:tcW w:w="1510" w:type="dxa"/>
            <w:vAlign w:val="center"/>
          </w:tcPr>
          <w:p w14:paraId="0DBB921C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0" w:type="dxa"/>
            <w:vAlign w:val="center"/>
          </w:tcPr>
          <w:p w14:paraId="6FE106B9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511" w:type="dxa"/>
            <w:vAlign w:val="center"/>
          </w:tcPr>
          <w:p w14:paraId="26CBDD25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1129" w:type="dxa"/>
            <w:vAlign w:val="center"/>
          </w:tcPr>
          <w:p w14:paraId="75EFAAAE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</w:p>
        </w:tc>
      </w:tr>
      <w:tr w:rsidR="005A5FD6" w14:paraId="273DCAD1" w14:textId="77777777" w:rsidTr="005A5FD6">
        <w:tc>
          <w:tcPr>
            <w:tcW w:w="3402" w:type="dxa"/>
            <w:vAlign w:val="center"/>
            <w:hideMark/>
          </w:tcPr>
          <w:p w14:paraId="2533B0CE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Breakfast skipping (never),n(%)</w:t>
            </w:r>
          </w:p>
        </w:tc>
        <w:tc>
          <w:tcPr>
            <w:tcW w:w="1510" w:type="dxa"/>
            <w:hideMark/>
          </w:tcPr>
          <w:p w14:paraId="4B129904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12 (40.0)</w:t>
            </w:r>
          </w:p>
        </w:tc>
        <w:tc>
          <w:tcPr>
            <w:tcW w:w="1510" w:type="dxa"/>
            <w:hideMark/>
          </w:tcPr>
          <w:p w14:paraId="2385018D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68 (55.7)</w:t>
            </w:r>
          </w:p>
        </w:tc>
        <w:tc>
          <w:tcPr>
            <w:tcW w:w="1511" w:type="dxa"/>
            <w:hideMark/>
          </w:tcPr>
          <w:p w14:paraId="4099428F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13 (100.0)</w:t>
            </w:r>
          </w:p>
        </w:tc>
        <w:tc>
          <w:tcPr>
            <w:tcW w:w="1129" w:type="dxa"/>
            <w:vAlign w:val="center"/>
            <w:hideMark/>
          </w:tcPr>
          <w:p w14:paraId="529B349A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0.004</w:t>
            </w:r>
          </w:p>
        </w:tc>
      </w:tr>
      <w:tr w:rsidR="005A5FD6" w14:paraId="2E330683" w14:textId="77777777" w:rsidTr="005A5FD6">
        <w:tc>
          <w:tcPr>
            <w:tcW w:w="3402" w:type="dxa"/>
            <w:vAlign w:val="center"/>
            <w:hideMark/>
          </w:tcPr>
          <w:p w14:paraId="089A89B9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Lunch skipping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(never),n(%)</w:t>
            </w:r>
          </w:p>
        </w:tc>
        <w:tc>
          <w:tcPr>
            <w:tcW w:w="1510" w:type="dxa"/>
            <w:vAlign w:val="center"/>
            <w:hideMark/>
          </w:tcPr>
          <w:p w14:paraId="2BA230DC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 (40.0)</w:t>
            </w:r>
          </w:p>
        </w:tc>
        <w:tc>
          <w:tcPr>
            <w:tcW w:w="1510" w:type="dxa"/>
            <w:vAlign w:val="center"/>
            <w:hideMark/>
          </w:tcPr>
          <w:p w14:paraId="083939AC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 (41.0)</w:t>
            </w:r>
          </w:p>
        </w:tc>
        <w:tc>
          <w:tcPr>
            <w:tcW w:w="1511" w:type="dxa"/>
            <w:vAlign w:val="center"/>
            <w:hideMark/>
          </w:tcPr>
          <w:p w14:paraId="1666357B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 (53.8)</w:t>
            </w:r>
          </w:p>
        </w:tc>
        <w:tc>
          <w:tcPr>
            <w:tcW w:w="1129" w:type="dxa"/>
            <w:vAlign w:val="center"/>
            <w:hideMark/>
          </w:tcPr>
          <w:p w14:paraId="6A1E79C9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0.255</w:t>
            </w:r>
          </w:p>
        </w:tc>
      </w:tr>
      <w:tr w:rsidR="005A5FD6" w14:paraId="279E95F4" w14:textId="77777777" w:rsidTr="005A5FD6">
        <w:tc>
          <w:tcPr>
            <w:tcW w:w="3402" w:type="dxa"/>
            <w:vAlign w:val="center"/>
            <w:hideMark/>
          </w:tcPr>
          <w:p w14:paraId="768D980B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Dinner skipping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(never),n(%)</w:t>
            </w:r>
          </w:p>
        </w:tc>
        <w:tc>
          <w:tcPr>
            <w:tcW w:w="1510" w:type="dxa"/>
            <w:hideMark/>
          </w:tcPr>
          <w:p w14:paraId="310ED0A3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 (50.0)</w:t>
            </w:r>
          </w:p>
        </w:tc>
        <w:tc>
          <w:tcPr>
            <w:tcW w:w="1510" w:type="dxa"/>
            <w:hideMark/>
          </w:tcPr>
          <w:p w14:paraId="2066D3C2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80 (65.6)</w:t>
            </w:r>
          </w:p>
        </w:tc>
        <w:tc>
          <w:tcPr>
            <w:tcW w:w="1511" w:type="dxa"/>
            <w:hideMark/>
          </w:tcPr>
          <w:p w14:paraId="23D68B73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 (100.0)</w:t>
            </w:r>
          </w:p>
        </w:tc>
        <w:tc>
          <w:tcPr>
            <w:tcW w:w="1129" w:type="dxa"/>
            <w:vAlign w:val="center"/>
            <w:hideMark/>
          </w:tcPr>
          <w:p w14:paraId="78B089AC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0.010</w:t>
            </w:r>
          </w:p>
        </w:tc>
      </w:tr>
      <w:tr w:rsidR="005A5FD6" w14:paraId="0C588199" w14:textId="77777777" w:rsidTr="005A5FD6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B7EE5" w14:textId="77777777" w:rsidR="005A5FD6" w:rsidRDefault="005A5FD6">
            <w:pPr>
              <w:spacing w:line="240" w:lineRule="auto"/>
              <w:jc w:val="both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Snack skipping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lang w:eastAsia="tr-TR"/>
                <w14:ligatures w14:val="none"/>
              </w:rPr>
              <w:t>(never), n(%)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FD515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 (33.3)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4E61D2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 (27.0)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B6AF1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 (38.5)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25520" w14:textId="77777777" w:rsidR="005A5FD6" w:rsidRDefault="005A5FD6">
            <w:pPr>
              <w:spacing w:line="240" w:lineRule="auto"/>
              <w:jc w:val="center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tr-TR"/>
                <w14:ligatures w14:val="none"/>
              </w:rPr>
              <w:t>0.017</w:t>
            </w:r>
          </w:p>
        </w:tc>
      </w:tr>
    </w:tbl>
    <w:p w14:paraId="3A707D4F" w14:textId="77777777" w:rsidR="005A5FD6" w:rsidRDefault="005A5FD6" w:rsidP="005A5FD6">
      <w:pPr>
        <w:jc w:val="both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Values are presented as number (percentage). Associations were assessed using the chi-square test or exact tests when appropriate. Mediterranean diet adherence was categorized as low, moderate, or high according to MEDAS scores.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0"/>
          <w:szCs w:val="20"/>
        </w:rPr>
        <w:t>For meal-skipping variables, the category “never skipping” is presented. Variables with expected cell counts &lt;5 were evaluated using exact methods.</w:t>
      </w:r>
    </w:p>
    <w:p w14:paraId="0884186B" w14:textId="77777777" w:rsidR="005A5FD6" w:rsidRDefault="005A5FD6" w:rsidP="005A5FD6">
      <w:pPr>
        <w:keepNext/>
        <w:spacing w:line="480" w:lineRule="auto"/>
        <w:jc w:val="both"/>
        <w:rPr>
          <w:rFonts w:ascii="Times New Roman" w:eastAsia="Aptos" w:hAnsi="Times New Roman"/>
          <w:b/>
          <w:bCs/>
          <w:lang w:val="en-US"/>
        </w:rPr>
      </w:pPr>
    </w:p>
    <w:p w14:paraId="1376BE01" w14:textId="77777777" w:rsidR="00630A30" w:rsidRDefault="00630A30"/>
    <w:sectPr w:rsidR="00630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30"/>
    <w:rsid w:val="005A5FD6"/>
    <w:rsid w:val="006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A9588-4C27-448B-B984-72A91EA9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D6"/>
    <w:pPr>
      <w:spacing w:line="276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5FD6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Lüle</dc:creator>
  <cp:keywords/>
  <dc:description/>
  <cp:lastModifiedBy>Ozan Lüle</cp:lastModifiedBy>
  <cp:revision>3</cp:revision>
  <dcterms:created xsi:type="dcterms:W3CDTF">2026-01-01T20:06:00Z</dcterms:created>
  <dcterms:modified xsi:type="dcterms:W3CDTF">2026-01-01T20:06:00Z</dcterms:modified>
</cp:coreProperties>
</file>