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F823FE" w14:textId="22CD456A" w:rsidR="00505675" w:rsidRPr="00F215BF" w:rsidRDefault="0093725E">
      <w:pPr>
        <w:rPr>
          <w:rFonts w:ascii="Calibri" w:hAnsi="Calibri" w:cs="Calibri"/>
          <w:b/>
          <w:bCs/>
          <w:sz w:val="28"/>
          <w:szCs w:val="28"/>
        </w:rPr>
      </w:pPr>
      <w:proofErr w:type="spellStart"/>
      <w:r w:rsidRPr="00F215BF">
        <w:rPr>
          <w:rFonts w:ascii="Calibri" w:hAnsi="Calibri" w:cs="Calibri"/>
          <w:b/>
          <w:bCs/>
          <w:sz w:val="28"/>
          <w:szCs w:val="28"/>
        </w:rPr>
        <w:t>Supplementary</w:t>
      </w:r>
      <w:proofErr w:type="spellEnd"/>
      <w:r w:rsidRPr="00F215BF">
        <w:rPr>
          <w:rFonts w:ascii="Calibri" w:hAnsi="Calibri" w:cs="Calibri"/>
          <w:b/>
          <w:bCs/>
          <w:sz w:val="28"/>
          <w:szCs w:val="28"/>
        </w:rPr>
        <w:t xml:space="preserve"> </w:t>
      </w:r>
      <w:proofErr w:type="spellStart"/>
      <w:r w:rsidRPr="00F215BF">
        <w:rPr>
          <w:rFonts w:ascii="Calibri" w:hAnsi="Calibri" w:cs="Calibri"/>
          <w:b/>
          <w:bCs/>
          <w:sz w:val="28"/>
          <w:szCs w:val="28"/>
        </w:rPr>
        <w:t>material</w:t>
      </w:r>
      <w:proofErr w:type="spellEnd"/>
    </w:p>
    <w:p w14:paraId="50516911" w14:textId="77777777" w:rsidR="0093725E" w:rsidRPr="0093725E" w:rsidRDefault="0093725E" w:rsidP="0093725E">
      <w:pPr>
        <w:spacing w:after="0" w:line="360" w:lineRule="auto"/>
        <w:jc w:val="both"/>
        <w:rPr>
          <w:rFonts w:ascii="Calibri" w:hAnsi="Calibri" w:cs="Calibri"/>
          <w:b/>
          <w:bCs/>
          <w:sz w:val="28"/>
          <w:szCs w:val="28"/>
          <w:lang w:val="en-US"/>
        </w:rPr>
      </w:pPr>
      <w:r w:rsidRPr="0093725E">
        <w:rPr>
          <w:rFonts w:ascii="Calibri" w:hAnsi="Calibri" w:cs="Calibri"/>
          <w:b/>
          <w:bCs/>
          <w:sz w:val="28"/>
          <w:szCs w:val="28"/>
          <w:lang w:val="en-US"/>
        </w:rPr>
        <w:t>Reverse Prediction of Carbohydrate Esterase Polysaccharide Targets</w:t>
      </w:r>
    </w:p>
    <w:p w14:paraId="5E3887DE" w14:textId="77777777" w:rsidR="0093725E" w:rsidRPr="0093725E" w:rsidRDefault="0093725E" w:rsidP="0093725E">
      <w:pPr>
        <w:spacing w:after="0" w:line="360" w:lineRule="auto"/>
        <w:jc w:val="both"/>
        <w:rPr>
          <w:rFonts w:ascii="Calibri" w:hAnsi="Calibri" w:cs="Calibri"/>
          <w:sz w:val="22"/>
          <w:szCs w:val="22"/>
          <w:lang w:val="en-US"/>
        </w:rPr>
      </w:pPr>
      <w:r w:rsidRPr="0093725E">
        <w:rPr>
          <w:rFonts w:ascii="Calibri" w:hAnsi="Calibri" w:cs="Calibri"/>
          <w:sz w:val="22"/>
          <w:szCs w:val="22"/>
          <w:lang w:val="en-US"/>
        </w:rPr>
        <w:t>Kristian Barrett</w:t>
      </w:r>
      <w:r w:rsidRPr="0093725E">
        <w:rPr>
          <w:rFonts w:ascii="Calibri" w:hAnsi="Calibri" w:cs="Calibri"/>
          <w:sz w:val="22"/>
          <w:szCs w:val="22"/>
          <w:vertAlign w:val="superscript"/>
          <w:lang w:val="en-US"/>
        </w:rPr>
        <w:t>1</w:t>
      </w:r>
      <w:r w:rsidRPr="0093725E">
        <w:rPr>
          <w:rFonts w:ascii="Calibri" w:hAnsi="Calibri" w:cs="Calibri"/>
          <w:sz w:val="22"/>
          <w:szCs w:val="22"/>
          <w:lang w:val="en-US"/>
        </w:rPr>
        <w:t>, Jesper Holck</w:t>
      </w:r>
      <w:r w:rsidRPr="0093725E">
        <w:rPr>
          <w:rFonts w:ascii="Calibri" w:hAnsi="Calibri" w:cs="Calibri"/>
          <w:sz w:val="22"/>
          <w:szCs w:val="22"/>
          <w:vertAlign w:val="superscript"/>
          <w:lang w:val="en-US"/>
        </w:rPr>
        <w:t>1</w:t>
      </w:r>
      <w:r w:rsidRPr="0093725E">
        <w:rPr>
          <w:rFonts w:ascii="Calibri" w:hAnsi="Calibri" w:cs="Calibri"/>
          <w:sz w:val="22"/>
          <w:szCs w:val="22"/>
          <w:lang w:val="en-US"/>
        </w:rPr>
        <w:t xml:space="preserve"> and Anne S. Meyer</w:t>
      </w:r>
      <w:r w:rsidRPr="0093725E">
        <w:rPr>
          <w:rFonts w:ascii="Calibri" w:hAnsi="Calibri" w:cs="Calibri"/>
          <w:sz w:val="22"/>
          <w:szCs w:val="22"/>
          <w:vertAlign w:val="superscript"/>
          <w:lang w:val="en-US"/>
        </w:rPr>
        <w:t>1</w:t>
      </w:r>
      <w:r w:rsidRPr="0093725E">
        <w:rPr>
          <w:rFonts w:ascii="Calibri" w:hAnsi="Calibri" w:cs="Calibri"/>
          <w:sz w:val="22"/>
          <w:szCs w:val="22"/>
          <w:lang w:val="en-US"/>
        </w:rPr>
        <w:t>*</w:t>
      </w:r>
    </w:p>
    <w:p w14:paraId="39C12F8F" w14:textId="77777777" w:rsidR="0093725E" w:rsidRPr="0093725E" w:rsidRDefault="0093725E" w:rsidP="0093725E">
      <w:pPr>
        <w:spacing w:after="0" w:line="360" w:lineRule="auto"/>
        <w:jc w:val="both"/>
        <w:rPr>
          <w:rFonts w:ascii="Calibri" w:hAnsi="Calibri" w:cs="Calibri"/>
          <w:sz w:val="22"/>
          <w:szCs w:val="22"/>
          <w:lang w:val="en-US"/>
        </w:rPr>
      </w:pPr>
      <w:r w:rsidRPr="0093725E">
        <w:rPr>
          <w:rFonts w:ascii="Calibri" w:hAnsi="Calibri" w:cs="Calibri"/>
          <w:sz w:val="22"/>
          <w:szCs w:val="22"/>
          <w:vertAlign w:val="superscript"/>
          <w:lang w:val="en-US"/>
        </w:rPr>
        <w:t xml:space="preserve">1 </w:t>
      </w:r>
      <w:r w:rsidRPr="0093725E">
        <w:rPr>
          <w:rFonts w:ascii="Calibri" w:hAnsi="Calibri" w:cs="Calibri"/>
          <w:sz w:val="22"/>
          <w:szCs w:val="22"/>
          <w:lang w:val="en-US"/>
        </w:rPr>
        <w:t xml:space="preserve">Department of Biotechnology and Biomedicine, Section for Protein and Enzyme Technology, Technical University of Denmark (DTU), </w:t>
      </w:r>
      <w:proofErr w:type="spellStart"/>
      <w:r w:rsidRPr="0093725E">
        <w:rPr>
          <w:rFonts w:ascii="Calibri" w:hAnsi="Calibri" w:cs="Calibri"/>
          <w:sz w:val="22"/>
          <w:szCs w:val="22"/>
          <w:lang w:val="en-US"/>
        </w:rPr>
        <w:t>Søltofts</w:t>
      </w:r>
      <w:proofErr w:type="spellEnd"/>
      <w:r w:rsidRPr="0093725E">
        <w:rPr>
          <w:rFonts w:ascii="Calibri" w:hAnsi="Calibri" w:cs="Calibri"/>
          <w:sz w:val="22"/>
          <w:szCs w:val="22"/>
          <w:lang w:val="en-US"/>
        </w:rPr>
        <w:t xml:space="preserve"> </w:t>
      </w:r>
      <w:proofErr w:type="spellStart"/>
      <w:r w:rsidRPr="0093725E">
        <w:rPr>
          <w:rFonts w:ascii="Calibri" w:hAnsi="Calibri" w:cs="Calibri"/>
          <w:sz w:val="22"/>
          <w:szCs w:val="22"/>
          <w:lang w:val="en-US"/>
        </w:rPr>
        <w:t>Plads</w:t>
      </w:r>
      <w:proofErr w:type="spellEnd"/>
      <w:r w:rsidRPr="0093725E">
        <w:rPr>
          <w:rFonts w:ascii="Calibri" w:hAnsi="Calibri" w:cs="Calibri"/>
          <w:sz w:val="22"/>
          <w:szCs w:val="22"/>
          <w:lang w:val="en-US"/>
        </w:rPr>
        <w:t xml:space="preserve"> 221, 2800, Kgs. Lyngby, Denmark</w:t>
      </w:r>
    </w:p>
    <w:p w14:paraId="21A4E668" w14:textId="0183DF79" w:rsidR="0093725E" w:rsidRPr="0093725E" w:rsidRDefault="0093725E" w:rsidP="0093725E">
      <w:pPr>
        <w:spacing w:after="240" w:line="360" w:lineRule="auto"/>
        <w:jc w:val="both"/>
        <w:rPr>
          <w:rFonts w:ascii="Calibri" w:hAnsi="Calibri" w:cs="Calibri"/>
          <w:sz w:val="22"/>
          <w:szCs w:val="22"/>
          <w:lang w:val="en-US"/>
        </w:rPr>
      </w:pPr>
      <w:r w:rsidRPr="0093725E">
        <w:rPr>
          <w:rFonts w:ascii="Calibri" w:hAnsi="Calibri" w:cs="Calibri"/>
          <w:sz w:val="22"/>
          <w:szCs w:val="22"/>
          <w:lang w:val="en-US"/>
        </w:rPr>
        <w:t xml:space="preserve">*Correspondence: Anne S. Meyer, e-mail: asme@dtu.dk </w:t>
      </w:r>
    </w:p>
    <w:p w14:paraId="4E27E485" w14:textId="77777777" w:rsidR="0093725E" w:rsidRPr="005B7438" w:rsidRDefault="0093725E" w:rsidP="00F215BF">
      <w:pPr>
        <w:spacing w:before="120"/>
        <w:jc w:val="center"/>
        <w:rPr>
          <w:rFonts w:ascii="Calibri" w:hAnsi="Calibri" w:cs="Calibri"/>
          <w:lang w:val="en-US"/>
        </w:rPr>
      </w:pPr>
      <w:r w:rsidRPr="005B7438">
        <w:rPr>
          <w:rFonts w:ascii="Calibri" w:hAnsi="Calibri" w:cs="Calibri"/>
          <w:noProof/>
          <w:lang w:val="en-US"/>
        </w:rPr>
        <w:drawing>
          <wp:inline distT="0" distB="0" distL="0" distR="0" wp14:anchorId="6A1E1EEA" wp14:editId="2094DA84">
            <wp:extent cx="5511274" cy="5522265"/>
            <wp:effectExtent l="0" t="0" r="635" b="2540"/>
            <wp:docPr id="702530721" name="Picture 2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530721" name="Picture 21" descr="A screen shot of a computer&#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39280" cy="5550327"/>
                    </a:xfrm>
                    <a:prstGeom prst="rect">
                      <a:avLst/>
                    </a:prstGeom>
                  </pic:spPr>
                </pic:pic>
              </a:graphicData>
            </a:graphic>
          </wp:inline>
        </w:drawing>
      </w:r>
    </w:p>
    <w:p w14:paraId="6B7699C1" w14:textId="0842B489" w:rsidR="0093725E" w:rsidRPr="003D0052" w:rsidRDefault="0093725E" w:rsidP="0093725E">
      <w:pPr>
        <w:spacing w:before="240" w:after="0"/>
        <w:jc w:val="both"/>
        <w:rPr>
          <w:rFonts w:ascii="Calibri" w:hAnsi="Calibri" w:cs="Calibri"/>
          <w:b/>
          <w:bCs/>
          <w:sz w:val="20"/>
          <w:szCs w:val="20"/>
          <w:lang w:val="en-US"/>
        </w:rPr>
      </w:pPr>
      <w:r w:rsidRPr="005B7438">
        <w:rPr>
          <w:rFonts w:ascii="Calibri" w:hAnsi="Calibri" w:cs="Calibri"/>
          <w:b/>
          <w:bCs/>
          <w:sz w:val="20"/>
          <w:szCs w:val="20"/>
          <w:lang w:val="en-US"/>
        </w:rPr>
        <w:t>Fig</w:t>
      </w:r>
      <w:r w:rsidR="00656E62">
        <w:rPr>
          <w:rFonts w:ascii="Calibri" w:hAnsi="Calibri" w:cs="Calibri"/>
          <w:b/>
          <w:bCs/>
          <w:sz w:val="20"/>
          <w:szCs w:val="20"/>
          <w:lang w:val="en-US"/>
        </w:rPr>
        <w:t xml:space="preserve">. </w:t>
      </w:r>
      <w:r w:rsidRPr="005D137E">
        <w:rPr>
          <w:rFonts w:ascii="Calibri" w:hAnsi="Calibri" w:cs="Calibri"/>
          <w:b/>
          <w:bCs/>
          <w:sz w:val="20"/>
          <w:szCs w:val="20"/>
          <w:lang w:val="en-US"/>
        </w:rPr>
        <w:t xml:space="preserve">S1 </w:t>
      </w:r>
      <w:r w:rsidRPr="0093725E">
        <w:rPr>
          <w:rFonts w:ascii="Calibri" w:hAnsi="Calibri" w:cs="Calibri"/>
          <w:sz w:val="20"/>
          <w:szCs w:val="20"/>
          <w:lang w:val="en-US"/>
        </w:rPr>
        <w:t xml:space="preserve">Motif-based clustering dendrogram for the CE2 family. Blue dots on the tree leaves indicate members originating from the </w:t>
      </w:r>
      <w:proofErr w:type="spellStart"/>
      <w:r w:rsidRPr="0093725E">
        <w:rPr>
          <w:rFonts w:ascii="Calibri" w:hAnsi="Calibri" w:cs="Calibri"/>
          <w:sz w:val="20"/>
          <w:szCs w:val="20"/>
          <w:lang w:val="en-US"/>
        </w:rPr>
        <w:t>Bacteroidota</w:t>
      </w:r>
      <w:proofErr w:type="spellEnd"/>
      <w:r w:rsidRPr="0093725E">
        <w:rPr>
          <w:rFonts w:ascii="Calibri" w:hAnsi="Calibri" w:cs="Calibri"/>
          <w:sz w:val="20"/>
          <w:szCs w:val="20"/>
          <w:lang w:val="en-US"/>
        </w:rPr>
        <w:t xml:space="preserve"> phylum. EC numbers represent characterized enzymes within the family, including </w:t>
      </w:r>
      <w:proofErr w:type="spellStart"/>
      <w:r w:rsidRPr="0093725E">
        <w:rPr>
          <w:rFonts w:ascii="Calibri" w:hAnsi="Calibri" w:cs="Calibri"/>
          <w:sz w:val="20"/>
          <w:szCs w:val="20"/>
          <w:lang w:val="en-US"/>
        </w:rPr>
        <w:t>acetylxylan</w:t>
      </w:r>
      <w:proofErr w:type="spellEnd"/>
      <w:r w:rsidRPr="0093725E">
        <w:rPr>
          <w:rFonts w:ascii="Calibri" w:hAnsi="Calibri" w:cs="Calibri"/>
          <w:sz w:val="20"/>
          <w:szCs w:val="20"/>
          <w:lang w:val="en-US"/>
        </w:rPr>
        <w:t xml:space="preserve"> esterase (EC 3.1.1.72), </w:t>
      </w:r>
      <w:proofErr w:type="spellStart"/>
      <w:r w:rsidRPr="0093725E">
        <w:rPr>
          <w:rFonts w:ascii="Calibri" w:hAnsi="Calibri" w:cs="Calibri"/>
          <w:sz w:val="20"/>
          <w:szCs w:val="20"/>
          <w:lang w:val="en-US"/>
        </w:rPr>
        <w:t>acetylesterase</w:t>
      </w:r>
      <w:proofErr w:type="spellEnd"/>
      <w:r w:rsidRPr="0093725E">
        <w:rPr>
          <w:rFonts w:ascii="Calibri" w:hAnsi="Calibri" w:cs="Calibri"/>
          <w:sz w:val="20"/>
          <w:szCs w:val="20"/>
          <w:lang w:val="en-US"/>
        </w:rPr>
        <w:t xml:space="preserve"> (EC 3.1.1.6), </w:t>
      </w:r>
      <w:proofErr w:type="spellStart"/>
      <w:r w:rsidRPr="0093725E">
        <w:rPr>
          <w:rFonts w:ascii="Calibri" w:hAnsi="Calibri" w:cs="Calibri"/>
          <w:sz w:val="20"/>
          <w:szCs w:val="20"/>
          <w:lang w:val="en-US"/>
        </w:rPr>
        <w:t>acetylmannan</w:t>
      </w:r>
      <w:proofErr w:type="spellEnd"/>
      <w:r w:rsidRPr="0093725E">
        <w:rPr>
          <w:rFonts w:ascii="Calibri" w:hAnsi="Calibri" w:cs="Calibri"/>
          <w:sz w:val="20"/>
          <w:szCs w:val="20"/>
          <w:lang w:val="en-US"/>
        </w:rPr>
        <w:t xml:space="preserve"> esterase (EC 3.1.1.), and 6-O-glycoside deacetylase (EC 3.1.1.). Reverse prediction identified two motif groups within a single clade as likely to act on acetylated β-mannan. Based on characterized members and reverse predictions, the family is divided into seven major clades. The full tree with additional data labels can be viewed at: </w:t>
      </w:r>
      <w:r w:rsidRPr="00656E62">
        <w:rPr>
          <w:rFonts w:ascii="Calibri" w:hAnsi="Calibri" w:cs="Calibri"/>
          <w:sz w:val="20"/>
          <w:szCs w:val="20"/>
          <w:lang w:val="en-US"/>
        </w:rPr>
        <w:t>https://itol.embl.de/tree/1923814218153921750937516</w:t>
      </w:r>
      <w:r w:rsidRPr="0093725E">
        <w:rPr>
          <w:rFonts w:ascii="Calibri" w:hAnsi="Calibri" w:cs="Calibri"/>
          <w:sz w:val="20"/>
          <w:szCs w:val="20"/>
          <w:lang w:val="en-US"/>
        </w:rPr>
        <w:t>.</w:t>
      </w:r>
    </w:p>
    <w:p w14:paraId="3FF58058" w14:textId="77777777" w:rsidR="0093725E" w:rsidRPr="005B7438" w:rsidRDefault="0093725E" w:rsidP="0093725E">
      <w:pPr>
        <w:jc w:val="center"/>
        <w:rPr>
          <w:rFonts w:ascii="Calibri" w:hAnsi="Calibri" w:cs="Calibri"/>
          <w:b/>
          <w:bCs/>
          <w:lang w:val="en-US"/>
        </w:rPr>
      </w:pPr>
      <w:r w:rsidRPr="005B7438">
        <w:rPr>
          <w:rFonts w:ascii="Calibri" w:hAnsi="Calibri" w:cs="Calibri"/>
          <w:b/>
          <w:bCs/>
          <w:noProof/>
          <w:lang w:val="en-US"/>
        </w:rPr>
        <w:lastRenderedPageBreak/>
        <w:drawing>
          <wp:inline distT="0" distB="0" distL="0" distR="0" wp14:anchorId="098FB5D3" wp14:editId="693F1825">
            <wp:extent cx="5338594" cy="5400106"/>
            <wp:effectExtent l="0" t="0" r="0" b="0"/>
            <wp:docPr id="1850075029" name="Picture 24"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075029" name="Picture 24" descr="A screen shot of a computer&#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51939" cy="5413605"/>
                    </a:xfrm>
                    <a:prstGeom prst="rect">
                      <a:avLst/>
                    </a:prstGeom>
                  </pic:spPr>
                </pic:pic>
              </a:graphicData>
            </a:graphic>
          </wp:inline>
        </w:drawing>
      </w:r>
    </w:p>
    <w:p w14:paraId="484973EE" w14:textId="21B1CE3A" w:rsidR="0093725E" w:rsidRPr="0093725E" w:rsidRDefault="0093725E" w:rsidP="0093725E">
      <w:pPr>
        <w:spacing w:before="240" w:after="0"/>
        <w:jc w:val="both"/>
        <w:rPr>
          <w:rFonts w:ascii="Calibri" w:hAnsi="Calibri" w:cs="Calibri"/>
          <w:sz w:val="20"/>
          <w:szCs w:val="20"/>
          <w:lang w:val="en-US"/>
        </w:rPr>
      </w:pPr>
      <w:r w:rsidRPr="005B7438">
        <w:rPr>
          <w:rFonts w:ascii="Calibri" w:hAnsi="Calibri" w:cs="Calibri"/>
          <w:b/>
          <w:bCs/>
          <w:sz w:val="20"/>
          <w:szCs w:val="20"/>
          <w:lang w:val="en-US"/>
        </w:rPr>
        <w:t>Fig</w:t>
      </w:r>
      <w:r w:rsidR="00656E62">
        <w:rPr>
          <w:rFonts w:ascii="Calibri" w:hAnsi="Calibri" w:cs="Calibri"/>
          <w:b/>
          <w:bCs/>
          <w:sz w:val="20"/>
          <w:szCs w:val="20"/>
          <w:lang w:val="en-US"/>
        </w:rPr>
        <w:t xml:space="preserve">. </w:t>
      </w:r>
      <w:r w:rsidRPr="005B7438">
        <w:rPr>
          <w:rFonts w:ascii="Calibri" w:hAnsi="Calibri" w:cs="Calibri"/>
          <w:b/>
          <w:bCs/>
          <w:sz w:val="20"/>
          <w:szCs w:val="20"/>
          <w:lang w:val="en-US"/>
        </w:rPr>
        <w:t xml:space="preserve">S2 </w:t>
      </w:r>
      <w:r w:rsidRPr="0093725E">
        <w:rPr>
          <w:rFonts w:ascii="Calibri" w:hAnsi="Calibri" w:cs="Calibri"/>
          <w:sz w:val="20"/>
          <w:szCs w:val="20"/>
          <w:lang w:val="en-US"/>
        </w:rPr>
        <w:t xml:space="preserve">Dendrogram by motif-based clustering for the CE6 family. Green dots on the leaves indicate members originating from the </w:t>
      </w:r>
      <w:proofErr w:type="spellStart"/>
      <w:r w:rsidRPr="0093725E">
        <w:rPr>
          <w:rFonts w:ascii="Calibri" w:hAnsi="Calibri" w:cs="Calibri"/>
          <w:sz w:val="20"/>
          <w:szCs w:val="20"/>
          <w:lang w:val="en-US"/>
        </w:rPr>
        <w:t>Bacteroidota</w:t>
      </w:r>
      <w:proofErr w:type="spellEnd"/>
      <w:r w:rsidRPr="0093725E">
        <w:rPr>
          <w:rFonts w:ascii="Calibri" w:hAnsi="Calibri" w:cs="Calibri"/>
          <w:sz w:val="20"/>
          <w:szCs w:val="20"/>
          <w:lang w:val="en-US"/>
        </w:rPr>
        <w:t xml:space="preserve"> phylum. EC numbers shown represent characterized enzymes, including </w:t>
      </w:r>
      <w:proofErr w:type="spellStart"/>
      <w:r w:rsidRPr="0093725E">
        <w:rPr>
          <w:rFonts w:ascii="Calibri" w:hAnsi="Calibri" w:cs="Calibri"/>
          <w:sz w:val="20"/>
          <w:szCs w:val="20"/>
          <w:lang w:val="en-US"/>
        </w:rPr>
        <w:t>acetylxylan</w:t>
      </w:r>
      <w:proofErr w:type="spellEnd"/>
      <w:r w:rsidRPr="0093725E">
        <w:rPr>
          <w:rFonts w:ascii="Calibri" w:hAnsi="Calibri" w:cs="Calibri"/>
          <w:sz w:val="20"/>
          <w:szCs w:val="20"/>
          <w:lang w:val="en-US"/>
        </w:rPr>
        <w:t xml:space="preserve"> esterase (EC 3.1.1.72). The label PDB=2APJ marks a motif group with a solved crystal structure. Five motif groups harboring </w:t>
      </w:r>
      <w:proofErr w:type="spellStart"/>
      <w:r w:rsidRPr="0093725E">
        <w:rPr>
          <w:rFonts w:ascii="Calibri" w:hAnsi="Calibri" w:cs="Calibri"/>
          <w:sz w:val="20"/>
          <w:szCs w:val="20"/>
          <w:lang w:val="en-US"/>
        </w:rPr>
        <w:t>Bacteroidota</w:t>
      </w:r>
      <w:proofErr w:type="spellEnd"/>
      <w:r w:rsidRPr="0093725E">
        <w:rPr>
          <w:rFonts w:ascii="Calibri" w:hAnsi="Calibri" w:cs="Calibri"/>
          <w:sz w:val="20"/>
          <w:szCs w:val="20"/>
          <w:lang w:val="en-US"/>
        </w:rPr>
        <w:t xml:space="preserve"> members are included with their group names. Two of these groups have been reverse predicted to act on arabinoxylan or a β-mannan-like substrate while one remains unknown. Based on the combined insight from characterized members and reverse predicted substrates, the family has been divided into five major clades. The tree with additional data labels can be viewed at: </w:t>
      </w:r>
      <w:r w:rsidRPr="00656E62">
        <w:rPr>
          <w:rFonts w:ascii="Calibri" w:hAnsi="Calibri" w:cs="Calibri"/>
          <w:sz w:val="20"/>
          <w:szCs w:val="20"/>
          <w:lang w:val="en-US"/>
        </w:rPr>
        <w:t>https://itol.embl.de/tree/1923814218198281750945149</w:t>
      </w:r>
      <w:r w:rsidRPr="0093725E">
        <w:rPr>
          <w:rFonts w:ascii="Calibri" w:hAnsi="Calibri" w:cs="Calibri"/>
          <w:sz w:val="20"/>
          <w:szCs w:val="20"/>
          <w:lang w:val="en-US"/>
        </w:rPr>
        <w:t>.</w:t>
      </w:r>
    </w:p>
    <w:p w14:paraId="44F141A2" w14:textId="77777777" w:rsidR="0093725E" w:rsidRPr="005B7438" w:rsidRDefault="0093725E" w:rsidP="0093725E">
      <w:pPr>
        <w:jc w:val="center"/>
        <w:rPr>
          <w:rFonts w:ascii="Calibri" w:hAnsi="Calibri" w:cs="Calibri"/>
          <w:lang w:val="en-US"/>
        </w:rPr>
      </w:pPr>
      <w:r w:rsidRPr="005B7438">
        <w:rPr>
          <w:rFonts w:ascii="Calibri" w:hAnsi="Calibri" w:cs="Calibri"/>
          <w:noProof/>
          <w:lang w:val="en-US"/>
        </w:rPr>
        <w:drawing>
          <wp:inline distT="0" distB="0" distL="0" distR="0" wp14:anchorId="348E41FF" wp14:editId="5086A575">
            <wp:extent cx="5068242" cy="4978400"/>
            <wp:effectExtent l="0" t="0" r="0" b="0"/>
            <wp:docPr id="2105742324" name="Picture 18" descr="A screen shot of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742324" name="Picture 18" descr="A screen shot of a circl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86682" cy="4996513"/>
                    </a:xfrm>
                    <a:prstGeom prst="rect">
                      <a:avLst/>
                    </a:prstGeom>
                  </pic:spPr>
                </pic:pic>
              </a:graphicData>
            </a:graphic>
          </wp:inline>
        </w:drawing>
      </w:r>
    </w:p>
    <w:p w14:paraId="34BA71F3" w14:textId="25273B55" w:rsidR="0093725E" w:rsidRPr="00656E62" w:rsidRDefault="0093725E" w:rsidP="00656E62">
      <w:pPr>
        <w:spacing w:before="240" w:after="0"/>
        <w:jc w:val="both"/>
        <w:rPr>
          <w:rFonts w:ascii="Calibri" w:hAnsi="Calibri" w:cs="Calibri"/>
          <w:sz w:val="20"/>
          <w:szCs w:val="20"/>
          <w:lang w:val="en-US"/>
        </w:rPr>
      </w:pPr>
      <w:r w:rsidRPr="005B7438">
        <w:rPr>
          <w:rFonts w:ascii="Calibri" w:hAnsi="Calibri" w:cs="Calibri"/>
          <w:b/>
          <w:bCs/>
          <w:sz w:val="20"/>
          <w:szCs w:val="20"/>
          <w:lang w:val="en-US"/>
        </w:rPr>
        <w:t>Fig</w:t>
      </w:r>
      <w:r w:rsidR="00656E62">
        <w:rPr>
          <w:rFonts w:ascii="Calibri" w:hAnsi="Calibri" w:cs="Calibri"/>
          <w:b/>
          <w:bCs/>
          <w:sz w:val="20"/>
          <w:szCs w:val="20"/>
          <w:lang w:val="en-US"/>
        </w:rPr>
        <w:t xml:space="preserve">. </w:t>
      </w:r>
      <w:r w:rsidRPr="005B7438">
        <w:rPr>
          <w:rFonts w:ascii="Calibri" w:hAnsi="Calibri" w:cs="Calibri"/>
          <w:b/>
          <w:bCs/>
          <w:sz w:val="20"/>
          <w:szCs w:val="20"/>
          <w:lang w:val="en-US"/>
        </w:rPr>
        <w:t>S</w:t>
      </w:r>
      <w:r>
        <w:rPr>
          <w:rFonts w:ascii="Calibri" w:hAnsi="Calibri" w:cs="Calibri"/>
          <w:b/>
          <w:bCs/>
          <w:sz w:val="20"/>
          <w:szCs w:val="20"/>
          <w:lang w:val="en-US"/>
        </w:rPr>
        <w:t>3</w:t>
      </w:r>
      <w:r w:rsidRPr="005B7438">
        <w:rPr>
          <w:rFonts w:ascii="Calibri" w:hAnsi="Calibri" w:cs="Calibri"/>
          <w:b/>
          <w:bCs/>
          <w:sz w:val="20"/>
          <w:szCs w:val="20"/>
          <w:lang w:val="en-US"/>
        </w:rPr>
        <w:t xml:space="preserve"> </w:t>
      </w:r>
      <w:r w:rsidRPr="0093725E">
        <w:rPr>
          <w:rFonts w:ascii="Calibri" w:hAnsi="Calibri" w:cs="Calibri"/>
          <w:sz w:val="20"/>
          <w:szCs w:val="20"/>
          <w:lang w:val="en-US"/>
        </w:rPr>
        <w:t xml:space="preserve">Dendrogram by motif-based clustering for the CE14 family. Blue dots on the tree leaves indicate members originating from the </w:t>
      </w:r>
      <w:proofErr w:type="spellStart"/>
      <w:r w:rsidRPr="0093725E">
        <w:rPr>
          <w:rFonts w:ascii="Calibri" w:hAnsi="Calibri" w:cs="Calibri"/>
          <w:sz w:val="20"/>
          <w:szCs w:val="20"/>
          <w:lang w:val="en-US"/>
        </w:rPr>
        <w:t>Bacteroidota</w:t>
      </w:r>
      <w:proofErr w:type="spellEnd"/>
      <w:r w:rsidRPr="0093725E">
        <w:rPr>
          <w:rFonts w:ascii="Calibri" w:hAnsi="Calibri" w:cs="Calibri"/>
          <w:sz w:val="20"/>
          <w:szCs w:val="20"/>
          <w:lang w:val="en-US"/>
        </w:rPr>
        <w:t xml:space="preserve"> phylum. EC numbers shown represent characterized enzymes, including </w:t>
      </w:r>
      <w:proofErr w:type="spellStart"/>
      <w:r w:rsidRPr="0093725E">
        <w:rPr>
          <w:rFonts w:ascii="Calibri" w:hAnsi="Calibri" w:cs="Calibri"/>
          <w:sz w:val="20"/>
          <w:szCs w:val="20"/>
          <w:lang w:val="en-US"/>
        </w:rPr>
        <w:t>diacetylchitobiose</w:t>
      </w:r>
      <w:proofErr w:type="spellEnd"/>
      <w:r w:rsidRPr="0093725E">
        <w:rPr>
          <w:rFonts w:ascii="Calibri" w:hAnsi="Calibri" w:cs="Calibri"/>
          <w:sz w:val="20"/>
          <w:szCs w:val="20"/>
          <w:lang w:val="en-US"/>
        </w:rPr>
        <w:t xml:space="preserve"> deacetylase (EC 3.5.1.*), chitin disaccharide deacetylase (EC 3.5.1.105), </w:t>
      </w:r>
      <w:proofErr w:type="spellStart"/>
      <w:r w:rsidRPr="0093725E">
        <w:rPr>
          <w:rFonts w:ascii="Calibri" w:hAnsi="Calibri" w:cs="Calibri"/>
          <w:sz w:val="20"/>
          <w:szCs w:val="20"/>
          <w:lang w:val="en-US"/>
        </w:rPr>
        <w:t>mycothiol</w:t>
      </w:r>
      <w:proofErr w:type="spellEnd"/>
      <w:r w:rsidRPr="0093725E">
        <w:rPr>
          <w:rFonts w:ascii="Calibri" w:hAnsi="Calibri" w:cs="Calibri"/>
          <w:sz w:val="20"/>
          <w:szCs w:val="20"/>
          <w:lang w:val="en-US"/>
        </w:rPr>
        <w:t xml:space="preserve"> S-conjugate amidase (EC 3.5.1.115), and N-</w:t>
      </w:r>
      <w:proofErr w:type="spellStart"/>
      <w:r w:rsidRPr="0093725E">
        <w:rPr>
          <w:rFonts w:ascii="Calibri" w:hAnsi="Calibri" w:cs="Calibri"/>
          <w:sz w:val="20"/>
          <w:szCs w:val="20"/>
          <w:lang w:val="en-US"/>
        </w:rPr>
        <w:t>acetylglucosaminylphosphatidylinositol</w:t>
      </w:r>
      <w:proofErr w:type="spellEnd"/>
      <w:r w:rsidRPr="0093725E">
        <w:rPr>
          <w:rFonts w:ascii="Calibri" w:hAnsi="Calibri" w:cs="Calibri"/>
          <w:sz w:val="20"/>
          <w:szCs w:val="20"/>
          <w:lang w:val="en-US"/>
        </w:rPr>
        <w:t xml:space="preserve"> deacetylase (EC 3.5.1.89). Based on the combined insight from characterized members and reverse predicted substrates, the family has been divided into nine major clades. The only reverse prediction for this family is β-1,4-mannan. The tree with additional data labels can be viewed at: </w:t>
      </w:r>
      <w:r w:rsidRPr="00656E62">
        <w:rPr>
          <w:rFonts w:ascii="Calibri" w:hAnsi="Calibri" w:cs="Calibri"/>
          <w:sz w:val="20"/>
          <w:szCs w:val="20"/>
          <w:lang w:val="en-US"/>
        </w:rPr>
        <w:t>https://itol.embl.de/tree/80167202158442581754896400</w:t>
      </w:r>
      <w:r w:rsidRPr="0093725E">
        <w:rPr>
          <w:rFonts w:ascii="Calibri" w:hAnsi="Calibri" w:cs="Calibri"/>
          <w:sz w:val="20"/>
          <w:szCs w:val="20"/>
          <w:lang w:val="en-US"/>
        </w:rPr>
        <w:t>.</w:t>
      </w:r>
    </w:p>
    <w:p w14:paraId="6FB23CF5" w14:textId="77777777" w:rsidR="0093725E" w:rsidRPr="005B7438" w:rsidRDefault="0093725E" w:rsidP="0093725E">
      <w:pPr>
        <w:jc w:val="center"/>
        <w:rPr>
          <w:rFonts w:ascii="Calibri" w:hAnsi="Calibri" w:cs="Calibri"/>
          <w:lang w:val="en-US"/>
        </w:rPr>
      </w:pPr>
      <w:r>
        <w:rPr>
          <w:rFonts w:ascii="Calibri" w:hAnsi="Calibri" w:cs="Calibri"/>
          <w:noProof/>
          <w:lang w:val="en-US"/>
        </w:rPr>
        <w:drawing>
          <wp:inline distT="0" distB="0" distL="0" distR="0" wp14:anchorId="588660D4" wp14:editId="363D915D">
            <wp:extent cx="5731510" cy="5740400"/>
            <wp:effectExtent l="0" t="0" r="0" b="0"/>
            <wp:docPr id="957623584" name="Picture 1" descr="A circular pattern with colorful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23584" name="Picture 1" descr="A circular pattern with colorful circle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5740400"/>
                    </a:xfrm>
                    <a:prstGeom prst="rect">
                      <a:avLst/>
                    </a:prstGeom>
                  </pic:spPr>
                </pic:pic>
              </a:graphicData>
            </a:graphic>
          </wp:inline>
        </w:drawing>
      </w:r>
    </w:p>
    <w:p w14:paraId="0E36330E" w14:textId="693BCA94" w:rsidR="0093725E" w:rsidRPr="0093725E" w:rsidRDefault="0093725E" w:rsidP="0093725E">
      <w:pPr>
        <w:spacing w:before="240" w:after="0"/>
        <w:rPr>
          <w:rFonts w:ascii="Calibri" w:hAnsi="Calibri" w:cs="Calibri"/>
          <w:sz w:val="22"/>
          <w:szCs w:val="22"/>
          <w:lang w:val="en-US"/>
        </w:rPr>
      </w:pPr>
      <w:r w:rsidRPr="005B7438">
        <w:rPr>
          <w:rFonts w:ascii="Calibri" w:hAnsi="Calibri" w:cs="Calibri"/>
          <w:b/>
          <w:bCs/>
          <w:sz w:val="20"/>
          <w:szCs w:val="20"/>
          <w:lang w:val="en-US"/>
        </w:rPr>
        <w:t>Fig</w:t>
      </w:r>
      <w:r w:rsidR="00656E62">
        <w:rPr>
          <w:rFonts w:ascii="Calibri" w:hAnsi="Calibri" w:cs="Calibri"/>
          <w:b/>
          <w:bCs/>
          <w:sz w:val="20"/>
          <w:szCs w:val="20"/>
          <w:lang w:val="en-US"/>
        </w:rPr>
        <w:t xml:space="preserve">. </w:t>
      </w:r>
      <w:r w:rsidRPr="005B7438">
        <w:rPr>
          <w:rFonts w:ascii="Calibri" w:hAnsi="Calibri" w:cs="Calibri"/>
          <w:b/>
          <w:bCs/>
          <w:sz w:val="20"/>
          <w:szCs w:val="20"/>
          <w:lang w:val="en-US"/>
        </w:rPr>
        <w:t>S</w:t>
      </w:r>
      <w:r>
        <w:rPr>
          <w:rFonts w:ascii="Calibri" w:hAnsi="Calibri" w:cs="Calibri"/>
          <w:b/>
          <w:bCs/>
          <w:sz w:val="20"/>
          <w:szCs w:val="20"/>
          <w:lang w:val="en-US"/>
        </w:rPr>
        <w:t>4</w:t>
      </w:r>
      <w:r w:rsidRPr="005B7438">
        <w:rPr>
          <w:rFonts w:ascii="Calibri" w:hAnsi="Calibri" w:cs="Calibri"/>
          <w:b/>
          <w:bCs/>
          <w:sz w:val="20"/>
          <w:szCs w:val="20"/>
          <w:lang w:val="en-US"/>
        </w:rPr>
        <w:t xml:space="preserve"> - </w:t>
      </w:r>
      <w:r w:rsidRPr="0093725E">
        <w:rPr>
          <w:rFonts w:ascii="Calibri" w:hAnsi="Calibri" w:cs="Calibri"/>
          <w:sz w:val="20"/>
          <w:szCs w:val="20"/>
          <w:lang w:val="en-US"/>
        </w:rPr>
        <w:t xml:space="preserve">Dendrogram by motif-based clustering for the CE15 family. Blue dots on the tree leaves indicate members originating from the </w:t>
      </w:r>
      <w:proofErr w:type="spellStart"/>
      <w:r w:rsidRPr="0093725E">
        <w:rPr>
          <w:rFonts w:ascii="Calibri" w:hAnsi="Calibri" w:cs="Calibri"/>
          <w:sz w:val="20"/>
          <w:szCs w:val="20"/>
          <w:lang w:val="en-US"/>
        </w:rPr>
        <w:t>Bacteroidota</w:t>
      </w:r>
      <w:proofErr w:type="spellEnd"/>
      <w:r w:rsidRPr="0093725E">
        <w:rPr>
          <w:rFonts w:ascii="Calibri" w:hAnsi="Calibri" w:cs="Calibri"/>
          <w:sz w:val="20"/>
          <w:szCs w:val="20"/>
          <w:lang w:val="en-US"/>
        </w:rPr>
        <w:t xml:space="preserve"> phylum. EC numbers shown represent characterized enzymes, including 4-O-methyl-glucuronoyl esterases (EC 3.1.1.117) and feruloyl esterase (EC 3.1.1.73), the latter placed in clade CE15_1. EC numbers marked with an asterisk indicate additional references. Based on the combined insight from characterized members and reverse predicted substrates, the family has been divided into multiple clades. Reverse predictions suggest three substrate associations: glycans, arabinoxylan, and the pectin rhamnogalacturonan I. The tree with additional data labels can be viewed at: </w:t>
      </w:r>
      <w:r w:rsidRPr="00656E62">
        <w:rPr>
          <w:rFonts w:ascii="Calibri" w:hAnsi="Calibri" w:cs="Calibri"/>
          <w:sz w:val="20"/>
          <w:szCs w:val="20"/>
          <w:lang w:val="en-US"/>
        </w:rPr>
        <w:t>https://itol.embl.de/tree/80167202158197691754595774</w:t>
      </w:r>
    </w:p>
    <w:sectPr w:rsidR="0093725E" w:rsidRPr="0093725E" w:rsidSect="0093725E">
      <w:footerReference w:type="default" r:id="rId10"/>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9D8B7B" w14:textId="77777777" w:rsidR="007D30D6" w:rsidRDefault="007D30D6" w:rsidP="0093725E">
      <w:pPr>
        <w:spacing w:after="0" w:line="240" w:lineRule="auto"/>
      </w:pPr>
      <w:r>
        <w:separator/>
      </w:r>
    </w:p>
  </w:endnote>
  <w:endnote w:type="continuationSeparator" w:id="0">
    <w:p w14:paraId="59E6D834" w14:textId="77777777" w:rsidR="007D30D6" w:rsidRDefault="007D30D6" w:rsidP="00937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958900"/>
      <w:docPartObj>
        <w:docPartGallery w:val="Page Numbers (Bottom of Page)"/>
        <w:docPartUnique/>
      </w:docPartObj>
    </w:sdtPr>
    <w:sdtContent>
      <w:p w14:paraId="47F0F2DE" w14:textId="43207312" w:rsidR="0093725E" w:rsidRDefault="0093725E">
        <w:pPr>
          <w:pStyle w:val="Footer"/>
          <w:jc w:val="right"/>
        </w:pPr>
        <w:r>
          <w:fldChar w:fldCharType="begin"/>
        </w:r>
        <w:r>
          <w:instrText>PAGE   \* MERGEFORMAT</w:instrText>
        </w:r>
        <w:r>
          <w:fldChar w:fldCharType="separate"/>
        </w:r>
        <w:r>
          <w:t>2</w:t>
        </w:r>
        <w:r>
          <w:fldChar w:fldCharType="end"/>
        </w:r>
      </w:p>
    </w:sdtContent>
  </w:sdt>
  <w:p w14:paraId="18DE257D" w14:textId="77777777" w:rsidR="0093725E" w:rsidRDefault="009372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DAC536" w14:textId="77777777" w:rsidR="007D30D6" w:rsidRDefault="007D30D6" w:rsidP="0093725E">
      <w:pPr>
        <w:spacing w:after="0" w:line="240" w:lineRule="auto"/>
      </w:pPr>
      <w:r>
        <w:separator/>
      </w:r>
    </w:p>
  </w:footnote>
  <w:footnote w:type="continuationSeparator" w:id="0">
    <w:p w14:paraId="541F985F" w14:textId="77777777" w:rsidR="007D30D6" w:rsidRDefault="007D30D6" w:rsidP="0093725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1304"/>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25E"/>
    <w:rsid w:val="00154126"/>
    <w:rsid w:val="00505675"/>
    <w:rsid w:val="00656E62"/>
    <w:rsid w:val="007D30D6"/>
    <w:rsid w:val="0093725E"/>
    <w:rsid w:val="00EF53B0"/>
    <w:rsid w:val="00F215B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AFDD9"/>
  <w15:chartTrackingRefBased/>
  <w15:docId w15:val="{008A65CC-E9E7-4DBA-8A6F-1467DC5FD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72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372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3725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3725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3725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372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72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72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72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725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3725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3725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3725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3725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372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72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72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725E"/>
    <w:rPr>
      <w:rFonts w:eastAsiaTheme="majorEastAsia" w:cstheme="majorBidi"/>
      <w:color w:val="272727" w:themeColor="text1" w:themeTint="D8"/>
    </w:rPr>
  </w:style>
  <w:style w:type="paragraph" w:styleId="Title">
    <w:name w:val="Title"/>
    <w:basedOn w:val="Normal"/>
    <w:next w:val="Normal"/>
    <w:link w:val="TitleChar"/>
    <w:uiPriority w:val="10"/>
    <w:qFormat/>
    <w:rsid w:val="009372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72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72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72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725E"/>
    <w:pPr>
      <w:spacing w:before="160"/>
      <w:jc w:val="center"/>
    </w:pPr>
    <w:rPr>
      <w:i/>
      <w:iCs/>
      <w:color w:val="404040" w:themeColor="text1" w:themeTint="BF"/>
    </w:rPr>
  </w:style>
  <w:style w:type="character" w:customStyle="1" w:styleId="QuoteChar">
    <w:name w:val="Quote Char"/>
    <w:basedOn w:val="DefaultParagraphFont"/>
    <w:link w:val="Quote"/>
    <w:uiPriority w:val="29"/>
    <w:rsid w:val="0093725E"/>
    <w:rPr>
      <w:i/>
      <w:iCs/>
      <w:color w:val="404040" w:themeColor="text1" w:themeTint="BF"/>
    </w:rPr>
  </w:style>
  <w:style w:type="paragraph" w:styleId="ListParagraph">
    <w:name w:val="List Paragraph"/>
    <w:basedOn w:val="Normal"/>
    <w:uiPriority w:val="34"/>
    <w:qFormat/>
    <w:rsid w:val="0093725E"/>
    <w:pPr>
      <w:ind w:left="720"/>
      <w:contextualSpacing/>
    </w:pPr>
  </w:style>
  <w:style w:type="character" w:styleId="IntenseEmphasis">
    <w:name w:val="Intense Emphasis"/>
    <w:basedOn w:val="DefaultParagraphFont"/>
    <w:uiPriority w:val="21"/>
    <w:qFormat/>
    <w:rsid w:val="0093725E"/>
    <w:rPr>
      <w:i/>
      <w:iCs/>
      <w:color w:val="0F4761" w:themeColor="accent1" w:themeShade="BF"/>
    </w:rPr>
  </w:style>
  <w:style w:type="paragraph" w:styleId="IntenseQuote">
    <w:name w:val="Intense Quote"/>
    <w:basedOn w:val="Normal"/>
    <w:next w:val="Normal"/>
    <w:link w:val="IntenseQuoteChar"/>
    <w:uiPriority w:val="30"/>
    <w:qFormat/>
    <w:rsid w:val="009372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3725E"/>
    <w:rPr>
      <w:i/>
      <w:iCs/>
      <w:color w:val="0F4761" w:themeColor="accent1" w:themeShade="BF"/>
    </w:rPr>
  </w:style>
  <w:style w:type="character" w:styleId="IntenseReference">
    <w:name w:val="Intense Reference"/>
    <w:basedOn w:val="DefaultParagraphFont"/>
    <w:uiPriority w:val="32"/>
    <w:qFormat/>
    <w:rsid w:val="0093725E"/>
    <w:rPr>
      <w:b/>
      <w:bCs/>
      <w:smallCaps/>
      <w:color w:val="0F4761" w:themeColor="accent1" w:themeShade="BF"/>
      <w:spacing w:val="5"/>
    </w:rPr>
  </w:style>
  <w:style w:type="character" w:styleId="LineNumber">
    <w:name w:val="line number"/>
    <w:basedOn w:val="DefaultParagraphFont"/>
    <w:uiPriority w:val="99"/>
    <w:semiHidden/>
    <w:unhideWhenUsed/>
    <w:rsid w:val="0093725E"/>
  </w:style>
  <w:style w:type="paragraph" w:styleId="Header">
    <w:name w:val="header"/>
    <w:basedOn w:val="Normal"/>
    <w:link w:val="HeaderChar"/>
    <w:uiPriority w:val="99"/>
    <w:unhideWhenUsed/>
    <w:rsid w:val="009372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725E"/>
  </w:style>
  <w:style w:type="paragraph" w:styleId="Footer">
    <w:name w:val="footer"/>
    <w:basedOn w:val="Normal"/>
    <w:link w:val="FooterChar"/>
    <w:uiPriority w:val="99"/>
    <w:unhideWhenUsed/>
    <w:rsid w:val="009372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25E"/>
  </w:style>
  <w:style w:type="character" w:styleId="Hyperlink">
    <w:name w:val="Hyperlink"/>
    <w:basedOn w:val="DefaultParagraphFont"/>
    <w:uiPriority w:val="99"/>
    <w:unhideWhenUsed/>
    <w:rsid w:val="0093725E"/>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129</TotalTime>
  <Pages>4</Pages>
  <Words>473</Words>
  <Characters>2887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Technical University of Denmark - DTU</Company>
  <LinksUpToDate>false</LinksUpToDate>
  <CharactersWithSpaces>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S. Meyer</dc:creator>
  <cp:keywords/>
  <dc:description/>
  <cp:lastModifiedBy>Anne S. Meyer</cp:lastModifiedBy>
  <cp:revision>2</cp:revision>
  <dcterms:created xsi:type="dcterms:W3CDTF">2026-01-01T11:47:00Z</dcterms:created>
  <dcterms:modified xsi:type="dcterms:W3CDTF">2026-01-01T18:03:00Z</dcterms:modified>
</cp:coreProperties>
</file>