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72C5F" w14:textId="77777777" w:rsidR="00053835" w:rsidRPr="00053835" w:rsidRDefault="00053835" w:rsidP="00CB7971">
      <w:pPr>
        <w:spacing w:after="0" w:line="480" w:lineRule="auto"/>
        <w:rPr>
          <w:b/>
          <w:bCs/>
        </w:rPr>
      </w:pPr>
      <w:r w:rsidRPr="00053835">
        <w:rPr>
          <w:b/>
          <w:bCs/>
        </w:rPr>
        <w:t>Supplementary Material</w:t>
      </w:r>
    </w:p>
    <w:p w14:paraId="21610509" w14:textId="3512E276" w:rsidR="00FF7038" w:rsidRPr="00FF7038" w:rsidRDefault="00D16953" w:rsidP="00CB7971">
      <w:pPr>
        <w:spacing w:after="0" w:line="480" w:lineRule="auto"/>
        <w:rPr>
          <w:b/>
          <w:bCs/>
        </w:rPr>
      </w:pPr>
      <w:r>
        <w:rPr>
          <w:b/>
          <w:bCs/>
        </w:rPr>
        <w:t xml:space="preserve">I. </w:t>
      </w:r>
      <w:r w:rsidR="00FF7038" w:rsidRPr="00FF7038">
        <w:rPr>
          <w:b/>
          <w:bCs/>
        </w:rPr>
        <w:t>STUDY PROTOCOL</w:t>
      </w:r>
    </w:p>
    <w:p w14:paraId="18FA76C1" w14:textId="28FAC6C1" w:rsidR="00FF7038" w:rsidRPr="00FF7038" w:rsidRDefault="00FF7038" w:rsidP="00CB7971">
      <w:pPr>
        <w:spacing w:after="0" w:line="480" w:lineRule="auto"/>
      </w:pPr>
      <w:r w:rsidRPr="00FF7038">
        <w:rPr>
          <w:b/>
          <w:bCs/>
        </w:rPr>
        <w:t>Sequential Assessment of Lactate, ScvO₂, and ΔPCO₂ in Pediatric Septic Shock and Their Association With Mortality: A Prospective Cohort Study</w:t>
      </w:r>
    </w:p>
    <w:p w14:paraId="5BAA96FD" w14:textId="77777777" w:rsidR="00FF7038" w:rsidRPr="00FF7038" w:rsidRDefault="00FF7038" w:rsidP="00CB7971">
      <w:pPr>
        <w:spacing w:after="0" w:line="480" w:lineRule="auto"/>
        <w:rPr>
          <w:b/>
          <w:bCs/>
        </w:rPr>
      </w:pPr>
      <w:r w:rsidRPr="00FF7038">
        <w:rPr>
          <w:b/>
          <w:bCs/>
        </w:rPr>
        <w:t>1. Background and Rationale</w:t>
      </w:r>
    </w:p>
    <w:p w14:paraId="5B50DC5E" w14:textId="3359DB3C" w:rsidR="00FF7038" w:rsidRPr="00FF7038" w:rsidRDefault="00FF7038" w:rsidP="00CB7971">
      <w:pPr>
        <w:spacing w:after="0" w:line="480" w:lineRule="auto"/>
      </w:pPr>
      <w:r w:rsidRPr="00FF7038">
        <w:t>Pediatric septic shock remains a leading cause of mortality worldwide, with an even greater impact in low- and middle-income countries (LMICs) where advanced hemodynamic monitoring is limited. Serial lactate, central venous oxygen saturation (ScvO₂), and veno-arterial CO₂ gap (ΔPCO₂) have been proposed as accessible biomarkers for detecting tissue hypoperfusion and guiding resuscitation. However, prospective evidence from LMIC settings, particularly from Southeast Asia, remains scarce.</w:t>
      </w:r>
      <w:r w:rsidRPr="00FF7038">
        <w:br/>
        <w:t>This study aims to evaluate whether sequential changes in these markers during the first 48 hours of pediatric septic shock are associated with mortality.</w:t>
      </w:r>
    </w:p>
    <w:p w14:paraId="4822DC49" w14:textId="77777777" w:rsidR="00FF7038" w:rsidRPr="00FF7038" w:rsidRDefault="00FF7038" w:rsidP="00CB7971">
      <w:pPr>
        <w:spacing w:after="0" w:line="480" w:lineRule="auto"/>
        <w:rPr>
          <w:b/>
          <w:bCs/>
        </w:rPr>
      </w:pPr>
      <w:r w:rsidRPr="00FF7038">
        <w:rPr>
          <w:b/>
          <w:bCs/>
        </w:rPr>
        <w:t>2. Objectives</w:t>
      </w:r>
    </w:p>
    <w:p w14:paraId="7C69CA10" w14:textId="77777777" w:rsidR="00FF7038" w:rsidRPr="00FF7038" w:rsidRDefault="00FF7038" w:rsidP="00CB7971">
      <w:pPr>
        <w:spacing w:after="0" w:line="480" w:lineRule="auto"/>
        <w:rPr>
          <w:b/>
          <w:bCs/>
        </w:rPr>
      </w:pPr>
      <w:r w:rsidRPr="00FF7038">
        <w:rPr>
          <w:b/>
          <w:bCs/>
        </w:rPr>
        <w:t>Primary Objective</w:t>
      </w:r>
    </w:p>
    <w:p w14:paraId="0179B716" w14:textId="77777777" w:rsidR="00FF7038" w:rsidRPr="00FF7038" w:rsidRDefault="00FF7038" w:rsidP="00CB7971">
      <w:pPr>
        <w:spacing w:after="0" w:line="480" w:lineRule="auto"/>
      </w:pPr>
      <w:r w:rsidRPr="00FF7038">
        <w:t>To determine whether serial lactate measurements are associated with 28-day mortality among children with septic shock.</w:t>
      </w:r>
    </w:p>
    <w:p w14:paraId="3571706E" w14:textId="77777777" w:rsidR="00FF7038" w:rsidRPr="00FF7038" w:rsidRDefault="00FF7038" w:rsidP="00CB7971">
      <w:pPr>
        <w:spacing w:after="0" w:line="480" w:lineRule="auto"/>
        <w:rPr>
          <w:b/>
          <w:bCs/>
        </w:rPr>
      </w:pPr>
      <w:r w:rsidRPr="00FF7038">
        <w:rPr>
          <w:b/>
          <w:bCs/>
        </w:rPr>
        <w:t>Secondary Objectives</w:t>
      </w:r>
    </w:p>
    <w:p w14:paraId="5BF2F098" w14:textId="77777777" w:rsidR="00FF7038" w:rsidRPr="00FF7038" w:rsidRDefault="00FF7038" w:rsidP="00CB7971">
      <w:pPr>
        <w:numPr>
          <w:ilvl w:val="0"/>
          <w:numId w:val="1"/>
        </w:numPr>
        <w:spacing w:after="0" w:line="480" w:lineRule="auto"/>
      </w:pPr>
      <w:r w:rsidRPr="00FF7038">
        <w:t>To evaluate longitudinal trends of ScvO₂ and ΔPCO₂ in survivors vs. non-survivors.</w:t>
      </w:r>
    </w:p>
    <w:p w14:paraId="1204EB36" w14:textId="77777777" w:rsidR="00FF7038" w:rsidRPr="00FF7038" w:rsidRDefault="00FF7038" w:rsidP="00CB7971">
      <w:pPr>
        <w:numPr>
          <w:ilvl w:val="0"/>
          <w:numId w:val="1"/>
        </w:numPr>
        <w:spacing w:after="0" w:line="480" w:lineRule="auto"/>
      </w:pPr>
      <w:r w:rsidRPr="00FF7038">
        <w:t>To assess which biomarker provides the strongest prognostic value for early mortality.</w:t>
      </w:r>
    </w:p>
    <w:p w14:paraId="2524207F" w14:textId="2174C2F9" w:rsidR="00FF7038" w:rsidRPr="00FF7038" w:rsidRDefault="00FF7038" w:rsidP="00CB7971">
      <w:pPr>
        <w:numPr>
          <w:ilvl w:val="0"/>
          <w:numId w:val="1"/>
        </w:numPr>
        <w:spacing w:after="0" w:line="480" w:lineRule="auto"/>
      </w:pPr>
      <w:r w:rsidRPr="00FF7038">
        <w:t>To examine the discriminative accuracy of a multivariable prognostic model using serial biomarkers.</w:t>
      </w:r>
    </w:p>
    <w:p w14:paraId="75FF5FA8" w14:textId="77777777" w:rsidR="00FF7038" w:rsidRPr="00FF7038" w:rsidRDefault="00FF7038" w:rsidP="00CB7971">
      <w:pPr>
        <w:spacing w:after="0" w:line="480" w:lineRule="auto"/>
        <w:rPr>
          <w:b/>
          <w:bCs/>
        </w:rPr>
      </w:pPr>
      <w:r w:rsidRPr="00FF7038">
        <w:rPr>
          <w:b/>
          <w:bCs/>
        </w:rPr>
        <w:t>3. Study Design</w:t>
      </w:r>
    </w:p>
    <w:p w14:paraId="2FF3BA3E" w14:textId="23F82ED8" w:rsidR="00FF7038" w:rsidRPr="00FF7038" w:rsidRDefault="00FF7038" w:rsidP="00CB7971">
      <w:pPr>
        <w:spacing w:after="0" w:line="480" w:lineRule="auto"/>
      </w:pPr>
      <w:r w:rsidRPr="00FF7038">
        <w:t xml:space="preserve">A </w:t>
      </w:r>
      <w:r w:rsidRPr="00FF7038">
        <w:rPr>
          <w:b/>
          <w:bCs/>
        </w:rPr>
        <w:t>prospective observational cohort</w:t>
      </w:r>
      <w:r w:rsidRPr="00FF7038">
        <w:t xml:space="preserve"> study conducted in a tertiary pediatric intensive care unit (PICU). No interventions were assigned; all treatments followed institutional clinical protocols.</w:t>
      </w:r>
    </w:p>
    <w:p w14:paraId="343C989E" w14:textId="77777777" w:rsidR="00FF7038" w:rsidRPr="00FF7038" w:rsidRDefault="00FF7038" w:rsidP="00CB7971">
      <w:pPr>
        <w:spacing w:after="0" w:line="480" w:lineRule="auto"/>
        <w:rPr>
          <w:b/>
          <w:bCs/>
        </w:rPr>
      </w:pPr>
      <w:r w:rsidRPr="00FF7038">
        <w:rPr>
          <w:b/>
          <w:bCs/>
        </w:rPr>
        <w:lastRenderedPageBreak/>
        <w:t>4. Study Setting</w:t>
      </w:r>
    </w:p>
    <w:p w14:paraId="09532E4E" w14:textId="6A50EF13" w:rsidR="00FF7038" w:rsidRPr="00FF7038" w:rsidRDefault="00FF7038" w:rsidP="00CB7971">
      <w:pPr>
        <w:spacing w:after="0" w:line="480" w:lineRule="auto"/>
      </w:pPr>
      <w:r w:rsidRPr="00FF7038">
        <w:t xml:space="preserve">Vietnam National Children’s Hospital, Hanoi, Vietnam </w:t>
      </w:r>
      <w:r w:rsidR="001C5D9D">
        <w:t>-</w:t>
      </w:r>
      <w:r w:rsidRPr="00FF7038">
        <w:t xml:space="preserve"> a large national referral center with a dedicated PICU serving &gt;2,000 critically ill children per year.</w:t>
      </w:r>
    </w:p>
    <w:p w14:paraId="572412EB" w14:textId="77777777" w:rsidR="00FF7038" w:rsidRPr="00FF7038" w:rsidRDefault="00FF7038" w:rsidP="00CB7971">
      <w:pPr>
        <w:spacing w:after="0" w:line="480" w:lineRule="auto"/>
        <w:rPr>
          <w:b/>
          <w:bCs/>
        </w:rPr>
      </w:pPr>
      <w:r w:rsidRPr="00FF7038">
        <w:rPr>
          <w:b/>
          <w:bCs/>
        </w:rPr>
        <w:t>5. Eligibility Criteria</w:t>
      </w:r>
    </w:p>
    <w:p w14:paraId="1DF69E22" w14:textId="77777777" w:rsidR="00FF7038" w:rsidRPr="00FF7038" w:rsidRDefault="00FF7038" w:rsidP="00CB7971">
      <w:pPr>
        <w:spacing w:after="0" w:line="480" w:lineRule="auto"/>
        <w:rPr>
          <w:b/>
          <w:bCs/>
        </w:rPr>
      </w:pPr>
      <w:r w:rsidRPr="00FF7038">
        <w:rPr>
          <w:b/>
          <w:bCs/>
        </w:rPr>
        <w:t>Inclusion Criteria</w:t>
      </w:r>
    </w:p>
    <w:p w14:paraId="191D533F" w14:textId="77777777" w:rsidR="00FF7038" w:rsidRPr="00FF7038" w:rsidRDefault="00FF7038" w:rsidP="00CB7971">
      <w:pPr>
        <w:numPr>
          <w:ilvl w:val="0"/>
          <w:numId w:val="2"/>
        </w:numPr>
        <w:spacing w:after="0" w:line="480" w:lineRule="auto"/>
      </w:pPr>
      <w:r w:rsidRPr="00FF7038">
        <w:t>Children aged 1 month to 18 years</w:t>
      </w:r>
    </w:p>
    <w:p w14:paraId="150F6A03" w14:textId="77777777" w:rsidR="00FF7038" w:rsidRPr="00FF7038" w:rsidRDefault="00FF7038" w:rsidP="00CB7971">
      <w:pPr>
        <w:numPr>
          <w:ilvl w:val="0"/>
          <w:numId w:val="2"/>
        </w:numPr>
        <w:spacing w:after="0" w:line="480" w:lineRule="auto"/>
      </w:pPr>
      <w:r w:rsidRPr="00FF7038">
        <w:t xml:space="preserve">Diagnosis of </w:t>
      </w:r>
      <w:r w:rsidRPr="00FF7038">
        <w:rPr>
          <w:b/>
          <w:bCs/>
        </w:rPr>
        <w:t>septic shock</w:t>
      </w:r>
      <w:r w:rsidRPr="00FF7038">
        <w:t xml:space="preserve">, defined according to </w:t>
      </w:r>
      <w:r w:rsidRPr="00FF7038">
        <w:rPr>
          <w:i/>
          <w:iCs/>
        </w:rPr>
        <w:t>Surviving Sepsis Campaign 2020</w:t>
      </w:r>
      <w:r w:rsidRPr="00FF7038">
        <w:t xml:space="preserve"> pediatric criteria</w:t>
      </w:r>
    </w:p>
    <w:p w14:paraId="0B62AB91" w14:textId="77777777" w:rsidR="00FF7038" w:rsidRPr="00FF7038" w:rsidRDefault="00FF7038" w:rsidP="00CB7971">
      <w:pPr>
        <w:numPr>
          <w:ilvl w:val="0"/>
          <w:numId w:val="2"/>
        </w:numPr>
        <w:spacing w:after="0" w:line="480" w:lineRule="auto"/>
      </w:pPr>
      <w:r w:rsidRPr="00FF7038">
        <w:t>Admission to PICU during the study period</w:t>
      </w:r>
    </w:p>
    <w:p w14:paraId="635C8F2C" w14:textId="77777777" w:rsidR="00FF7038" w:rsidRPr="00FF7038" w:rsidRDefault="00FF7038" w:rsidP="00CB7971">
      <w:pPr>
        <w:numPr>
          <w:ilvl w:val="0"/>
          <w:numId w:val="2"/>
        </w:numPr>
        <w:spacing w:after="0" w:line="480" w:lineRule="auto"/>
      </w:pPr>
      <w:r w:rsidRPr="00FF7038">
        <w:t>Availability of baseline lactate measurement at admission</w:t>
      </w:r>
    </w:p>
    <w:p w14:paraId="70ED7F58" w14:textId="77777777" w:rsidR="00FF7038" w:rsidRPr="00FF7038" w:rsidRDefault="00FF7038" w:rsidP="00CB7971">
      <w:pPr>
        <w:spacing w:after="0" w:line="480" w:lineRule="auto"/>
        <w:rPr>
          <w:b/>
          <w:bCs/>
        </w:rPr>
      </w:pPr>
      <w:r w:rsidRPr="00FF7038">
        <w:rPr>
          <w:b/>
          <w:bCs/>
        </w:rPr>
        <w:t>Exclusion Criteria</w:t>
      </w:r>
    </w:p>
    <w:p w14:paraId="623B568B" w14:textId="77777777" w:rsidR="00FF7038" w:rsidRPr="00FF7038" w:rsidRDefault="00FF7038" w:rsidP="00CB7971">
      <w:pPr>
        <w:numPr>
          <w:ilvl w:val="0"/>
          <w:numId w:val="3"/>
        </w:numPr>
        <w:spacing w:after="0" w:line="480" w:lineRule="auto"/>
      </w:pPr>
      <w:r w:rsidRPr="00FF7038">
        <w:t>None. All eligible patients were included.</w:t>
      </w:r>
    </w:p>
    <w:p w14:paraId="0F04F381" w14:textId="67D9DAC9" w:rsidR="00FF7038" w:rsidRPr="00FF7038" w:rsidRDefault="00FF7038" w:rsidP="00CB7971">
      <w:pPr>
        <w:numPr>
          <w:ilvl w:val="0"/>
          <w:numId w:val="3"/>
        </w:numPr>
        <w:spacing w:after="0" w:line="480" w:lineRule="auto"/>
      </w:pPr>
      <w:r w:rsidRPr="00FF7038">
        <w:t>No missing mortality outcome.</w:t>
      </w:r>
    </w:p>
    <w:p w14:paraId="4BFE5495" w14:textId="77777777" w:rsidR="00FF7038" w:rsidRPr="00FF7038" w:rsidRDefault="00FF7038" w:rsidP="00CB7971">
      <w:pPr>
        <w:spacing w:after="0" w:line="480" w:lineRule="auto"/>
        <w:rPr>
          <w:b/>
          <w:bCs/>
        </w:rPr>
      </w:pPr>
      <w:r w:rsidRPr="00FF7038">
        <w:rPr>
          <w:b/>
          <w:bCs/>
        </w:rPr>
        <w:t>6. Study Procedures</w:t>
      </w:r>
    </w:p>
    <w:p w14:paraId="76FFC539" w14:textId="77777777" w:rsidR="00FF7038" w:rsidRPr="00FF7038" w:rsidRDefault="00FF7038" w:rsidP="00CB7971">
      <w:pPr>
        <w:spacing w:after="0" w:line="480" w:lineRule="auto"/>
        <w:rPr>
          <w:b/>
          <w:bCs/>
        </w:rPr>
      </w:pPr>
      <w:r w:rsidRPr="00FF7038">
        <w:rPr>
          <w:b/>
          <w:bCs/>
        </w:rPr>
        <w:t>6.1. Timing of Measurements</w:t>
      </w:r>
    </w:p>
    <w:p w14:paraId="4D3E0787" w14:textId="77777777" w:rsidR="00FF7038" w:rsidRPr="00FF7038" w:rsidRDefault="00FF7038" w:rsidP="00CB7971">
      <w:pPr>
        <w:spacing w:after="0" w:line="480" w:lineRule="auto"/>
      </w:pPr>
      <w:r w:rsidRPr="00FF7038">
        <w:t>Biomarkers were collected at four predefined time points:</w:t>
      </w:r>
    </w:p>
    <w:p w14:paraId="5FB3AE91" w14:textId="77777777" w:rsidR="00FF7038" w:rsidRPr="00FF7038" w:rsidRDefault="00FF7038" w:rsidP="00CB7971">
      <w:pPr>
        <w:numPr>
          <w:ilvl w:val="0"/>
          <w:numId w:val="4"/>
        </w:numPr>
        <w:spacing w:after="0" w:line="480" w:lineRule="auto"/>
      </w:pPr>
      <w:r w:rsidRPr="00FF7038">
        <w:t>0 hours (PICU admission)</w:t>
      </w:r>
    </w:p>
    <w:p w14:paraId="0B3CD96E" w14:textId="77777777" w:rsidR="00FF7038" w:rsidRPr="00FF7038" w:rsidRDefault="00FF7038" w:rsidP="00CB7971">
      <w:pPr>
        <w:numPr>
          <w:ilvl w:val="0"/>
          <w:numId w:val="4"/>
        </w:numPr>
        <w:spacing w:after="0" w:line="480" w:lineRule="auto"/>
      </w:pPr>
      <w:r w:rsidRPr="00FF7038">
        <w:t>6 hours</w:t>
      </w:r>
    </w:p>
    <w:p w14:paraId="386E01E4" w14:textId="77777777" w:rsidR="00FF7038" w:rsidRPr="00FF7038" w:rsidRDefault="00FF7038" w:rsidP="00CB7971">
      <w:pPr>
        <w:numPr>
          <w:ilvl w:val="0"/>
          <w:numId w:val="4"/>
        </w:numPr>
        <w:spacing w:after="0" w:line="480" w:lineRule="auto"/>
      </w:pPr>
      <w:r w:rsidRPr="00FF7038">
        <w:t>24 hours</w:t>
      </w:r>
    </w:p>
    <w:p w14:paraId="6F4B52C1" w14:textId="77777777" w:rsidR="00FF7038" w:rsidRPr="00FF7038" w:rsidRDefault="00FF7038" w:rsidP="00CB7971">
      <w:pPr>
        <w:numPr>
          <w:ilvl w:val="0"/>
          <w:numId w:val="4"/>
        </w:numPr>
        <w:spacing w:after="0" w:line="480" w:lineRule="auto"/>
      </w:pPr>
      <w:r w:rsidRPr="00FF7038">
        <w:t>48 hours</w:t>
      </w:r>
    </w:p>
    <w:p w14:paraId="37B2A888" w14:textId="77777777" w:rsidR="00FF7038" w:rsidRPr="00FF7038" w:rsidRDefault="00FF7038" w:rsidP="00CB7971">
      <w:pPr>
        <w:spacing w:after="0" w:line="480" w:lineRule="auto"/>
        <w:rPr>
          <w:b/>
          <w:bCs/>
        </w:rPr>
      </w:pPr>
      <w:r w:rsidRPr="00FF7038">
        <w:rPr>
          <w:b/>
          <w:bCs/>
        </w:rPr>
        <w:t>6.2. Biomarkers Measured</w:t>
      </w:r>
    </w:p>
    <w:p w14:paraId="5BF82AF8" w14:textId="77777777" w:rsidR="00FF7038" w:rsidRPr="00FF7038" w:rsidRDefault="00FF7038" w:rsidP="00CB7971">
      <w:pPr>
        <w:numPr>
          <w:ilvl w:val="0"/>
          <w:numId w:val="5"/>
        </w:numPr>
        <w:spacing w:after="0" w:line="480" w:lineRule="auto"/>
      </w:pPr>
      <w:r w:rsidRPr="00FF7038">
        <w:t>Serum lactate (mmol/L)</w:t>
      </w:r>
    </w:p>
    <w:p w14:paraId="5A954375" w14:textId="77777777" w:rsidR="00FF7038" w:rsidRPr="00FF7038" w:rsidRDefault="00FF7038" w:rsidP="00CB7971">
      <w:pPr>
        <w:numPr>
          <w:ilvl w:val="0"/>
          <w:numId w:val="5"/>
        </w:numPr>
        <w:spacing w:after="0" w:line="480" w:lineRule="auto"/>
      </w:pPr>
      <w:r w:rsidRPr="00FF7038">
        <w:t>Central venous oxygen saturation (ScvO₂, %)</w:t>
      </w:r>
    </w:p>
    <w:p w14:paraId="2B49D7C4" w14:textId="77777777" w:rsidR="00FF7038" w:rsidRPr="00FF7038" w:rsidRDefault="00FF7038" w:rsidP="00CB7971">
      <w:pPr>
        <w:numPr>
          <w:ilvl w:val="0"/>
          <w:numId w:val="5"/>
        </w:numPr>
        <w:spacing w:after="0" w:line="480" w:lineRule="auto"/>
      </w:pPr>
      <w:r w:rsidRPr="00FF7038">
        <w:t>Central venous to arterial CO₂ difference (ΔPCO₂, mmHg)</w:t>
      </w:r>
    </w:p>
    <w:p w14:paraId="24E0FA94" w14:textId="633B8D33" w:rsidR="00FF7038" w:rsidRPr="00FF7038" w:rsidRDefault="00FF7038" w:rsidP="00CB7971">
      <w:pPr>
        <w:spacing w:after="0" w:line="480" w:lineRule="auto"/>
      </w:pPr>
      <w:r w:rsidRPr="00FF7038">
        <w:t>Other clinical and laboratory data were collected per routine care.</w:t>
      </w:r>
    </w:p>
    <w:p w14:paraId="65F9CCA4" w14:textId="77777777" w:rsidR="00FF7038" w:rsidRPr="00FF7038" w:rsidRDefault="00FF7038" w:rsidP="00CB7971">
      <w:pPr>
        <w:spacing w:after="0" w:line="480" w:lineRule="auto"/>
        <w:rPr>
          <w:b/>
          <w:bCs/>
        </w:rPr>
      </w:pPr>
      <w:r w:rsidRPr="00FF7038">
        <w:rPr>
          <w:b/>
          <w:bCs/>
        </w:rPr>
        <w:lastRenderedPageBreak/>
        <w:t>7. Outcome Measures</w:t>
      </w:r>
    </w:p>
    <w:p w14:paraId="3B2C975B" w14:textId="77777777" w:rsidR="00FF7038" w:rsidRPr="00FF7038" w:rsidRDefault="00FF7038" w:rsidP="00CB7971">
      <w:pPr>
        <w:spacing w:after="0" w:line="480" w:lineRule="auto"/>
        <w:rPr>
          <w:b/>
          <w:bCs/>
        </w:rPr>
      </w:pPr>
      <w:r w:rsidRPr="00FF7038">
        <w:rPr>
          <w:b/>
          <w:bCs/>
        </w:rPr>
        <w:t>Primary Outcome</w:t>
      </w:r>
    </w:p>
    <w:p w14:paraId="38B7477D" w14:textId="77777777" w:rsidR="00FF7038" w:rsidRPr="00FF7038" w:rsidRDefault="00FF7038" w:rsidP="00CB7971">
      <w:pPr>
        <w:numPr>
          <w:ilvl w:val="0"/>
          <w:numId w:val="6"/>
        </w:numPr>
        <w:spacing w:after="0" w:line="480" w:lineRule="auto"/>
      </w:pPr>
      <w:r w:rsidRPr="00FF7038">
        <w:rPr>
          <w:b/>
          <w:bCs/>
        </w:rPr>
        <w:t>28-day all-cause mortality</w:t>
      </w:r>
    </w:p>
    <w:p w14:paraId="6A3E608C" w14:textId="77777777" w:rsidR="00FF7038" w:rsidRPr="00FF7038" w:rsidRDefault="00FF7038" w:rsidP="00CB7971">
      <w:pPr>
        <w:spacing w:after="0" w:line="480" w:lineRule="auto"/>
        <w:rPr>
          <w:b/>
          <w:bCs/>
        </w:rPr>
      </w:pPr>
      <w:r w:rsidRPr="00FF7038">
        <w:rPr>
          <w:b/>
          <w:bCs/>
        </w:rPr>
        <w:t>Secondary Outcomes</w:t>
      </w:r>
    </w:p>
    <w:p w14:paraId="760AC867" w14:textId="77777777" w:rsidR="00FF7038" w:rsidRPr="00FF7038" w:rsidRDefault="00FF7038" w:rsidP="00CB7971">
      <w:pPr>
        <w:numPr>
          <w:ilvl w:val="0"/>
          <w:numId w:val="7"/>
        </w:numPr>
        <w:spacing w:after="0" w:line="480" w:lineRule="auto"/>
      </w:pPr>
      <w:r w:rsidRPr="00FF7038">
        <w:t>Longitudinal changes in lactate, ScvO₂, and ΔPCO₂</w:t>
      </w:r>
    </w:p>
    <w:p w14:paraId="06885DBD" w14:textId="6ADB499B" w:rsidR="00FF7038" w:rsidRPr="00FF7038" w:rsidRDefault="00FF7038" w:rsidP="00CB7971">
      <w:pPr>
        <w:numPr>
          <w:ilvl w:val="0"/>
          <w:numId w:val="7"/>
        </w:numPr>
        <w:spacing w:after="0" w:line="480" w:lineRule="auto"/>
      </w:pPr>
      <w:r w:rsidRPr="00FF7038">
        <w:t>Prognostic performance (AUC, calibration) of multivariable models</w:t>
      </w:r>
    </w:p>
    <w:p w14:paraId="3880E04C" w14:textId="77777777" w:rsidR="00FF7038" w:rsidRPr="00FF7038" w:rsidRDefault="00FF7038" w:rsidP="00CB7971">
      <w:pPr>
        <w:spacing w:after="0" w:line="480" w:lineRule="auto"/>
        <w:rPr>
          <w:b/>
          <w:bCs/>
        </w:rPr>
      </w:pPr>
      <w:r w:rsidRPr="00FF7038">
        <w:rPr>
          <w:b/>
          <w:bCs/>
        </w:rPr>
        <w:t>8. Sample Size Justification</w:t>
      </w:r>
    </w:p>
    <w:p w14:paraId="2AFDBF51" w14:textId="18C903FE" w:rsidR="00FF7038" w:rsidRPr="00FF7038" w:rsidRDefault="00FF7038" w:rsidP="00CB7971">
      <w:pPr>
        <w:spacing w:after="0" w:line="480" w:lineRule="auto"/>
      </w:pPr>
      <w:r w:rsidRPr="00FF7038">
        <w:t>All consecutive eligible septic shock admissions during the study period were included (N = 81).</w:t>
      </w:r>
      <w:r w:rsidRPr="00FF7038">
        <w:br/>
        <w:t xml:space="preserve">Given the exploratory nature of the study and limited available population, </w:t>
      </w:r>
      <w:r w:rsidRPr="00FF7038">
        <w:rPr>
          <w:b/>
          <w:bCs/>
        </w:rPr>
        <w:t>no formal power calculation</w:t>
      </w:r>
      <w:r w:rsidRPr="00FF7038">
        <w:t xml:space="preserve"> was performed.</w:t>
      </w:r>
    </w:p>
    <w:p w14:paraId="63A15DB7" w14:textId="77777777" w:rsidR="00FF7038" w:rsidRPr="00FF7038" w:rsidRDefault="00FF7038" w:rsidP="00CB7971">
      <w:pPr>
        <w:spacing w:after="0" w:line="480" w:lineRule="auto"/>
        <w:rPr>
          <w:b/>
          <w:bCs/>
        </w:rPr>
      </w:pPr>
      <w:r w:rsidRPr="00FF7038">
        <w:rPr>
          <w:b/>
          <w:bCs/>
        </w:rPr>
        <w:t>9. Statistical Analysis Plan</w:t>
      </w:r>
    </w:p>
    <w:p w14:paraId="409526C6" w14:textId="77777777" w:rsidR="00FF7038" w:rsidRPr="00FF7038" w:rsidRDefault="00FF7038" w:rsidP="00CB7971">
      <w:pPr>
        <w:spacing w:after="0" w:line="480" w:lineRule="auto"/>
        <w:rPr>
          <w:b/>
          <w:bCs/>
        </w:rPr>
      </w:pPr>
      <w:r w:rsidRPr="00FF7038">
        <w:rPr>
          <w:b/>
          <w:bCs/>
        </w:rPr>
        <w:t>9.1. Descriptive Analysis</w:t>
      </w:r>
    </w:p>
    <w:p w14:paraId="34FD45FC" w14:textId="77777777" w:rsidR="00FF7038" w:rsidRPr="00FF7038" w:rsidRDefault="00FF7038" w:rsidP="00CB7971">
      <w:pPr>
        <w:numPr>
          <w:ilvl w:val="0"/>
          <w:numId w:val="8"/>
        </w:numPr>
        <w:spacing w:after="0" w:line="480" w:lineRule="auto"/>
      </w:pPr>
      <w:r w:rsidRPr="00FF7038">
        <w:t>Continuous variables: median (IQR) or mean (SE) as appropriate</w:t>
      </w:r>
    </w:p>
    <w:p w14:paraId="73729608" w14:textId="77777777" w:rsidR="00FF7038" w:rsidRPr="00FF7038" w:rsidRDefault="00FF7038" w:rsidP="00CB7971">
      <w:pPr>
        <w:numPr>
          <w:ilvl w:val="0"/>
          <w:numId w:val="8"/>
        </w:numPr>
        <w:spacing w:after="0" w:line="480" w:lineRule="auto"/>
      </w:pPr>
      <w:r w:rsidRPr="00FF7038">
        <w:t>Categorical variables: counts and percentages</w:t>
      </w:r>
    </w:p>
    <w:p w14:paraId="0DF2A7AC" w14:textId="77777777" w:rsidR="00FF7038" w:rsidRPr="00FF7038" w:rsidRDefault="00FF7038" w:rsidP="00CB7971">
      <w:pPr>
        <w:spacing w:after="0" w:line="480" w:lineRule="auto"/>
        <w:rPr>
          <w:b/>
          <w:bCs/>
        </w:rPr>
      </w:pPr>
      <w:r w:rsidRPr="00FF7038">
        <w:rPr>
          <w:b/>
          <w:bCs/>
        </w:rPr>
        <w:t>9.2. Longitudinal Analysis</w:t>
      </w:r>
    </w:p>
    <w:p w14:paraId="31172137" w14:textId="77777777" w:rsidR="00FF7038" w:rsidRPr="00FF7038" w:rsidRDefault="00FF7038" w:rsidP="00CB7971">
      <w:pPr>
        <w:spacing w:after="0" w:line="480" w:lineRule="auto"/>
      </w:pPr>
      <w:r w:rsidRPr="00FF7038">
        <w:t xml:space="preserve">Linear </w:t>
      </w:r>
      <w:r w:rsidRPr="00FF7038">
        <w:rPr>
          <w:b/>
          <w:bCs/>
        </w:rPr>
        <w:t>mixed-effects models</w:t>
      </w:r>
      <w:r w:rsidRPr="00FF7038">
        <w:t xml:space="preserve"> with:</w:t>
      </w:r>
    </w:p>
    <w:p w14:paraId="5F620981" w14:textId="77777777" w:rsidR="00FF7038" w:rsidRPr="00FF7038" w:rsidRDefault="00FF7038" w:rsidP="00CB7971">
      <w:pPr>
        <w:numPr>
          <w:ilvl w:val="0"/>
          <w:numId w:val="9"/>
        </w:numPr>
        <w:spacing w:after="0" w:line="480" w:lineRule="auto"/>
      </w:pPr>
      <w:r w:rsidRPr="00FF7038">
        <w:t>Random intercept for patient</w:t>
      </w:r>
    </w:p>
    <w:p w14:paraId="4F13817D" w14:textId="77777777" w:rsidR="00FF7038" w:rsidRPr="00FF7038" w:rsidRDefault="00FF7038" w:rsidP="00CB7971">
      <w:pPr>
        <w:numPr>
          <w:ilvl w:val="0"/>
          <w:numId w:val="9"/>
        </w:numPr>
        <w:spacing w:after="0" w:line="480" w:lineRule="auto"/>
      </w:pPr>
      <w:r w:rsidRPr="00FF7038">
        <w:t>Fixed effects: time, mortality, and time × mortality interaction</w:t>
      </w:r>
    </w:p>
    <w:p w14:paraId="3A5B7A44" w14:textId="77777777" w:rsidR="00FF7038" w:rsidRPr="00FF7038" w:rsidRDefault="00FF7038" w:rsidP="00CB7971">
      <w:pPr>
        <w:spacing w:after="0" w:line="480" w:lineRule="auto"/>
        <w:rPr>
          <w:b/>
          <w:bCs/>
        </w:rPr>
      </w:pPr>
      <w:r w:rsidRPr="00FF7038">
        <w:rPr>
          <w:b/>
          <w:bCs/>
        </w:rPr>
        <w:t>9.3. Mortality Risk Model</w:t>
      </w:r>
    </w:p>
    <w:p w14:paraId="626E6515" w14:textId="77777777" w:rsidR="00FF7038" w:rsidRPr="00FF7038" w:rsidRDefault="00FF7038" w:rsidP="00CB7971">
      <w:pPr>
        <w:spacing w:after="0" w:line="480" w:lineRule="auto"/>
      </w:pPr>
      <w:r w:rsidRPr="00FF7038">
        <w:t xml:space="preserve">Because mortality events were limited (n = 17), </w:t>
      </w:r>
      <w:r w:rsidRPr="00FF7038">
        <w:rPr>
          <w:b/>
          <w:bCs/>
        </w:rPr>
        <w:t>Firth logistic regression</w:t>
      </w:r>
      <w:r w:rsidRPr="00FF7038">
        <w:t xml:space="preserve"> was used to reduce small-sample bias. Predictors included:</w:t>
      </w:r>
    </w:p>
    <w:p w14:paraId="4028C36D" w14:textId="77777777" w:rsidR="00FF7038" w:rsidRPr="00FF7038" w:rsidRDefault="00FF7038" w:rsidP="00CB7971">
      <w:pPr>
        <w:numPr>
          <w:ilvl w:val="0"/>
          <w:numId w:val="10"/>
        </w:numPr>
        <w:spacing w:after="0" w:line="480" w:lineRule="auto"/>
      </w:pPr>
      <w:r w:rsidRPr="00FF7038">
        <w:t>Baseline lactate</w:t>
      </w:r>
    </w:p>
    <w:p w14:paraId="76DDFC8B" w14:textId="77777777" w:rsidR="00FF7038" w:rsidRPr="00FF7038" w:rsidRDefault="00FF7038" w:rsidP="00CB7971">
      <w:pPr>
        <w:numPr>
          <w:ilvl w:val="0"/>
          <w:numId w:val="10"/>
        </w:numPr>
        <w:spacing w:after="0" w:line="480" w:lineRule="auto"/>
      </w:pPr>
      <w:r w:rsidRPr="00FF7038">
        <w:t>CRP</w:t>
      </w:r>
    </w:p>
    <w:p w14:paraId="3D2E596E" w14:textId="77777777" w:rsidR="00FF7038" w:rsidRPr="00FF7038" w:rsidRDefault="00FF7038" w:rsidP="00CB7971">
      <w:pPr>
        <w:numPr>
          <w:ilvl w:val="0"/>
          <w:numId w:val="10"/>
        </w:numPr>
        <w:spacing w:after="0" w:line="480" w:lineRule="auto"/>
      </w:pPr>
      <w:r w:rsidRPr="00FF7038">
        <w:t>Albumin</w:t>
      </w:r>
    </w:p>
    <w:p w14:paraId="3629B165" w14:textId="77777777" w:rsidR="00FF7038" w:rsidRPr="00FF7038" w:rsidRDefault="00FF7038" w:rsidP="00CB7971">
      <w:pPr>
        <w:numPr>
          <w:ilvl w:val="0"/>
          <w:numId w:val="10"/>
        </w:numPr>
        <w:spacing w:after="0" w:line="480" w:lineRule="auto"/>
      </w:pPr>
      <w:r w:rsidRPr="00FF7038">
        <w:t>VIS at 1 hour</w:t>
      </w:r>
    </w:p>
    <w:p w14:paraId="788740C3" w14:textId="77777777" w:rsidR="00FF7038" w:rsidRPr="00FF7038" w:rsidRDefault="00FF7038" w:rsidP="00CB7971">
      <w:pPr>
        <w:numPr>
          <w:ilvl w:val="0"/>
          <w:numId w:val="10"/>
        </w:numPr>
        <w:spacing w:after="0" w:line="480" w:lineRule="auto"/>
      </w:pPr>
      <w:r w:rsidRPr="00FF7038">
        <w:lastRenderedPageBreak/>
        <w:t>Etiology</w:t>
      </w:r>
    </w:p>
    <w:p w14:paraId="77CC6735" w14:textId="77777777" w:rsidR="00FF7038" w:rsidRPr="00FF7038" w:rsidRDefault="00FF7038" w:rsidP="00CB7971">
      <w:pPr>
        <w:numPr>
          <w:ilvl w:val="0"/>
          <w:numId w:val="10"/>
        </w:numPr>
        <w:spacing w:after="0" w:line="480" w:lineRule="auto"/>
      </w:pPr>
      <w:r w:rsidRPr="00FF7038">
        <w:t>Organ dysfunction count</w:t>
      </w:r>
    </w:p>
    <w:p w14:paraId="77A04B85" w14:textId="77777777" w:rsidR="00FF7038" w:rsidRPr="00FF7038" w:rsidRDefault="00FF7038" w:rsidP="00CB7971">
      <w:pPr>
        <w:spacing w:after="0" w:line="480" w:lineRule="auto"/>
        <w:rPr>
          <w:b/>
          <w:bCs/>
        </w:rPr>
      </w:pPr>
      <w:r w:rsidRPr="00FF7038">
        <w:rPr>
          <w:b/>
          <w:bCs/>
        </w:rPr>
        <w:t>9.4. Model Performance</w:t>
      </w:r>
    </w:p>
    <w:p w14:paraId="5B7E237A" w14:textId="77777777" w:rsidR="00FF7038" w:rsidRPr="00FF7038" w:rsidRDefault="00FF7038" w:rsidP="00CB7971">
      <w:pPr>
        <w:numPr>
          <w:ilvl w:val="0"/>
          <w:numId w:val="11"/>
        </w:numPr>
        <w:spacing w:after="0" w:line="480" w:lineRule="auto"/>
      </w:pPr>
      <w:r w:rsidRPr="00FF7038">
        <w:rPr>
          <w:b/>
          <w:bCs/>
        </w:rPr>
        <w:t>Discrimination:</w:t>
      </w:r>
      <w:r w:rsidRPr="00FF7038">
        <w:t xml:space="preserve"> ROC curve, AUC (95% CI)</w:t>
      </w:r>
    </w:p>
    <w:p w14:paraId="1123EA65" w14:textId="77777777" w:rsidR="00FF7038" w:rsidRPr="00FF7038" w:rsidRDefault="00FF7038" w:rsidP="00CB7971">
      <w:pPr>
        <w:numPr>
          <w:ilvl w:val="0"/>
          <w:numId w:val="11"/>
        </w:numPr>
        <w:spacing w:after="0" w:line="480" w:lineRule="auto"/>
      </w:pPr>
      <w:r w:rsidRPr="00FF7038">
        <w:rPr>
          <w:b/>
          <w:bCs/>
        </w:rPr>
        <w:t>Calibration:</w:t>
      </w:r>
      <w:r w:rsidRPr="00FF7038">
        <w:t xml:space="preserve"> Brier score and Hosmer–Lemeshow test</w:t>
      </w:r>
    </w:p>
    <w:p w14:paraId="29E3EDD3" w14:textId="77777777" w:rsidR="00FF7038" w:rsidRPr="00FF7038" w:rsidRDefault="00FF7038" w:rsidP="00CB7971">
      <w:pPr>
        <w:numPr>
          <w:ilvl w:val="0"/>
          <w:numId w:val="11"/>
        </w:numPr>
        <w:spacing w:after="0" w:line="480" w:lineRule="auto"/>
      </w:pPr>
      <w:r w:rsidRPr="00FF7038">
        <w:rPr>
          <w:b/>
          <w:bCs/>
        </w:rPr>
        <w:t>Optimal cutoff</w:t>
      </w:r>
      <w:r w:rsidRPr="00FF7038">
        <w:t xml:space="preserve"> via Youden index</w:t>
      </w:r>
    </w:p>
    <w:p w14:paraId="282775EB" w14:textId="77777777" w:rsidR="00FF7038" w:rsidRPr="00FF7038" w:rsidRDefault="00FF7038" w:rsidP="00CB7971">
      <w:pPr>
        <w:spacing w:after="0" w:line="480" w:lineRule="auto"/>
        <w:rPr>
          <w:b/>
          <w:bCs/>
        </w:rPr>
      </w:pPr>
      <w:r w:rsidRPr="00FF7038">
        <w:rPr>
          <w:b/>
          <w:bCs/>
        </w:rPr>
        <w:t>9.5. Missing Data</w:t>
      </w:r>
    </w:p>
    <w:p w14:paraId="1119970B" w14:textId="233A1F86" w:rsidR="00FF7038" w:rsidRPr="00FF7038" w:rsidRDefault="00FF7038" w:rsidP="00CB7971">
      <w:pPr>
        <w:spacing w:after="0" w:line="480" w:lineRule="auto"/>
      </w:pPr>
      <w:r w:rsidRPr="00FF7038">
        <w:t xml:space="preserve">Missing data were minimal (&lt;5%) and handled using </w:t>
      </w:r>
      <w:r w:rsidRPr="00FF7038">
        <w:rPr>
          <w:b/>
          <w:bCs/>
        </w:rPr>
        <w:t>complete-case analysis</w:t>
      </w:r>
      <w:r w:rsidRPr="00FF7038">
        <w:t>, with an assessment that missingness was random.</w:t>
      </w:r>
    </w:p>
    <w:p w14:paraId="1DC43872" w14:textId="77777777" w:rsidR="00FF7038" w:rsidRPr="00FF7038" w:rsidRDefault="00FF7038" w:rsidP="00CB7971">
      <w:pPr>
        <w:spacing w:after="0" w:line="480" w:lineRule="auto"/>
        <w:rPr>
          <w:b/>
          <w:bCs/>
        </w:rPr>
      </w:pPr>
      <w:r w:rsidRPr="00FF7038">
        <w:rPr>
          <w:b/>
          <w:bCs/>
        </w:rPr>
        <w:t>10. Ethical Considerations</w:t>
      </w:r>
    </w:p>
    <w:p w14:paraId="0BB630C7" w14:textId="77777777" w:rsidR="00FF7038" w:rsidRPr="00FF7038" w:rsidRDefault="00FF7038" w:rsidP="00CB7971">
      <w:pPr>
        <w:numPr>
          <w:ilvl w:val="0"/>
          <w:numId w:val="12"/>
        </w:numPr>
        <w:spacing w:after="0" w:line="480" w:lineRule="auto"/>
      </w:pPr>
      <w:r w:rsidRPr="00FF7038">
        <w:t>Approved by the Ethics Committee of Vietnam National Children’s Hospital.</w:t>
      </w:r>
    </w:p>
    <w:p w14:paraId="677A0115" w14:textId="77777777" w:rsidR="00FF7038" w:rsidRPr="00FF7038" w:rsidRDefault="00FF7038" w:rsidP="00CB7971">
      <w:pPr>
        <w:numPr>
          <w:ilvl w:val="0"/>
          <w:numId w:val="12"/>
        </w:numPr>
        <w:spacing w:after="0" w:line="480" w:lineRule="auto"/>
      </w:pPr>
      <w:r w:rsidRPr="00FF7038">
        <w:t xml:space="preserve">As this was an observational study collecting data from routine clinical care, </w:t>
      </w:r>
      <w:r w:rsidRPr="00FF7038">
        <w:rPr>
          <w:b/>
          <w:bCs/>
        </w:rPr>
        <w:t>individual informed consent was waived</w:t>
      </w:r>
      <w:r w:rsidRPr="00FF7038">
        <w:t xml:space="preserve"> according to institutional and national regulations.</w:t>
      </w:r>
    </w:p>
    <w:p w14:paraId="618C6B0A" w14:textId="11D836D6" w:rsidR="00FF7038" w:rsidRPr="00FF7038" w:rsidRDefault="00FF7038" w:rsidP="00CB7971">
      <w:pPr>
        <w:numPr>
          <w:ilvl w:val="0"/>
          <w:numId w:val="12"/>
        </w:numPr>
        <w:spacing w:after="0" w:line="480" w:lineRule="auto"/>
      </w:pPr>
      <w:r w:rsidRPr="00FF7038">
        <w:t>No patient identifiers were stored; data were anonymized before analysis.</w:t>
      </w:r>
    </w:p>
    <w:p w14:paraId="62F33F10" w14:textId="77777777" w:rsidR="00FF7038" w:rsidRPr="00FF7038" w:rsidRDefault="00FF7038" w:rsidP="00CB7971">
      <w:pPr>
        <w:spacing w:after="0" w:line="480" w:lineRule="auto"/>
        <w:rPr>
          <w:b/>
          <w:bCs/>
        </w:rPr>
      </w:pPr>
      <w:r w:rsidRPr="00FF7038">
        <w:rPr>
          <w:b/>
          <w:bCs/>
        </w:rPr>
        <w:t>11. Patient and Public Involvement</w:t>
      </w:r>
    </w:p>
    <w:p w14:paraId="7EF89F41" w14:textId="102AFF7F" w:rsidR="00FF7038" w:rsidRPr="00FF7038" w:rsidRDefault="00FF7038" w:rsidP="00CB7971">
      <w:pPr>
        <w:spacing w:after="0" w:line="480" w:lineRule="auto"/>
      </w:pPr>
      <w:r w:rsidRPr="00FF7038">
        <w:t>Patients and families did not participate directly in study design or conduct due to the emergency nature of septic shock. Results will be made available to clinicians to improve future care pathways.</w:t>
      </w:r>
    </w:p>
    <w:p w14:paraId="55E24995" w14:textId="77777777" w:rsidR="00ED7CAE" w:rsidRPr="00ED7CAE" w:rsidRDefault="00ED7CAE" w:rsidP="00ED7CAE">
      <w:pPr>
        <w:spacing w:after="0" w:line="480" w:lineRule="auto"/>
        <w:rPr>
          <w:b/>
          <w:bCs/>
        </w:rPr>
      </w:pPr>
      <w:r w:rsidRPr="00ED7CAE">
        <w:rPr>
          <w:b/>
          <w:bCs/>
        </w:rPr>
        <w:t>12. Data management and sharing</w:t>
      </w:r>
    </w:p>
    <w:p w14:paraId="291A3905" w14:textId="77777777" w:rsidR="00ED7CAE" w:rsidRPr="00ED7CAE" w:rsidRDefault="00ED7CAE" w:rsidP="00ED7CAE">
      <w:pPr>
        <w:spacing w:after="0" w:line="480" w:lineRule="auto"/>
      </w:pPr>
      <w:r w:rsidRPr="00ED7CAE">
        <w:t>All study data were entered and stored in a secure, password-protected electronic database accessible only to the research team. De-identified datasets and the statistical analysis code supporting the findings of this study are not publicly available due to patient confidentiality and institutional data protection policies, but are available from the corresponding author upon reasonable request.</w:t>
      </w:r>
    </w:p>
    <w:p w14:paraId="6E0A47C2" w14:textId="77777777" w:rsidR="00ED7CAE" w:rsidRPr="00ED7CAE" w:rsidRDefault="00ED7CAE" w:rsidP="00ED7CAE">
      <w:pPr>
        <w:spacing w:after="0" w:line="480" w:lineRule="auto"/>
        <w:rPr>
          <w:b/>
          <w:bCs/>
        </w:rPr>
      </w:pPr>
    </w:p>
    <w:p w14:paraId="1B6FE09B" w14:textId="77777777" w:rsidR="00ED7CAE" w:rsidRPr="00ED7CAE" w:rsidRDefault="00ED7CAE" w:rsidP="00ED7CAE">
      <w:pPr>
        <w:spacing w:after="0" w:line="480" w:lineRule="auto"/>
        <w:rPr>
          <w:b/>
          <w:bCs/>
        </w:rPr>
      </w:pPr>
      <w:r w:rsidRPr="00ED7CAE">
        <w:rPr>
          <w:b/>
          <w:bCs/>
        </w:rPr>
        <w:lastRenderedPageBreak/>
        <w:t>13. Dissemination plan</w:t>
      </w:r>
    </w:p>
    <w:p w14:paraId="6EB2BB8C" w14:textId="77777777" w:rsidR="00ED7CAE" w:rsidRDefault="00ED7CAE" w:rsidP="00ED7CAE">
      <w:pPr>
        <w:spacing w:after="0" w:line="480" w:lineRule="auto"/>
        <w:rPr>
          <w:b/>
          <w:bCs/>
        </w:rPr>
      </w:pPr>
      <w:r w:rsidRPr="00ED7CAE">
        <w:t>The findings of this study will be disseminated through publication in peer-reviewed scientific journals and presentation at national and international pediatric and critical care conferences</w:t>
      </w:r>
    </w:p>
    <w:p w14:paraId="1AA3CDF8" w14:textId="77777777" w:rsidR="00FF7038" w:rsidRDefault="00FF7038" w:rsidP="00CB7971">
      <w:pPr>
        <w:spacing w:after="0" w:line="480" w:lineRule="auto"/>
      </w:pPr>
    </w:p>
    <w:p w14:paraId="04855C2D" w14:textId="77777777" w:rsidR="001B7CC3" w:rsidRDefault="001B7CC3" w:rsidP="00CB7971">
      <w:pPr>
        <w:spacing w:after="0" w:line="480" w:lineRule="auto"/>
      </w:pPr>
      <w:r>
        <w:br w:type="page"/>
      </w:r>
    </w:p>
    <w:p w14:paraId="08DC3415" w14:textId="30868C4E" w:rsidR="001B7CC3" w:rsidRPr="00D16953" w:rsidRDefault="00D16953" w:rsidP="00CB7971">
      <w:pPr>
        <w:spacing w:after="0" w:line="480" w:lineRule="auto"/>
        <w:rPr>
          <w:b/>
          <w:bCs/>
        </w:rPr>
      </w:pPr>
      <w:r w:rsidRPr="00D16953">
        <w:rPr>
          <w:b/>
          <w:bCs/>
        </w:rPr>
        <w:lastRenderedPageBreak/>
        <w:t xml:space="preserve">II. </w:t>
      </w:r>
      <w:r w:rsidR="001B7CC3" w:rsidRPr="00D16953">
        <w:rPr>
          <w:b/>
          <w:bCs/>
        </w:rPr>
        <w:t>Supplementary Figure S1. Flow diagram</w:t>
      </w:r>
    </w:p>
    <w:p w14:paraId="3B80D964" w14:textId="55A99E6A" w:rsidR="001B7CC3" w:rsidRDefault="001B7CC3" w:rsidP="00CB7971">
      <w:pPr>
        <w:spacing w:after="0" w:line="480" w:lineRule="auto"/>
      </w:pPr>
      <w:r>
        <w:rPr>
          <w:noProof/>
        </w:rPr>
        <w:drawing>
          <wp:inline distT="0" distB="0" distL="0" distR="0" wp14:anchorId="672F195A" wp14:editId="4259B74D">
            <wp:extent cx="5693208" cy="7270750"/>
            <wp:effectExtent l="0" t="0" r="3175" b="6350"/>
            <wp:docPr id="1674736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736828" name="Picture 1674736828"/>
                    <pic:cNvPicPr/>
                  </pic:nvPicPr>
                  <pic:blipFill>
                    <a:blip r:embed="rId5">
                      <a:extLst>
                        <a:ext uri="{28A0092B-C50C-407E-A947-70E740481C1C}">
                          <a14:useLocalDpi xmlns:a14="http://schemas.microsoft.com/office/drawing/2010/main" val="0"/>
                        </a:ext>
                      </a:extLst>
                    </a:blip>
                    <a:stretch>
                      <a:fillRect/>
                    </a:stretch>
                  </pic:blipFill>
                  <pic:spPr>
                    <a:xfrm>
                      <a:off x="0" y="0"/>
                      <a:ext cx="5702113" cy="7282122"/>
                    </a:xfrm>
                    <a:prstGeom prst="rect">
                      <a:avLst/>
                    </a:prstGeom>
                  </pic:spPr>
                </pic:pic>
              </a:graphicData>
            </a:graphic>
          </wp:inline>
        </w:drawing>
      </w:r>
    </w:p>
    <w:sectPr w:rsidR="001B7CC3" w:rsidSect="00244823">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4B0A"/>
    <w:multiLevelType w:val="multilevel"/>
    <w:tmpl w:val="F99CA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555259"/>
    <w:multiLevelType w:val="multilevel"/>
    <w:tmpl w:val="BEF2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DB27A0"/>
    <w:multiLevelType w:val="multilevel"/>
    <w:tmpl w:val="B11C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F35F9D"/>
    <w:multiLevelType w:val="multilevel"/>
    <w:tmpl w:val="B080A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9738DB"/>
    <w:multiLevelType w:val="multilevel"/>
    <w:tmpl w:val="DD04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321482"/>
    <w:multiLevelType w:val="multilevel"/>
    <w:tmpl w:val="C7988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953ECF"/>
    <w:multiLevelType w:val="multilevel"/>
    <w:tmpl w:val="98F2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8D57F9"/>
    <w:multiLevelType w:val="hybridMultilevel"/>
    <w:tmpl w:val="66125404"/>
    <w:lvl w:ilvl="0" w:tplc="A40C07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EB24D0"/>
    <w:multiLevelType w:val="multilevel"/>
    <w:tmpl w:val="FA7C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425D6F"/>
    <w:multiLevelType w:val="multilevel"/>
    <w:tmpl w:val="77F8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BC602C"/>
    <w:multiLevelType w:val="multilevel"/>
    <w:tmpl w:val="7DC2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D32538"/>
    <w:multiLevelType w:val="multilevel"/>
    <w:tmpl w:val="11D0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DD432D"/>
    <w:multiLevelType w:val="multilevel"/>
    <w:tmpl w:val="A3B01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805B08"/>
    <w:multiLevelType w:val="multilevel"/>
    <w:tmpl w:val="2986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0934406">
    <w:abstractNumId w:val="3"/>
  </w:num>
  <w:num w:numId="2" w16cid:durableId="1212890107">
    <w:abstractNumId w:val="2"/>
  </w:num>
  <w:num w:numId="3" w16cid:durableId="1781678710">
    <w:abstractNumId w:val="6"/>
  </w:num>
  <w:num w:numId="4" w16cid:durableId="657659104">
    <w:abstractNumId w:val="9"/>
  </w:num>
  <w:num w:numId="5" w16cid:durableId="105010467">
    <w:abstractNumId w:val="0"/>
  </w:num>
  <w:num w:numId="6" w16cid:durableId="475413805">
    <w:abstractNumId w:val="10"/>
  </w:num>
  <w:num w:numId="7" w16cid:durableId="2027904772">
    <w:abstractNumId w:val="4"/>
  </w:num>
  <w:num w:numId="8" w16cid:durableId="1914582868">
    <w:abstractNumId w:val="11"/>
  </w:num>
  <w:num w:numId="9" w16cid:durableId="1444617369">
    <w:abstractNumId w:val="5"/>
  </w:num>
  <w:num w:numId="10" w16cid:durableId="1149322941">
    <w:abstractNumId w:val="8"/>
  </w:num>
  <w:num w:numId="11" w16cid:durableId="1013412825">
    <w:abstractNumId w:val="12"/>
  </w:num>
  <w:num w:numId="12" w16cid:durableId="2022776474">
    <w:abstractNumId w:val="1"/>
  </w:num>
  <w:num w:numId="13" w16cid:durableId="732042886">
    <w:abstractNumId w:val="7"/>
  </w:num>
  <w:num w:numId="14" w16cid:durableId="12939012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038"/>
    <w:rsid w:val="00046793"/>
    <w:rsid w:val="00053835"/>
    <w:rsid w:val="001B7CC3"/>
    <w:rsid w:val="001C5D9D"/>
    <w:rsid w:val="00244823"/>
    <w:rsid w:val="002B3CC3"/>
    <w:rsid w:val="00442641"/>
    <w:rsid w:val="0052527B"/>
    <w:rsid w:val="0069712A"/>
    <w:rsid w:val="007B296D"/>
    <w:rsid w:val="00832B1D"/>
    <w:rsid w:val="00890387"/>
    <w:rsid w:val="008E1DB2"/>
    <w:rsid w:val="00935B83"/>
    <w:rsid w:val="00B83475"/>
    <w:rsid w:val="00C4209A"/>
    <w:rsid w:val="00CB7971"/>
    <w:rsid w:val="00D16953"/>
    <w:rsid w:val="00E81437"/>
    <w:rsid w:val="00ED7CAE"/>
    <w:rsid w:val="00F40BCF"/>
    <w:rsid w:val="00FF7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C1EE9"/>
  <w15:chartTrackingRefBased/>
  <w15:docId w15:val="{36AA9CB4-9224-44AA-9D45-E028FAFC6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70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70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703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703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F703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F703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F703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F703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F703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0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70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703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703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F703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F703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F703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F703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F703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F70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0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03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03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F7038"/>
    <w:pPr>
      <w:spacing w:before="160"/>
      <w:jc w:val="center"/>
    </w:pPr>
    <w:rPr>
      <w:i/>
      <w:iCs/>
      <w:color w:val="404040" w:themeColor="text1" w:themeTint="BF"/>
    </w:rPr>
  </w:style>
  <w:style w:type="character" w:customStyle="1" w:styleId="QuoteChar">
    <w:name w:val="Quote Char"/>
    <w:basedOn w:val="DefaultParagraphFont"/>
    <w:link w:val="Quote"/>
    <w:uiPriority w:val="29"/>
    <w:rsid w:val="00FF7038"/>
    <w:rPr>
      <w:i/>
      <w:iCs/>
      <w:color w:val="404040" w:themeColor="text1" w:themeTint="BF"/>
    </w:rPr>
  </w:style>
  <w:style w:type="paragraph" w:styleId="ListParagraph">
    <w:name w:val="List Paragraph"/>
    <w:basedOn w:val="Normal"/>
    <w:uiPriority w:val="34"/>
    <w:qFormat/>
    <w:rsid w:val="00FF7038"/>
    <w:pPr>
      <w:ind w:left="720"/>
      <w:contextualSpacing/>
    </w:pPr>
  </w:style>
  <w:style w:type="character" w:styleId="IntenseEmphasis">
    <w:name w:val="Intense Emphasis"/>
    <w:basedOn w:val="DefaultParagraphFont"/>
    <w:uiPriority w:val="21"/>
    <w:qFormat/>
    <w:rsid w:val="00FF7038"/>
    <w:rPr>
      <w:i/>
      <w:iCs/>
      <w:color w:val="2F5496" w:themeColor="accent1" w:themeShade="BF"/>
    </w:rPr>
  </w:style>
  <w:style w:type="paragraph" w:styleId="IntenseQuote">
    <w:name w:val="Intense Quote"/>
    <w:basedOn w:val="Normal"/>
    <w:next w:val="Normal"/>
    <w:link w:val="IntenseQuoteChar"/>
    <w:uiPriority w:val="30"/>
    <w:qFormat/>
    <w:rsid w:val="00FF70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7038"/>
    <w:rPr>
      <w:i/>
      <w:iCs/>
      <w:color w:val="2F5496" w:themeColor="accent1" w:themeShade="BF"/>
    </w:rPr>
  </w:style>
  <w:style w:type="character" w:styleId="IntenseReference">
    <w:name w:val="Intense Reference"/>
    <w:basedOn w:val="DefaultParagraphFont"/>
    <w:uiPriority w:val="32"/>
    <w:qFormat/>
    <w:rsid w:val="00FF7038"/>
    <w:rPr>
      <w:b/>
      <w:bCs/>
      <w:smallCaps/>
      <w:color w:val="2F5496" w:themeColor="accent1" w:themeShade="BF"/>
      <w:spacing w:val="5"/>
    </w:rPr>
  </w:style>
  <w:style w:type="table" w:styleId="TableGrid">
    <w:name w:val="Table Grid"/>
    <w:basedOn w:val="TableNormal"/>
    <w:uiPriority w:val="39"/>
    <w:rsid w:val="00FF7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743</Words>
  <Characters>4240</Characters>
  <Application>Microsoft Office Word</Application>
  <DocSecurity>0</DocSecurity>
  <Lines>35</Lines>
  <Paragraphs>9</Paragraphs>
  <ScaleCrop>false</ScaleCrop>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Cảnh Hoàng</dc:creator>
  <cp:keywords/>
  <dc:description/>
  <cp:lastModifiedBy>Cảnh Hoàng</cp:lastModifiedBy>
  <cp:revision>9</cp:revision>
  <dcterms:created xsi:type="dcterms:W3CDTF">2025-12-05T05:42:00Z</dcterms:created>
  <dcterms:modified xsi:type="dcterms:W3CDTF">2026-01-01T13:05:00Z</dcterms:modified>
</cp:coreProperties>
</file>