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4B5C8" w14:textId="74F60674" w:rsidR="006A4491" w:rsidRPr="006A4491" w:rsidRDefault="00227DE0" w:rsidP="006A4491">
      <w:pPr>
        <w:spacing w:line="360" w:lineRule="auto"/>
        <w:jc w:val="center"/>
        <w:rPr>
          <w:rFonts w:ascii="Times New Roman" w:hAnsi="Times New Roman" w:cs="Times New Roman"/>
          <w:b/>
          <w:bCs/>
          <w:sz w:val="32"/>
          <w:lang w:val="en-IN"/>
        </w:rPr>
      </w:pPr>
      <w:r w:rsidRPr="00227DE0">
        <w:rPr>
          <w:rFonts w:ascii="Times New Roman" w:hAnsi="Times New Roman" w:cs="Times New Roman"/>
          <w:b/>
          <w:sz w:val="32"/>
        </w:rPr>
        <w:t>Supplementary Information for</w:t>
      </w:r>
      <w:r>
        <w:rPr>
          <w:rFonts w:ascii="Times New Roman" w:hAnsi="Times New Roman" w:cs="Times New Roman"/>
          <w:b/>
          <w:sz w:val="32"/>
        </w:rPr>
        <w:t xml:space="preserve"> </w:t>
      </w:r>
      <w:r w:rsidR="00171B57">
        <w:rPr>
          <w:rFonts w:ascii="Times New Roman" w:hAnsi="Times New Roman" w:cs="Times New Roman"/>
          <w:b/>
          <w:sz w:val="32"/>
        </w:rPr>
        <w:t>“</w:t>
      </w:r>
      <w:r w:rsidR="00323B7A" w:rsidRPr="00323B7A">
        <w:rPr>
          <w:rFonts w:ascii="Times New Roman" w:hAnsi="Times New Roman" w:cs="Times New Roman"/>
          <w:b/>
          <w:bCs/>
          <w:sz w:val="32"/>
          <w:lang w:val="en-IN"/>
        </w:rPr>
        <w:t>Ambient black carbon and its dependence on in-situ stubble burning</w:t>
      </w:r>
      <w:r w:rsidR="004A2479">
        <w:rPr>
          <w:rFonts w:ascii="Times New Roman" w:hAnsi="Times New Roman" w:cs="Times New Roman"/>
          <w:b/>
          <w:bCs/>
          <w:sz w:val="32"/>
          <w:lang w:val="en-IN"/>
        </w:rPr>
        <w:t>”</w:t>
      </w:r>
    </w:p>
    <w:p w14:paraId="61FE899A" w14:textId="195EC3A0" w:rsidR="006A4491" w:rsidRPr="006A4491" w:rsidRDefault="006A4491" w:rsidP="006A4491">
      <w:pPr>
        <w:spacing w:line="360" w:lineRule="auto"/>
        <w:jc w:val="center"/>
        <w:rPr>
          <w:rFonts w:ascii="Times New Roman" w:hAnsi="Times New Roman" w:cs="Times New Roman"/>
          <w:sz w:val="24"/>
          <w:szCs w:val="18"/>
          <w:vertAlign w:val="superscript"/>
          <w:lang w:val="en-IN"/>
        </w:rPr>
      </w:pPr>
      <w:r w:rsidRPr="006A4491">
        <w:rPr>
          <w:rFonts w:ascii="Times New Roman" w:hAnsi="Times New Roman" w:cs="Times New Roman"/>
          <w:sz w:val="24"/>
          <w:szCs w:val="18"/>
          <w:lang w:val="en-IN"/>
        </w:rPr>
        <w:t xml:space="preserve">Vikas </w:t>
      </w:r>
      <w:proofErr w:type="gramStart"/>
      <w:r w:rsidRPr="006A4491">
        <w:rPr>
          <w:rFonts w:ascii="Times New Roman" w:hAnsi="Times New Roman" w:cs="Times New Roman"/>
          <w:sz w:val="24"/>
          <w:szCs w:val="18"/>
          <w:lang w:val="en-IN"/>
        </w:rPr>
        <w:t>Goel</w:t>
      </w:r>
      <w:r w:rsidRPr="006A4491">
        <w:rPr>
          <w:rFonts w:ascii="Times New Roman" w:hAnsi="Times New Roman" w:cs="Times New Roman"/>
          <w:sz w:val="24"/>
          <w:szCs w:val="18"/>
          <w:vertAlign w:val="superscript"/>
          <w:lang w:val="en-IN"/>
        </w:rPr>
        <w:t>a,b</w:t>
      </w:r>
      <w:proofErr w:type="gramEnd"/>
      <w:r w:rsidR="002A1658">
        <w:rPr>
          <w:rFonts w:ascii="Times New Roman" w:hAnsi="Times New Roman" w:cs="Times New Roman"/>
          <w:sz w:val="24"/>
          <w:szCs w:val="18"/>
          <w:vertAlign w:val="superscript"/>
          <w:lang w:val="en-IN"/>
        </w:rPr>
        <w:t>,1</w:t>
      </w:r>
      <w:r w:rsidRPr="006A4491">
        <w:rPr>
          <w:rFonts w:ascii="Times New Roman" w:hAnsi="Times New Roman" w:cs="Times New Roman"/>
          <w:sz w:val="24"/>
          <w:szCs w:val="18"/>
          <w:lang w:val="en-IN"/>
        </w:rPr>
        <w:t>, Ajit Kumar</w:t>
      </w:r>
      <w:r w:rsidRPr="006A4491">
        <w:rPr>
          <w:rFonts w:ascii="Times New Roman" w:hAnsi="Times New Roman" w:cs="Times New Roman"/>
          <w:sz w:val="24"/>
          <w:szCs w:val="18"/>
          <w:vertAlign w:val="superscript"/>
          <w:lang w:val="en-IN"/>
        </w:rPr>
        <w:t>a</w:t>
      </w:r>
      <w:r w:rsidR="002A1658">
        <w:rPr>
          <w:rFonts w:ascii="Times New Roman" w:hAnsi="Times New Roman" w:cs="Times New Roman"/>
          <w:sz w:val="24"/>
          <w:szCs w:val="18"/>
          <w:vertAlign w:val="superscript"/>
          <w:lang w:val="en-IN"/>
        </w:rPr>
        <w:t>,1</w:t>
      </w:r>
      <w:r w:rsidRPr="006A4491">
        <w:rPr>
          <w:rFonts w:ascii="Times New Roman" w:hAnsi="Times New Roman" w:cs="Times New Roman"/>
          <w:sz w:val="24"/>
          <w:szCs w:val="18"/>
          <w:lang w:val="en-IN"/>
        </w:rPr>
        <w:t xml:space="preserve">, </w:t>
      </w:r>
      <w:proofErr w:type="spellStart"/>
      <w:r w:rsidRPr="006A4491">
        <w:rPr>
          <w:rFonts w:ascii="Times New Roman" w:hAnsi="Times New Roman" w:cs="Times New Roman"/>
          <w:sz w:val="24"/>
          <w:szCs w:val="18"/>
          <w:lang w:val="en-IN"/>
        </w:rPr>
        <w:t>Anjanay</w:t>
      </w:r>
      <w:proofErr w:type="spellEnd"/>
      <w:r w:rsidRPr="006A4491">
        <w:rPr>
          <w:rFonts w:ascii="Times New Roman" w:hAnsi="Times New Roman" w:cs="Times New Roman"/>
          <w:sz w:val="24"/>
          <w:szCs w:val="18"/>
          <w:lang w:val="en-IN"/>
        </w:rPr>
        <w:t xml:space="preserve"> </w:t>
      </w:r>
      <w:proofErr w:type="spellStart"/>
      <w:r w:rsidRPr="006A4491">
        <w:rPr>
          <w:rFonts w:ascii="Times New Roman" w:hAnsi="Times New Roman" w:cs="Times New Roman"/>
          <w:sz w:val="24"/>
          <w:szCs w:val="18"/>
          <w:lang w:val="en-IN"/>
        </w:rPr>
        <w:t>Pandey</w:t>
      </w:r>
      <w:r w:rsidRPr="006A4491">
        <w:rPr>
          <w:rFonts w:ascii="Times New Roman" w:hAnsi="Times New Roman" w:cs="Times New Roman"/>
          <w:sz w:val="24"/>
          <w:szCs w:val="18"/>
          <w:vertAlign w:val="superscript"/>
          <w:lang w:val="en-IN"/>
        </w:rPr>
        <w:t>b</w:t>
      </w:r>
      <w:proofErr w:type="spellEnd"/>
      <w:r w:rsidRPr="006A4491">
        <w:rPr>
          <w:rFonts w:ascii="Times New Roman" w:hAnsi="Times New Roman" w:cs="Times New Roman"/>
          <w:sz w:val="24"/>
          <w:szCs w:val="18"/>
          <w:lang w:val="en-IN"/>
        </w:rPr>
        <w:t xml:space="preserve">, Mohd </w:t>
      </w:r>
      <w:proofErr w:type="spellStart"/>
      <w:proofErr w:type="gramStart"/>
      <w:r w:rsidRPr="006A4491">
        <w:rPr>
          <w:rFonts w:ascii="Times New Roman" w:hAnsi="Times New Roman" w:cs="Times New Roman"/>
          <w:sz w:val="24"/>
          <w:szCs w:val="18"/>
          <w:lang w:val="en-IN"/>
        </w:rPr>
        <w:t>Faisal</w:t>
      </w:r>
      <w:r w:rsidRPr="006A4491">
        <w:rPr>
          <w:rFonts w:ascii="Times New Roman" w:hAnsi="Times New Roman" w:cs="Times New Roman"/>
          <w:sz w:val="24"/>
          <w:szCs w:val="18"/>
          <w:vertAlign w:val="superscript"/>
          <w:lang w:val="en-IN"/>
        </w:rPr>
        <w:t>b,d</w:t>
      </w:r>
      <w:proofErr w:type="spellEnd"/>
      <w:proofErr w:type="gramEnd"/>
      <w:r w:rsidRPr="006A4491">
        <w:rPr>
          <w:rFonts w:ascii="Times New Roman" w:hAnsi="Times New Roman" w:cs="Times New Roman"/>
          <w:sz w:val="24"/>
          <w:szCs w:val="18"/>
          <w:lang w:val="en-IN"/>
        </w:rPr>
        <w:t>, Umer Ali</w:t>
      </w:r>
      <w:r w:rsidRPr="006A4491">
        <w:rPr>
          <w:rFonts w:ascii="Times New Roman" w:hAnsi="Times New Roman" w:cs="Times New Roman"/>
          <w:sz w:val="24"/>
          <w:szCs w:val="18"/>
          <w:vertAlign w:val="superscript"/>
          <w:lang w:val="en-IN"/>
        </w:rPr>
        <w:t>b</w:t>
      </w:r>
      <w:r w:rsidRPr="006A4491">
        <w:rPr>
          <w:rFonts w:ascii="Times New Roman" w:hAnsi="Times New Roman" w:cs="Times New Roman"/>
          <w:sz w:val="24"/>
          <w:szCs w:val="18"/>
          <w:lang w:val="en-IN"/>
        </w:rPr>
        <w:t>, Rakesh Maity</w:t>
      </w:r>
      <w:r w:rsidRPr="006A4491">
        <w:rPr>
          <w:rFonts w:ascii="Times New Roman" w:hAnsi="Times New Roman" w:cs="Times New Roman"/>
          <w:sz w:val="24"/>
          <w:szCs w:val="18"/>
          <w:vertAlign w:val="superscript"/>
          <w:lang w:val="en-IN"/>
        </w:rPr>
        <w:t>a</w:t>
      </w:r>
      <w:r w:rsidRPr="006A4491">
        <w:rPr>
          <w:rFonts w:ascii="Times New Roman" w:hAnsi="Times New Roman" w:cs="Times New Roman"/>
          <w:sz w:val="24"/>
          <w:szCs w:val="18"/>
          <w:lang w:val="en-IN"/>
        </w:rPr>
        <w:t xml:space="preserve">, Ravindra </w:t>
      </w:r>
      <w:proofErr w:type="spellStart"/>
      <w:r w:rsidRPr="006A4491">
        <w:rPr>
          <w:rFonts w:ascii="Times New Roman" w:hAnsi="Times New Roman" w:cs="Times New Roman"/>
          <w:sz w:val="24"/>
          <w:szCs w:val="18"/>
          <w:lang w:val="en-IN"/>
        </w:rPr>
        <w:t>Khaiwal</w:t>
      </w:r>
      <w:r w:rsidRPr="006A4491">
        <w:rPr>
          <w:rFonts w:ascii="Times New Roman" w:hAnsi="Times New Roman" w:cs="Times New Roman"/>
          <w:sz w:val="24"/>
          <w:szCs w:val="18"/>
          <w:vertAlign w:val="superscript"/>
          <w:lang w:val="en-IN"/>
        </w:rPr>
        <w:t>e</w:t>
      </w:r>
      <w:proofErr w:type="spellEnd"/>
      <w:r w:rsidRPr="006A4491">
        <w:rPr>
          <w:rFonts w:ascii="Times New Roman" w:hAnsi="Times New Roman" w:cs="Times New Roman"/>
          <w:sz w:val="24"/>
          <w:szCs w:val="18"/>
          <w:lang w:val="en-IN"/>
        </w:rPr>
        <w:t>, Suman Mor</w:t>
      </w:r>
      <w:r w:rsidRPr="006A4491">
        <w:rPr>
          <w:rFonts w:ascii="Times New Roman" w:hAnsi="Times New Roman" w:cs="Times New Roman"/>
          <w:sz w:val="24"/>
          <w:szCs w:val="18"/>
          <w:vertAlign w:val="superscript"/>
          <w:lang w:val="en-IN"/>
        </w:rPr>
        <w:t>f</w:t>
      </w:r>
      <w:r w:rsidRPr="006A4491">
        <w:rPr>
          <w:rFonts w:ascii="Times New Roman" w:hAnsi="Times New Roman" w:cs="Times New Roman"/>
          <w:sz w:val="24"/>
          <w:szCs w:val="18"/>
          <w:lang w:val="en-IN"/>
        </w:rPr>
        <w:t>, Vikram Singh</w:t>
      </w:r>
      <w:r w:rsidRPr="006A4491">
        <w:rPr>
          <w:rFonts w:ascii="Times New Roman" w:hAnsi="Times New Roman" w:cs="Times New Roman"/>
          <w:sz w:val="24"/>
          <w:szCs w:val="18"/>
          <w:vertAlign w:val="superscript"/>
          <w:lang w:val="en-IN"/>
        </w:rPr>
        <w:t>b*</w:t>
      </w:r>
      <w:r w:rsidRPr="006A4491">
        <w:rPr>
          <w:rFonts w:ascii="Times New Roman" w:hAnsi="Times New Roman" w:cs="Times New Roman"/>
          <w:sz w:val="24"/>
          <w:szCs w:val="18"/>
          <w:lang w:val="en-IN"/>
        </w:rPr>
        <w:t>, Mayank Kumar</w:t>
      </w:r>
      <w:r w:rsidRPr="006A4491">
        <w:rPr>
          <w:rFonts w:ascii="Times New Roman" w:hAnsi="Times New Roman" w:cs="Times New Roman"/>
          <w:sz w:val="24"/>
          <w:szCs w:val="18"/>
          <w:vertAlign w:val="superscript"/>
          <w:lang w:val="en-IN"/>
        </w:rPr>
        <w:t>a*</w:t>
      </w:r>
    </w:p>
    <w:p w14:paraId="7CF1D1E0" w14:textId="77777777" w:rsidR="006A4491" w:rsidRPr="006A4491" w:rsidRDefault="006A4491" w:rsidP="006A4491">
      <w:pPr>
        <w:spacing w:line="360" w:lineRule="auto"/>
        <w:rPr>
          <w:rFonts w:ascii="Times New Roman" w:hAnsi="Times New Roman" w:cs="Times New Roman"/>
          <w:sz w:val="24"/>
          <w:szCs w:val="18"/>
          <w:lang w:val="en-IN"/>
        </w:rPr>
      </w:pPr>
      <w:proofErr w:type="spellStart"/>
      <w:r w:rsidRPr="006A4491">
        <w:rPr>
          <w:rFonts w:ascii="Times New Roman" w:hAnsi="Times New Roman" w:cs="Times New Roman"/>
          <w:sz w:val="24"/>
          <w:szCs w:val="18"/>
          <w:vertAlign w:val="superscript"/>
          <w:lang w:val="en-IN"/>
        </w:rPr>
        <w:t>a</w:t>
      </w:r>
      <w:r w:rsidRPr="006A4491">
        <w:rPr>
          <w:rFonts w:ascii="Times New Roman" w:hAnsi="Times New Roman" w:cs="Times New Roman"/>
          <w:sz w:val="24"/>
          <w:szCs w:val="18"/>
          <w:lang w:val="en-IN"/>
        </w:rPr>
        <w:t>Department</w:t>
      </w:r>
      <w:proofErr w:type="spellEnd"/>
      <w:r w:rsidRPr="006A4491">
        <w:rPr>
          <w:rFonts w:ascii="Times New Roman" w:hAnsi="Times New Roman" w:cs="Times New Roman"/>
          <w:sz w:val="24"/>
          <w:szCs w:val="18"/>
          <w:lang w:val="en-IN"/>
        </w:rPr>
        <w:t xml:space="preserve"> of Mechanical Engineering, Indian Institute of Technology Delhi, New Delhi, 110016, India</w:t>
      </w:r>
    </w:p>
    <w:p w14:paraId="640D8505" w14:textId="77777777" w:rsidR="006A4491" w:rsidRPr="006A4491" w:rsidRDefault="006A4491" w:rsidP="006A4491">
      <w:pPr>
        <w:spacing w:line="360" w:lineRule="auto"/>
        <w:rPr>
          <w:rFonts w:ascii="Times New Roman" w:hAnsi="Times New Roman" w:cs="Times New Roman"/>
          <w:sz w:val="24"/>
          <w:szCs w:val="18"/>
          <w:lang w:val="en-IN"/>
        </w:rPr>
      </w:pPr>
      <w:proofErr w:type="spellStart"/>
      <w:r w:rsidRPr="006A4491">
        <w:rPr>
          <w:rFonts w:ascii="Times New Roman" w:hAnsi="Times New Roman" w:cs="Times New Roman"/>
          <w:sz w:val="24"/>
          <w:szCs w:val="18"/>
          <w:vertAlign w:val="superscript"/>
          <w:lang w:val="en-IN"/>
        </w:rPr>
        <w:t>b</w:t>
      </w:r>
      <w:r w:rsidRPr="006A4491">
        <w:rPr>
          <w:rFonts w:ascii="Times New Roman" w:hAnsi="Times New Roman" w:cs="Times New Roman"/>
          <w:sz w:val="24"/>
          <w:szCs w:val="18"/>
          <w:lang w:val="en-IN"/>
        </w:rPr>
        <w:t>Department</w:t>
      </w:r>
      <w:proofErr w:type="spellEnd"/>
      <w:r w:rsidRPr="006A4491">
        <w:rPr>
          <w:rFonts w:ascii="Times New Roman" w:hAnsi="Times New Roman" w:cs="Times New Roman"/>
          <w:sz w:val="24"/>
          <w:szCs w:val="18"/>
          <w:lang w:val="en-IN"/>
        </w:rPr>
        <w:t xml:space="preserve"> of Civil and Environmental Engineering, Virginia Tech, Blacksburg, 24060, USA.</w:t>
      </w:r>
    </w:p>
    <w:p w14:paraId="75B4FA63" w14:textId="77777777" w:rsidR="006A4491" w:rsidRPr="006A4491" w:rsidRDefault="006A4491" w:rsidP="006A4491">
      <w:pPr>
        <w:spacing w:line="360" w:lineRule="auto"/>
        <w:rPr>
          <w:rFonts w:ascii="Times New Roman" w:hAnsi="Times New Roman" w:cs="Times New Roman"/>
          <w:sz w:val="24"/>
          <w:szCs w:val="18"/>
          <w:lang w:val="en-IN"/>
        </w:rPr>
      </w:pPr>
      <w:proofErr w:type="spellStart"/>
      <w:r w:rsidRPr="006A4491">
        <w:rPr>
          <w:rFonts w:ascii="Times New Roman" w:hAnsi="Times New Roman" w:cs="Times New Roman"/>
          <w:sz w:val="24"/>
          <w:szCs w:val="18"/>
          <w:vertAlign w:val="superscript"/>
          <w:lang w:val="en-IN"/>
        </w:rPr>
        <w:t>c</w:t>
      </w:r>
      <w:r w:rsidRPr="006A4491">
        <w:rPr>
          <w:rFonts w:ascii="Times New Roman" w:hAnsi="Times New Roman" w:cs="Times New Roman"/>
          <w:sz w:val="24"/>
          <w:szCs w:val="18"/>
          <w:lang w:val="en-IN"/>
        </w:rPr>
        <w:t>Department</w:t>
      </w:r>
      <w:proofErr w:type="spellEnd"/>
      <w:r w:rsidRPr="006A4491">
        <w:rPr>
          <w:rFonts w:ascii="Times New Roman" w:hAnsi="Times New Roman" w:cs="Times New Roman"/>
          <w:sz w:val="24"/>
          <w:szCs w:val="18"/>
          <w:lang w:val="en-IN"/>
        </w:rPr>
        <w:t xml:space="preserve"> of Chemical Engineering, Indian Institute of Technology Delhi, New Delhi, 110016, India</w:t>
      </w:r>
    </w:p>
    <w:p w14:paraId="3AF6A58C" w14:textId="77777777" w:rsidR="006A4491" w:rsidRPr="006A4491" w:rsidRDefault="006A4491" w:rsidP="006A4491">
      <w:pPr>
        <w:spacing w:line="360" w:lineRule="auto"/>
        <w:rPr>
          <w:rFonts w:ascii="Times New Roman" w:hAnsi="Times New Roman" w:cs="Times New Roman"/>
          <w:sz w:val="24"/>
          <w:szCs w:val="18"/>
          <w:lang w:val="en-IN"/>
        </w:rPr>
      </w:pPr>
      <w:proofErr w:type="spellStart"/>
      <w:r w:rsidRPr="006A4491">
        <w:rPr>
          <w:rFonts w:ascii="Times New Roman" w:hAnsi="Times New Roman" w:cs="Times New Roman"/>
          <w:sz w:val="24"/>
          <w:szCs w:val="18"/>
          <w:vertAlign w:val="superscript"/>
          <w:lang w:val="en-IN"/>
        </w:rPr>
        <w:t>d</w:t>
      </w:r>
      <w:r w:rsidRPr="006A4491">
        <w:rPr>
          <w:rFonts w:ascii="Times New Roman" w:hAnsi="Times New Roman" w:cs="Times New Roman"/>
          <w:sz w:val="24"/>
          <w:szCs w:val="18"/>
          <w:lang w:val="en-IN"/>
        </w:rPr>
        <w:t>Laboratory</w:t>
      </w:r>
      <w:proofErr w:type="spellEnd"/>
      <w:r w:rsidRPr="006A4491">
        <w:rPr>
          <w:rFonts w:ascii="Times New Roman" w:hAnsi="Times New Roman" w:cs="Times New Roman"/>
          <w:sz w:val="24"/>
          <w:szCs w:val="18"/>
          <w:lang w:val="en-IN"/>
        </w:rPr>
        <w:t xml:space="preserve"> of Atmospheric Chemistry, Paul Scherrer Institute, </w:t>
      </w:r>
      <w:proofErr w:type="spellStart"/>
      <w:r w:rsidRPr="006A4491">
        <w:rPr>
          <w:rFonts w:ascii="Times New Roman" w:hAnsi="Times New Roman" w:cs="Times New Roman"/>
          <w:sz w:val="24"/>
          <w:szCs w:val="18"/>
          <w:lang w:val="en-IN"/>
        </w:rPr>
        <w:t>Villegen</w:t>
      </w:r>
      <w:proofErr w:type="spellEnd"/>
      <w:r w:rsidRPr="006A4491">
        <w:rPr>
          <w:rFonts w:ascii="Times New Roman" w:hAnsi="Times New Roman" w:cs="Times New Roman"/>
          <w:sz w:val="24"/>
          <w:szCs w:val="18"/>
          <w:lang w:val="en-IN"/>
        </w:rPr>
        <w:t>, Aargau, 5232, Switzerland</w:t>
      </w:r>
    </w:p>
    <w:p w14:paraId="2339AFD2" w14:textId="77777777" w:rsidR="006A4491" w:rsidRPr="006A4491" w:rsidRDefault="006A4491" w:rsidP="006A4491">
      <w:pPr>
        <w:spacing w:line="360" w:lineRule="auto"/>
        <w:rPr>
          <w:rFonts w:ascii="Times New Roman" w:hAnsi="Times New Roman" w:cs="Times New Roman"/>
          <w:sz w:val="24"/>
          <w:szCs w:val="18"/>
          <w:lang w:val="en-IN"/>
        </w:rPr>
      </w:pPr>
      <w:proofErr w:type="spellStart"/>
      <w:r w:rsidRPr="006A4491">
        <w:rPr>
          <w:rFonts w:ascii="Times New Roman" w:hAnsi="Times New Roman" w:cs="Times New Roman"/>
          <w:sz w:val="24"/>
          <w:szCs w:val="18"/>
          <w:vertAlign w:val="superscript"/>
          <w:lang w:val="en-IN"/>
        </w:rPr>
        <w:t>e</w:t>
      </w:r>
      <w:r w:rsidRPr="006A4491">
        <w:rPr>
          <w:rFonts w:ascii="Times New Roman" w:hAnsi="Times New Roman" w:cs="Times New Roman"/>
          <w:sz w:val="24"/>
          <w:szCs w:val="18"/>
          <w:lang w:val="en-IN"/>
        </w:rPr>
        <w:t>Department</w:t>
      </w:r>
      <w:proofErr w:type="spellEnd"/>
      <w:r w:rsidRPr="006A4491">
        <w:rPr>
          <w:rFonts w:ascii="Times New Roman" w:hAnsi="Times New Roman" w:cs="Times New Roman"/>
          <w:sz w:val="24"/>
          <w:szCs w:val="18"/>
          <w:lang w:val="en-IN"/>
        </w:rPr>
        <w:t xml:space="preserve"> of Community Medicine and School of Public Health, PGIMER, Chandigarh 160012, India</w:t>
      </w:r>
    </w:p>
    <w:p w14:paraId="771ADB76" w14:textId="77777777" w:rsidR="006A4491" w:rsidRPr="006A4491" w:rsidRDefault="006A4491" w:rsidP="006A4491">
      <w:pPr>
        <w:spacing w:line="360" w:lineRule="auto"/>
        <w:rPr>
          <w:rFonts w:ascii="Times New Roman" w:hAnsi="Times New Roman" w:cs="Times New Roman"/>
          <w:sz w:val="24"/>
          <w:szCs w:val="18"/>
          <w:lang w:val="en-IN"/>
        </w:rPr>
      </w:pPr>
      <w:proofErr w:type="spellStart"/>
      <w:r w:rsidRPr="006A4491">
        <w:rPr>
          <w:rFonts w:ascii="Times New Roman" w:hAnsi="Times New Roman" w:cs="Times New Roman"/>
          <w:sz w:val="24"/>
          <w:szCs w:val="18"/>
          <w:vertAlign w:val="superscript"/>
          <w:lang w:val="en-IN"/>
        </w:rPr>
        <w:t>f</w:t>
      </w:r>
      <w:r w:rsidRPr="006A4491">
        <w:rPr>
          <w:rFonts w:ascii="Times New Roman" w:hAnsi="Times New Roman" w:cs="Times New Roman"/>
          <w:sz w:val="24"/>
          <w:szCs w:val="18"/>
          <w:lang w:val="en-IN"/>
        </w:rPr>
        <w:t>Department</w:t>
      </w:r>
      <w:proofErr w:type="spellEnd"/>
      <w:r w:rsidRPr="006A4491">
        <w:rPr>
          <w:rFonts w:ascii="Times New Roman" w:hAnsi="Times New Roman" w:cs="Times New Roman"/>
          <w:sz w:val="24"/>
          <w:szCs w:val="18"/>
          <w:lang w:val="en-IN"/>
        </w:rPr>
        <w:t xml:space="preserve"> of Environment Studies, Panjab University, Chandigarh 160014, India</w:t>
      </w:r>
    </w:p>
    <w:p w14:paraId="3D11CEB0" w14:textId="5C622557" w:rsidR="009F51D4" w:rsidRPr="006A4491" w:rsidRDefault="009F51D4" w:rsidP="006A4491">
      <w:pPr>
        <w:spacing w:line="360" w:lineRule="auto"/>
        <w:jc w:val="center"/>
        <w:rPr>
          <w:rFonts w:ascii="Times New Roman" w:hAnsi="Times New Roman" w:cs="Times New Roman"/>
          <w:b/>
          <w:bCs/>
          <w:sz w:val="32"/>
          <w:szCs w:val="32"/>
          <w:lang w:val="en-IN"/>
        </w:rPr>
      </w:pPr>
    </w:p>
    <w:p w14:paraId="6F330E93" w14:textId="77777777" w:rsidR="009F51D4" w:rsidRPr="00211271" w:rsidRDefault="009F51D4" w:rsidP="009F51D4">
      <w:pPr>
        <w:spacing w:after="0" w:line="360" w:lineRule="auto"/>
        <w:jc w:val="both"/>
        <w:rPr>
          <w:rFonts w:ascii="Times New Roman" w:hAnsi="Times New Roman" w:cs="Times New Roman"/>
          <w:b/>
          <w:bCs/>
          <w:sz w:val="32"/>
          <w:szCs w:val="32"/>
        </w:rPr>
      </w:pPr>
    </w:p>
    <w:p w14:paraId="14C31909" w14:textId="77777777" w:rsidR="009F51D4" w:rsidRPr="00211271" w:rsidRDefault="009F51D4" w:rsidP="009F51D4">
      <w:pPr>
        <w:spacing w:after="0" w:line="360" w:lineRule="auto"/>
        <w:jc w:val="both"/>
        <w:rPr>
          <w:rFonts w:ascii="Times New Roman" w:hAnsi="Times New Roman" w:cs="Times New Roman"/>
          <w:b/>
          <w:bCs/>
          <w:sz w:val="32"/>
          <w:szCs w:val="32"/>
        </w:rPr>
      </w:pPr>
    </w:p>
    <w:p w14:paraId="1BA43D06" w14:textId="77777777" w:rsidR="009F51D4" w:rsidRPr="00211271" w:rsidRDefault="009F51D4" w:rsidP="009F51D4">
      <w:pPr>
        <w:spacing w:after="0" w:line="360" w:lineRule="auto"/>
        <w:jc w:val="both"/>
        <w:rPr>
          <w:rFonts w:ascii="Times New Roman" w:hAnsi="Times New Roman" w:cs="Times New Roman"/>
          <w:b/>
          <w:bCs/>
          <w:sz w:val="32"/>
          <w:szCs w:val="32"/>
        </w:rPr>
      </w:pPr>
    </w:p>
    <w:p w14:paraId="06C5BEFD" w14:textId="77777777" w:rsidR="009F51D4" w:rsidRPr="00211271" w:rsidRDefault="009F51D4" w:rsidP="009F51D4">
      <w:pPr>
        <w:spacing w:after="0" w:line="360" w:lineRule="auto"/>
        <w:jc w:val="both"/>
        <w:rPr>
          <w:rFonts w:ascii="Times New Roman" w:hAnsi="Times New Roman" w:cs="Times New Roman"/>
          <w:b/>
          <w:bCs/>
          <w:sz w:val="32"/>
          <w:szCs w:val="32"/>
        </w:rPr>
      </w:pPr>
    </w:p>
    <w:p w14:paraId="6B3C9F0A" w14:textId="77777777" w:rsidR="009F51D4" w:rsidRPr="00211271" w:rsidRDefault="009F51D4" w:rsidP="009F51D4">
      <w:pPr>
        <w:spacing w:after="0" w:line="360" w:lineRule="auto"/>
        <w:jc w:val="both"/>
        <w:rPr>
          <w:rFonts w:ascii="Times New Roman" w:hAnsi="Times New Roman" w:cs="Times New Roman"/>
          <w:b/>
          <w:bCs/>
          <w:sz w:val="32"/>
          <w:szCs w:val="32"/>
        </w:rPr>
      </w:pPr>
    </w:p>
    <w:p w14:paraId="0FAE2624" w14:textId="77777777" w:rsidR="009F51D4" w:rsidRPr="00211271" w:rsidRDefault="009F51D4" w:rsidP="009F51D4">
      <w:pPr>
        <w:spacing w:after="0" w:line="360" w:lineRule="auto"/>
        <w:jc w:val="both"/>
        <w:rPr>
          <w:rFonts w:ascii="Times New Roman" w:hAnsi="Times New Roman" w:cs="Times New Roman"/>
          <w:b/>
          <w:bCs/>
          <w:sz w:val="32"/>
          <w:szCs w:val="32"/>
        </w:rPr>
      </w:pPr>
    </w:p>
    <w:p w14:paraId="26F9EEF3" w14:textId="77777777" w:rsidR="009F51D4" w:rsidRPr="00211271" w:rsidRDefault="009F51D4" w:rsidP="009F51D4">
      <w:pPr>
        <w:spacing w:after="0" w:line="360" w:lineRule="auto"/>
        <w:jc w:val="both"/>
        <w:rPr>
          <w:rFonts w:ascii="Times New Roman" w:hAnsi="Times New Roman" w:cs="Times New Roman"/>
          <w:b/>
          <w:bCs/>
          <w:sz w:val="32"/>
          <w:szCs w:val="32"/>
        </w:rPr>
      </w:pPr>
    </w:p>
    <w:p w14:paraId="5D5098C6" w14:textId="77777777" w:rsidR="009F51D4" w:rsidRDefault="009F51D4" w:rsidP="009F51D4">
      <w:pPr>
        <w:spacing w:after="0" w:line="360" w:lineRule="auto"/>
        <w:jc w:val="both"/>
        <w:rPr>
          <w:rFonts w:ascii="Times New Roman" w:hAnsi="Times New Roman" w:cs="Times New Roman"/>
          <w:b/>
          <w:bCs/>
          <w:sz w:val="32"/>
          <w:szCs w:val="32"/>
        </w:rPr>
      </w:pPr>
    </w:p>
    <w:p w14:paraId="6C181B4B" w14:textId="77777777" w:rsidR="00BF4A79" w:rsidRPr="00211271" w:rsidRDefault="00BF4A79" w:rsidP="009F51D4">
      <w:pPr>
        <w:spacing w:after="0" w:line="360" w:lineRule="auto"/>
        <w:jc w:val="both"/>
        <w:rPr>
          <w:rFonts w:ascii="Times New Roman" w:hAnsi="Times New Roman" w:cs="Times New Roman"/>
          <w:b/>
          <w:bCs/>
          <w:sz w:val="32"/>
          <w:szCs w:val="32"/>
        </w:rPr>
      </w:pPr>
    </w:p>
    <w:p w14:paraId="7801BC1E" w14:textId="77777777" w:rsidR="009F51D4" w:rsidRPr="00211271" w:rsidRDefault="009F51D4" w:rsidP="009F51D4">
      <w:pPr>
        <w:spacing w:after="0" w:line="360" w:lineRule="auto"/>
        <w:jc w:val="both"/>
        <w:rPr>
          <w:rFonts w:ascii="Times New Roman" w:hAnsi="Times New Roman" w:cs="Times New Roman"/>
          <w:b/>
          <w:bCs/>
          <w:sz w:val="32"/>
          <w:szCs w:val="32"/>
        </w:rPr>
      </w:pPr>
    </w:p>
    <w:p w14:paraId="4E6ADD48" w14:textId="25B301E7" w:rsidR="009F51D4" w:rsidRPr="00381170" w:rsidRDefault="002A1658" w:rsidP="009F51D4">
      <w:pPr>
        <w:spacing w:after="0" w:line="360" w:lineRule="auto"/>
        <w:jc w:val="both"/>
        <w:textAlignment w:val="baseline"/>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bCs/>
          <w:color w:val="000000" w:themeColor="text1"/>
          <w:sz w:val="24"/>
          <w:szCs w:val="24"/>
          <w:vertAlign w:val="superscript"/>
          <w:lang w:eastAsia="en-IN"/>
        </w:rPr>
        <w:t>1</w:t>
      </w:r>
      <w:r w:rsidR="00E14FD4">
        <w:rPr>
          <w:rFonts w:ascii="Times New Roman" w:eastAsia="Times New Roman" w:hAnsi="Times New Roman" w:cs="Times New Roman"/>
          <w:color w:val="000000" w:themeColor="text1"/>
          <w:sz w:val="24"/>
          <w:szCs w:val="24"/>
          <w:lang w:eastAsia="en-IN"/>
        </w:rPr>
        <w:t>V</w:t>
      </w:r>
      <w:r w:rsidR="004D2AAD">
        <w:rPr>
          <w:rFonts w:ascii="Times New Roman" w:eastAsia="Times New Roman" w:hAnsi="Times New Roman" w:cs="Times New Roman"/>
          <w:color w:val="000000" w:themeColor="text1"/>
          <w:sz w:val="24"/>
          <w:szCs w:val="24"/>
          <w:lang w:eastAsia="en-IN"/>
        </w:rPr>
        <w:t>ikas Goel and Ajit Kumar</w:t>
      </w:r>
      <w:r w:rsidR="009F51D4" w:rsidRPr="00381170">
        <w:rPr>
          <w:rFonts w:ascii="Times New Roman" w:eastAsia="Times New Roman" w:hAnsi="Times New Roman" w:cs="Times New Roman"/>
          <w:color w:val="000000" w:themeColor="text1"/>
          <w:sz w:val="24"/>
          <w:szCs w:val="24"/>
          <w:lang w:eastAsia="en-IN"/>
        </w:rPr>
        <w:t xml:space="preserve"> contributed equally as joint first authors.</w:t>
      </w:r>
    </w:p>
    <w:p w14:paraId="74B7FA54" w14:textId="77777777" w:rsidR="009F51D4" w:rsidRPr="00381170" w:rsidRDefault="009F51D4" w:rsidP="009F51D4">
      <w:pPr>
        <w:spacing w:after="0" w:line="360" w:lineRule="auto"/>
        <w:jc w:val="both"/>
        <w:textAlignment w:val="baseline"/>
        <w:rPr>
          <w:rFonts w:ascii="Times New Roman" w:eastAsia="Times New Roman" w:hAnsi="Times New Roman" w:cs="Times New Roman"/>
          <w:color w:val="000000" w:themeColor="text1"/>
          <w:sz w:val="24"/>
          <w:szCs w:val="24"/>
          <w:lang w:eastAsia="en-IN"/>
        </w:rPr>
      </w:pPr>
    </w:p>
    <w:p w14:paraId="510B6D4A" w14:textId="77777777" w:rsidR="009F51D4" w:rsidRDefault="009F51D4" w:rsidP="009F51D4">
      <w:pPr>
        <w:spacing w:after="0" w:line="360" w:lineRule="auto"/>
        <w:jc w:val="both"/>
        <w:textAlignment w:val="baseline"/>
        <w:rPr>
          <w:rFonts w:ascii="Times New Roman" w:eastAsia="Times New Roman" w:hAnsi="Times New Roman" w:cs="Times New Roman"/>
          <w:color w:val="000000" w:themeColor="text1"/>
          <w:sz w:val="24"/>
          <w:szCs w:val="24"/>
          <w:lang w:eastAsia="en-IN"/>
        </w:rPr>
      </w:pPr>
      <w:r w:rsidRPr="00CD16DB">
        <w:rPr>
          <w:rFonts w:ascii="Times New Roman" w:eastAsia="Times New Roman" w:hAnsi="Times New Roman" w:cs="Times New Roman"/>
          <w:color w:val="000000" w:themeColor="text1"/>
          <w:sz w:val="24"/>
          <w:szCs w:val="24"/>
          <w:lang w:eastAsia="en-IN"/>
        </w:rPr>
        <w:t>*</w:t>
      </w:r>
      <w:r w:rsidRPr="00211271">
        <w:rPr>
          <w:rFonts w:ascii="Times New Roman" w:eastAsia="Times New Roman" w:hAnsi="Times New Roman" w:cs="Times New Roman"/>
          <w:color w:val="000000" w:themeColor="text1"/>
          <w:sz w:val="24"/>
          <w:szCs w:val="24"/>
          <w:lang w:eastAsia="en-IN"/>
        </w:rPr>
        <w:t>Corresponding authors. </w:t>
      </w:r>
    </w:p>
    <w:p w14:paraId="3E6C84A1" w14:textId="3E7E0127" w:rsidR="009F51D4" w:rsidRPr="00785811" w:rsidRDefault="009F51D4" w:rsidP="009F51D4">
      <w:pPr>
        <w:spacing w:after="0" w:line="360" w:lineRule="auto"/>
        <w:jc w:val="both"/>
        <w:textAlignment w:val="baseline"/>
        <w:rPr>
          <w:rFonts w:ascii="Segoe UI" w:eastAsia="Times New Roman" w:hAnsi="Segoe UI" w:cs="Segoe UI"/>
          <w:color w:val="000000" w:themeColor="text1"/>
          <w:sz w:val="24"/>
          <w:szCs w:val="24"/>
          <w:lang w:eastAsia="en-IN"/>
        </w:rPr>
      </w:pPr>
      <w:r w:rsidRPr="00211271">
        <w:rPr>
          <w:rFonts w:ascii="Times New Roman" w:eastAsia="Times New Roman" w:hAnsi="Times New Roman" w:cs="Times New Roman"/>
          <w:color w:val="000000" w:themeColor="text1"/>
          <w:sz w:val="24"/>
          <w:szCs w:val="24"/>
          <w:lang w:eastAsia="en-IN"/>
        </w:rPr>
        <w:t>E-mail addresses:</w:t>
      </w:r>
      <w:r w:rsidRPr="00211271">
        <w:rPr>
          <w:rFonts w:ascii="Calibri" w:eastAsia="Times New Roman" w:hAnsi="Calibri" w:cs="Calibri"/>
          <w:color w:val="000000" w:themeColor="text1"/>
          <w:sz w:val="24"/>
          <w:szCs w:val="24"/>
          <w:lang w:eastAsia="en-IN"/>
        </w:rPr>
        <w:t xml:space="preserve"> </w:t>
      </w:r>
      <w:r w:rsidRPr="00755346">
        <w:rPr>
          <w:rFonts w:ascii="Times New Roman" w:eastAsia="Times New Roman" w:hAnsi="Times New Roman" w:cs="Times New Roman"/>
          <w:color w:val="000000" w:themeColor="text1"/>
          <w:sz w:val="24"/>
          <w:szCs w:val="24"/>
          <w:u w:val="single"/>
          <w:lang w:eastAsia="en-IN"/>
        </w:rPr>
        <w:t>kmayank@mech.iitd.ac.in</w:t>
      </w:r>
      <w:r w:rsidRPr="00211271">
        <w:rPr>
          <w:rFonts w:ascii="Times New Roman" w:eastAsia="Times New Roman" w:hAnsi="Times New Roman" w:cs="Times New Roman"/>
          <w:color w:val="000000" w:themeColor="text1"/>
          <w:sz w:val="24"/>
          <w:szCs w:val="24"/>
          <w:lang w:eastAsia="en-IN"/>
        </w:rPr>
        <w:t xml:space="preserve"> (M</w:t>
      </w:r>
      <w:r w:rsidR="00755346">
        <w:rPr>
          <w:rFonts w:ascii="Times New Roman" w:eastAsia="Times New Roman" w:hAnsi="Times New Roman" w:cs="Times New Roman"/>
          <w:color w:val="000000" w:themeColor="text1"/>
          <w:sz w:val="24"/>
          <w:szCs w:val="24"/>
          <w:lang w:eastAsia="en-IN"/>
        </w:rPr>
        <w:t xml:space="preserve">ayank </w:t>
      </w:r>
      <w:r w:rsidRPr="00211271">
        <w:rPr>
          <w:rFonts w:ascii="Times New Roman" w:eastAsia="Times New Roman" w:hAnsi="Times New Roman" w:cs="Times New Roman"/>
          <w:color w:val="000000" w:themeColor="text1"/>
          <w:sz w:val="24"/>
          <w:szCs w:val="24"/>
          <w:lang w:eastAsia="en-IN"/>
        </w:rPr>
        <w:t>Kumar);</w:t>
      </w:r>
      <w:r w:rsidRPr="00211271">
        <w:rPr>
          <w:rFonts w:ascii="Calibri" w:eastAsia="Times New Roman" w:hAnsi="Calibri" w:cs="Calibri"/>
          <w:color w:val="000000" w:themeColor="text1"/>
          <w:sz w:val="24"/>
          <w:szCs w:val="24"/>
          <w:lang w:eastAsia="en-IN"/>
        </w:rPr>
        <w:t xml:space="preserve"> </w:t>
      </w:r>
      <w:r w:rsidRPr="00755346">
        <w:rPr>
          <w:rFonts w:ascii="Times New Roman" w:eastAsia="Times New Roman" w:hAnsi="Times New Roman" w:cs="Times New Roman"/>
          <w:color w:val="000000" w:themeColor="text1"/>
          <w:sz w:val="24"/>
          <w:szCs w:val="24"/>
          <w:u w:val="single"/>
          <w:lang w:eastAsia="en-IN"/>
        </w:rPr>
        <w:t>vs225@chemical.iitd.ac.in</w:t>
      </w:r>
      <w:r w:rsidRPr="00211271">
        <w:rPr>
          <w:rFonts w:ascii="Times New Roman" w:eastAsia="Times New Roman" w:hAnsi="Times New Roman" w:cs="Times New Roman"/>
          <w:color w:val="000000" w:themeColor="text1"/>
          <w:sz w:val="24"/>
          <w:szCs w:val="24"/>
          <w:lang w:eastAsia="en-IN"/>
        </w:rPr>
        <w:t xml:space="preserve"> (V</w:t>
      </w:r>
      <w:r w:rsidR="00755346">
        <w:rPr>
          <w:rFonts w:ascii="Times New Roman" w:eastAsia="Times New Roman" w:hAnsi="Times New Roman" w:cs="Times New Roman"/>
          <w:color w:val="000000" w:themeColor="text1"/>
          <w:sz w:val="24"/>
          <w:szCs w:val="24"/>
          <w:lang w:eastAsia="en-IN"/>
        </w:rPr>
        <w:t xml:space="preserve">ikram </w:t>
      </w:r>
      <w:r w:rsidRPr="00211271">
        <w:rPr>
          <w:rFonts w:ascii="Times New Roman" w:eastAsia="Times New Roman" w:hAnsi="Times New Roman" w:cs="Times New Roman"/>
          <w:color w:val="000000" w:themeColor="text1"/>
          <w:sz w:val="24"/>
          <w:szCs w:val="24"/>
          <w:lang w:eastAsia="en-IN"/>
        </w:rPr>
        <w:t>Singh)</w:t>
      </w:r>
    </w:p>
    <w:p w14:paraId="6428D8AC" w14:textId="77777777" w:rsidR="009F51D4" w:rsidRDefault="009F51D4" w:rsidP="009F51D4">
      <w:pPr>
        <w:jc w:val="both"/>
        <w:rPr>
          <w:rFonts w:ascii="Times New Roman" w:hAnsi="Times New Roman" w:cs="Times New Roman"/>
        </w:rPr>
      </w:pPr>
    </w:p>
    <w:p w14:paraId="4BCDB603" w14:textId="77777777" w:rsidR="003371F7" w:rsidRPr="003371F7" w:rsidRDefault="003371F7" w:rsidP="003371F7">
      <w:pPr>
        <w:tabs>
          <w:tab w:val="left" w:pos="270"/>
        </w:tabs>
        <w:spacing w:line="480" w:lineRule="auto"/>
        <w:jc w:val="both"/>
        <w:rPr>
          <w:rFonts w:ascii="Times New Roman" w:hAnsi="Times New Roman" w:cs="Times New Roman"/>
          <w:sz w:val="20"/>
          <w:szCs w:val="24"/>
        </w:rPr>
      </w:pPr>
    </w:p>
    <w:p w14:paraId="246FECC8" w14:textId="77777777" w:rsidR="00A01B71" w:rsidRDefault="00A01B71" w:rsidP="00736F0C">
      <w:pPr>
        <w:spacing w:line="480" w:lineRule="auto"/>
        <w:jc w:val="both"/>
        <w:rPr>
          <w:rFonts w:ascii="Times New Roman" w:eastAsiaTheme="minorEastAsia" w:hAnsi="Times New Roman" w:cs="Times New Roman"/>
          <w:b/>
          <w:bCs/>
          <w:sz w:val="24"/>
        </w:rPr>
      </w:pPr>
    </w:p>
    <w:p w14:paraId="0F57151D" w14:textId="35D54FDC" w:rsidR="00736F0C" w:rsidRPr="00736F0C" w:rsidRDefault="004E6CE4" w:rsidP="00736F0C">
      <w:pPr>
        <w:spacing w:line="480" w:lineRule="auto"/>
        <w:jc w:val="both"/>
        <w:rPr>
          <w:rFonts w:ascii="Times New Roman" w:eastAsiaTheme="minorEastAsia" w:hAnsi="Times New Roman" w:cs="Times New Roman"/>
          <w:b/>
          <w:bCs/>
          <w:sz w:val="24"/>
        </w:rPr>
      </w:pPr>
      <w:r>
        <w:rPr>
          <w:rFonts w:ascii="Times New Roman" w:eastAsiaTheme="minorEastAsia" w:hAnsi="Times New Roman" w:cs="Times New Roman"/>
          <w:b/>
          <w:bCs/>
          <w:sz w:val="24"/>
        </w:rPr>
        <w:lastRenderedPageBreak/>
        <w:t xml:space="preserve">S1. </w:t>
      </w:r>
      <w:r w:rsidR="00736F0C" w:rsidRPr="00736F0C">
        <w:rPr>
          <w:rFonts w:ascii="Times New Roman" w:eastAsiaTheme="minorEastAsia" w:hAnsi="Times New Roman" w:cs="Times New Roman"/>
          <w:b/>
          <w:bCs/>
          <w:sz w:val="24"/>
        </w:rPr>
        <w:t>Quality Assurance and Quality Control (QA/QC) Procedures</w:t>
      </w:r>
    </w:p>
    <w:p w14:paraId="01F96536" w14:textId="1C6CCE34" w:rsidR="0007386E" w:rsidRPr="00A744C5" w:rsidRDefault="008F0349" w:rsidP="003869DC">
      <w:pPr>
        <w:spacing w:line="480" w:lineRule="auto"/>
        <w:jc w:val="both"/>
        <w:rPr>
          <w:rFonts w:ascii="Times New Roman" w:eastAsiaTheme="minorEastAsia" w:hAnsi="Times New Roman" w:cs="Times New Roman"/>
          <w:bCs/>
        </w:rPr>
      </w:pPr>
      <w:r w:rsidRPr="00A744C5">
        <w:rPr>
          <w:rFonts w:ascii="Times New Roman" w:eastAsiaTheme="minorEastAsia" w:hAnsi="Times New Roman" w:cs="Times New Roman"/>
          <w:bCs/>
        </w:rPr>
        <w:t>The Xact 625i monitored ambient PM</w:t>
      </w:r>
      <w:r w:rsidRPr="00A744C5">
        <w:rPr>
          <w:rFonts w:ascii="Times New Roman" w:eastAsiaTheme="minorEastAsia" w:hAnsi="Times New Roman" w:cs="Times New Roman"/>
          <w:bCs/>
          <w:vertAlign w:val="subscript"/>
        </w:rPr>
        <w:t xml:space="preserve">2.5 </w:t>
      </w:r>
      <w:r w:rsidRPr="00A744C5">
        <w:rPr>
          <w:rFonts w:ascii="Times New Roman" w:eastAsiaTheme="minorEastAsia" w:hAnsi="Times New Roman" w:cs="Times New Roman"/>
          <w:bCs/>
        </w:rPr>
        <w:t xml:space="preserve">metals at 16.7 L/min with hourly resolution, performing automated QA checks for Cr, Cd, and Pb at midnight, along with regular maintenance (leak, flow rate, XRF, and calibration) </w:t>
      </w:r>
      <w:r w:rsidR="00F27698" w:rsidRPr="00A744C5">
        <w:rPr>
          <w:rFonts w:ascii="Times New Roman" w:eastAsiaTheme="minorEastAsia" w:hAnsi="Times New Roman" w:cs="Times New Roman"/>
          <w:bCs/>
        </w:rPr>
        <w:t xml:space="preserve">as </w:t>
      </w:r>
      <w:r w:rsidRPr="00A744C5">
        <w:rPr>
          <w:rFonts w:ascii="Times New Roman" w:eastAsiaTheme="minorEastAsia" w:hAnsi="Times New Roman" w:cs="Times New Roman"/>
          <w:bCs/>
        </w:rPr>
        <w:t>per manufacturer guidelines. The Aethalometer operated at 5 L/min, recording data at 1-minute intervals (averaged hourly), with routine maintenance</w:t>
      </w:r>
      <w:r w:rsidR="00E9327C" w:rsidRPr="00A744C5">
        <w:rPr>
          <w:rFonts w:ascii="Times New Roman" w:eastAsiaTheme="minorEastAsia" w:hAnsi="Times New Roman" w:cs="Times New Roman"/>
          <w:bCs/>
        </w:rPr>
        <w:t>,</w:t>
      </w:r>
      <w:r w:rsidRPr="00A744C5">
        <w:rPr>
          <w:rFonts w:ascii="Times New Roman" w:eastAsiaTheme="minorEastAsia" w:hAnsi="Times New Roman" w:cs="Times New Roman"/>
          <w:bCs/>
        </w:rPr>
        <w:t xml:space="preserve"> including flow verification, optical chamber cleaning, and insect screen upkeep. Data </w:t>
      </w:r>
      <w:proofErr w:type="gramStart"/>
      <w:r w:rsidRPr="00A744C5">
        <w:rPr>
          <w:rFonts w:ascii="Times New Roman" w:eastAsiaTheme="minorEastAsia" w:hAnsi="Times New Roman" w:cs="Times New Roman"/>
          <w:bCs/>
        </w:rPr>
        <w:t>were</w:t>
      </w:r>
      <w:proofErr w:type="gramEnd"/>
      <w:r w:rsidRPr="00A744C5">
        <w:rPr>
          <w:rFonts w:ascii="Times New Roman" w:eastAsiaTheme="minorEastAsia" w:hAnsi="Times New Roman" w:cs="Times New Roman"/>
          <w:bCs/>
        </w:rPr>
        <w:t xml:space="preserve"> monitored for anomalies in BC attenuation. These instruments measured elemental composition and BC in PM</w:t>
      </w:r>
      <w:r w:rsidRPr="00A744C5">
        <w:rPr>
          <w:rFonts w:ascii="Times New Roman" w:eastAsiaTheme="minorEastAsia" w:hAnsi="Times New Roman" w:cs="Times New Roman"/>
          <w:bCs/>
          <w:vertAlign w:val="subscript"/>
        </w:rPr>
        <w:t>2.5</w:t>
      </w:r>
      <w:r w:rsidRPr="00A744C5">
        <w:rPr>
          <w:rFonts w:ascii="Times New Roman" w:eastAsiaTheme="minorEastAsia" w:hAnsi="Times New Roman" w:cs="Times New Roman"/>
          <w:bCs/>
        </w:rPr>
        <w:t>, not total mass concentration.</w:t>
      </w:r>
    </w:p>
    <w:p w14:paraId="43D5B90D" w14:textId="796B9C93" w:rsidR="00F228FB" w:rsidRPr="003F7672" w:rsidRDefault="008C7D03" w:rsidP="003869DC">
      <w:pPr>
        <w:spacing w:line="480" w:lineRule="auto"/>
        <w:jc w:val="both"/>
        <w:rPr>
          <w:rFonts w:ascii="Times New Roman" w:hAnsi="Times New Roman" w:cs="Times New Roman"/>
          <w:b/>
          <w:sz w:val="24"/>
        </w:rPr>
      </w:pPr>
      <w:r w:rsidRPr="003F7672">
        <w:rPr>
          <w:rFonts w:ascii="Times New Roman" w:hAnsi="Times New Roman" w:cs="Times New Roman"/>
          <w:b/>
          <w:sz w:val="24"/>
        </w:rPr>
        <w:t>S2</w:t>
      </w:r>
      <w:r w:rsidR="00DB4BBD" w:rsidRPr="003F7672">
        <w:rPr>
          <w:rFonts w:ascii="Times New Roman" w:hAnsi="Times New Roman" w:cs="Times New Roman"/>
          <w:b/>
          <w:sz w:val="24"/>
        </w:rPr>
        <w:t>. P</w:t>
      </w:r>
      <w:r w:rsidR="0022778C" w:rsidRPr="003F7672">
        <w:rPr>
          <w:rFonts w:ascii="Times New Roman" w:hAnsi="Times New Roman" w:cs="Times New Roman"/>
          <w:b/>
          <w:sz w:val="24"/>
        </w:rPr>
        <w:t xml:space="preserve">ositive </w:t>
      </w:r>
      <w:r w:rsidR="00DB4BBD" w:rsidRPr="003F7672">
        <w:rPr>
          <w:rFonts w:ascii="Times New Roman" w:hAnsi="Times New Roman" w:cs="Times New Roman"/>
          <w:b/>
          <w:sz w:val="24"/>
        </w:rPr>
        <w:t>M</w:t>
      </w:r>
      <w:r w:rsidR="0022778C" w:rsidRPr="003F7672">
        <w:rPr>
          <w:rFonts w:ascii="Times New Roman" w:hAnsi="Times New Roman" w:cs="Times New Roman"/>
          <w:b/>
          <w:sz w:val="24"/>
        </w:rPr>
        <w:t xml:space="preserve">atrix </w:t>
      </w:r>
      <w:r w:rsidR="002C2F1D" w:rsidRPr="003F7672">
        <w:rPr>
          <w:rFonts w:ascii="Times New Roman" w:hAnsi="Times New Roman" w:cs="Times New Roman"/>
          <w:b/>
          <w:sz w:val="24"/>
        </w:rPr>
        <w:t>Factorization (</w:t>
      </w:r>
      <w:r w:rsidR="0022778C" w:rsidRPr="003F7672">
        <w:rPr>
          <w:rFonts w:ascii="Times New Roman" w:hAnsi="Times New Roman" w:cs="Times New Roman"/>
          <w:b/>
          <w:sz w:val="24"/>
        </w:rPr>
        <w:t>PMF)</w:t>
      </w:r>
      <w:r w:rsidR="00DB4BBD" w:rsidRPr="003F7672">
        <w:rPr>
          <w:rFonts w:ascii="Times New Roman" w:hAnsi="Times New Roman" w:cs="Times New Roman"/>
          <w:b/>
          <w:sz w:val="24"/>
        </w:rPr>
        <w:t xml:space="preserve"> </w:t>
      </w:r>
    </w:p>
    <w:p w14:paraId="7928EF5A" w14:textId="505592AD" w:rsidR="00C45BA8" w:rsidRDefault="00C45BA8" w:rsidP="003869DC">
      <w:pPr>
        <w:spacing w:line="480" w:lineRule="auto"/>
        <w:jc w:val="both"/>
        <w:rPr>
          <w:rFonts w:ascii="Times New Roman" w:hAnsi="Times New Roman" w:cs="Times New Roman"/>
          <w:b/>
        </w:rPr>
      </w:pPr>
      <w:r w:rsidRPr="003F7672">
        <w:rPr>
          <w:rFonts w:ascii="Times New Roman" w:hAnsi="Times New Roman" w:cs="Times New Roman"/>
          <w:b/>
        </w:rPr>
        <w:t>S</w:t>
      </w:r>
      <w:r w:rsidR="008C7D03" w:rsidRPr="003F7672">
        <w:rPr>
          <w:rFonts w:ascii="Times New Roman" w:hAnsi="Times New Roman" w:cs="Times New Roman"/>
          <w:b/>
        </w:rPr>
        <w:t>2</w:t>
      </w:r>
      <w:r w:rsidR="00191F08" w:rsidRPr="003F7672">
        <w:rPr>
          <w:rFonts w:ascii="Times New Roman" w:hAnsi="Times New Roman" w:cs="Times New Roman"/>
          <w:b/>
        </w:rPr>
        <w:t>.1</w:t>
      </w:r>
      <w:r w:rsidRPr="003F7672">
        <w:rPr>
          <w:rFonts w:ascii="Times New Roman" w:hAnsi="Times New Roman" w:cs="Times New Roman"/>
          <w:b/>
        </w:rPr>
        <w:t xml:space="preserve"> </w:t>
      </w:r>
      <w:r w:rsidR="00E275A0" w:rsidRPr="00E275A0">
        <w:rPr>
          <w:rFonts w:ascii="Times New Roman" w:hAnsi="Times New Roman" w:cs="Times New Roman"/>
          <w:b/>
        </w:rPr>
        <w:t>PMF Input Data Processing</w:t>
      </w:r>
    </w:p>
    <w:p w14:paraId="7E3CA075" w14:textId="6FE1708E" w:rsidR="00C02269" w:rsidRPr="00D92B40" w:rsidRDefault="00C02269" w:rsidP="00C02269">
      <w:pPr>
        <w:spacing w:line="480" w:lineRule="auto"/>
        <w:jc w:val="both"/>
        <w:rPr>
          <w:rFonts w:ascii="Times New Roman" w:hAnsi="Times New Roman" w:cs="Times New Roman"/>
          <w:bCs/>
        </w:rPr>
      </w:pPr>
      <w:r w:rsidRPr="00D92B40">
        <w:rPr>
          <w:rFonts w:ascii="Times New Roman" w:hAnsi="Times New Roman" w:cs="Times New Roman"/>
          <w:bCs/>
        </w:rPr>
        <w:t xml:space="preserve">The elemental species measured by the Xact 625i, along with black carbon (BC) measured by the Aethalometer AE33, were analyzed using a coupled Positive Matrix Factorization (PMF)-based source apportionment approach. While the Xact 625i </w:t>
      </w:r>
      <w:r w:rsidR="00DF5CCD" w:rsidRPr="00D92B40">
        <w:rPr>
          <w:rFonts w:ascii="Times New Roman" w:hAnsi="Times New Roman" w:cs="Times New Roman"/>
          <w:bCs/>
        </w:rPr>
        <w:t xml:space="preserve">instrument </w:t>
      </w:r>
      <w:r w:rsidR="000B3EB6" w:rsidRPr="00D92B40">
        <w:rPr>
          <w:rFonts w:ascii="Times New Roman" w:hAnsi="Times New Roman" w:cs="Times New Roman"/>
          <w:bCs/>
        </w:rPr>
        <w:t>was set to measure</w:t>
      </w:r>
      <w:r w:rsidR="00DF5CCD" w:rsidRPr="00D92B40">
        <w:rPr>
          <w:rFonts w:ascii="Times New Roman" w:hAnsi="Times New Roman" w:cs="Times New Roman"/>
          <w:bCs/>
        </w:rPr>
        <w:t xml:space="preserve"> elements </w:t>
      </w:r>
      <w:r w:rsidRPr="00D92B40">
        <w:rPr>
          <w:rFonts w:ascii="Times New Roman" w:hAnsi="Times New Roman" w:cs="Times New Roman"/>
          <w:bCs/>
        </w:rPr>
        <w:t xml:space="preserve">at </w:t>
      </w:r>
      <w:r w:rsidR="00B27160" w:rsidRPr="00D92B40">
        <w:rPr>
          <w:rFonts w:ascii="Times New Roman" w:hAnsi="Times New Roman" w:cs="Times New Roman"/>
          <w:bCs/>
        </w:rPr>
        <w:t xml:space="preserve">half </w:t>
      </w:r>
      <w:r w:rsidR="00C72860" w:rsidRPr="00D92B40">
        <w:rPr>
          <w:rFonts w:ascii="Times New Roman" w:hAnsi="Times New Roman" w:cs="Times New Roman"/>
          <w:bCs/>
        </w:rPr>
        <w:t xml:space="preserve">an </w:t>
      </w:r>
      <w:r w:rsidRPr="00D92B40">
        <w:rPr>
          <w:rFonts w:ascii="Times New Roman" w:hAnsi="Times New Roman" w:cs="Times New Roman"/>
          <w:bCs/>
        </w:rPr>
        <w:t xml:space="preserve">hourly time resolution, the Aethalometer measured BC at a 1minute interval; these </w:t>
      </w:r>
      <w:r w:rsidR="00B27160" w:rsidRPr="00D92B40">
        <w:rPr>
          <w:rFonts w:ascii="Times New Roman" w:hAnsi="Times New Roman" w:cs="Times New Roman"/>
          <w:bCs/>
        </w:rPr>
        <w:t xml:space="preserve">elements and </w:t>
      </w:r>
      <w:r w:rsidRPr="00D92B40">
        <w:rPr>
          <w:rFonts w:ascii="Times New Roman" w:hAnsi="Times New Roman" w:cs="Times New Roman"/>
          <w:bCs/>
        </w:rPr>
        <w:t xml:space="preserve">BC data were subsequently averaged to an hourly resolution to align with the Xact 625i measurements for consistency in the </w:t>
      </w:r>
      <w:r w:rsidR="005C7F13" w:rsidRPr="00D92B40">
        <w:rPr>
          <w:rFonts w:ascii="Times New Roman" w:hAnsi="Times New Roman" w:cs="Times New Roman"/>
          <w:bCs/>
        </w:rPr>
        <w:t xml:space="preserve">coupled </w:t>
      </w:r>
      <w:r w:rsidRPr="00D92B40">
        <w:rPr>
          <w:rFonts w:ascii="Times New Roman" w:hAnsi="Times New Roman" w:cs="Times New Roman"/>
          <w:bCs/>
        </w:rPr>
        <w:t>PMF analysis.</w:t>
      </w:r>
    </w:p>
    <w:p w14:paraId="76E49ED0" w14:textId="061539A7" w:rsidR="00C02269" w:rsidRPr="00D92B40" w:rsidRDefault="00C02269" w:rsidP="00C02269">
      <w:pPr>
        <w:spacing w:line="480" w:lineRule="auto"/>
        <w:jc w:val="both"/>
        <w:rPr>
          <w:rFonts w:ascii="Times New Roman" w:hAnsi="Times New Roman" w:cs="Times New Roman"/>
          <w:bCs/>
        </w:rPr>
      </w:pPr>
      <w:r w:rsidRPr="00D92B40">
        <w:rPr>
          <w:rFonts w:ascii="Times New Roman" w:hAnsi="Times New Roman" w:cs="Times New Roman"/>
          <w:bCs/>
        </w:rPr>
        <w:t xml:space="preserve">To ensure data quality and improve model performance, certain elemental species from the Xact 625i were excluded from the PMF input if a substantial fraction of data points (exceeding 50%) fell below their respective Minimum </w:t>
      </w:r>
      <w:r w:rsidR="002512C5" w:rsidRPr="00D92B40">
        <w:rPr>
          <w:rFonts w:ascii="Times New Roman" w:hAnsi="Times New Roman" w:cs="Times New Roman"/>
          <w:bCs/>
        </w:rPr>
        <w:t>d</w:t>
      </w:r>
      <w:r w:rsidRPr="00D92B40">
        <w:rPr>
          <w:rFonts w:ascii="Times New Roman" w:hAnsi="Times New Roman" w:cs="Times New Roman"/>
          <w:bCs/>
        </w:rPr>
        <w:t xml:space="preserve">etection </w:t>
      </w:r>
      <w:r w:rsidR="002512C5" w:rsidRPr="00D92B40">
        <w:rPr>
          <w:rFonts w:ascii="Times New Roman" w:hAnsi="Times New Roman" w:cs="Times New Roman"/>
          <w:bCs/>
        </w:rPr>
        <w:t>l</w:t>
      </w:r>
      <w:r w:rsidRPr="00D92B40">
        <w:rPr>
          <w:rFonts w:ascii="Times New Roman" w:hAnsi="Times New Roman" w:cs="Times New Roman"/>
          <w:bCs/>
        </w:rPr>
        <w:t xml:space="preserve">imits (MDL) </w:t>
      </w:r>
      <w:r w:rsidR="005C7F13" w:rsidRPr="00D92B40">
        <w:rPr>
          <w:rFonts w:ascii="Times New Roman" w:hAnsi="Times New Roman" w:cs="Times New Roman"/>
          <w:bCs/>
        </w:rPr>
        <w:fldChar w:fldCharType="begin" w:fldLock="1"/>
      </w:r>
      <w:r w:rsidR="00B3283B" w:rsidRPr="00D92B40">
        <w:rPr>
          <w:rFonts w:ascii="Times New Roman" w:hAnsi="Times New Roman" w:cs="Times New Roman"/>
          <w:bCs/>
        </w:rPr>
        <w:instrText>ADDIN CSL_CITATION {"citationItems":[{"id":"ITEM-1","itemData":{"DOI":"10.1029/98JD01212","ISSN":"01480227","abstract":"The fine particle (&lt; 2.5 μm) composition data from seven National Park Service locations in Alaska for the period from 1986 to 1995 was performed using a new type of factor analysis, positive matrix factorization (PMF). This method uses the estimates of the error in the data to provide optimum data point scaling and permits a better treatment of missing and below detection limit values. Eight source components were obtained for data sets from the Northwest Alaska Areas and the Bering Land Bridge sites. Five to seven components were obtained for the other Alaskan sites. The solutions were normalized by using aerosol fine mass concentration data. Squared correlation coefficients between the reconstructed mass obtained from aerosol composition data for the sites and the measured mass were in the range of 0.74-0.95. Two factors identified as soils were obtained for all of the sites. Concentrations for these factors for most of the sites have maxima in the summer and minima in the whiter. A sea-salt component was found at five locations. A factor with the highest concentrations of black carbon (BC), H+, and K identified as forest fire smoke was obtained for all data sets except at Katmai. Factors with high concentrations of S, BC-Na-S, and Zn-Cu were obtained at all sites. At three sites, the solutions also contained a factor with high Pb and Br values. The factors with the high S, Pb, and BC-Na-S values at most sites show an annual cycle with maxima during the winter-spring season and minima in the summer. The seasonal variations and elemental compositions of these factors suggest anthropogenic origins with the spatial pattern suggesting that the sources are distant from the receptor sites. The seasonal maxima/minima ratios of these factors were higher for more northerly locations. Four main sources contribute to the observed concentrations at these locations: long-range transported anthropogenic aerosol (Arctic haze aerosol), sea-salt aerosol, local soil dust, and aerosol with high BC concentrations from regional forest fires or local wood smoke. A northwest to southeast negative gradient suggesting long-range transport of air masses from regions north or northwest of Alaska dominated the spatial distribution of the high S factor concentrations. Copyright 1998 by the American Geophysical Union.","author":[{"dropping-particle":"V.","family":"Polissar","given":"Alexandr","non-dropping-particle":"","parse-names":false,"suffix":""},{"dropping-particle":"","family":"Hopke","given":"Philip K.","non-dropping-particle":"","parse-names":false,"suffix":""},{"dropping-particle":"","family":"Paatero","given":"Pentti","non-dropping-particle":"","parse-names":false,"suffix":""},{"dropping-particle":"","family":"Malm","given":"William C.","non-dropping-particle":"","parse-names":false,"suffix":""},{"dropping-particle":"","family":"Sisler","given":"James F.","non-dropping-particle":"","parse-names":false,"suffix":""}],"container-title":"Journal of Geophysical Research Atmospheres","id":"ITEM-1","issue":"D15","issued":{"date-parts":[["1998","8","20"]]},"page":"19045-19057","publisher":"Blackwell Publishing Ltd","title":"Atmospheric aerosol over Alaska 2. Elemental composition and sources","type":"article-journal","volume":"103"},"uris":["http://www.mendeley.com/documents/?uuid=fcd075b9-5ba9-30f8-baf5-d7940b0ef5e3"]}],"mendeley":{"formattedCitation":"(Polissar et al., 1998)","plainTextFormattedCitation":"(Polissar et al., 1998)","previouslyFormattedCitation":"(Polissar et al., 1998)"},"properties":{"noteIndex":0},"schema":"https://github.com/citation-style-language/schema/raw/master/csl-citation.json"}</w:instrText>
      </w:r>
      <w:r w:rsidR="005C7F13" w:rsidRPr="00D92B40">
        <w:rPr>
          <w:rFonts w:ascii="Times New Roman" w:hAnsi="Times New Roman" w:cs="Times New Roman"/>
          <w:bCs/>
        </w:rPr>
        <w:fldChar w:fldCharType="separate"/>
      </w:r>
      <w:r w:rsidR="005C7F13" w:rsidRPr="00D92B40">
        <w:rPr>
          <w:rFonts w:ascii="Times New Roman" w:hAnsi="Times New Roman" w:cs="Times New Roman"/>
          <w:bCs/>
          <w:noProof/>
        </w:rPr>
        <w:t>(Polissar et al., 1998)</w:t>
      </w:r>
      <w:r w:rsidR="005C7F13" w:rsidRPr="00D92B40">
        <w:rPr>
          <w:rFonts w:ascii="Times New Roman" w:hAnsi="Times New Roman" w:cs="Times New Roman"/>
          <w:bCs/>
        </w:rPr>
        <w:fldChar w:fldCharType="end"/>
      </w:r>
      <w:r w:rsidRPr="00D92B40">
        <w:rPr>
          <w:rFonts w:ascii="Times New Roman" w:hAnsi="Times New Roman" w:cs="Times New Roman"/>
          <w:bCs/>
        </w:rPr>
        <w:t xml:space="preserve">. The MDL values for the elemental species were provided by the manufacturer (Cooper Environmental), whereas the MDL for BC was determined following the methodology outlined by </w:t>
      </w:r>
      <w:r w:rsidR="00B3283B" w:rsidRPr="00D92B40">
        <w:rPr>
          <w:rFonts w:ascii="Times New Roman" w:hAnsi="Times New Roman" w:cs="Times New Roman"/>
          <w:bCs/>
        </w:rPr>
        <w:fldChar w:fldCharType="begin" w:fldLock="1"/>
      </w:r>
      <w:r w:rsidR="00C71921" w:rsidRPr="00D92B40">
        <w:rPr>
          <w:rFonts w:ascii="Times New Roman" w:hAnsi="Times New Roman" w:cs="Times New Roman"/>
          <w:bCs/>
        </w:rPr>
        <w:instrText>ADDIN CSL_CITATION {"citationItems":[{"id":"ITEM-1","itemData":{"DOI":"10.5194/acp-14-13773-2014","ISSN":"16807324","abstract":"Online non-refractory submicron aerosol mass spectrometer (AMS) measurements in urban areas have successfully allowed the apportionment of specific sources and/or physical and chemical properties of the organic fraction. However, in order to be fully representative of PM pollution, a comprehensive source apportionment analysis is needed by taking into account all major components of submicron aerosols, creating strengthened bonds between the organic components and pollution sources. We present here a novel two-step methodology to perform such an analysis, by taking advantage of high time resolution of monitoring instruments: the aerosol chemical speciation monitor (ACSM) and the multi-wavelength absorption measurements (Aethalometer AE31) in Paris, France. As a first step, organic aerosols (OA) were deconvolved to hydrocarbon-like OA (HOA), biomass burning OA (BBOA) and oxygenated OA (OOA) with positive matrix factorization (PMF), and black carbon was deconvolved into its wood burning and fossil fuel combustion fractions. A second PMF analysis was then carried out with organic factors, BC fractions and inorganic species (nitrate, sulfate, ammonium, chloride), leading to a four-factor solution allowing highly time-resolved characterization of the major sources of PM1. Outputs of this PMF2 include two dominant combustion sources (wood burning and traffic) as well as semi-volatile and low-volatile secondary aerosols. While HOA is found to be emitted by both wood burning and traffic, the latter sources occurred to significantly contribute also to OOA.","author":[{"dropping-particle":"","family":"Petit","given":"J. E.","non-dropping-particle":"","parse-names":false,"suffix":""},{"dropping-particle":"","family":"Favez","given":"O.","non-dropping-particle":"","parse-names":false,"suffix":""},{"dropping-particle":"","family":"Sciare","given":"J.","non-dropping-particle":"","parse-names":false,"suffix":""},{"dropping-particle":"","family":"Canonaco","given":"F.","non-dropping-particle":"","parse-names":false,"suffix":""},{"dropping-particle":"","family":"Croteau","given":"P.","non-dropping-particle":"","parse-names":false,"suffix":""},{"dropping-particle":"","family":"Močnik","given":"G.","non-dropping-particle":"","parse-names":false,"suffix":""},{"dropping-particle":"","family":"Jayne","given":"J.","non-dropping-particle":"","parse-names":false,"suffix":""},{"dropping-particle":"","family":"Worsnop","given":"D.","non-dropping-particle":"","parse-names":false,"suffix":""},{"dropping-particle":"","family":"Leoz-Garziandia","given":"E.","non-dropping-particle":"","parse-names":false,"suffix":""}],"container-title":"Atmospheric Chemistry and Physics","id":"ITEM-1","issue":"24","issued":{"date-parts":[["2014","12","22"]]},"page":"13773-13787","publisher":"Copernicus GmbH","title":"Submicron aerosol source apportionment of wintertime pollution in Paris, France by double positive matrix factorization (PMF2) using an aerosol chemical speciation monitor (ACSM) and a multi-wavelength Aethalometer","type":"article-journal","volume":"14"},"uris":["http://www.mendeley.com/documents/?uuid=02749365-60c6-3b88-9c88-6bae7bc016b8"]}],"mendeley":{"formattedCitation":"(J. E. Petit et al., 2014)","plainTextFormattedCitation":"(J. E. Petit et al., 2014)","previouslyFormattedCitation":"(J. E. Petit et al., 2014)"},"properties":{"noteIndex":0},"schema":"https://github.com/citation-style-language/schema/raw/master/csl-citation.json"}</w:instrText>
      </w:r>
      <w:r w:rsidR="00B3283B" w:rsidRPr="00D92B40">
        <w:rPr>
          <w:rFonts w:ascii="Times New Roman" w:hAnsi="Times New Roman" w:cs="Times New Roman"/>
          <w:bCs/>
        </w:rPr>
        <w:fldChar w:fldCharType="separate"/>
      </w:r>
      <w:r w:rsidR="00C71921" w:rsidRPr="00D92B40">
        <w:rPr>
          <w:rFonts w:ascii="Times New Roman" w:hAnsi="Times New Roman" w:cs="Times New Roman"/>
          <w:bCs/>
          <w:noProof/>
        </w:rPr>
        <w:t>(J. E. Petit et al., 2014)</w:t>
      </w:r>
      <w:r w:rsidR="00B3283B" w:rsidRPr="00D92B40">
        <w:rPr>
          <w:rFonts w:ascii="Times New Roman" w:hAnsi="Times New Roman" w:cs="Times New Roman"/>
          <w:bCs/>
        </w:rPr>
        <w:fldChar w:fldCharType="end"/>
      </w:r>
      <w:r w:rsidRPr="00D92B40">
        <w:rPr>
          <w:rFonts w:ascii="Times New Roman" w:hAnsi="Times New Roman" w:cs="Times New Roman"/>
          <w:bCs/>
        </w:rPr>
        <w:t>.</w:t>
      </w:r>
    </w:p>
    <w:p w14:paraId="7AB960BB" w14:textId="74581609" w:rsidR="00286E47" w:rsidRDefault="00286E47" w:rsidP="00C02269">
      <w:pPr>
        <w:spacing w:line="480" w:lineRule="auto"/>
        <w:jc w:val="both"/>
        <w:rPr>
          <w:rFonts w:ascii="Times New Roman" w:hAnsi="Times New Roman" w:cs="Times New Roman"/>
          <w:b/>
          <w:i/>
          <w:iCs/>
        </w:rPr>
      </w:pPr>
      <w:r w:rsidRPr="00286E47">
        <w:rPr>
          <w:rFonts w:ascii="Times New Roman" w:hAnsi="Times New Roman" w:cs="Times New Roman"/>
          <w:b/>
          <w:i/>
          <w:iCs/>
        </w:rPr>
        <w:t>S2.</w:t>
      </w:r>
      <w:r w:rsidR="007F3D95">
        <w:rPr>
          <w:rFonts w:ascii="Times New Roman" w:hAnsi="Times New Roman" w:cs="Times New Roman"/>
          <w:b/>
          <w:i/>
          <w:iCs/>
        </w:rPr>
        <w:t xml:space="preserve">2 </w:t>
      </w:r>
      <w:r w:rsidRPr="00286E47">
        <w:rPr>
          <w:rFonts w:ascii="Times New Roman" w:hAnsi="Times New Roman" w:cs="Times New Roman"/>
          <w:b/>
          <w:i/>
          <w:iCs/>
        </w:rPr>
        <w:t xml:space="preserve">Species </w:t>
      </w:r>
      <w:r w:rsidR="00F61A38">
        <w:rPr>
          <w:rFonts w:ascii="Times New Roman" w:hAnsi="Times New Roman" w:cs="Times New Roman"/>
          <w:b/>
          <w:i/>
          <w:iCs/>
        </w:rPr>
        <w:t>Selection</w:t>
      </w:r>
      <w:r w:rsidR="000A73DE">
        <w:rPr>
          <w:rFonts w:ascii="Times New Roman" w:hAnsi="Times New Roman" w:cs="Times New Roman"/>
          <w:b/>
          <w:i/>
          <w:iCs/>
        </w:rPr>
        <w:t xml:space="preserve">, </w:t>
      </w:r>
      <w:r w:rsidRPr="00286E47">
        <w:rPr>
          <w:rFonts w:ascii="Times New Roman" w:hAnsi="Times New Roman" w:cs="Times New Roman"/>
          <w:b/>
          <w:i/>
          <w:iCs/>
        </w:rPr>
        <w:t>Classification and Reweighting</w:t>
      </w:r>
    </w:p>
    <w:p w14:paraId="6B0912DC" w14:textId="193640B8" w:rsidR="00846424" w:rsidRPr="00735EB6" w:rsidRDefault="00846424" w:rsidP="00846424">
      <w:pPr>
        <w:spacing w:line="480" w:lineRule="auto"/>
        <w:jc w:val="both"/>
        <w:rPr>
          <w:rFonts w:ascii="Times New Roman" w:hAnsi="Times New Roman" w:cs="Times New Roman"/>
        </w:rPr>
      </w:pPr>
      <w:r w:rsidRPr="00735EB6">
        <w:rPr>
          <w:rFonts w:ascii="Times New Roman" w:hAnsi="Times New Roman" w:cs="Times New Roman"/>
        </w:rPr>
        <w:t xml:space="preserve">Xact 625i was set up to quantify 36 elements (Si, S, Cl, K, Ca, Sc, Ti, V, Mn, Fe, Co, Zn, Ga, Ge, As, Se, Br, Rb, Sr, Mo, Pd, Ag, Cd, In, Sn, Sb, </w:t>
      </w:r>
      <w:proofErr w:type="spellStart"/>
      <w:r w:rsidRPr="00735EB6">
        <w:rPr>
          <w:rFonts w:ascii="Times New Roman" w:hAnsi="Times New Roman" w:cs="Times New Roman"/>
        </w:rPr>
        <w:t>Te</w:t>
      </w:r>
      <w:proofErr w:type="spellEnd"/>
      <w:r w:rsidRPr="00735EB6">
        <w:rPr>
          <w:rFonts w:ascii="Times New Roman" w:hAnsi="Times New Roman" w:cs="Times New Roman"/>
        </w:rPr>
        <w:t xml:space="preserve">, Cs, Ba, La, Ce, Au, Hg, Tl, Pb, and Bi) with half-hourly time resolution. During this study, 21 elements (Sc, V, Co, Ga, Ge, Mo, Pd, Ag, Cd, Sr, In, Sn, Sb, </w:t>
      </w:r>
      <w:proofErr w:type="spellStart"/>
      <w:r w:rsidRPr="00735EB6">
        <w:rPr>
          <w:rFonts w:ascii="Times New Roman" w:hAnsi="Times New Roman" w:cs="Times New Roman"/>
        </w:rPr>
        <w:t>Te</w:t>
      </w:r>
      <w:proofErr w:type="spellEnd"/>
      <w:r w:rsidRPr="00735EB6">
        <w:rPr>
          <w:rFonts w:ascii="Times New Roman" w:hAnsi="Times New Roman" w:cs="Times New Roman"/>
        </w:rPr>
        <w:t xml:space="preserve">, Cs, La, Ce, Au, Hg, Tl, Bi) were excluded as more than 50% of their data points were below the MDL. The measurement uncertainty reported by Xact 625i software, which accounts for spectral deconvolution and sampling uncertainty </w:t>
      </w:r>
      <w:r w:rsidR="00203EEE" w:rsidRPr="00735EB6">
        <w:rPr>
          <w:rFonts w:ascii="Times New Roman" w:hAnsi="Times New Roman" w:cs="Times New Roman"/>
        </w:rPr>
        <w:fldChar w:fldCharType="begin" w:fldLock="1"/>
      </w:r>
      <w:r w:rsidR="004458F6">
        <w:rPr>
          <w:rFonts w:ascii="Times New Roman" w:hAnsi="Times New Roman" w:cs="Times New Roman"/>
        </w:rPr>
        <w:instrText>ADDIN CSL_CITATION {"citationItems":[{"id":"ITEM-1","itemData":{"DOI":"10.5194/amt-11-3541-2018","ISSN":"18678548","abstract":"Measuring the chemical composition of airborne particulate matter (PM) can provide valuable information on the concentration of regulated toxic metals, support modelling approaches for source detection and assist in the identification and validation of abatement techniques. Undertaking these at a high time resolution (1ĝ€h or less) enables receptor modelling techniques to be more robustly linked to emission processes. This study describes a comprehensive laboratory and field evaluation of a high time resolution x-ray fluorescence (XRF) instrument (CES XACT 625) for a range of elements (As, Ba, Ca, Cd, Ce, Cl, Cr, Cu, Fe, K, Mn, Mo, Ni, Pb, Pt, S, Sb, Se, Si, Sr, Ti, V and Zn) against alternative techniques: high time resolution mass measurements, high time resolution ion chromatography, aerosol mass spectrometry, and established filter-based, laboratory analysis using inductively coupled plasma mass spectrometry (ICP-MS). &lt;ol classCombining double low line\"enumerate\"&gt;&lt;li classCombining double low line\"item\"&gt;&lt;div classCombining double low line\"para\"&gt;&lt;p&gt;Laboratory evaluation was carried out using a novel mass-based calibration technique to independently assess the accuracy of the XRF against laboratory generated aerosols, which resulted in slopes that were not significantly different from unity. This demonstrated that generated particles can serve as an alternative calibration method for this instrument.&lt;/p&gt;&lt;/div&gt;&lt;/li&gt;&lt;li classCombining double low line\"item\"&gt;&lt;div classCombining double low line\"para\"&gt;&lt;p&gt;The XACT was evaluated in three contrasting field deployments; a heavily trafficked roadside site (PM10 and PM2.5), an industrial location downwind of a nickel refinery (PM10) and an urban background location influenced by nearby industries and motorways (PM10). The XRF technique agreed well with the ICP-MS measurements of daily filter samples in all cases with a median &lt;i&gt;R&lt;/i&gt;2 of 0.93 and a median slope of 1.07 for the elements As, Ba, Ca, Cr, Cu, Fe, K, Mn, Ni, Pb, Se, Sr, Ti, V and Zn. Differences in the results were attributed to a combination of inlet location and sampling temperature, variable blank levels in filter paper and recovery rates from acid digestion. The XRF technique also agreed well with the other high time resolution measurements but showed a clear positive difference (slopes between 1.41 and 4.6), probably due to differences in the size selection methodology, volatility and water solubility of the PM in aerosol mass spectrometry (SO4)…","author":[{"dropping-particle":"","family":"Tremper","given":"Anja H.","non-dropping-particle":"","parse-names":false,"suffix":""},{"dropping-particle":"","family":"Font","given":"Anna","non-dropping-particle":"","parse-names":false,"suffix":""},{"dropping-particle":"","family":"Priestman","given":"Max","non-dropping-particle":"","parse-names":false,"suffix":""},{"dropping-particle":"","family":"Hamad","given":"Samera H.","non-dropping-particle":"","parse-names":false,"suffix":""},{"dropping-particle":"","family":"Chung","given":"Tsai Chia","non-dropping-particle":"","parse-names":false,"suffix":""},{"dropping-particle":"","family":"Pribadi","given":"Ari","non-dropping-particle":"","parse-names":false,"suffix":""},{"dropping-particle":"","family":"Brown","given":"Richard J.C.","non-dropping-particle":"","parse-names":false,"suffix":""},{"dropping-particle":"","family":"Goddard","given":"Sharon L.","non-dropping-particle":"","parse-names":false,"suffix":""},{"dropping-particle":"","family":"Grassineau","given":"Nathalie","non-dropping-particle":"","parse-names":false,"suffix":""},{"dropping-particle":"","family":"Petterson","given":"Krag","non-dropping-particle":"","parse-names":false,"suffix":""},{"dropping-particle":"","family":"Kelly","given":"Frank J.","non-dropping-particle":"","parse-names":false,"suffix":""},{"dropping-particle":"","family":"Green","given":"David C.","non-dropping-particle":"","parse-names":false,"suffix":""}],"container-title":"Atmospheric Measurement Techniques","id":"ITEM-1","issue":"6","issued":{"date-parts":[["2018","6","20"]]},"page":"3541-3557","publisher":"Copernicus GmbH","title":"Field and laboratory evaluation of a high time resolution x-ray fluorescence instrument for determining the elemental composition of ambient aerosols","type":"article-journal","volume":"11"},"uris":["http://www.mendeley.com/documents/?uuid=27d06305-db12-3cab-ac36-1fb9ded1e30a"]}],"mendeley":{"formattedCitation":"(Tremper et al., 2018)","plainTextFormattedCitation":"(Tremper et al., 2018)","previouslyFormattedCitation":"(Tremper et al., 2018)"},"properties":{"noteIndex":0},"schema":"https://github.com/citation-style-language/schema/raw/master/csl-citation.json"}</w:instrText>
      </w:r>
      <w:r w:rsidR="00203EEE" w:rsidRPr="00735EB6">
        <w:rPr>
          <w:rFonts w:ascii="Times New Roman" w:hAnsi="Times New Roman" w:cs="Times New Roman"/>
        </w:rPr>
        <w:fldChar w:fldCharType="separate"/>
      </w:r>
      <w:r w:rsidR="00203EEE" w:rsidRPr="00735EB6">
        <w:rPr>
          <w:rFonts w:ascii="Times New Roman" w:hAnsi="Times New Roman" w:cs="Times New Roman"/>
          <w:noProof/>
        </w:rPr>
        <w:t>(Tremper et al., 2018)</w:t>
      </w:r>
      <w:r w:rsidR="00203EEE" w:rsidRPr="00735EB6">
        <w:rPr>
          <w:rFonts w:ascii="Times New Roman" w:hAnsi="Times New Roman" w:cs="Times New Roman"/>
        </w:rPr>
        <w:fldChar w:fldCharType="end"/>
      </w:r>
      <w:r w:rsidRPr="00735EB6">
        <w:rPr>
          <w:rFonts w:ascii="Times New Roman" w:hAnsi="Times New Roman" w:cs="Times New Roman"/>
        </w:rPr>
        <w:t>, was used for the PMF input.</w:t>
      </w:r>
    </w:p>
    <w:p w14:paraId="6C1CF13A" w14:textId="77777777" w:rsidR="00BC163A" w:rsidRPr="00735EB6" w:rsidRDefault="00BC163A" w:rsidP="00C02269">
      <w:pPr>
        <w:spacing w:line="480" w:lineRule="auto"/>
        <w:jc w:val="both"/>
        <w:rPr>
          <w:rFonts w:ascii="Times New Roman" w:hAnsi="Times New Roman" w:cs="Times New Roman"/>
          <w:b/>
        </w:rPr>
      </w:pPr>
    </w:p>
    <w:p w14:paraId="5AAD2263" w14:textId="68F31A50" w:rsidR="00C02269" w:rsidRPr="00735EB6" w:rsidRDefault="00C02269" w:rsidP="00C02269">
      <w:pPr>
        <w:spacing w:line="480" w:lineRule="auto"/>
        <w:jc w:val="both"/>
        <w:rPr>
          <w:rFonts w:ascii="Times New Roman" w:hAnsi="Times New Roman" w:cs="Times New Roman"/>
          <w:bCs/>
        </w:rPr>
      </w:pPr>
      <w:r w:rsidRPr="00735EB6">
        <w:rPr>
          <w:rFonts w:ascii="Times New Roman" w:hAnsi="Times New Roman" w:cs="Times New Roman"/>
          <w:bCs/>
        </w:rPr>
        <w:lastRenderedPageBreak/>
        <w:t xml:space="preserve">The reliability of the measured concentrations for each species j was further assessed using the signal-to-noise (S/N) ratio, calculated within the EPA PMF 5.0 module </w:t>
      </w:r>
      <w:r w:rsidR="00251199" w:rsidRPr="00735EB6">
        <w:rPr>
          <w:rFonts w:ascii="Times New Roman" w:hAnsi="Times New Roman" w:cs="Times New Roman"/>
          <w:bCs/>
        </w:rPr>
        <w:fldChar w:fldCharType="begin" w:fldLock="1"/>
      </w:r>
      <w:r w:rsidR="00103BD3" w:rsidRPr="00735EB6">
        <w:rPr>
          <w:rFonts w:ascii="Times New Roman" w:hAnsi="Times New Roman" w:cs="Times New Roman"/>
          <w:bCs/>
        </w:rPr>
        <w:instrText>ADDIN CSL_CITATION {"citationItems":[{"id":"ITEM-1","itemData":{"author":[{"dropping-particle":"","family":"Norris","given":"Gary","non-dropping-particle":"","parse-names":false,"suffix":""},{"dropping-particle":"","family":"Duvall","given":"Rachelle","non-dropping-particle":"","parse-names":false,"suffix":""},{"dropping-particle":"","family":"Brown","given":"Steve","non-dropping-particle":"","parse-names":false,"suffix":""},{"dropping-particle":"","family":"Bai","given":"Song","non-dropping-particle":"","parse-names":false,"suffix":""}],"id":"ITEM-1","issued":{"date-parts":[["2014"]]},"title":"EPA PMF 5.0 User Guide","type":"report"},"uris":["http://www.mendeley.com/documents/?uuid=f8387656-22a4-40e0-a467-41da9a255468"]}],"mendeley":{"formattedCitation":"(Norris et al., 2014)","plainTextFormattedCitation":"(Norris et al., 2014)","previouslyFormattedCitation":"(Norris et al., 2014)"},"properties":{"noteIndex":0},"schema":"https://github.com/citation-style-language/schema/raw/master/csl-citation.json"}</w:instrText>
      </w:r>
      <w:r w:rsidR="00251199" w:rsidRPr="00735EB6">
        <w:rPr>
          <w:rFonts w:ascii="Times New Roman" w:hAnsi="Times New Roman" w:cs="Times New Roman"/>
          <w:bCs/>
        </w:rPr>
        <w:fldChar w:fldCharType="separate"/>
      </w:r>
      <w:r w:rsidR="00251199" w:rsidRPr="00735EB6">
        <w:rPr>
          <w:rFonts w:ascii="Times New Roman" w:hAnsi="Times New Roman" w:cs="Times New Roman"/>
          <w:bCs/>
          <w:noProof/>
        </w:rPr>
        <w:t>(Norris et al., 2014)</w:t>
      </w:r>
      <w:r w:rsidR="00251199" w:rsidRPr="00735EB6">
        <w:rPr>
          <w:rFonts w:ascii="Times New Roman" w:hAnsi="Times New Roman" w:cs="Times New Roman"/>
          <w:bCs/>
        </w:rPr>
        <w:fldChar w:fldCharType="end"/>
      </w:r>
      <w:r w:rsidRPr="00735EB6">
        <w:rPr>
          <w:rFonts w:ascii="Times New Roman" w:hAnsi="Times New Roman" w:cs="Times New Roman"/>
          <w:bCs/>
        </w:rPr>
        <w:t xml:space="preserve">. For each concentration value </w:t>
      </w:r>
      <w:proofErr w:type="spellStart"/>
      <w:r w:rsidRPr="00735EB6">
        <w:rPr>
          <w:rFonts w:ascii="Times New Roman" w:hAnsi="Times New Roman" w:cs="Times New Roman"/>
          <w:bCs/>
        </w:rPr>
        <w:t>x</w:t>
      </w:r>
      <w:r w:rsidRPr="00735EB6">
        <w:rPr>
          <w:rFonts w:ascii="Times New Roman" w:hAnsi="Times New Roman" w:cs="Times New Roman"/>
          <w:bCs/>
          <w:vertAlign w:val="subscript"/>
        </w:rPr>
        <w:t>ij</w:t>
      </w:r>
      <w:proofErr w:type="spellEnd"/>
      <w:r w:rsidR="00907E95" w:rsidRPr="00735EB6">
        <w:rPr>
          <w:rFonts w:ascii="Times New Roman" w:hAnsi="Times New Roman" w:cs="Times New Roman"/>
          <w:bCs/>
        </w:rPr>
        <w:t xml:space="preserve"> </w:t>
      </w:r>
      <w:r w:rsidRPr="00735EB6">
        <w:rPr>
          <w:rFonts w:ascii="Times New Roman" w:hAnsi="Times New Roman" w:cs="Times New Roman"/>
          <w:bCs/>
        </w:rPr>
        <w:t xml:space="preserve">and its corresponding uncertainty </w:t>
      </w:r>
      <w:proofErr w:type="spellStart"/>
      <w:r w:rsidR="002512C5" w:rsidRPr="00735EB6">
        <w:rPr>
          <w:rFonts w:ascii="Times New Roman" w:hAnsi="Times New Roman" w:cs="Times New Roman"/>
          <w:bCs/>
        </w:rPr>
        <w:t>s</w:t>
      </w:r>
      <w:r w:rsidR="002512C5" w:rsidRPr="00735EB6">
        <w:rPr>
          <w:rFonts w:ascii="Times New Roman" w:hAnsi="Times New Roman" w:cs="Times New Roman"/>
          <w:bCs/>
          <w:vertAlign w:val="subscript"/>
        </w:rPr>
        <w:t>ij</w:t>
      </w:r>
      <w:proofErr w:type="spellEnd"/>
      <w:r w:rsidR="002512C5" w:rsidRPr="00735EB6">
        <w:rPr>
          <w:rFonts w:ascii="Times New Roman" w:hAnsi="Times New Roman" w:cs="Times New Roman"/>
          <w:bCs/>
        </w:rPr>
        <w:t>, the</w:t>
      </w:r>
      <w:r w:rsidRPr="00735EB6">
        <w:rPr>
          <w:rFonts w:ascii="Times New Roman" w:hAnsi="Times New Roman" w:cs="Times New Roman"/>
          <w:bCs/>
        </w:rPr>
        <w:t xml:space="preserve"> signal </w:t>
      </w:r>
      <w:proofErr w:type="spellStart"/>
      <w:r w:rsidRPr="00735EB6">
        <w:rPr>
          <w:rFonts w:ascii="Times New Roman" w:hAnsi="Times New Roman" w:cs="Times New Roman"/>
          <w:bCs/>
        </w:rPr>
        <w:t>d</w:t>
      </w:r>
      <w:r w:rsidRPr="00735EB6">
        <w:rPr>
          <w:rFonts w:ascii="Times New Roman" w:hAnsi="Times New Roman" w:cs="Times New Roman"/>
          <w:bCs/>
          <w:vertAlign w:val="subscript"/>
        </w:rPr>
        <w:t>ij</w:t>
      </w:r>
      <w:proofErr w:type="spellEnd"/>
      <w:r w:rsidRPr="00735EB6">
        <w:rPr>
          <w:rFonts w:ascii="Times New Roman" w:hAnsi="Times New Roman" w:cs="Times New Roman"/>
          <w:bCs/>
        </w:rPr>
        <w:t>​ was defined as the difference between the two, such th</w:t>
      </w:r>
      <w:r w:rsidR="000B3EB6" w:rsidRPr="00735EB6">
        <w:rPr>
          <w:rFonts w:ascii="Times New Roman" w:hAnsi="Times New Roman" w:cs="Times New Roman"/>
          <w:bCs/>
        </w:rPr>
        <w:t>at</w:t>
      </w:r>
    </w:p>
    <w:p w14:paraId="2809807D" w14:textId="2E9E20C9" w:rsidR="009C0912" w:rsidRPr="003F7672" w:rsidRDefault="00952339" w:rsidP="00AB702C">
      <w:pPr>
        <w:spacing w:line="480" w:lineRule="auto"/>
        <w:jc w:val="both"/>
        <w:rPr>
          <w:rFonts w:ascii="Times New Roman" w:eastAsiaTheme="minorEastAsia" w:hAnsi="Times New Roman" w:cs="Times New Roman"/>
        </w:rPr>
      </w:pPr>
      <w:r w:rsidRPr="003F7672">
        <w:rPr>
          <w:rFonts w:ascii="Times New Roman" w:hAnsi="Times New Roman" w:cs="Times New Roman"/>
        </w:rPr>
        <w:t xml:space="preserve">species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ij</m:t>
            </m:r>
          </m:sub>
        </m:sSub>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 xml:space="preserve">ij </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ij</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ij</m:t>
                    </m:r>
                  </m:sub>
                </m:sSub>
              </m:den>
            </m:f>
          </m:e>
        </m:d>
      </m:oMath>
      <w:r w:rsidR="009C0912" w:rsidRPr="003F7672">
        <w:rPr>
          <w:rFonts w:ascii="Times New Roman" w:hAnsi="Times New Roman" w:cs="Times New Roman"/>
        </w:rPr>
        <w:t xml:space="preserve">  </w:t>
      </w:r>
      <w:r w:rsidR="009C0912" w:rsidRPr="003F7672">
        <w:rPr>
          <w:rFonts w:ascii="Times New Roman" w:eastAsiaTheme="minorEastAsia" w:hAnsi="Times New Roman" w:cs="Times New Roman"/>
        </w:rPr>
        <w:t xml:space="preserve"> if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ij</m:t>
            </m:r>
          </m:sub>
        </m:sSub>
      </m:oMath>
      <w:r w:rsidR="00D27DC2">
        <w:rPr>
          <w:rFonts w:ascii="Times New Roman" w:eastAsiaTheme="minorEastAsia" w:hAnsi="Times New Roman" w:cs="Times New Roman"/>
        </w:rPr>
        <w:t xml:space="preserve">                        </w:t>
      </w:r>
      <w:proofErr w:type="gramStart"/>
      <w:r w:rsidR="00D27DC2">
        <w:rPr>
          <w:rFonts w:ascii="Times New Roman" w:eastAsiaTheme="minorEastAsia" w:hAnsi="Times New Roman" w:cs="Times New Roman"/>
        </w:rPr>
        <w:t xml:space="preserve">   (</w:t>
      </w:r>
      <w:proofErr w:type="gramEnd"/>
      <w:r w:rsidR="00D27DC2">
        <w:rPr>
          <w:rFonts w:ascii="Times New Roman" w:eastAsiaTheme="minorEastAsia" w:hAnsi="Times New Roman" w:cs="Times New Roman"/>
        </w:rPr>
        <w:t>1)</w:t>
      </w:r>
    </w:p>
    <w:p w14:paraId="0F92F542" w14:textId="7569C096" w:rsidR="009C0912" w:rsidRPr="003F7672" w:rsidRDefault="00000000" w:rsidP="009C0912">
      <w:pPr>
        <w:spacing w:line="48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ij</m:t>
            </m:r>
          </m:sub>
        </m:sSub>
        <m:r>
          <w:rPr>
            <w:rFonts w:ascii="Cambria Math" w:hAnsi="Cambria Math" w:cs="Times New Roman"/>
          </w:rPr>
          <m:t>=0</m:t>
        </m:r>
      </m:oMath>
      <w:r w:rsidR="009C0912" w:rsidRPr="003F7672">
        <w:rPr>
          <w:rFonts w:ascii="Times New Roman" w:hAnsi="Times New Roman" w:cs="Times New Roman"/>
        </w:rPr>
        <w:t xml:space="preserve">  </w:t>
      </w:r>
      <w:r w:rsidR="009C0912" w:rsidRPr="003F7672">
        <w:rPr>
          <w:rFonts w:ascii="Times New Roman" w:eastAsiaTheme="minorEastAsia" w:hAnsi="Times New Roman" w:cs="Times New Roman"/>
        </w:rPr>
        <w:t xml:space="preserve"> if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ij</m:t>
            </m:r>
          </m:sub>
        </m:sSub>
      </m:oMath>
      <w:r w:rsidR="00037BE3">
        <w:rPr>
          <w:rFonts w:ascii="Times New Roman" w:eastAsiaTheme="minorEastAsia" w:hAnsi="Times New Roman" w:cs="Times New Roman"/>
        </w:rPr>
        <w:t xml:space="preserve">            </w:t>
      </w:r>
      <w:r w:rsidR="00D27DC2">
        <w:rPr>
          <w:rFonts w:ascii="Times New Roman" w:eastAsiaTheme="minorEastAsia" w:hAnsi="Times New Roman" w:cs="Times New Roman"/>
        </w:rPr>
        <w:t xml:space="preserve">                                     </w:t>
      </w:r>
      <w:proofErr w:type="gramStart"/>
      <w:r w:rsidR="00D27DC2">
        <w:rPr>
          <w:rFonts w:ascii="Times New Roman" w:eastAsiaTheme="minorEastAsia" w:hAnsi="Times New Roman" w:cs="Times New Roman"/>
        </w:rPr>
        <w:t xml:space="preserve">   </w:t>
      </w:r>
      <w:r w:rsidR="009C0912" w:rsidRPr="003F7672">
        <w:rPr>
          <w:rFonts w:ascii="Times New Roman" w:eastAsiaTheme="minorEastAsia" w:hAnsi="Times New Roman" w:cs="Times New Roman"/>
        </w:rPr>
        <w:t>(</w:t>
      </w:r>
      <w:proofErr w:type="gramEnd"/>
      <w:r w:rsidR="009C0912" w:rsidRPr="003F7672">
        <w:rPr>
          <w:rFonts w:ascii="Times New Roman" w:eastAsiaTheme="minorEastAsia" w:hAnsi="Times New Roman" w:cs="Times New Roman"/>
        </w:rPr>
        <w:t>2)</w:t>
      </w:r>
    </w:p>
    <w:p w14:paraId="13D7A126" w14:textId="77777777" w:rsidR="009C0912" w:rsidRPr="003F7672" w:rsidRDefault="009C0912" w:rsidP="009C0912">
      <w:pPr>
        <w:spacing w:line="480" w:lineRule="auto"/>
        <w:jc w:val="both"/>
        <w:rPr>
          <w:rFonts w:ascii="Times New Roman" w:hAnsi="Times New Roman" w:cs="Times New Roman"/>
        </w:rPr>
      </w:pPr>
      <w:r w:rsidRPr="003F7672">
        <w:rPr>
          <w:rFonts w:ascii="Times New Roman" w:hAnsi="Times New Roman" w:cs="Times New Roman"/>
        </w:rPr>
        <w:t>(S/N) ratio is then given by Equation 3 as follows:</w:t>
      </w:r>
    </w:p>
    <w:p w14:paraId="524DDCCF" w14:textId="13904D62" w:rsidR="00B61516" w:rsidRPr="003F7672" w:rsidRDefault="00952339" w:rsidP="003869DC">
      <w:pPr>
        <w:spacing w:line="480" w:lineRule="auto"/>
        <w:jc w:val="both"/>
        <w:rPr>
          <w:rFonts w:ascii="Times New Roman" w:hAnsi="Times New Roman" w:cs="Times New Roman"/>
        </w:rPr>
      </w:pPr>
      <w:r w:rsidRPr="003F7672">
        <w:rPr>
          <w:rFonts w:ascii="Times New Roman" w:hAnsi="Times New Roman" w:cs="Times New Roman"/>
        </w:rPr>
        <w:t xml:space="preserve"> </w:t>
      </w:r>
      <m:oMath>
        <m:sSub>
          <m:sSubPr>
            <m:ctrlPr>
              <w:rPr>
                <w:rFonts w:ascii="Cambria Math" w:hAnsi="Cambria Math" w:cs="Times New Roman"/>
                <w:i/>
              </w:rPr>
            </m:ctrlPr>
          </m:sSub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N</m:t>
                    </m:r>
                  </m:den>
                </m:f>
              </m:e>
            </m:d>
          </m:e>
          <m:sub>
            <m:r>
              <w:rPr>
                <w:rFonts w:ascii="Cambria Math" w:hAnsi="Cambria Math" w:cs="Times New Roman"/>
              </w:rPr>
              <m:t>j</m:t>
            </m:r>
          </m:sub>
        </m:sSub>
        <m:r>
          <w:rPr>
            <w:rFonts w:ascii="Cambria Math" w:hAnsi="Cambria Math" w:cs="Times New Roman"/>
          </w:rPr>
          <m:t>=</m:t>
        </m:r>
        <m:f>
          <m:fPr>
            <m:type m:val="skw"/>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ij</m:t>
                </m:r>
              </m:sub>
            </m:sSub>
          </m:e>
        </m:nary>
      </m:oMath>
      <w:r w:rsidR="00037BE3">
        <w:rPr>
          <w:rFonts w:ascii="Times New Roman" w:eastAsiaTheme="minorEastAsia" w:hAnsi="Times New Roman" w:cs="Times New Roman"/>
        </w:rPr>
        <w:t xml:space="preserve">                                                     </w:t>
      </w:r>
      <w:r w:rsidR="002F4B80" w:rsidRPr="003F7672">
        <w:rPr>
          <w:rFonts w:ascii="Times New Roman" w:eastAsiaTheme="minorEastAsia" w:hAnsi="Times New Roman" w:cs="Times New Roman"/>
        </w:rPr>
        <w:t xml:space="preserve"> (3</w:t>
      </w:r>
      <w:r w:rsidRPr="003F7672">
        <w:rPr>
          <w:rFonts w:ascii="Times New Roman" w:eastAsiaTheme="minorEastAsia" w:hAnsi="Times New Roman" w:cs="Times New Roman"/>
        </w:rPr>
        <w:t>)</w:t>
      </w:r>
    </w:p>
    <w:p w14:paraId="0CA76D5B" w14:textId="77777777" w:rsidR="004F354C" w:rsidRPr="00735EB6" w:rsidRDefault="00A21780" w:rsidP="00A21780">
      <w:pPr>
        <w:spacing w:line="480" w:lineRule="auto"/>
        <w:jc w:val="both"/>
        <w:rPr>
          <w:rFonts w:ascii="Times New Roman" w:hAnsi="Times New Roman" w:cs="Times New Roman"/>
        </w:rPr>
      </w:pPr>
      <w:r w:rsidRPr="00735EB6">
        <w:rPr>
          <w:rFonts w:ascii="Times New Roman" w:hAnsi="Times New Roman" w:cs="Times New Roman"/>
        </w:rPr>
        <w:t xml:space="preserve">As the first step in data preprocessing, species were categorized based on their signal-to-noise (S/N) ratios. </w:t>
      </w:r>
    </w:p>
    <w:p w14:paraId="7DB7DDF3" w14:textId="77777777" w:rsidR="00B34B72" w:rsidRPr="00735EB6" w:rsidRDefault="00A21780" w:rsidP="004F354C">
      <w:pPr>
        <w:pStyle w:val="ListParagraph"/>
        <w:numPr>
          <w:ilvl w:val="0"/>
          <w:numId w:val="4"/>
        </w:numPr>
        <w:spacing w:line="480" w:lineRule="auto"/>
        <w:jc w:val="both"/>
        <w:rPr>
          <w:rFonts w:ascii="Times New Roman" w:hAnsi="Times New Roman" w:cs="Times New Roman"/>
        </w:rPr>
      </w:pPr>
      <w:r w:rsidRPr="00735EB6">
        <w:rPr>
          <w:rFonts w:ascii="Times New Roman" w:hAnsi="Times New Roman" w:cs="Times New Roman"/>
        </w:rPr>
        <w:t xml:space="preserve">Species with S/N &gt; 1 were classified as strong, and their input concentrations and uncertainties were used without modification. </w:t>
      </w:r>
    </w:p>
    <w:p w14:paraId="59A960AD" w14:textId="77777777" w:rsidR="00B34B72" w:rsidRPr="00735EB6" w:rsidRDefault="00A21780" w:rsidP="004F354C">
      <w:pPr>
        <w:pStyle w:val="ListParagraph"/>
        <w:numPr>
          <w:ilvl w:val="0"/>
          <w:numId w:val="4"/>
        </w:numPr>
        <w:spacing w:line="480" w:lineRule="auto"/>
        <w:jc w:val="both"/>
        <w:rPr>
          <w:rFonts w:ascii="Times New Roman" w:hAnsi="Times New Roman" w:cs="Times New Roman"/>
        </w:rPr>
      </w:pPr>
      <w:r w:rsidRPr="00735EB6">
        <w:rPr>
          <w:rFonts w:ascii="Times New Roman" w:hAnsi="Times New Roman" w:cs="Times New Roman"/>
        </w:rPr>
        <w:t xml:space="preserve">Species with S/N between 0.5 and 1 were categorized as weak, and their uncertainty values were increased by a factor of four while retaining the original input concentrations. </w:t>
      </w:r>
    </w:p>
    <w:p w14:paraId="24C4C055" w14:textId="7C2CB1AE" w:rsidR="00A21780" w:rsidRPr="00735EB6" w:rsidRDefault="00A21780" w:rsidP="004F354C">
      <w:pPr>
        <w:pStyle w:val="ListParagraph"/>
        <w:numPr>
          <w:ilvl w:val="0"/>
          <w:numId w:val="4"/>
        </w:numPr>
        <w:spacing w:line="480" w:lineRule="auto"/>
        <w:jc w:val="both"/>
        <w:rPr>
          <w:rFonts w:ascii="Times New Roman" w:hAnsi="Times New Roman" w:cs="Times New Roman"/>
        </w:rPr>
      </w:pPr>
      <w:r w:rsidRPr="00735EB6">
        <w:rPr>
          <w:rFonts w:ascii="Times New Roman" w:hAnsi="Times New Roman" w:cs="Times New Roman"/>
        </w:rPr>
        <w:t>Species with an S/N ratio below 0.5 were classified as bad and excluded from further analysis.</w:t>
      </w:r>
    </w:p>
    <w:p w14:paraId="124CE6F7" w14:textId="0A28B238" w:rsidR="006C7E77" w:rsidRPr="00735EB6" w:rsidRDefault="000004F4" w:rsidP="00A21780">
      <w:pPr>
        <w:spacing w:line="480" w:lineRule="auto"/>
        <w:jc w:val="both"/>
        <w:rPr>
          <w:rFonts w:ascii="Times New Roman" w:hAnsi="Times New Roman" w:cs="Times New Roman"/>
        </w:rPr>
      </w:pPr>
      <w:r w:rsidRPr="00735EB6">
        <w:rPr>
          <w:rFonts w:ascii="Times New Roman" w:hAnsi="Times New Roman" w:cs="Times New Roman"/>
        </w:rPr>
        <w:t>After performing the signal-to-noise (S/N) ratio check, we proceed to the analysis of the observed versus predicted time series. In this step, we identify potential outliers by examining the alignment of peaks between the observed and predicted time series. If significant discrepancies are observed in peak alignment, these points are flagged as potential outliers.</w:t>
      </w:r>
      <w:r w:rsidR="00025D6F" w:rsidRPr="00735EB6">
        <w:rPr>
          <w:rFonts w:ascii="Times New Roman" w:hAnsi="Times New Roman" w:cs="Times New Roman"/>
        </w:rPr>
        <w:t xml:space="preserve"> </w:t>
      </w:r>
      <w:r w:rsidRPr="00735EB6">
        <w:rPr>
          <w:rFonts w:ascii="Times New Roman" w:hAnsi="Times New Roman" w:cs="Times New Roman"/>
        </w:rPr>
        <w:t xml:space="preserve">Additionally, we analyze the histogram of scaled residuals to assess the distribution of errors. Outliers are identified based on the scaled residuals, where values falling outside the range of -3 to 3 indicate unusually large deviations from the expected model </w:t>
      </w:r>
      <w:proofErr w:type="spellStart"/>
      <w:r w:rsidR="00285043">
        <w:rPr>
          <w:rFonts w:ascii="Times New Roman" w:hAnsi="Times New Roman" w:cs="Times New Roman"/>
        </w:rPr>
        <w:t>behaviour</w:t>
      </w:r>
      <w:proofErr w:type="spellEnd"/>
      <w:r w:rsidRPr="00735EB6">
        <w:rPr>
          <w:rFonts w:ascii="Times New Roman" w:hAnsi="Times New Roman" w:cs="Times New Roman"/>
        </w:rPr>
        <w:t>. Data points classified as outliers are excluded from further analysis, as they may introduce bias or distort the overall model performance.</w:t>
      </w:r>
      <w:r w:rsidR="00467827" w:rsidRPr="00735EB6">
        <w:rPr>
          <w:rFonts w:ascii="Times New Roman" w:hAnsi="Times New Roman" w:cs="Times New Roman"/>
        </w:rPr>
        <w:t xml:space="preserve"> </w:t>
      </w:r>
      <w:r w:rsidR="00A21780" w:rsidRPr="00735EB6">
        <w:rPr>
          <w:rFonts w:ascii="Times New Roman" w:hAnsi="Times New Roman" w:cs="Times New Roman"/>
        </w:rPr>
        <w:t xml:space="preserve">After the PMF run, the coefficient of determination (R²) between the measured and predicted time series of each species was evaluated, excluding outliers. If a species exhibited poor prediction performance (low R²), it was further </w:t>
      </w:r>
      <w:proofErr w:type="spellStart"/>
      <w:r w:rsidR="00A21780" w:rsidRPr="00735EB6">
        <w:rPr>
          <w:rFonts w:ascii="Times New Roman" w:hAnsi="Times New Roman" w:cs="Times New Roman"/>
        </w:rPr>
        <w:t>downweighted</w:t>
      </w:r>
      <w:proofErr w:type="spellEnd"/>
      <w:r w:rsidR="00A21780" w:rsidRPr="00735EB6">
        <w:rPr>
          <w:rFonts w:ascii="Times New Roman" w:hAnsi="Times New Roman" w:cs="Times New Roman"/>
        </w:rPr>
        <w:t xml:space="preserve"> to improve model accuracy. The coefficient of determination for each species, as provided by the EPA PMF model, is shown in Table S</w:t>
      </w:r>
      <w:r w:rsidR="00412AE8">
        <w:rPr>
          <w:rFonts w:ascii="Times New Roman" w:hAnsi="Times New Roman" w:cs="Times New Roman"/>
        </w:rPr>
        <w:t>3</w:t>
      </w:r>
      <w:r w:rsidR="00A21780" w:rsidRPr="00735EB6">
        <w:rPr>
          <w:rFonts w:ascii="Times New Roman" w:hAnsi="Times New Roman" w:cs="Times New Roman"/>
        </w:rPr>
        <w:t>.</w:t>
      </w:r>
      <w:r w:rsidR="00285043">
        <w:rPr>
          <w:rFonts w:ascii="Times New Roman" w:hAnsi="Times New Roman" w:cs="Times New Roman"/>
        </w:rPr>
        <w:t xml:space="preserve"> </w:t>
      </w:r>
      <w:r w:rsidR="00461B26">
        <w:rPr>
          <w:rFonts w:ascii="Times New Roman" w:hAnsi="Times New Roman" w:cs="Times New Roman"/>
        </w:rPr>
        <w:t xml:space="preserve">The </w:t>
      </w:r>
      <w:r w:rsidR="00B91156">
        <w:rPr>
          <w:rFonts w:ascii="Times New Roman" w:hAnsi="Times New Roman" w:cs="Times New Roman"/>
        </w:rPr>
        <w:t xml:space="preserve">scatter plot between measured BC and reconstructed BC is shown </w:t>
      </w:r>
      <w:r w:rsidR="00285043">
        <w:rPr>
          <w:rFonts w:ascii="Times New Roman" w:hAnsi="Times New Roman" w:cs="Times New Roman"/>
        </w:rPr>
        <w:t>in Figure S3.</w:t>
      </w:r>
    </w:p>
    <w:p w14:paraId="7117998A" w14:textId="2A34C8D1" w:rsidR="004A0021" w:rsidRPr="00412AE8" w:rsidRDefault="004A0021" w:rsidP="00A21780">
      <w:pPr>
        <w:spacing w:line="480" w:lineRule="auto"/>
        <w:jc w:val="both"/>
        <w:rPr>
          <w:rFonts w:ascii="Times New Roman" w:hAnsi="Times New Roman" w:cs="Times New Roman"/>
          <w:b/>
          <w:bCs/>
          <w:i/>
        </w:rPr>
      </w:pPr>
      <w:r w:rsidRPr="00412AE8">
        <w:rPr>
          <w:rFonts w:ascii="Times New Roman" w:hAnsi="Times New Roman" w:cs="Times New Roman"/>
          <w:b/>
          <w:bCs/>
          <w:i/>
        </w:rPr>
        <w:t>S2.</w:t>
      </w:r>
      <w:r w:rsidR="00CC46D9" w:rsidRPr="00412AE8">
        <w:rPr>
          <w:rFonts w:ascii="Times New Roman" w:hAnsi="Times New Roman" w:cs="Times New Roman"/>
          <w:b/>
          <w:bCs/>
          <w:i/>
        </w:rPr>
        <w:t>3</w:t>
      </w:r>
      <w:r w:rsidRPr="00412AE8">
        <w:rPr>
          <w:rFonts w:ascii="Times New Roman" w:hAnsi="Times New Roman" w:cs="Times New Roman"/>
          <w:b/>
          <w:bCs/>
          <w:i/>
        </w:rPr>
        <w:t xml:space="preserve"> </w:t>
      </w:r>
      <w:r w:rsidR="004D091A" w:rsidRPr="00412AE8">
        <w:rPr>
          <w:rFonts w:ascii="Times New Roman" w:hAnsi="Times New Roman" w:cs="Times New Roman"/>
          <w:b/>
          <w:bCs/>
          <w:i/>
        </w:rPr>
        <w:t>Coupled</w:t>
      </w:r>
      <w:r w:rsidRPr="00412AE8">
        <w:rPr>
          <w:rFonts w:ascii="Times New Roman" w:hAnsi="Times New Roman" w:cs="Times New Roman"/>
          <w:b/>
          <w:bCs/>
          <w:i/>
        </w:rPr>
        <w:t xml:space="preserve"> PMF</w:t>
      </w:r>
    </w:p>
    <w:p w14:paraId="316A3D7E" w14:textId="082F997E" w:rsidR="004A0021" w:rsidRPr="00A10F2F" w:rsidRDefault="00FA273D" w:rsidP="003869DC">
      <w:pPr>
        <w:spacing w:line="480" w:lineRule="auto"/>
        <w:jc w:val="both"/>
        <w:rPr>
          <w:rFonts w:ascii="Times New Roman" w:hAnsi="Times New Roman" w:cs="Times New Roman"/>
        </w:rPr>
      </w:pPr>
      <w:r w:rsidRPr="00A10F2F">
        <w:rPr>
          <w:rFonts w:ascii="Times New Roman" w:hAnsi="Times New Roman" w:cs="Times New Roman"/>
        </w:rPr>
        <w:t>As discussed in Sectio</w:t>
      </w:r>
      <w:r w:rsidR="004458F6" w:rsidRPr="00A10F2F">
        <w:rPr>
          <w:rFonts w:ascii="Times New Roman" w:hAnsi="Times New Roman" w:cs="Times New Roman"/>
        </w:rPr>
        <w:t>n 5</w:t>
      </w:r>
      <w:r w:rsidRPr="00A10F2F">
        <w:rPr>
          <w:rFonts w:ascii="Times New Roman" w:hAnsi="Times New Roman" w:cs="Times New Roman"/>
        </w:rPr>
        <w:t xml:space="preserve"> of the main manuscript, this study builds upon the work of</w:t>
      </w:r>
      <w:r w:rsidR="004458F6" w:rsidRPr="00A10F2F">
        <w:rPr>
          <w:rFonts w:ascii="Times New Roman" w:hAnsi="Times New Roman" w:cs="Times New Roman"/>
        </w:rPr>
        <w:t xml:space="preserve"> </w:t>
      </w:r>
      <w:r w:rsidRPr="00A10F2F">
        <w:rPr>
          <w:rFonts w:ascii="Times New Roman" w:hAnsi="Times New Roman" w:cs="Times New Roman"/>
        </w:rPr>
        <w:t xml:space="preserve"> </w:t>
      </w:r>
      <w:r w:rsidR="00103BD3" w:rsidRPr="00A10F2F">
        <w:rPr>
          <w:rFonts w:ascii="Times New Roman" w:hAnsi="Times New Roman" w:cs="Times New Roman"/>
        </w:rPr>
        <w:fldChar w:fldCharType="begin" w:fldLock="1"/>
      </w:r>
      <w:r w:rsidR="00C71921" w:rsidRPr="00A10F2F">
        <w:rPr>
          <w:rFonts w:ascii="Times New Roman" w:hAnsi="Times New Roman" w:cs="Times New Roman"/>
        </w:rPr>
        <w:instrText>ADDIN CSL_CITATION {"citationItems":[{"id":"ITEM-1","itemData":{"DOI":"10.5194/acp-14-13773-2014","ISSN":"16807324","abstract":"Online non-refractory submicron aerosol mass spectrometer (AMS) measurements in urban areas have successfully allowed the apportionment of specific sources and/or physical and chemical properties of the organic fraction. However, in order to be fully representative of PM pollution, a comprehensive source apportionment analysis is needed by taking into account all major components of submicron aerosols, creating strengthened bonds between the organic components and pollution sources. We present here a novel two-step methodology to perform such an analysis, by taking advantage of high time resolution of monitoring instruments: the aerosol chemical speciation monitor (ACSM) and the multi-wavelength absorption measurements (Aethalometer AE31) in Paris, France. As a first step, organic aerosols (OA) were deconvolved to hydrocarbon-like OA (HOA), biomass burning OA (BBOA) and oxygenated OA (OOA) with positive matrix factorization (PMF), and black carbon was deconvolved into its wood burning and fossil fuel combustion fractions. A second PMF analysis was then carried out with organic factors, BC fractions and inorganic species (nitrate, sulfate, ammonium, chloride), leading to a four-factor solution allowing highly time-resolved characterization of the major sources of PM1. Outputs of this PMF2 include two dominant combustion sources (wood burning and traffic) as well as semi-volatile and low-volatile secondary aerosols. While HOA is found to be emitted by both wood burning and traffic, the latter sources occurred to significantly contribute also to OOA.","author":[{"dropping-particle":"","family":"Petit","given":"J. E.","non-dropping-particle":"","parse-names":false,"suffix":""},{"dropping-particle":"","family":"Favez","given":"O.","non-dropping-particle":"","parse-names":false,"suffix":""},{"dropping-particle":"","family":"Sciare","given":"J.","non-dropping-particle":"","parse-names":false,"suffix":""},{"dropping-particle":"","family":"Canonaco","given":"F.","non-dropping-particle":"","parse-names":false,"suffix":""},{"dropping-particle":"","family":"Croteau","given":"P.","non-dropping-particle":"","parse-names":false,"suffix":""},{"dropping-particle":"","family":"Močnik","given":"G.","non-dropping-particle":"","parse-names":false,"suffix":""},{"dropping-particle":"","family":"Jayne","given":"J.","non-dropping-particle":"","parse-names":false,"suffix":""},{"dropping-particle":"","family":"Worsnop","given":"D.","non-dropping-particle":"","parse-names":false,"suffix":""},{"dropping-particle":"","family":"Leoz-Garziandia","given":"E.","non-dropping-particle":"","parse-names":false,"suffix":""}],"container-title":"Atmospheric Chemistry and Physics","id":"ITEM-1","issue":"24","issued":{"date-parts":[["2014","12","22"]]},"page":"13773-13787","publisher":"Copernicus GmbH","title":"Submicron aerosol source apportionment of wintertime pollution in Paris, France by double positive matrix factorization (PMF2) using an aerosol chemical speciation monitor (ACSM) and a multi-wavelength Aethalometer","type":"article-journal","volume":"14"},"uris":["http://www.mendeley.com/documents/?uuid=02749365-60c6-3b88-9c88-6bae7bc016b8"]}],"mendeley":{"formattedCitation":"(J. E. Petit et al., 2014)","manualFormatting":"Petit et al. (2014)","plainTextFormattedCitation":"(J. E. Petit et al., 2014)","previouslyFormattedCitation":"(J. E. Petit et al., 2014)"},"properties":{"noteIndex":0},"schema":"https://github.com/citation-style-language/schema/raw/master/csl-citation.json"}</w:instrText>
      </w:r>
      <w:r w:rsidR="00103BD3" w:rsidRPr="00A10F2F">
        <w:rPr>
          <w:rFonts w:ascii="Times New Roman" w:hAnsi="Times New Roman" w:cs="Times New Roman"/>
        </w:rPr>
        <w:fldChar w:fldCharType="separate"/>
      </w:r>
      <w:r w:rsidR="00103BD3" w:rsidRPr="00A10F2F">
        <w:rPr>
          <w:rFonts w:ascii="Times New Roman" w:hAnsi="Times New Roman" w:cs="Times New Roman"/>
          <w:noProof/>
        </w:rPr>
        <w:t xml:space="preserve">Petit et al. </w:t>
      </w:r>
      <w:r w:rsidR="00763A7A" w:rsidRPr="00A10F2F">
        <w:rPr>
          <w:rFonts w:ascii="Times New Roman" w:hAnsi="Times New Roman" w:cs="Times New Roman"/>
          <w:noProof/>
        </w:rPr>
        <w:t>(</w:t>
      </w:r>
      <w:r w:rsidR="00103BD3" w:rsidRPr="00A10F2F">
        <w:rPr>
          <w:rFonts w:ascii="Times New Roman" w:hAnsi="Times New Roman" w:cs="Times New Roman"/>
          <w:noProof/>
        </w:rPr>
        <w:t>2014)</w:t>
      </w:r>
      <w:r w:rsidR="00103BD3" w:rsidRPr="00A10F2F">
        <w:rPr>
          <w:rFonts w:ascii="Times New Roman" w:hAnsi="Times New Roman" w:cs="Times New Roman"/>
        </w:rPr>
        <w:fldChar w:fldCharType="end"/>
      </w:r>
      <w:r w:rsidRPr="00A10F2F">
        <w:rPr>
          <w:rFonts w:ascii="Times New Roman" w:hAnsi="Times New Roman" w:cs="Times New Roman"/>
        </w:rPr>
        <w:t>, which originally introduced the coupled PMF methodology, and</w:t>
      </w:r>
      <w:r w:rsidR="002001F6" w:rsidRPr="00A10F2F">
        <w:rPr>
          <w:rFonts w:ascii="Times New Roman" w:hAnsi="Times New Roman" w:cs="Times New Roman"/>
        </w:rPr>
        <w:t xml:space="preserve"> </w:t>
      </w:r>
      <w:r w:rsidRPr="00A10F2F">
        <w:rPr>
          <w:rFonts w:ascii="Times New Roman" w:hAnsi="Times New Roman" w:cs="Times New Roman"/>
        </w:rPr>
        <w:t xml:space="preserve"> </w:t>
      </w:r>
      <w:r w:rsidR="004458F6" w:rsidRPr="00A10F2F">
        <w:rPr>
          <w:rFonts w:ascii="Times New Roman" w:hAnsi="Times New Roman" w:cs="Times New Roman"/>
        </w:rPr>
        <w:fldChar w:fldCharType="begin" w:fldLock="1"/>
      </w:r>
      <w:r w:rsidR="00CA0B5A">
        <w:rPr>
          <w:rFonts w:ascii="Times New Roman" w:hAnsi="Times New Roman" w:cs="Times New Roman"/>
        </w:rPr>
        <w:instrText>ADDIN CSL_CITATION {"citationItems":[{"id":"ITEM-1","itemData":{"DOI":"10.1016/j.atmosenv.2024.120863","ISSN":"18732844","abstract":"The aethalometer model (AM) is widely used for source apportionment (SA) of black carbon (BC) in regions with mixed BC sources despite being initially developed for a relatively simplistic and low-pollution environments. The present study interrogates the applicability of AM in highly polluted metropolitan environments by comparing its results with the more nuanced Positive Matrix Factorization (PMF) model. The measurements were conducted in Delhi during the winter and summer season. PMF apportions the BC into diverse sources by taking help from complementary trace elemental measurements, thereby acknowledging the complex pollution landscape of the Delhi region. The AM estimates BCbb (BC from biomass burning) and BCff (BC from fossil fuel combustion) contributions as 48.3% and 51.7% during the winter and 16.6% and 83.4% during the summer, respectively. In contrast, the PMF model-derived biomass burning factor is the dominant source of BC during both winter and summer seasons, contributing 53.9% and 44% of the total BC, respectively. The decrease in light absorption at UV wavelengths of biomass-burning aerosols owing to escalated ambient aging is posited to be the reason for BCbb underprediction by the AM model during summers. Furthermore, while the AM model identifies fossil fuel combustion as the only other BC source apart from biomass burning, the PMF model apportions BC to five additional sources during winter, including vehicle emissions (22.9%), Pb-rich factor (10%), power plant (5.7%), waste incineration (4%) and industrial emission (3.6%). The contribution of these BC sources during summer is vehicular emission (16.5%), power plant (14.5%), waste incineration (11.5%), Pb-rich factor (9.5%), and industrial emission (4%). Additionally, the spectral variation of the light absorption properties of black carbon (bBCabs) and brown carbon (bBrCabs), delta-C effect, and sensitivity of the AM are reported for the study period. The present study cautions that BC source apportionment can be complex in highly polluted metropolitan environments, and complementary tracer measurements are recommended for reliable results.","author":[{"dropping-particle":"","family":"Kumar","given":"Ajit","non-dropping-particle":"","parse-names":false,"suffix":""},{"dropping-particle":"","family":"Goel","given":"Vikas","non-dropping-particle":"","parse-names":false,"suffix":""},{"dropping-particle":"","family":"Faisal","given":"Mohd","non-dropping-particle":"","parse-names":false,"suffix":""},{"dropping-particle":"","family":"Ali","given":"Umer","non-dropping-particle":"","parse-names":false,"suffix":""},{"dropping-particle":"","family":"Maity","given":"Rakesh","non-dropping-particle":"","parse-names":false,"suffix":""},{"dropping-particle":"","family":"Ganguly","given":"Dilip","non-dropping-particle":"","parse-names":false,"suffix":""},{"dropping-particle":"","family":"Singh","given":"Vikram","non-dropping-particle":"","parse-names":false,"suffix":""},{"dropping-particle":"","family":"Kumar","given":"Mayank","non-dropping-particle":"","parse-names":false,"suffix":""}],"container-title":"Atmospheric Environment","id":"ITEM-1","issue":"March","issued":{"date-parts":[["2024"]]},"page":"120863","publisher":"Elsevier Ltd","title":"Two different approaches for source apportionment of ambient black carbon in highly polluted environments","type":"article-journal","volume":"338"},"uris":["http://www.mendeley.com/documents/?uuid=7505b22f-548e-48e5-ad06-57188dfa05d2"]}],"mendeley":{"formattedCitation":"(Kumar et al., 2024)","manualFormatting":"Kumar et al. (2024)","plainTextFormattedCitation":"(Kumar et al., 2024)","previouslyFormattedCitation":"(Kumar et al., 2024)"},"properties":{"noteIndex":0},"schema":"https://github.com/citation-style-language/schema/raw/master/csl-citation.json"}</w:instrText>
      </w:r>
      <w:r w:rsidR="004458F6" w:rsidRPr="00A10F2F">
        <w:rPr>
          <w:rFonts w:ascii="Times New Roman" w:hAnsi="Times New Roman" w:cs="Times New Roman"/>
        </w:rPr>
        <w:fldChar w:fldCharType="separate"/>
      </w:r>
      <w:r w:rsidR="004458F6" w:rsidRPr="00A10F2F">
        <w:rPr>
          <w:rFonts w:ascii="Times New Roman" w:hAnsi="Times New Roman" w:cs="Times New Roman"/>
          <w:noProof/>
        </w:rPr>
        <w:t xml:space="preserve">Kumar et al. </w:t>
      </w:r>
      <w:r w:rsidR="002001F6" w:rsidRPr="00A10F2F">
        <w:rPr>
          <w:rFonts w:ascii="Times New Roman" w:hAnsi="Times New Roman" w:cs="Times New Roman"/>
          <w:noProof/>
        </w:rPr>
        <w:t>(</w:t>
      </w:r>
      <w:r w:rsidR="004458F6" w:rsidRPr="00A10F2F">
        <w:rPr>
          <w:rFonts w:ascii="Times New Roman" w:hAnsi="Times New Roman" w:cs="Times New Roman"/>
          <w:noProof/>
        </w:rPr>
        <w:t>2024)</w:t>
      </w:r>
      <w:r w:rsidR="004458F6" w:rsidRPr="00A10F2F">
        <w:rPr>
          <w:rFonts w:ascii="Times New Roman" w:hAnsi="Times New Roman" w:cs="Times New Roman"/>
        </w:rPr>
        <w:fldChar w:fldCharType="end"/>
      </w:r>
      <w:r w:rsidR="005C6062" w:rsidRPr="00A10F2F">
        <w:rPr>
          <w:rFonts w:ascii="Times New Roman" w:hAnsi="Times New Roman" w:cs="Times New Roman"/>
        </w:rPr>
        <w:t xml:space="preserve"> </w:t>
      </w:r>
      <w:r w:rsidRPr="00A10F2F">
        <w:rPr>
          <w:rFonts w:ascii="Times New Roman" w:hAnsi="Times New Roman" w:cs="Times New Roman"/>
        </w:rPr>
        <w:t>implemented coupled PMF for black carbon</w:t>
      </w:r>
      <w:r w:rsidR="00F2161B" w:rsidRPr="00A10F2F">
        <w:rPr>
          <w:rFonts w:ascii="Times New Roman" w:hAnsi="Times New Roman" w:cs="Times New Roman"/>
        </w:rPr>
        <w:t xml:space="preserve"> (BC)</w:t>
      </w:r>
      <w:r w:rsidRPr="00A10F2F">
        <w:rPr>
          <w:rFonts w:ascii="Times New Roman" w:hAnsi="Times New Roman" w:cs="Times New Roman"/>
        </w:rPr>
        <w:t xml:space="preserve"> </w:t>
      </w:r>
      <w:r w:rsidRPr="00A10F2F">
        <w:rPr>
          <w:rFonts w:ascii="Times New Roman" w:hAnsi="Times New Roman" w:cs="Times New Roman"/>
        </w:rPr>
        <w:lastRenderedPageBreak/>
        <w:t>source apportionment. In this study, we integrate</w:t>
      </w:r>
      <w:r w:rsidR="00F2161B" w:rsidRPr="00A10F2F">
        <w:rPr>
          <w:rFonts w:ascii="Times New Roman" w:hAnsi="Times New Roman" w:cs="Times New Roman"/>
        </w:rPr>
        <w:t>d</w:t>
      </w:r>
      <w:r w:rsidRPr="00A10F2F">
        <w:rPr>
          <w:rFonts w:ascii="Times New Roman" w:hAnsi="Times New Roman" w:cs="Times New Roman"/>
        </w:rPr>
        <w:t xml:space="preserve"> elemental composition data with black carbon concentrations to perform coupled PMF analysis. </w:t>
      </w:r>
      <w:proofErr w:type="gramStart"/>
      <w:r w:rsidRPr="00A10F2F">
        <w:rPr>
          <w:rFonts w:ascii="Times New Roman" w:hAnsi="Times New Roman" w:cs="Times New Roman"/>
        </w:rPr>
        <w:t>Similar to</w:t>
      </w:r>
      <w:proofErr w:type="gramEnd"/>
      <w:r w:rsidRPr="00A10F2F">
        <w:rPr>
          <w:rFonts w:ascii="Times New Roman" w:hAnsi="Times New Roman" w:cs="Times New Roman"/>
        </w:rPr>
        <w:t xml:space="preserve"> the elemental PMF approach, the uncertainty associated with elemental measurements is taken as the reported instrument uncertainty, and values below the method detection limit (MDL) are treated consistently with the elemental-only PMF approach. The MDL for black carbon is adopted from </w:t>
      </w:r>
      <w:r w:rsidR="00C71921" w:rsidRPr="00A10F2F">
        <w:rPr>
          <w:rFonts w:ascii="Times New Roman" w:hAnsi="Times New Roman" w:cs="Times New Roman"/>
        </w:rPr>
        <w:fldChar w:fldCharType="begin" w:fldLock="1"/>
      </w:r>
      <w:r w:rsidR="00C71921" w:rsidRPr="00A10F2F">
        <w:rPr>
          <w:rFonts w:ascii="Times New Roman" w:hAnsi="Times New Roman" w:cs="Times New Roman"/>
        </w:rPr>
        <w:instrText>ADDIN CSL_CITATION {"citationItems":[{"id":"ITEM-1","itemData":{"DOI":"10.5194/acp-14-13773-2014","ISSN":"1680-7324","abstract":"Abstract. Online non-refractory submicron aerosol mass spectrometer (AMS) measurements in urban areas have successfully allowed the apportionment of specific sources and/or physical and chemical properties of the organic fraction. However, in order to be fully representative of PM pollution, a comprehensive source apportionment analysis is needed by taking into account all major components of submicron aerosols, creating strengthened bonds between the organic components and pollution sources. We present here a novel two-step methodology to perform such an analysis, by taking advantage of high time resolution of monitoring instruments: the aerosol chemical speciation monitor (ACSM) and the multi-wavelength absorption measurements (Aethalometer AE31) in Paris, France. As a first step, organic aerosols (OA) were deconvolved to hydrocarbon-like OA (HOA), biomass burning OA (BBOA) and oxygenated OA (OOA) with positive matrix factorization (PMF), and black carbon was deconvolved into its wood burning and fossil fuel combustion fractions. A second PMF analysis was then carried out with organic factors, BC fractions and inorganic species (nitrate, sulfate, ammonium, chloride), leading to a four-factor solution allowing highly time-resolved characterization of the major sources of PM1. Outputs of this PMF2 include two dominant combustion sources (wood burning and traffic) as well as semi-volatile and low-volatile secondary aerosols. While HOA is found to be emitted by both wood burning and traffic, the latter sources occurred to significantly contribute also to OOA.","author":[{"dropping-particle":"","family":"Petit","given":"J.-E.","non-dropping-particle":"","parse-names":false,"suffix":""},{"dropping-particle":"","family":"Favez","given":"O.","non-dropping-particle":"","parse-names":false,"suffix":""},{"dropping-particle":"","family":"Sciare","given":"J.","non-dropping-particle":"","parse-names":false,"suffix":""},{"dropping-particle":"","family":"Canonaco","given":"F.","non-dropping-particle":"","parse-names":false,"suffix":""},{"dropping-particle":"","family":"Croteau","given":"P.","non-dropping-particle":"","parse-names":false,"suffix":""},{"dropping-particle":"","family":"Močnik","given":"G.","non-dropping-particle":"","parse-names":false,"suffix":""},{"dropping-particle":"","family":"Jayne","given":"J.","non-dropping-particle":"","parse-names":false,"suffix":""},{"dropping-particle":"","family":"Worsnop","given":"D.","non-dropping-particle":"","parse-names":false,"suffix":""},{"dropping-particle":"","family":"Leoz-Garziandia","given":"E.","non-dropping-particle":"","parse-names":false,"suffix":""}],"container-title":"Atmospheric Chemistry and Physics","id":"ITEM-1","issue":"24","issued":{"date-parts":[["2014","12"]]},"page":"13773-13787","title":"Submicron aerosol source apportionment of wintertime pollution in Paris, France by double positive matrix factorization (PMF&amp;amp;lt;sup&amp;amp;gt;2&amp;amp;lt;/sup&amp;amp;gt;) using an aerosol chemical speciation monitor (ACSM) and a multi-wavelength Aethalometer","type":"article-journal","volume":"14"},"uris":["http://www.mendeley.com/documents/?uuid=8e1061fb-a29f-471e-b321-bf7ebb699d87"]}],"mendeley":{"formattedCitation":"(J.-E. Petit et al., 2014)","manualFormatting":"Petit et al. (2014)","plainTextFormattedCitation":"(J.-E. Petit et al., 2014)","previouslyFormattedCitation":"(J.-E. Petit et al., 2014)"},"properties":{"noteIndex":0},"schema":"https://github.com/citation-style-language/schema/raw/master/csl-citation.json"}</w:instrText>
      </w:r>
      <w:r w:rsidR="00C71921" w:rsidRPr="00A10F2F">
        <w:rPr>
          <w:rFonts w:ascii="Times New Roman" w:hAnsi="Times New Roman" w:cs="Times New Roman"/>
        </w:rPr>
        <w:fldChar w:fldCharType="separate"/>
      </w:r>
      <w:r w:rsidR="00C71921" w:rsidRPr="00A10F2F">
        <w:rPr>
          <w:rFonts w:ascii="Times New Roman" w:hAnsi="Times New Roman" w:cs="Times New Roman"/>
          <w:noProof/>
        </w:rPr>
        <w:t>Petit et al. (2014)</w:t>
      </w:r>
      <w:r w:rsidR="00C71921" w:rsidRPr="00A10F2F">
        <w:rPr>
          <w:rFonts w:ascii="Times New Roman" w:hAnsi="Times New Roman" w:cs="Times New Roman"/>
        </w:rPr>
        <w:fldChar w:fldCharType="end"/>
      </w:r>
      <w:r w:rsidRPr="00A10F2F">
        <w:rPr>
          <w:rFonts w:ascii="Times New Roman" w:hAnsi="Times New Roman" w:cs="Times New Roman"/>
        </w:rPr>
        <w:t xml:space="preserve">, as the same instrumentation was utilized in both studies. The uncertainties and below-MDL values </w:t>
      </w:r>
      <w:r w:rsidR="00C71921" w:rsidRPr="00A10F2F">
        <w:rPr>
          <w:rFonts w:ascii="Times New Roman" w:hAnsi="Times New Roman" w:cs="Times New Roman"/>
        </w:rPr>
        <w:t>for BC</w:t>
      </w:r>
      <w:r w:rsidRPr="00A10F2F">
        <w:rPr>
          <w:rFonts w:ascii="Times New Roman" w:hAnsi="Times New Roman" w:cs="Times New Roman"/>
        </w:rPr>
        <w:t xml:space="preserve"> were determined following a similar approach to that of</w:t>
      </w:r>
      <w:r w:rsidR="00605FB6" w:rsidRPr="00A10F2F">
        <w:rPr>
          <w:rFonts w:ascii="Times New Roman" w:hAnsi="Times New Roman" w:cs="Times New Roman"/>
        </w:rPr>
        <w:t xml:space="preserve"> </w:t>
      </w:r>
      <w:r w:rsidRPr="00A10F2F">
        <w:rPr>
          <w:rFonts w:ascii="Times New Roman" w:hAnsi="Times New Roman" w:cs="Times New Roman"/>
        </w:rPr>
        <w:t xml:space="preserve"> </w:t>
      </w:r>
      <w:r w:rsidR="00C71921" w:rsidRPr="00A10F2F">
        <w:rPr>
          <w:rFonts w:ascii="Times New Roman" w:hAnsi="Times New Roman" w:cs="Times New Roman"/>
        </w:rPr>
        <w:fldChar w:fldCharType="begin" w:fldLock="1"/>
      </w:r>
      <w:r w:rsidR="00C71921" w:rsidRPr="00A10F2F">
        <w:rPr>
          <w:rFonts w:ascii="Times New Roman" w:hAnsi="Times New Roman" w:cs="Times New Roman"/>
        </w:rPr>
        <w:instrText>ADDIN CSL_CITATION {"citationItems":[{"id":"ITEM-1","itemData":{"DOI":"10.5194/acp-14-13773-2014","ISSN":"16807324","abstract":"Online non-refractory submicron aerosol mass spectrometer (AMS) measurements in urban areas have successfully allowed the apportionment of specific sources and/or physical and chemical properties of the organic fraction. However, in order to be fully representative of PM pollution, a comprehensive source apportionment analysis is needed by taking into account all major components of submicron aerosols, creating strengthened bonds between the organic components and pollution sources. We present here a novel two-step methodology to perform such an analysis, by taking advantage of high time resolution of monitoring instruments: the aerosol chemical speciation monitor (ACSM) and the multi-wavelength absorption measurements (Aethalometer AE31) in Paris, France. As a first step, organic aerosols (OA) were deconvolved to hydrocarbon-like OA (HOA), biomass burning OA (BBOA) and oxygenated OA (OOA) with positive matrix factorization (PMF), and black carbon was deconvolved into its wood burning and fossil fuel combustion fractions. A second PMF analysis was then carried out with organic factors, BC fractions and inorganic species (nitrate, sulfate, ammonium, chloride), leading to a four-factor solution allowing highly time-resolved characterization of the major sources of PM1. Outputs of this PMF2 include two dominant combustion sources (wood burning and traffic) as well as semi-volatile and low-volatile secondary aerosols. While HOA is found to be emitted by both wood burning and traffic, the latter sources occurred to significantly contribute also to OOA.","author":[{"dropping-particle":"","family":"Petit","given":"J. E.","non-dropping-particle":"","parse-names":false,"suffix":""},{"dropping-particle":"","family":"Favez","given":"O.","non-dropping-particle":"","parse-names":false,"suffix":""},{"dropping-particle":"","family":"Sciare","given":"J.","non-dropping-particle":"","parse-names":false,"suffix":""},{"dropping-particle":"","family":"Canonaco","given":"F.","non-dropping-particle":"","parse-names":false,"suffix":""},{"dropping-particle":"","family":"Croteau","given":"P.","non-dropping-particle":"","parse-names":false,"suffix":""},{"dropping-particle":"","family":"Močnik","given":"G.","non-dropping-particle":"","parse-names":false,"suffix":""},{"dropping-particle":"","family":"Jayne","given":"J.","non-dropping-particle":"","parse-names":false,"suffix":""},{"dropping-particle":"","family":"Worsnop","given":"D.","non-dropping-particle":"","parse-names":false,"suffix":""},{"dropping-particle":"","family":"Leoz-Garziandia","given":"E.","non-dropping-particle":"","parse-names":false,"suffix":""}],"container-title":"Atmospheric Chemistry and Physics","id":"ITEM-1","issue":"24","issued":{"date-parts":[["2014","12","22"]]},"page":"13773-13787","publisher":"Copernicus GmbH","title":"Submicron aerosol source apportionment of wintertime pollution in Paris, France by double positive matrix factorization (PMF2) using an aerosol chemical speciation monitor (ACSM) and a multi-wavelength Aethalometer","type":"article-journal","volume":"14"},"uris":["http://www.mendeley.com/documents/?uuid=02749365-60c6-3b88-9c88-6bae7bc016b8"]}],"mendeley":{"formattedCitation":"(J. E. Petit et al., 2014)","manualFormatting":"Petit et al. (2014)","plainTextFormattedCitation":"(J. E. Petit et al., 2014)","previouslyFormattedCitation":"(J. E. Petit et al., 2014)"},"properties":{"noteIndex":0},"schema":"https://github.com/citation-style-language/schema/raw/master/csl-citation.json"}</w:instrText>
      </w:r>
      <w:r w:rsidR="00C71921" w:rsidRPr="00A10F2F">
        <w:rPr>
          <w:rFonts w:ascii="Times New Roman" w:hAnsi="Times New Roman" w:cs="Times New Roman"/>
        </w:rPr>
        <w:fldChar w:fldCharType="separate"/>
      </w:r>
      <w:r w:rsidR="00C71921" w:rsidRPr="00A10F2F">
        <w:rPr>
          <w:rFonts w:ascii="Times New Roman" w:hAnsi="Times New Roman" w:cs="Times New Roman"/>
          <w:noProof/>
        </w:rPr>
        <w:t>Petit et al. (2014)</w:t>
      </w:r>
      <w:r w:rsidR="00C71921" w:rsidRPr="00A10F2F">
        <w:rPr>
          <w:rFonts w:ascii="Times New Roman" w:hAnsi="Times New Roman" w:cs="Times New Roman"/>
        </w:rPr>
        <w:fldChar w:fldCharType="end"/>
      </w:r>
      <w:r w:rsidRPr="00A10F2F">
        <w:rPr>
          <w:rFonts w:ascii="Times New Roman" w:hAnsi="Times New Roman" w:cs="Times New Roman"/>
        </w:rPr>
        <w:t>, utilizing the methodology established by</w:t>
      </w:r>
      <w:r w:rsidR="00C71921" w:rsidRPr="00A10F2F">
        <w:rPr>
          <w:rFonts w:ascii="Times New Roman" w:hAnsi="Times New Roman" w:cs="Times New Roman"/>
        </w:rPr>
        <w:fldChar w:fldCharType="begin" w:fldLock="1"/>
      </w:r>
      <w:r w:rsidR="00741BFC" w:rsidRPr="00A10F2F">
        <w:rPr>
          <w:rFonts w:ascii="Times New Roman" w:hAnsi="Times New Roman" w:cs="Times New Roman"/>
        </w:rPr>
        <w:instrText>ADDIN CSL_CITATION {"citationItems":[{"id":"ITEM-1","itemData":{"DOI":"10.1029/98JD01212","ISSN":"01480227","abstract":"The fine particle (&lt; 2.5 μm) composition data from seven National Park Service locations in Alaska for the period from 1986 to 1995 was performed using a new type of factor analysis, positive matrix factorization (PMF). This method uses the estimates of the error in the data to provide optimum data point scaling and permits a better treatment of missing and below detection limit values. Eight source components were obtained for data sets from the Northwest Alaska Areas and the Bering Land Bridge sites. Five to seven components were obtained for the other Alaskan sites. The solutions were normalized by using aerosol fine mass concentration data. Squared correlation coefficients between the reconstructed mass obtained from aerosol composition data for the sites and the measured mass were in the range of 0.74-0.95. Two factors identified as soils were obtained for all of the sites. Concentrations for these factors for most of the sites have maxima in the summer and minima in the whiter. A sea-salt component was found at five locations. A factor with the highest concentrations of black carbon (BC), H+, and K identified as forest fire smoke was obtained for all data sets except at Katmai. Factors with high concentrations of S, BC-Na-S, and Zn-Cu were obtained at all sites. At three sites, the solutions also contained a factor with high Pb and Br values. The factors with the high S, Pb, and BC-Na-S values at most sites show an annual cycle with maxima during the winter-spring season and minima in the summer. The seasonal variations and elemental compositions of these factors suggest anthropogenic origins with the spatial pattern suggesting that the sources are distant from the receptor sites. The seasonal maxima/minima ratios of these factors were higher for more northerly locations. Four main sources contribute to the observed concentrations at these locations: long-range transported anthropogenic aerosol (Arctic haze aerosol), sea-salt aerosol, local soil dust, and aerosol with high BC concentrations from regional forest fires or local wood smoke. A northwest to southeast negative gradient suggesting long-range transport of air masses from regions north or northwest of Alaska dominated the spatial distribution of the high S factor concentrations. Copyright 1998 by the American Geophysical Union.","author":[{"dropping-particle":"V.","family":"Polissar","given":"Alexandr","non-dropping-particle":"","parse-names":false,"suffix":""},{"dropping-particle":"","family":"Hopke","given":"Philip K.","non-dropping-particle":"","parse-names":false,"suffix":""},{"dropping-particle":"","family":"Paatero","given":"Pentti","non-dropping-particle":"","parse-names":false,"suffix":""},{"dropping-particle":"","family":"Malm","given":"William C.","non-dropping-particle":"","parse-names":false,"suffix":""},{"dropping-particle":"","family":"Sisler","given":"James F.","non-dropping-particle":"","parse-names":false,"suffix":""}],"container-title":"Journal of Geophysical Research Atmospheres","id":"ITEM-1","issue":"D15","issued":{"date-parts":[["1998","8","20"]]},"page":"19045-19057","publisher":"Blackwell Publishing Ltd","title":"Atmospheric aerosol over Alaska 2. Elemental composition and sources","type":"article-journal","volume":"103"},"uris":["http://www.mendeley.com/documents/?uuid=fcd075b9-5ba9-30f8-baf5-d7940b0ef5e3"]}],"mendeley":{"formattedCitation":"(Polissar et al., 1998)","manualFormatting":" Polissar et al. (1998)","plainTextFormattedCitation":"(Polissar et al., 1998)","previouslyFormattedCitation":"(Polissar et al., 1998)"},"properties":{"noteIndex":0},"schema":"https://github.com/citation-style-language/schema/raw/master/csl-citation.json"}</w:instrText>
      </w:r>
      <w:r w:rsidR="00C71921" w:rsidRPr="00A10F2F">
        <w:rPr>
          <w:rFonts w:ascii="Times New Roman" w:hAnsi="Times New Roman" w:cs="Times New Roman"/>
        </w:rPr>
        <w:fldChar w:fldCharType="separate"/>
      </w:r>
      <w:r w:rsidR="00C71921" w:rsidRPr="00A10F2F">
        <w:rPr>
          <w:rFonts w:ascii="Times New Roman" w:hAnsi="Times New Roman" w:cs="Times New Roman"/>
          <w:noProof/>
        </w:rPr>
        <w:t xml:space="preserve"> Polissar et al. (1998)</w:t>
      </w:r>
      <w:r w:rsidR="00C71921" w:rsidRPr="00A10F2F">
        <w:rPr>
          <w:rFonts w:ascii="Times New Roman" w:hAnsi="Times New Roman" w:cs="Times New Roman"/>
        </w:rPr>
        <w:fldChar w:fldCharType="end"/>
      </w:r>
      <w:r w:rsidR="00C71921" w:rsidRPr="00A10F2F">
        <w:rPr>
          <w:rFonts w:ascii="Times New Roman" w:hAnsi="Times New Roman" w:cs="Times New Roman"/>
        </w:rPr>
        <w:t>.</w:t>
      </w:r>
      <w:r w:rsidR="00551DE3" w:rsidRPr="00A10F2F">
        <w:rPr>
          <w:rFonts w:ascii="Times New Roman" w:hAnsi="Times New Roman" w:cs="Times New Roman"/>
        </w:rPr>
        <w:t xml:space="preserve"> The final uncertainty of</w:t>
      </w:r>
      <w:r w:rsidR="0022565D" w:rsidRPr="00A10F2F">
        <w:rPr>
          <w:rFonts w:ascii="Times New Roman" w:hAnsi="Times New Roman" w:cs="Times New Roman"/>
        </w:rPr>
        <w:t xml:space="preserve"> </w:t>
      </w:r>
      <w:proofErr w:type="spellStart"/>
      <w:r w:rsidR="0022565D" w:rsidRPr="00A10F2F">
        <w:rPr>
          <w:rFonts w:ascii="Times New Roman" w:hAnsi="Times New Roman" w:cs="Times New Roman"/>
        </w:rPr>
        <w:t>j</w:t>
      </w:r>
      <w:r w:rsidR="0022565D" w:rsidRPr="00A10F2F">
        <w:rPr>
          <w:rFonts w:ascii="Times New Roman" w:hAnsi="Times New Roman" w:cs="Times New Roman"/>
          <w:vertAlign w:val="superscript"/>
        </w:rPr>
        <w:t>th</w:t>
      </w:r>
      <w:proofErr w:type="spellEnd"/>
      <w:r w:rsidR="0022565D" w:rsidRPr="00A10F2F">
        <w:rPr>
          <w:rFonts w:ascii="Times New Roman" w:hAnsi="Times New Roman" w:cs="Times New Roman"/>
        </w:rPr>
        <w:t xml:space="preserve"> measurement of species </w:t>
      </w:r>
      <w:proofErr w:type="spellStart"/>
      <w:r w:rsidR="0022565D" w:rsidRPr="00A10F2F">
        <w:rPr>
          <w:rFonts w:ascii="Times New Roman" w:hAnsi="Times New Roman" w:cs="Times New Roman"/>
        </w:rPr>
        <w:t>i</w:t>
      </w:r>
      <w:proofErr w:type="spellEnd"/>
      <w:r w:rsidR="0022565D" w:rsidRPr="00A10F2F">
        <w:rPr>
          <w:rFonts w:ascii="Times New Roman" w:hAnsi="Times New Roman" w:cs="Times New Roman"/>
        </w:rPr>
        <w:t xml:space="preserve"> is given by</w:t>
      </w:r>
      <w:r w:rsidR="00C73229" w:rsidRPr="00A10F2F">
        <w:rPr>
          <w:rFonts w:ascii="Times New Roman" w:hAnsi="Times New Roman" w:cs="Times New Roman"/>
        </w:rPr>
        <w:t>:</w:t>
      </w:r>
    </w:p>
    <w:p w14:paraId="53C5D613" w14:textId="7D0F819B" w:rsidR="00C73229" w:rsidRPr="0022565D" w:rsidRDefault="00000000" w:rsidP="003869DC">
      <w:pPr>
        <w:spacing w:line="480" w:lineRule="auto"/>
        <w:jc w:val="both"/>
        <w:rPr>
          <w:rFonts w:ascii="Times New Roman" w:eastAsiaTheme="minorEastAsia" w:hAnsi="Times New Roman" w:cs="Times New Roman"/>
          <w:color w:val="C00000"/>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ij</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MDL</m:t>
                    </m:r>
                  </m:e>
                  <m:sub>
                    <m:r>
                      <w:rPr>
                        <w:rFonts w:ascii="Cambria Math" w:hAnsi="Cambria Math" w:cs="Times New Roman"/>
                      </w:rPr>
                      <m:t>i</m:t>
                    </m:r>
                  </m:sub>
                </m:sSub>
                <m:r>
                  <w:rPr>
                    <w:rFonts w:ascii="Cambria Math" w:hAnsi="Cambria Math" w:cs="Times New Roman"/>
                  </w:rPr>
                  <m:t xml:space="preserve">                         if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MDL</m:t>
                    </m:r>
                  </m:e>
                  <m:sub>
                    <m:r>
                      <w:rPr>
                        <w:rFonts w:ascii="Cambria Math" w:hAnsi="Cambria Math" w:cs="Times New Roman"/>
                      </w:rPr>
                      <m:t>i</m:t>
                    </m:r>
                  </m:sub>
                </m:sSub>
              </m:e>
              <m:e>
                <m:rad>
                  <m:radPr>
                    <m:ctrlPr>
                      <w:rPr>
                        <w:rFonts w:ascii="Cambria Math" w:hAnsi="Cambria Math" w:cs="Times New Roman"/>
                        <w:i/>
                      </w:rPr>
                    </m:ctrlPr>
                  </m:radPr>
                  <m:deg>
                    <m:r>
                      <w:rPr>
                        <w:rFonts w:ascii="Cambria Math" w:hAnsi="Cambria Math" w:cs="Times New Roman"/>
                      </w:rPr>
                      <m:t>2</m:t>
                    </m:r>
                  </m:deg>
                  <m:e>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j</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MDL</m:t>
                        </m:r>
                      </m:e>
                      <m:sub>
                        <m:r>
                          <w:rPr>
                            <w:rFonts w:ascii="Cambria Math" w:hAnsi="Cambria Math" w:cs="Times New Roman"/>
                          </w:rPr>
                          <m:t>i</m:t>
                        </m:r>
                      </m:sub>
                      <m:sup>
                        <m:r>
                          <w:rPr>
                            <w:rFonts w:ascii="Cambria Math" w:hAnsi="Cambria Math" w:cs="Times New Roman"/>
                          </w:rPr>
                          <m:t>2</m:t>
                        </m:r>
                      </m:sup>
                    </m:sSubSup>
                  </m:e>
                </m:rad>
                <m:r>
                  <w:rPr>
                    <w:rFonts w:ascii="Cambria Math" w:hAnsi="Cambria Math" w:cs="Times New Roman"/>
                  </w:rPr>
                  <m:t xml:space="preserve">         if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MDL</m:t>
                    </m:r>
                  </m:e>
                  <m:sub>
                    <m:r>
                      <w:rPr>
                        <w:rFonts w:ascii="Cambria Math" w:hAnsi="Cambria Math" w:cs="Times New Roman"/>
                      </w:rPr>
                      <m:t>i</m:t>
                    </m:r>
                  </m:sub>
                </m:sSub>
              </m:e>
            </m:eqArr>
          </m:e>
        </m:d>
      </m:oMath>
      <w:r w:rsidR="00440538">
        <w:rPr>
          <w:rFonts w:ascii="Times New Roman" w:eastAsiaTheme="minorEastAsia" w:hAnsi="Times New Roman" w:cs="Times New Roman"/>
        </w:rPr>
        <w:t xml:space="preserve">                     (4)</w:t>
      </w:r>
    </w:p>
    <w:p w14:paraId="74E13F39" w14:textId="45E88C1E" w:rsidR="00866AF6" w:rsidRPr="00440538" w:rsidRDefault="00F359C7" w:rsidP="00265D2C">
      <w:pPr>
        <w:pStyle w:val="NormalWeb"/>
        <w:spacing w:line="480" w:lineRule="auto"/>
        <w:jc w:val="both"/>
        <w:rPr>
          <w:sz w:val="22"/>
          <w:szCs w:val="22"/>
        </w:rPr>
      </w:pPr>
      <w:r w:rsidRPr="00440538">
        <w:rPr>
          <w:sz w:val="22"/>
          <w:szCs w:val="22"/>
        </w:rPr>
        <w:t xml:space="preserve">Where </w:t>
      </w:r>
      <w:proofErr w:type="spellStart"/>
      <w:r w:rsidRPr="00440538">
        <w:rPr>
          <w:sz w:val="22"/>
          <w:szCs w:val="22"/>
        </w:rPr>
        <w:t>u</w:t>
      </w:r>
      <w:r w:rsidRPr="00440538">
        <w:rPr>
          <w:sz w:val="22"/>
          <w:szCs w:val="22"/>
          <w:vertAlign w:val="subscript"/>
        </w:rPr>
        <w:t>i</w:t>
      </w:r>
      <w:proofErr w:type="spellEnd"/>
      <w:r w:rsidRPr="00440538">
        <w:rPr>
          <w:sz w:val="22"/>
          <w:szCs w:val="22"/>
        </w:rPr>
        <w:t xml:space="preserve"> is the relative uncertainty for species </w:t>
      </w:r>
      <w:proofErr w:type="spellStart"/>
      <w:r w:rsidRPr="00440538">
        <w:rPr>
          <w:sz w:val="22"/>
          <w:szCs w:val="22"/>
        </w:rPr>
        <w:t>i</w:t>
      </w:r>
      <w:proofErr w:type="spellEnd"/>
      <w:r w:rsidRPr="00440538">
        <w:rPr>
          <w:sz w:val="22"/>
          <w:szCs w:val="22"/>
        </w:rPr>
        <w:t xml:space="preserve"> and </w:t>
      </w:r>
      <w:proofErr w:type="spellStart"/>
      <w:r w:rsidRPr="00440538">
        <w:rPr>
          <w:sz w:val="22"/>
          <w:szCs w:val="22"/>
        </w:rPr>
        <w:t>C</w:t>
      </w:r>
      <w:r w:rsidRPr="00440538">
        <w:rPr>
          <w:sz w:val="22"/>
          <w:szCs w:val="22"/>
          <w:vertAlign w:val="subscript"/>
        </w:rPr>
        <w:t>j</w:t>
      </w:r>
      <w:proofErr w:type="spellEnd"/>
      <w:r w:rsidRPr="00440538">
        <w:rPr>
          <w:sz w:val="22"/>
          <w:szCs w:val="22"/>
        </w:rPr>
        <w:t xml:space="preserve"> is the concentration in the </w:t>
      </w:r>
      <w:proofErr w:type="spellStart"/>
      <w:r w:rsidRPr="00440538">
        <w:rPr>
          <w:sz w:val="22"/>
          <w:szCs w:val="22"/>
        </w:rPr>
        <w:t>j</w:t>
      </w:r>
      <w:r w:rsidRPr="00440538">
        <w:rPr>
          <w:sz w:val="22"/>
          <w:szCs w:val="22"/>
          <w:vertAlign w:val="superscript"/>
        </w:rPr>
        <w:t>th</w:t>
      </w:r>
      <w:proofErr w:type="spellEnd"/>
      <w:r w:rsidRPr="00440538">
        <w:rPr>
          <w:sz w:val="22"/>
          <w:szCs w:val="22"/>
        </w:rPr>
        <w:t xml:space="preserve"> row of the input matrix</w:t>
      </w:r>
      <w:r w:rsidR="00866AF6" w:rsidRPr="00440538">
        <w:rPr>
          <w:sz w:val="22"/>
          <w:szCs w:val="22"/>
        </w:rPr>
        <w:t xml:space="preserve">. For BC, a relative uncertainty of 30% was assigned, incorporating an extended uncertainty to account for the </w:t>
      </w:r>
      <w:r w:rsidR="007F6D79" w:rsidRPr="00440538">
        <w:rPr>
          <w:sz w:val="22"/>
          <w:szCs w:val="22"/>
        </w:rPr>
        <w:t>2</w:t>
      </w:r>
      <w:r w:rsidR="00F11CF1" w:rsidRPr="00440538">
        <w:rPr>
          <w:sz w:val="22"/>
          <w:szCs w:val="22"/>
        </w:rPr>
        <w:t>0</w:t>
      </w:r>
      <w:r w:rsidR="00866AF6" w:rsidRPr="00440538">
        <w:rPr>
          <w:sz w:val="22"/>
          <w:szCs w:val="22"/>
        </w:rPr>
        <w:t xml:space="preserve">% error associated with BC concentrations due to the Weingartner correction. Additionally, to address variability in error distribution across the two instruments, an extra 10% </w:t>
      </w:r>
      <w:r w:rsidR="007F6D79" w:rsidRPr="00440538">
        <w:rPr>
          <w:sz w:val="22"/>
          <w:szCs w:val="22"/>
        </w:rPr>
        <w:t>modelling</w:t>
      </w:r>
      <w:r w:rsidR="00866AF6" w:rsidRPr="00440538">
        <w:rPr>
          <w:sz w:val="22"/>
          <w:szCs w:val="22"/>
        </w:rPr>
        <w:t xml:space="preserve"> uncertainty was incorporated into the EPA PMF module. This </w:t>
      </w:r>
      <w:r w:rsidR="007F6D79" w:rsidRPr="00440538">
        <w:rPr>
          <w:sz w:val="22"/>
          <w:szCs w:val="22"/>
        </w:rPr>
        <w:t>modelling</w:t>
      </w:r>
      <w:r w:rsidR="00866AF6" w:rsidRPr="00440538">
        <w:rPr>
          <w:sz w:val="22"/>
          <w:szCs w:val="22"/>
        </w:rPr>
        <w:t xml:space="preserve"> uncertainty was found to help reduce the rotational sensitivity of the solution without affecting the Q/</w:t>
      </w:r>
      <w:proofErr w:type="spellStart"/>
      <w:r w:rsidR="00866AF6" w:rsidRPr="00440538">
        <w:rPr>
          <w:sz w:val="22"/>
          <w:szCs w:val="22"/>
        </w:rPr>
        <w:t>Q</w:t>
      </w:r>
      <w:r w:rsidR="00866AF6" w:rsidRPr="00440538">
        <w:rPr>
          <w:rStyle w:val="mord"/>
          <w:sz w:val="22"/>
          <w:szCs w:val="22"/>
        </w:rPr>
        <w:t>exp</w:t>
      </w:r>
      <w:proofErr w:type="spellEnd"/>
      <w:r w:rsidR="00866AF6" w:rsidRPr="00440538">
        <w:rPr>
          <w:rStyle w:val="vlist-s"/>
          <w:sz w:val="22"/>
          <w:szCs w:val="22"/>
        </w:rPr>
        <w:t>​</w:t>
      </w:r>
      <w:r w:rsidR="00866AF6" w:rsidRPr="00440538">
        <w:rPr>
          <w:sz w:val="22"/>
          <w:szCs w:val="22"/>
        </w:rPr>
        <w:t xml:space="preserve"> ratio.</w:t>
      </w:r>
      <w:r w:rsidR="00E90DF8" w:rsidRPr="00440538">
        <w:rPr>
          <w:sz w:val="22"/>
          <w:szCs w:val="22"/>
        </w:rPr>
        <w:t xml:space="preserve"> </w:t>
      </w:r>
      <w:r w:rsidR="00866AF6" w:rsidRPr="00440538">
        <w:rPr>
          <w:sz w:val="22"/>
          <w:szCs w:val="22"/>
        </w:rPr>
        <w:t>Following the recommendations of Petit et al. (2014), a sensitivity analysis was conducted on the relative uncertainties associated with BC concentrations. Each uncertainty component (30%</w:t>
      </w:r>
      <w:r w:rsidR="00E90DF8" w:rsidRPr="00440538">
        <w:rPr>
          <w:sz w:val="22"/>
          <w:szCs w:val="22"/>
        </w:rPr>
        <w:t>)</w:t>
      </w:r>
      <w:r w:rsidR="00866AF6" w:rsidRPr="00440538">
        <w:rPr>
          <w:sz w:val="22"/>
          <w:szCs w:val="22"/>
        </w:rPr>
        <w:t xml:space="preserve"> independently varied from 30% to 60% in increments of 10%, and its impact on Q/</w:t>
      </w:r>
      <w:proofErr w:type="spellStart"/>
      <w:r w:rsidR="00866AF6" w:rsidRPr="00440538">
        <w:rPr>
          <w:sz w:val="22"/>
          <w:szCs w:val="22"/>
        </w:rPr>
        <w:t>Q</w:t>
      </w:r>
      <w:r w:rsidR="00866AF6" w:rsidRPr="00440538">
        <w:rPr>
          <w:rStyle w:val="mord"/>
          <w:sz w:val="22"/>
          <w:szCs w:val="22"/>
          <w:vertAlign w:val="subscript"/>
        </w:rPr>
        <w:t>exp</w:t>
      </w:r>
      <w:proofErr w:type="spellEnd"/>
      <w:r w:rsidR="00866AF6" w:rsidRPr="00440538">
        <w:rPr>
          <w:rStyle w:val="vlist-s"/>
          <w:sz w:val="22"/>
          <w:szCs w:val="22"/>
          <w:vertAlign w:val="subscript"/>
        </w:rPr>
        <w:t>​</w:t>
      </w:r>
      <w:r w:rsidR="00866AF6" w:rsidRPr="00440538">
        <w:rPr>
          <w:sz w:val="22"/>
          <w:szCs w:val="22"/>
        </w:rPr>
        <w:t xml:space="preserve"> was assessed. Consistent with the findings of Petit et al.</w:t>
      </w:r>
      <w:r w:rsidR="00AE2C14" w:rsidRPr="00440538">
        <w:rPr>
          <w:sz w:val="22"/>
          <w:szCs w:val="22"/>
        </w:rPr>
        <w:t xml:space="preserve"> (2014). T</w:t>
      </w:r>
      <w:r w:rsidR="00866AF6" w:rsidRPr="00440538">
        <w:rPr>
          <w:sz w:val="22"/>
          <w:szCs w:val="22"/>
        </w:rPr>
        <w:t>he solution remained stable despite increasing uncertainty values, with changes in Q/</w:t>
      </w:r>
      <w:proofErr w:type="spellStart"/>
      <w:r w:rsidR="00866AF6" w:rsidRPr="00440538">
        <w:rPr>
          <w:sz w:val="22"/>
          <w:szCs w:val="22"/>
        </w:rPr>
        <w:t>Q</w:t>
      </w:r>
      <w:r w:rsidR="00866AF6" w:rsidRPr="00440538">
        <w:rPr>
          <w:rStyle w:val="katex-mathml"/>
          <w:sz w:val="22"/>
          <w:szCs w:val="22"/>
          <w:vertAlign w:val="subscript"/>
        </w:rPr>
        <w:t>exp</w:t>
      </w:r>
      <w:proofErr w:type="spellEnd"/>
      <w:r w:rsidR="00866AF6" w:rsidRPr="00440538">
        <w:rPr>
          <w:rStyle w:val="katex-mathml"/>
          <w:sz w:val="22"/>
          <w:szCs w:val="22"/>
        </w:rPr>
        <w:t xml:space="preserve"> </w:t>
      </w:r>
      <w:r w:rsidR="00866AF6" w:rsidRPr="00440538">
        <w:rPr>
          <w:sz w:val="22"/>
          <w:szCs w:val="22"/>
        </w:rPr>
        <w:t xml:space="preserve">remaining within 2% and exhibiting no discernible </w:t>
      </w:r>
      <w:r w:rsidR="009E0A84" w:rsidRPr="00440538">
        <w:rPr>
          <w:sz w:val="22"/>
          <w:szCs w:val="22"/>
        </w:rPr>
        <w:t>increase</w:t>
      </w:r>
      <w:r w:rsidR="00866AF6" w:rsidRPr="00440538">
        <w:rPr>
          <w:sz w:val="22"/>
          <w:szCs w:val="22"/>
        </w:rPr>
        <w:t xml:space="preserve"> or decreasing trend. This suggests that the solution is primarily governed by elemental tracers rather than </w:t>
      </w:r>
      <w:r w:rsidR="00265D2C">
        <w:rPr>
          <w:sz w:val="22"/>
          <w:szCs w:val="22"/>
        </w:rPr>
        <w:t>BC</w:t>
      </w:r>
      <w:r w:rsidR="00866AF6" w:rsidRPr="00440538">
        <w:rPr>
          <w:sz w:val="22"/>
          <w:szCs w:val="22"/>
        </w:rPr>
        <w:t>.</w:t>
      </w:r>
    </w:p>
    <w:p w14:paraId="26834C86" w14:textId="1534CA26" w:rsidR="005A7424" w:rsidRPr="00467827" w:rsidRDefault="005A7424" w:rsidP="005A7424">
      <w:pPr>
        <w:spacing w:line="480" w:lineRule="auto"/>
        <w:jc w:val="both"/>
        <w:rPr>
          <w:rFonts w:ascii="Times New Roman" w:hAnsi="Times New Roman" w:cs="Times New Roman"/>
          <w:b/>
          <w:i/>
          <w:iCs/>
        </w:rPr>
      </w:pPr>
      <w:r w:rsidRPr="00467827">
        <w:rPr>
          <w:rFonts w:ascii="Times New Roman" w:hAnsi="Times New Roman" w:cs="Times New Roman"/>
          <w:b/>
          <w:i/>
          <w:iCs/>
        </w:rPr>
        <w:t>S2.3Factor Selection and Uncertainty Assessment</w:t>
      </w:r>
    </w:p>
    <w:p w14:paraId="3823E2FF" w14:textId="77777777" w:rsidR="005A7424" w:rsidRPr="002B74CA" w:rsidRDefault="005A7424" w:rsidP="005A7424">
      <w:pPr>
        <w:spacing w:line="480" w:lineRule="auto"/>
        <w:jc w:val="both"/>
        <w:rPr>
          <w:rFonts w:ascii="Times New Roman" w:hAnsi="Times New Roman" w:cs="Times New Roman"/>
          <w:b/>
        </w:rPr>
      </w:pPr>
      <w:r w:rsidRPr="002B74CA">
        <w:rPr>
          <w:rFonts w:ascii="Times New Roman" w:hAnsi="Times New Roman" w:cs="Times New Roman"/>
          <w:b/>
        </w:rPr>
        <w:t>S2.3.1 Selection of Optimal Factor Solution</w:t>
      </w:r>
    </w:p>
    <w:p w14:paraId="6793D63E" w14:textId="42A94E2A" w:rsidR="005A7424" w:rsidRPr="00B74E97" w:rsidRDefault="005A7424" w:rsidP="005A7424">
      <w:pPr>
        <w:spacing w:line="480" w:lineRule="auto"/>
        <w:jc w:val="both"/>
        <w:rPr>
          <w:rFonts w:ascii="Times New Roman" w:hAnsi="Times New Roman" w:cs="Times New Roman"/>
          <w:bCs/>
        </w:rPr>
      </w:pPr>
      <w:r w:rsidRPr="00B74E97">
        <w:rPr>
          <w:rFonts w:ascii="Times New Roman" w:hAnsi="Times New Roman" w:cs="Times New Roman"/>
          <w:bCs/>
        </w:rPr>
        <w:t xml:space="preserve">Determining the optimal number of factors is a critical, user-dependent step in any PMF-based source apportionment study. PMF operates by minimizing the weighted residual error in the linear decomposition of a multivariate system, often yielding multiple mathematically viable solutions with similar residual structures. Consequently, mathematical diagnostics alone are insufficient for determining the appropriate number of factors </w:t>
      </w:r>
      <w:r w:rsidR="00CA0B5A">
        <w:rPr>
          <w:rFonts w:ascii="Times New Roman" w:hAnsi="Times New Roman" w:cs="Times New Roman"/>
          <w:bCs/>
        </w:rPr>
        <w:fldChar w:fldCharType="begin" w:fldLock="1"/>
      </w:r>
      <w:r w:rsidR="00830961">
        <w:rPr>
          <w:rFonts w:ascii="Times New Roman" w:hAnsi="Times New Roman" w:cs="Times New Roman"/>
          <w:bCs/>
        </w:rPr>
        <w:instrText>ADDIN CSL_CITATION {"citationItems":[{"id":"ITEM-1","itemData":{"DOI":"10.5194/amt-6-3649-2013","ISSN":"1867-8548","abstract":"Abstract. Source apportionment using the bilinear model through a multilinear engine (ME-2) was successfully applied to non-refractory organic aerosol (OA) mass spectra collected during the winter of 2011 and 2012 in Zurich, Switzerland using the aerosol chemical speciation monitor (ACSM). Five factors were identified: low-volatility oxygenated OA (LV-OOA), semivolatile oxygenated OA (SV-OOA), hydrocarbon-like OA (HOA), cooking OA (COA) and biomass burning OA (BBOA). A graphical user interface SoFi (Source Finder) was developed at PSI in order to facilitate the testing of different rotational techniques available within the ME-2 engine by providing a priori factor profiles for some or all of the expected factors. ME-2 was used to test the positive matrix factorization (PMF) model, the fully constrained chemical mass balance (CMB) model, and partially constrained models utilizing a values and pulling equations. Within the set of model solutions determined to be environmentally reasonable, BBOA and SV-OOA factor mass spectra and time series showed the greatest variability. This variability represents the uncertainty in the model solution and indicates that analysis of model rotations provides a useful approach for assessing the uncertainty of bilinear source apportionment models.","author":[{"dropping-particle":"","family":"Canonaco","given":"F.","non-dropping-particle":"","parse-names":false,"suffix":""},{"dropping-particle":"","family":"Crippa","given":"M.","non-dropping-particle":"","parse-names":false,"suffix":""},{"dropping-particle":"","family":"Slowik","given":"J. G.","non-dropping-particle":"","parse-names":false,"suffix":""},{"dropping-particle":"","family":"Baltensperger","given":"U.","non-dropping-particle":"","parse-names":false,"suffix":""},{"dropping-particle":"","family":"Prévôt","given":"A. S. H.","non-dropping-particle":"","parse-names":false,"suffix":""}],"container-title":"Atmospheric Measurement Techniques","id":"ITEM-1","issue":"12","issued":{"date-parts":[["2013","12"]]},"page":"3649-3661","title":"SoFi, an IGOR-based interface for the efficient use of the generalized multilinear engine (ME-2) for the source apportionment: ME-2 application to aerosol mass spectrometer data","type":"article-journal","volume":"6"},"uris":["http://www.mendeley.com/documents/?uuid=1106f89b-f22b-423e-97c8-8d9eeff64cca"]},{"id":"ITEM-2","itemData":{"DOI":"10.1016/j.envint.2021.106541","ISSN":"18736750","PMID":"33845290","abstract":"The Government of India (GOI) announced a nationwide lockdown starting 25th March 2020 to contain the spread of COVID-19, leading to an unprecedented decline in anthropogenic activities and, in turn, improvements in ambient air quality. This is the first study to focus on highly time-resolved chemical speciation and source apportionment of PM2.5 to assess the impact of the lockdown and subsequent relaxations on the sources of ambient PM2.5 in Delhi, India. The elemental, organic, and black carbon fractions of PM2.5 were measured at the IIT Delhi campus from February 2020 to May 2020. We report source apportionment results using positive matrix factorization (PMF) of organic and elemental fractions of PM2.5 during the different phases of the lockdown. The resolved sources such as vehicular emissions, domestic coal combustion, and semi-volatile oxygenated organic aerosol (SVOOA) were found to decrease by 96%, 95%, and 86%, respectively, during lockdown phase-1 as compared to pre-lockdown. An unforeseen rise in O3 concentrations with declining NOx levels was observed, similar to other parts of the globe, leading to the low-volatility oxygenated organic aerosols (LVOOA) increasing to almost double the pre-lockdown concentrations during the last phase of the lockdown. The effect of the lockdown was found to be less pronounced on other resolved sources like secondary chloride, power plants, dust-related, hydrocarbon-like organic aerosols (HOA), and biomass burning related emissions, which were also swayed by the changing meteorological conditions during the four lockdown phases. The results presented in this study provide a basis for future emission control strategies, quantifying the extent to which constraining certain anthropogenic activities can ameliorate the ambient air. These results have direct relevance to not only Delhi but the entire Indo-Gangetic plain (IGP), citing similar geographical and meteorological conditions common to the region along with overlapping regional emission sources. Summary of main findings: We identify sources like vehicular emissions, domestic coal combustion, and semi-volatile oxygenated organic aerosol (SVOOA) to be severely impacted by the lockdown, whereas ozone levels and, in turn, low-volatility oxygenated organic aerosols (LVOOA) rise by more than 95% compared to the pre-lockdown concentrations during the last phase of the lockdown. However, other sources resolved in this study, like secondary chloride, power plants, d…","author":[{"dropping-particle":"","family":"Manchanda","given":"Chirag","non-dropping-particle":"","parse-names":false,"suffix":""},{"dropping-particle":"","family":"Kumar","given":"Mayank","non-dropping-particle":"","parse-names":false,"suffix":""},{"dropping-particle":"","family":"Singh","given":"Vikram","non-dropping-particle":"","parse-names":false,"suffix":""},{"dropping-particle":"","family":"Faisal","given":"Mohd","non-dropping-particle":"","parse-names":false,"suffix":""},{"dropping-particle":"","family":"Hazarika","given":"Naba","non-dropping-particle":"","parse-names":false,"suffix":""},{"dropping-particle":"","family":"Shukla","given":"Ashutosh","non-dropping-particle":"","parse-names":false,"suffix":""},{"dropping-particle":"","family":"Lalchandani","given":"Vipul","non-dropping-particle":"","parse-names":false,"suffix":""},{"dropping-particle":"","family":"Goel","given":"Vikas","non-dropping-particle":"","parse-names":false,"suffix":""},{"dropping-particle":"","family":"Thamban","given":"Navaneeth","non-dropping-particle":"","parse-names":false,"suffix":""},{"dropping-particle":"","family":"Ganguly","given":"Dilip","non-dropping-particle":"","parse-names":false,"suffix":""},{"dropping-particle":"","family":"Tripathi","given":"Sachchida Nand","non-dropping-particle":"","parse-names":false,"suffix":""}],"container-title":"Environment International","id":"ITEM-2","issue":"December 2020","issued":{"date-parts":[["2021"]]},"page":"106541","publisher":"Elsevier Ltd","title":"Variation in chemical composition and sources of PM2.5 during the COVID-19 lockdown in Delhi","type":"article-journal","volume":"153"},"uris":["http://www.mendeley.com/documents/?uuid=56f28b26-26dd-4669-a4ef-e32df43235ec"]},{"id":"ITEM-3","itemData":{"DOI":"10.5194/acp-20-1657-2020","ISSN":"1680-7324","author":[{"dropping-particle":"","family":"Rai","given":"Pragati","non-dropping-particle":"","parse-names":false,"suffix":""},{"dropping-particle":"","family":"Furger","given":"Markus","non-dropping-particle":"","parse-names":false,"suffix":""},{"dropping-particle":"","family":"Slowik","given":"Jay G.","non-dropping-particle":"","parse-names":false,"suffix":""},{"dropping-particle":"","family":"Canonaco","given":"Francesco","non-dropping-particle":"","parse-names":false,"suffix":""},{"dropping-particle":"","family":"Fröhlich","given":"Roman","non-dropping-particle":"","parse-names":false,"suffix":""},{"dropping-particle":"","family":"Hüglin","given":"Christoph","non-dropping-particle":"","parse-names":false,"suffix":""},{"dropping-particle":"","family":"Minguillón","given":"María Cruz","non-dropping-particle":"","parse-names":false,"suffix":""},{"dropping-particle":"","family":"Petterson","given":"Krag","non-dropping-particle":"","parse-names":false,"suffix":""},{"dropping-particle":"","family":"Baltensperger","given":"Urs","non-dropping-particle":"","parse-names":false,"suffix":""},{"dropping-particle":"","family":"Prévôt","given":"André S. H.","non-dropping-particle":"","parse-names":false,"suffix":""}],"container-title":"Atmospheric Chemistry and Physics","id":"ITEM-3","issue":"3","issued":{"date-parts":[["2020","2"]]},"page":"1657-1674","title":"Source apportionment of highly time-resolved elements during a firework episode from a rural freeway site in Switzerland","type":"article-journal","volume":"20"},"uris":["http://www.mendeley.com/documents/?uuid=fd537f74-af15-42a6-b4e2-c92aa9ed5174"]}],"mendeley":{"formattedCitation":"(Canonaco et al., 2013; Manchanda et al., 2021; Rai et al., 2020b)","plainTextFormattedCitation":"(Canonaco et al., 2013; Manchanda et al., 2021; Rai et al., 2020b)","previouslyFormattedCitation":"(Canonaco et al., 2013; Manchanda et al., 2021; Rai et al., 2020b)"},"properties":{"noteIndex":0},"schema":"https://github.com/citation-style-language/schema/raw/master/csl-citation.json"}</w:instrText>
      </w:r>
      <w:r w:rsidR="00CA0B5A">
        <w:rPr>
          <w:rFonts w:ascii="Times New Roman" w:hAnsi="Times New Roman" w:cs="Times New Roman"/>
          <w:bCs/>
        </w:rPr>
        <w:fldChar w:fldCharType="separate"/>
      </w:r>
      <w:r w:rsidR="00A9302B" w:rsidRPr="00A9302B">
        <w:rPr>
          <w:rFonts w:ascii="Times New Roman" w:hAnsi="Times New Roman" w:cs="Times New Roman"/>
          <w:bCs/>
          <w:noProof/>
        </w:rPr>
        <w:t>(Canonaco et al., 2013; Manchanda et al., 2021; Rai et al., 2020b)</w:t>
      </w:r>
      <w:r w:rsidR="00CA0B5A">
        <w:rPr>
          <w:rFonts w:ascii="Times New Roman" w:hAnsi="Times New Roman" w:cs="Times New Roman"/>
          <w:bCs/>
        </w:rPr>
        <w:fldChar w:fldCharType="end"/>
      </w:r>
      <w:r w:rsidR="006A5492">
        <w:rPr>
          <w:rFonts w:ascii="Times New Roman" w:hAnsi="Times New Roman" w:cs="Times New Roman"/>
          <w:bCs/>
        </w:rPr>
        <w:t xml:space="preserve">. </w:t>
      </w:r>
      <w:r w:rsidRPr="00B74E97">
        <w:rPr>
          <w:rFonts w:ascii="Times New Roman" w:hAnsi="Times New Roman" w:cs="Times New Roman"/>
          <w:bCs/>
        </w:rPr>
        <w:t>Therefore, in addition to standard diagnostics such as the total Q-value, Q/</w:t>
      </w:r>
      <w:proofErr w:type="spellStart"/>
      <w:r w:rsidRPr="00B74E97">
        <w:rPr>
          <w:rFonts w:ascii="Times New Roman" w:hAnsi="Times New Roman" w:cs="Times New Roman"/>
          <w:bCs/>
        </w:rPr>
        <w:t>Q</w:t>
      </w:r>
      <w:r w:rsidRPr="006A5492">
        <w:rPr>
          <w:rFonts w:ascii="Times New Roman" w:hAnsi="Times New Roman" w:cs="Times New Roman"/>
          <w:bCs/>
          <w:vertAlign w:val="subscript"/>
        </w:rPr>
        <w:t>exp</w:t>
      </w:r>
      <w:proofErr w:type="spellEnd"/>
      <w:r w:rsidRPr="006A5492">
        <w:rPr>
          <w:rFonts w:ascii="Times New Roman" w:hAnsi="Times New Roman" w:cs="Times New Roman"/>
          <w:bCs/>
          <w:vertAlign w:val="subscript"/>
        </w:rPr>
        <w:t xml:space="preserve"> </w:t>
      </w:r>
      <w:r w:rsidR="00E46249">
        <w:rPr>
          <w:rFonts w:ascii="Times New Roman" w:hAnsi="Times New Roman" w:cs="Times New Roman"/>
          <w:bCs/>
          <w:vertAlign w:val="subscript"/>
        </w:rPr>
        <w:t xml:space="preserve"> </w:t>
      </w:r>
      <w:r w:rsidR="00E46249">
        <w:rPr>
          <w:rFonts w:ascii="Times New Roman" w:hAnsi="Times New Roman" w:cs="Times New Roman"/>
          <w:bCs/>
          <w:vertAlign w:val="subscript"/>
        </w:rPr>
        <w:fldChar w:fldCharType="begin" w:fldLock="1"/>
      </w:r>
      <w:r w:rsidR="00CE0DC6">
        <w:rPr>
          <w:rFonts w:ascii="Times New Roman" w:hAnsi="Times New Roman" w:cs="Times New Roman"/>
          <w:bCs/>
          <w:vertAlign w:val="subscript"/>
        </w:rPr>
        <w:instrText>ADDIN CSL_CITATION {"citationItems":[{"id":"ITEM-1","itemData":{"DOI":"10.5194/amt-6-3649-2013","ISSN":"1867-8548","abstract":"Abstract. Source apportionment using the bilinear model through a multilinear engine (ME-2) was successfully applied to non-refractory organic aerosol (OA) mass spectra collected during the winter of 2011 and 2012 in Zurich, Switzerland using the aerosol chemical speciation monitor (ACSM). Five factors were identified: low-volatility oxygenated OA (LV-OOA), semivolatile oxygenated OA (SV-OOA), hydrocarbon-like OA (HOA), cooking OA (COA) and biomass burning OA (BBOA). A graphical user interface SoFi (Source Finder) was developed at PSI in order to facilitate the testing of different rotational techniques available within the ME-2 engine by providing a priori factor profiles for some or all of the expected factors. ME-2 was used to test the positive matrix factorization (PMF) model, the fully constrained chemical mass balance (CMB) model, and partially constrained models utilizing a values and pulling equations. Within the set of model solutions determined to be environmentally reasonable, BBOA and SV-OOA factor mass spectra and time series showed the greatest variability. This variability represents the uncertainty in the model solution and indicates that analysis of model rotations provides a useful approach for assessing the uncertainty of bilinear source apportionment models.","author":[{"dropping-particle":"","family":"Canonaco","given":"F.","non-dropping-particle":"","parse-names":false,"suffix":""},{"dropping-particle":"","family":"Crippa","given":"M.","non-dropping-particle":"","parse-names":false,"suffix":""},{"dropping-particle":"","family":"Slowik","given":"J. G.","non-dropping-particle":"","parse-names":false,"suffix":""},{"dropping-particle":"","family":"Baltensperger","given":"U.","non-dropping-particle":"","parse-names":false,"suffix":""},{"dropping-particle":"","family":"Prévôt","given":"A. S. H.","non-dropping-particle":"","parse-names":false,"suffix":""}],"container-title":"Atmospheric Measurement Techniques","id":"ITEM-1","issue":"12","issued":{"date-parts":[["2013","12"]]},"page":"3649-3661","title":"SoFi, an IGOR-based interface for the efficient use of the generalized multilinear engine (ME-2) for the source apportionment: ME-2 application to aerosol mass spectrometer data","type":"article-journal","volume":"6"},"uris":["http://www.mendeley.com/documents/?uuid=1106f89b-f22b-423e-97c8-8d9eeff64cca"]}],"mendeley":{"formattedCitation":"(Canonaco et al., 2013)","plainTextFormattedCitation":"(Canonaco et al., 2013)","previouslyFormattedCitation":"(Canonaco et al., 2013)"},"properties":{"noteIndex":0},"schema":"https://github.com/citation-style-language/schema/raw/master/csl-citation.json"}</w:instrText>
      </w:r>
      <w:r w:rsidR="00E46249">
        <w:rPr>
          <w:rFonts w:ascii="Times New Roman" w:hAnsi="Times New Roman" w:cs="Times New Roman"/>
          <w:bCs/>
          <w:vertAlign w:val="subscript"/>
        </w:rPr>
        <w:fldChar w:fldCharType="separate"/>
      </w:r>
      <w:r w:rsidR="00E46249" w:rsidRPr="00E46249">
        <w:rPr>
          <w:rFonts w:ascii="Times New Roman" w:hAnsi="Times New Roman" w:cs="Times New Roman"/>
          <w:bCs/>
          <w:noProof/>
        </w:rPr>
        <w:t>(Canonaco et al., 2013)</w:t>
      </w:r>
      <w:r w:rsidR="00E46249">
        <w:rPr>
          <w:rFonts w:ascii="Times New Roman" w:hAnsi="Times New Roman" w:cs="Times New Roman"/>
          <w:bCs/>
          <w:vertAlign w:val="subscript"/>
        </w:rPr>
        <w:fldChar w:fldCharType="end"/>
      </w:r>
      <w:r w:rsidR="00C621CE">
        <w:rPr>
          <w:rFonts w:ascii="Times New Roman" w:hAnsi="Times New Roman" w:cs="Times New Roman"/>
          <w:bCs/>
        </w:rPr>
        <w:t xml:space="preserve">, </w:t>
      </w:r>
      <w:r w:rsidRPr="00B74E97">
        <w:rPr>
          <w:rFonts w:ascii="Times New Roman" w:hAnsi="Times New Roman" w:cs="Times New Roman"/>
          <w:bCs/>
        </w:rPr>
        <w:t xml:space="preserve">and scaled residuals for individual species, the physical interpretability of each resolved factor was </w:t>
      </w:r>
      <w:r w:rsidRPr="00B74E97">
        <w:rPr>
          <w:rFonts w:ascii="Times New Roman" w:hAnsi="Times New Roman" w:cs="Times New Roman"/>
          <w:bCs/>
        </w:rPr>
        <w:lastRenderedPageBreak/>
        <w:t xml:space="preserve">evaluated. This was achieved by assessing factor time series correlations with external tracers, analyzing their diurnal patterns, and comparing their elemental compositions with the </w:t>
      </w:r>
      <w:r w:rsidR="004654F2">
        <w:rPr>
          <w:rFonts w:ascii="Times New Roman" w:hAnsi="Times New Roman" w:cs="Times New Roman"/>
          <w:bCs/>
        </w:rPr>
        <w:t>literature</w:t>
      </w:r>
      <w:r w:rsidRPr="00B74E97">
        <w:rPr>
          <w:rFonts w:ascii="Times New Roman" w:hAnsi="Times New Roman" w:cs="Times New Roman"/>
          <w:bCs/>
        </w:rPr>
        <w:t xml:space="preserve"> reported in previous studies.</w:t>
      </w:r>
      <w:r w:rsidR="004654F2">
        <w:rPr>
          <w:rFonts w:ascii="Times New Roman" w:hAnsi="Times New Roman" w:cs="Times New Roman"/>
          <w:bCs/>
        </w:rPr>
        <w:t xml:space="preserve"> </w:t>
      </w:r>
      <w:r w:rsidRPr="00B74E97">
        <w:rPr>
          <w:rFonts w:ascii="Times New Roman" w:hAnsi="Times New Roman" w:cs="Times New Roman"/>
          <w:bCs/>
        </w:rPr>
        <w:t>In the preliminary base runs, the solution space was explored by varying the number of factors between 2 and 10, employing 10 distinct seeds (i.e., PMF runs initiated with different pseudorandom starting points). To refine the selection of the most appropriate factorization, the process was repeated using 20 seeds for each factor in the vicinity of the likely optimal solution, identified as the point where the Q-value stabilized without significant reduction upon increasing the number of factors. This approach aligns with methodologies used in prior studies to ensure reproducibility (Bhandari et al., 2020). The analysis demonstrated that all solutions within the optimal range exhibited high reproducibility across 20 seed runs, with the minimum Q-value varying by less than 1%. After Q/</w:t>
      </w:r>
      <w:proofErr w:type="spellStart"/>
      <w:r w:rsidRPr="00B74E97">
        <w:rPr>
          <w:rFonts w:ascii="Times New Roman" w:hAnsi="Times New Roman" w:cs="Times New Roman"/>
          <w:bCs/>
        </w:rPr>
        <w:t>Q</w:t>
      </w:r>
      <w:r w:rsidRPr="001D5147">
        <w:rPr>
          <w:rFonts w:ascii="Times New Roman" w:hAnsi="Times New Roman" w:cs="Times New Roman"/>
          <w:bCs/>
          <w:vertAlign w:val="subscript"/>
        </w:rPr>
        <w:t>exp</w:t>
      </w:r>
      <w:proofErr w:type="spellEnd"/>
      <w:r w:rsidRPr="00B74E97">
        <w:rPr>
          <w:rFonts w:ascii="Times New Roman" w:hAnsi="Times New Roman" w:cs="Times New Roman"/>
          <w:bCs/>
        </w:rPr>
        <w:t xml:space="preserve"> analysis and feasibility assessment of the obtained source profiles, a six-factor solution was determined to be optimal.</w:t>
      </w:r>
    </w:p>
    <w:p w14:paraId="2D8EEE34" w14:textId="77777777" w:rsidR="005A7424" w:rsidRPr="00B74E97" w:rsidRDefault="005A7424" w:rsidP="005A7424">
      <w:pPr>
        <w:spacing w:line="480" w:lineRule="auto"/>
        <w:jc w:val="both"/>
        <w:rPr>
          <w:rFonts w:ascii="Times New Roman" w:hAnsi="Times New Roman" w:cs="Times New Roman"/>
          <w:bCs/>
        </w:rPr>
      </w:pPr>
    </w:p>
    <w:p w14:paraId="4A184F6D" w14:textId="77777777" w:rsidR="00537F14" w:rsidRDefault="005A7424" w:rsidP="005A7424">
      <w:pPr>
        <w:spacing w:line="480" w:lineRule="auto"/>
        <w:jc w:val="both"/>
        <w:rPr>
          <w:rFonts w:ascii="Times New Roman" w:hAnsi="Times New Roman" w:cs="Times New Roman"/>
          <w:b/>
          <w:i/>
          <w:iCs/>
        </w:rPr>
      </w:pPr>
      <w:r w:rsidRPr="00C42DCD">
        <w:rPr>
          <w:rFonts w:ascii="Times New Roman" w:hAnsi="Times New Roman" w:cs="Times New Roman"/>
          <w:b/>
          <w:i/>
          <w:iCs/>
        </w:rPr>
        <w:t>S2.3.2 Displacement (DISP) Analysis</w:t>
      </w:r>
    </w:p>
    <w:p w14:paraId="5290CF74" w14:textId="25DA7DC9" w:rsidR="005A7424" w:rsidRPr="00537F14" w:rsidRDefault="005A7424" w:rsidP="005A7424">
      <w:pPr>
        <w:spacing w:line="480" w:lineRule="auto"/>
        <w:jc w:val="both"/>
        <w:rPr>
          <w:rFonts w:ascii="Times New Roman" w:hAnsi="Times New Roman" w:cs="Times New Roman"/>
          <w:b/>
          <w:i/>
          <w:iCs/>
        </w:rPr>
      </w:pPr>
      <w:r w:rsidRPr="00B74E97">
        <w:rPr>
          <w:rFonts w:ascii="Times New Roman" w:hAnsi="Times New Roman" w:cs="Times New Roman"/>
          <w:bCs/>
        </w:rPr>
        <w:t>To further assess the robustness of the selected solution, rotational ambiguity was evaluated using the DISP analysis available in the EPA PMF 5.0 module. DISP quantifies the degree to which factor profiles can be perturbed while maintaining an acceptable Q-value variation. In this procedure, individual species concentrations in the factor profiles from the base run are incrementally perturbed, one at a time, and a new PMF run is conducted to achieve a converged solution. An acceptable solution is defined by a Q-value change below a predefined threshold (</w:t>
      </w:r>
      <w:proofErr w:type="spellStart"/>
      <w:r w:rsidRPr="00B74E97">
        <w:rPr>
          <w:rFonts w:ascii="Times New Roman" w:hAnsi="Times New Roman" w:cs="Times New Roman"/>
          <w:bCs/>
        </w:rPr>
        <w:t>ΔQmax</w:t>
      </w:r>
      <w:proofErr w:type="spellEnd"/>
      <w:r w:rsidRPr="00B74E97">
        <w:rPr>
          <w:rFonts w:ascii="Times New Roman" w:hAnsi="Times New Roman" w:cs="Times New Roman"/>
          <w:bCs/>
        </w:rPr>
        <w:t xml:space="preserve"> = 4, 8, 15, 25).</w:t>
      </w:r>
    </w:p>
    <w:p w14:paraId="20331C52" w14:textId="44E73611" w:rsidR="005A7424" w:rsidRPr="00B74E97" w:rsidRDefault="005A7424" w:rsidP="005A7424">
      <w:pPr>
        <w:spacing w:line="480" w:lineRule="auto"/>
        <w:jc w:val="both"/>
        <w:rPr>
          <w:rFonts w:ascii="Times New Roman" w:hAnsi="Times New Roman" w:cs="Times New Roman"/>
          <w:bCs/>
        </w:rPr>
      </w:pPr>
      <w:r w:rsidRPr="00B74E97">
        <w:rPr>
          <w:rFonts w:ascii="Times New Roman" w:hAnsi="Times New Roman" w:cs="Times New Roman"/>
          <w:bCs/>
        </w:rPr>
        <w:t xml:space="preserve">During this process, factor identity shifts, where a perturbed factor aligns more closely with a different base factor rather than itself, are identified as factor swaps. The EPA PMF module detects such swaps using uncentered cross-correlations between the perturbed and base solutions. In this study, no factor swaps were observed, confirming the stability of the PMF solutions. The largest reduction in Q-value for the coupled PMF solution was 0.0738, corresponding to a %ΔQ of 0.0018%, well within the 1% threshold recommended for a reliable DISP solution </w:t>
      </w:r>
      <w:r w:rsidR="00CE0DC6">
        <w:rPr>
          <w:rFonts w:ascii="Times New Roman" w:hAnsi="Times New Roman" w:cs="Times New Roman"/>
          <w:bCs/>
        </w:rPr>
        <w:fldChar w:fldCharType="begin" w:fldLock="1"/>
      </w:r>
      <w:r w:rsidR="00A9302B">
        <w:rPr>
          <w:rFonts w:ascii="Times New Roman" w:hAnsi="Times New Roman" w:cs="Times New Roman"/>
          <w:bCs/>
        </w:rPr>
        <w:instrText>ADDIN CSL_CITATION {"citationItems":[{"id":"ITEM-1","itemData":{"author":[{"dropping-particle":"","family":"Norris","given":"Gary","non-dropping-particle":"","parse-names":false,"suffix":""},{"dropping-particle":"","family":"Duvall","given":"Rachelle","non-dropping-particle":"","parse-names":false,"suffix":""},{"dropping-particle":"","family":"Brown","given":"Steve","non-dropping-particle":"","parse-names":false,"suffix":""},{"dropping-particle":"","family":"Bai","given":"Song","non-dropping-particle":"","parse-names":false,"suffix":""}],"id":"ITEM-1","issued":{"date-parts":[["2014"]]},"title":"EPA PMF 5.0 User Guide","type":"report"},"uris":["http://www.mendeley.com/documents/?uuid=f8387656-22a4-40e0-a467-41da9a255468"]}],"mendeley":{"formattedCitation":"(Norris et al., 2014)","plainTextFormattedCitation":"(Norris et al., 2014)","previouslyFormattedCitation":"(Norris et al., 2014)"},"properties":{"noteIndex":0},"schema":"https://github.com/citation-style-language/schema/raw/master/csl-citation.json"}</w:instrText>
      </w:r>
      <w:r w:rsidR="00CE0DC6">
        <w:rPr>
          <w:rFonts w:ascii="Times New Roman" w:hAnsi="Times New Roman" w:cs="Times New Roman"/>
          <w:bCs/>
        </w:rPr>
        <w:fldChar w:fldCharType="separate"/>
      </w:r>
      <w:r w:rsidR="00CE0DC6" w:rsidRPr="00CE0DC6">
        <w:rPr>
          <w:rFonts w:ascii="Times New Roman" w:hAnsi="Times New Roman" w:cs="Times New Roman"/>
          <w:bCs/>
          <w:noProof/>
        </w:rPr>
        <w:t>(Norris et al., 2014)</w:t>
      </w:r>
      <w:r w:rsidR="00CE0DC6">
        <w:rPr>
          <w:rFonts w:ascii="Times New Roman" w:hAnsi="Times New Roman" w:cs="Times New Roman"/>
          <w:bCs/>
        </w:rPr>
        <w:fldChar w:fldCharType="end"/>
      </w:r>
      <w:r w:rsidR="00671D99">
        <w:rPr>
          <w:rFonts w:ascii="Times New Roman" w:hAnsi="Times New Roman" w:cs="Times New Roman"/>
          <w:bCs/>
        </w:rPr>
        <w:t xml:space="preserve">. </w:t>
      </w:r>
      <w:r w:rsidR="00A40E96" w:rsidRPr="00A40E96">
        <w:rPr>
          <w:rFonts w:ascii="Times New Roman" w:hAnsi="Times New Roman" w:cs="Times New Roman"/>
          <w:bCs/>
        </w:rPr>
        <w:t>A summary of the DISP results is provided in Table S2.</w:t>
      </w:r>
    </w:p>
    <w:p w14:paraId="63D24BBB" w14:textId="77777777" w:rsidR="005A7424" w:rsidRPr="00B74E97" w:rsidRDefault="005A7424" w:rsidP="005A7424">
      <w:pPr>
        <w:spacing w:line="480" w:lineRule="auto"/>
        <w:jc w:val="both"/>
        <w:rPr>
          <w:rFonts w:ascii="Times New Roman" w:hAnsi="Times New Roman" w:cs="Times New Roman"/>
          <w:bCs/>
        </w:rPr>
      </w:pPr>
    </w:p>
    <w:p w14:paraId="15B02BE3" w14:textId="479D82D0" w:rsidR="005A7424" w:rsidRPr="00537F14" w:rsidRDefault="005A7424" w:rsidP="005A7424">
      <w:pPr>
        <w:spacing w:line="480" w:lineRule="auto"/>
        <w:jc w:val="both"/>
        <w:rPr>
          <w:rFonts w:ascii="Times New Roman" w:hAnsi="Times New Roman" w:cs="Times New Roman"/>
          <w:b/>
          <w:i/>
          <w:iCs/>
        </w:rPr>
      </w:pPr>
      <w:r w:rsidRPr="00537F14">
        <w:rPr>
          <w:rFonts w:ascii="Times New Roman" w:hAnsi="Times New Roman" w:cs="Times New Roman"/>
          <w:b/>
          <w:i/>
          <w:iCs/>
        </w:rPr>
        <w:t xml:space="preserve">S2.3.3 Rotational Uncertainty and </w:t>
      </w:r>
      <w:proofErr w:type="spellStart"/>
      <w:r w:rsidR="009D3C2E">
        <w:rPr>
          <w:rFonts w:ascii="Times New Roman" w:hAnsi="Times New Roman" w:cs="Times New Roman"/>
          <w:b/>
          <w:i/>
          <w:iCs/>
        </w:rPr>
        <w:t>F</w:t>
      </w:r>
      <w:r w:rsidRPr="008E7B0E">
        <w:rPr>
          <w:rFonts w:ascii="Times New Roman" w:hAnsi="Times New Roman" w:cs="Times New Roman"/>
          <w:b/>
          <w:i/>
          <w:iCs/>
          <w:vertAlign w:val="subscript"/>
        </w:rPr>
        <w:t>Peak</w:t>
      </w:r>
      <w:proofErr w:type="spellEnd"/>
      <w:r w:rsidRPr="00537F14">
        <w:rPr>
          <w:rFonts w:ascii="Times New Roman" w:hAnsi="Times New Roman" w:cs="Times New Roman"/>
          <w:b/>
          <w:i/>
          <w:iCs/>
        </w:rPr>
        <w:t xml:space="preserve"> Variation</w:t>
      </w:r>
    </w:p>
    <w:p w14:paraId="4B14449C" w14:textId="0E553BBE" w:rsidR="005A7424" w:rsidRPr="00B74E97" w:rsidRDefault="005A7424" w:rsidP="005A7424">
      <w:pPr>
        <w:spacing w:line="480" w:lineRule="auto"/>
        <w:jc w:val="both"/>
        <w:rPr>
          <w:rFonts w:ascii="Times New Roman" w:hAnsi="Times New Roman" w:cs="Times New Roman"/>
          <w:bCs/>
        </w:rPr>
      </w:pPr>
      <w:r w:rsidRPr="00B74E97">
        <w:rPr>
          <w:rFonts w:ascii="Times New Roman" w:hAnsi="Times New Roman" w:cs="Times New Roman"/>
          <w:bCs/>
        </w:rPr>
        <w:t xml:space="preserve">PMF is a multivariate factor analysis tool, and an infinite number of mathematically feasible solutions can exist due to its non-orthogonal nature. Unlike methods that enforce orthogonality, PMF allows factors to be correlated, introducing rotational ambiguity in the resolved profiles. To assess this ambiguity, the EPA PMF 5.0 software provides an </w:t>
      </w:r>
      <w:proofErr w:type="spellStart"/>
      <w:r w:rsidR="00E060BA">
        <w:rPr>
          <w:rFonts w:ascii="Times New Roman" w:hAnsi="Times New Roman" w:cs="Times New Roman"/>
          <w:bCs/>
        </w:rPr>
        <w:t>F</w:t>
      </w:r>
      <w:r w:rsidR="00E060BA" w:rsidRPr="00E060BA">
        <w:rPr>
          <w:rFonts w:ascii="Times New Roman" w:hAnsi="Times New Roman" w:cs="Times New Roman"/>
          <w:bCs/>
          <w:vertAlign w:val="subscript"/>
        </w:rPr>
        <w:t>peak</w:t>
      </w:r>
      <w:proofErr w:type="spellEnd"/>
      <w:r w:rsidRPr="00B74E97">
        <w:rPr>
          <w:rFonts w:ascii="Times New Roman" w:hAnsi="Times New Roman" w:cs="Times New Roman"/>
          <w:bCs/>
        </w:rPr>
        <w:t xml:space="preserve"> rotation technique, which systematically perturbs factor profiles to explore possible rotations while maintaining a stable </w:t>
      </w:r>
      <w:r w:rsidRPr="00B74E97">
        <w:rPr>
          <w:rFonts w:ascii="Times New Roman" w:hAnsi="Times New Roman" w:cs="Times New Roman"/>
          <w:bCs/>
        </w:rPr>
        <w:lastRenderedPageBreak/>
        <w:t>Q-value.</w:t>
      </w:r>
      <w:r w:rsidR="00547946">
        <w:rPr>
          <w:rFonts w:ascii="Times New Roman" w:hAnsi="Times New Roman" w:cs="Times New Roman"/>
          <w:bCs/>
        </w:rPr>
        <w:t xml:space="preserve"> </w:t>
      </w:r>
      <w:r w:rsidRPr="00B74E97">
        <w:rPr>
          <w:rFonts w:ascii="Times New Roman" w:hAnsi="Times New Roman" w:cs="Times New Roman"/>
          <w:bCs/>
        </w:rPr>
        <w:t xml:space="preserve">To further assess rotational uncertainty, the optimal base run was subjected to </w:t>
      </w:r>
      <w:proofErr w:type="spellStart"/>
      <w:r w:rsidR="00464613">
        <w:rPr>
          <w:rFonts w:ascii="Times New Roman" w:hAnsi="Times New Roman" w:cs="Times New Roman"/>
          <w:bCs/>
        </w:rPr>
        <w:t>F</w:t>
      </w:r>
      <w:r w:rsidR="00464613" w:rsidRPr="00E060BA">
        <w:rPr>
          <w:rFonts w:ascii="Times New Roman" w:hAnsi="Times New Roman" w:cs="Times New Roman"/>
          <w:bCs/>
          <w:vertAlign w:val="subscript"/>
        </w:rPr>
        <w:t>peak</w:t>
      </w:r>
      <w:proofErr w:type="spellEnd"/>
      <w:r w:rsidRPr="00B74E97">
        <w:rPr>
          <w:rFonts w:ascii="Times New Roman" w:hAnsi="Times New Roman" w:cs="Times New Roman"/>
          <w:bCs/>
        </w:rPr>
        <w:t xml:space="preserve"> variation from -1 to +1 in increments of 0.1, following established methodologies </w:t>
      </w:r>
      <w:r w:rsidR="00A9302B">
        <w:rPr>
          <w:rFonts w:ascii="Times New Roman" w:hAnsi="Times New Roman" w:cs="Times New Roman"/>
          <w:bCs/>
        </w:rPr>
        <w:fldChar w:fldCharType="begin" w:fldLock="1"/>
      </w:r>
      <w:r w:rsidR="00830961">
        <w:rPr>
          <w:rFonts w:ascii="Times New Roman" w:hAnsi="Times New Roman" w:cs="Times New Roman"/>
          <w:bCs/>
        </w:rPr>
        <w:instrText>ADDIN CSL_CITATION {"citationItems":[{"id":"ITEM-1","itemData":{"DOI":"10.1016/j.atmosenv.2024.121011","ISSN":"18732844","abstract":"A number of recent source apportionment studies have explored high-time resolution organic particulate matter, elemental particulate matter (PM), and Black Carbon (BC) datasets and attributed them independently to specific sources. However, proper unmixing of the actual sources operational on the ground most of the time cannot be achieved based on such an independent source apportionment approach, especially owing to the presence of secondary aerosol factors. Therefore, a combined analysis of all major PM2.5 species is needed to better recognize the actual physical sources. Accordingly, in this study, using a combined dataset consisting of non-refractory PM2.5 organic factors/major m/z signals from organics, elements, and BC, we evaluated two disparate factor analytic methodologies – namely, double-PMF (D-PMF) and Tracer-conjugate PMF (TC-PMF), to apportion PM2.5 sources in Delhi winter (from December 15, 2020 to February 28, 2021) through real-time instrumentation (ACSM, Xact, and Aethalometer(AXA)). During the study period, the average PM2.5 concentration was 182 μg/m3 (C-PM2.5 = sum of NR-PM2.5 (Organics, NO3−, SO4−2, NH4+), BC, and elements). For D-PMF, organic aerosols (OA) were initially deconvolved with positive matrix factorization (PMF) into hydrocarbon-like OA (HOA), biomass burning OA (BBOA), low volatile oxidized OA (LVOOA 1 and 2) and semi-volatile oxidized organic aerosols (SVOOA) before being coupled with elemental species and BC for a second PMF. The TC-PMF combined the major m/z signals from organics with the elemental species and BC. Both D-PMF and TC-PMF identified biomass burning, industrial, waste incineration, dust-related, traffic, secondary chloride, Pb-rich, power plant, and LVOOA dominated as the sources. Both solutions (D-PMF, TC-PMF) were found to be dominated by biomass burning (33.3% and 26.5%), followed by the power plant (27.4% and 18.4%) and the LVOOA dominant (14.2% and 18.6%) factors. The D-PMF and TC-PMF improved the interpretation of organic factor sources, such as apportioning considerable contributions of LVOOA2 (85%) to the power plant factor, which is often linked with regionally carried aged OA in the Organics PMF (O-PMF). Lastly, the D-PMF results significantly agreed with TC-PMF, indicating that either of the two techniques could be used to unmix the complex variety of PM2.5 sources in the Delhi-NCR (National Capital Region) region and, arguably, the larger Indo-Gangetic Plains.","author":[{"dropping-particle":"","family":"Faisal","given":"Mohd","non-dropping-particle":"","parse-names":false,"suffix":""},{"dropping-particle":"","family":"Ali","given":"Umer","non-dropping-particle":"","parse-names":false,"suffix":""},{"dropping-particle":"","family":"Kumar","given":"Ajit","non-dropping-particle":"","parse-names":false,"suffix":""},{"dropping-particle":"","family":"Kumar","given":"Mayank","non-dropping-particle":"","parse-names":false,"suffix":""},{"dropping-particle":"","family":"Singh","given":"Vikram","non-dropping-particle":"","parse-names":false,"suffix":""}],"container-title":"Atmospheric Environment","id":"ITEM-1","issue":"December 2024","issued":{"date-parts":[["2025"]]},"page":"121011","publisher":"Elsevier Ltd","title":"Unveiling PM2.5 sources: Double and tracer conjugate PMF approaches for high-resolution organic, BC, and inorganic PM2.5 data","type":"article-journal","volume":"343"},"uris":["http://www.mendeley.com/documents/?uuid=1b459bc5-3f64-4e2d-b809-9caa710d1faf"]},{"id":"ITEM-2","itemData":{"DOI":"10.1016/j.envint.2021.106541","ISSN":"18736750","PMID":"33845290","abstract":"The Government of India (GOI) announced a nationwide lockdown starting 25th March 2020 to contain the spread of COVID-19, leading to an unprecedented decline in anthropogenic activities and, in turn, improvements in ambient air quality. This is the first study to focus on highly time-resolved chemical speciation and source apportionment of PM2.5 to assess the impact of the lockdown and subsequent relaxations on the sources of ambient PM2.5 in Delhi, India. The elemental, organic, and black carbon fractions of PM2.5 were measured at the IIT Delhi campus from February 2020 to May 2020. We report source apportionment results using positive matrix factorization (PMF) of organic and elemental fractions of PM2.5 during the different phases of the lockdown. The resolved sources such as vehicular emissions, domestic coal combustion, and semi-volatile oxygenated organic aerosol (SVOOA) were found to decrease by 96%, 95%, and 86%, respectively, during lockdown phase-1 as compared to pre-lockdown. An unforeseen rise in O3 concentrations with declining NOx levels was observed, similar to other parts of the globe, leading to the low-volatility oxygenated organic aerosols (LVOOA) increasing to almost double the pre-lockdown concentrations during the last phase of the lockdown. The effect of the lockdown was found to be less pronounced on other resolved sources like secondary chloride, power plants, dust-related, hydrocarbon-like organic aerosols (HOA), and biomass burning related emissions, which were also swayed by the changing meteorological conditions during the four lockdown phases. The results presented in this study provide a basis for future emission control strategies, quantifying the extent to which constraining certain anthropogenic activities can ameliorate the ambient air. These results have direct relevance to not only Delhi but the entire Indo-Gangetic plain (IGP), citing similar geographical and meteorological conditions common to the region along with overlapping regional emission sources. Summary of main findings: We identify sources like vehicular emissions, domestic coal combustion, and semi-volatile oxygenated organic aerosol (SVOOA) to be severely impacted by the lockdown, whereas ozone levels and, in turn, low-volatility oxygenated organic aerosols (LVOOA) rise by more than 95% compared to the pre-lockdown concentrations during the last phase of the lockdown. However, other sources resolved in this study, like secondary chloride, power plants, d…","author":[{"dropping-particle":"","family":"Manchanda","given":"Chirag","non-dropping-particle":"","parse-names":false,"suffix":""},{"dropping-particle":"","family":"Kumar","given":"Mayank","non-dropping-particle":"","parse-names":false,"suffix":""},{"dropping-particle":"","family":"Singh","given":"Vikram","non-dropping-particle":"","parse-names":false,"suffix":""},{"dropping-particle":"","family":"Faisal","given":"Mohd","non-dropping-particle":"","parse-names":false,"suffix":""},{"dropping-particle":"","family":"Hazarika","given":"Naba","non-dropping-particle":"","parse-names":false,"suffix":""},{"dropping-particle":"","family":"Shukla","given":"Ashutosh","non-dropping-particle":"","parse-names":false,"suffix":""},{"dropping-particle":"","family":"Lalchandani","given":"Vipul","non-dropping-particle":"","parse-names":false,"suffix":""},{"dropping-particle":"","family":"Goel","given":"Vikas","non-dropping-particle":"","parse-names":false,"suffix":""},{"dropping-particle":"","family":"Thamban","given":"Navaneeth","non-dropping-particle":"","parse-names":false,"suffix":""},{"dropping-particle":"","family":"Ganguly","given":"Dilip","non-dropping-particle":"","parse-names":false,"suffix":""},{"dropping-particle":"","family":"Tripathi","given":"Sachchida Nand","non-dropping-particle":"","parse-names":false,"suffix":""}],"container-title":"Environment International","id":"ITEM-2","issue":"December 2020","issued":{"date-parts":[["2021"]]},"page":"106541","publisher":"Elsevier Ltd","title":"Variation in chemical composition and sources of PM2.5 during the COVID-19 lockdown in Delhi","type":"article-journal","volume":"153"},"uris":["http://www.mendeley.com/documents/?uuid=56f28b26-26dd-4669-a4ef-e32df43235ec"]},{"id":"ITEM-3","itemData":{"DOI":"10.1016/j.scitotenv.2020.140332","ISSN":"18791026","PMID":"33167294","abstract":"Delhi, the capital of India, suffers from heavy local emissions as well as regional transport of air pollutants, resulting in severe aerosol loadings. To determine the sources of these pollutants, we have quantified the mass concentrations of 26 elements in airborne particles, measured by an online X-ray fluorescence spectrometer with time resolution between 30 min and 1 h. Measurements of PM10 and PM2.5 (particulate matter &lt;10 μm and &lt; 2.5 μm) were conducted during two consecutive winters (2018 and 2019) in Delhi. On average, 26 elements from Al to Pb made up ~25% and ~19% of the total PM10 mass (271 μg m−3 and 300 μg m−3) in 2018 and 2019, respectively. Nine different aerosol sources were identified during both winters using positive matrix factorization (PMF), including dust, non-exhaust, an S-rich factor, two solid fuel combustion (SFC) factors and four industrial/combustion factors related to plume events (Cr-Ni-Mn, Cu-Cd-Pb, Pb-Sn-Se and Cl-Br-Se). All factors were resolved in both size ranges (but varying relative concentrations), comprising the following contributions to the elemental PM10 mass (in % average for 2018 and 2019): Cl-Br-Se (41.5%, 36.9%), dust (27.6%, 28.7%), non-exhaust (16.2%, 13.7%), S-rich (6.9%, 9.2%), SFC1 + SFC2 (4%, 7%), Pb-Sn-Se (2.3%, 1.66%), Cu-Cd-Pb (0.67%, 2.2%) and Cr-Ni-Mn (0.57%, 0.47%). Most of these sources had the highest relative contributions during late night (22:00 local time (LT)) and early morning hours (between 03:00 to 08:00 LT), which is consistent with enhanced emissions into a shallow boundary layer. Modelling of airmass source geography revealed that the Pb-Sn-Se, Cl-Br-Se and SFC2 factors prevailed for northwest winds (Pakistan, Punjab, Haryana and Delhi), while the Cu-Cd-Pb and S-rich factors originated from east (Nepal and Uttar Pradesh) and the Cr-Ni-Mn factor from northeast (Uttar Pradesh). In contrast, SFC1, dust and non-exhaust were not associated with any specific wind direction.","author":[{"dropping-particle":"","family":"Rai","given":"Pragati","non-dropping-particle":"","parse-names":false,"suffix":""},{"dropping-particle":"","family":"Furger","given":"Markus","non-dropping-particle":"","parse-names":false,"suffix":""},{"dropping-particle":"","family":"Haddad","given":"Imad","non-dropping-particle":"El","parse-names":false,"suffix":""},{"dropping-particle":"","family":"Kumar","given":"Varun","non-dropping-particle":"","parse-names":false,"suffix":""},{"dropping-particle":"","family":"Wang","given":"Liwei","non-dropping-particle":"","parse-names":false,"suffix":""},{"dropping-particle":"","family":"Singh","given":"Atinderpal","non-dropping-particle":"","parse-names":false,"suffix":""},{"dropping-particle":"","family":"Dixit","given":"Kuldeep","non-dropping-particle":"","parse-names":false,"suffix":""},{"dropping-particle":"","family":"Bhattu","given":"Deepika","non-dropping-particle":"","parse-names":false,"suffix":""},{"dropping-particle":"","family":"Petit","given":"Jean Eudes","non-dropping-particle":"","parse-names":false,"suffix":""},{"dropping-particle":"","family":"Ganguly","given":"Dilip","non-dropping-particle":"","parse-names":false,"suffix":""},{"dropping-particle":"","family":"Rastogi","given":"Neeraj","non-dropping-particle":"","parse-names":false,"suffix":""},{"dropping-particle":"","family":"Baltensperger","given":"Urs","non-dropping-particle":"","parse-names":false,"suffix":""},{"dropping-particle":"","family":"Tripathi","given":"Sachchida Nand","non-dropping-particle":"","parse-names":false,"suffix":""},{"dropping-particle":"","family":"Slowik","given":"Jay G.","non-dropping-particle":"","parse-names":false,"suffix":""},{"dropping-particle":"","family":"Prévôt","given":"André S.H.","non-dropping-particle":"","parse-names":false,"suffix":""}],"container-title":"Science of the Total Environment","id":"ITEM-3","issued":{"date-parts":[["2020"]]},"page":"140332","publisher":"The Authors","title":"Real-time measurement and source apportionment of elements in Delhi's atmosphere","type":"article-journal","volume":"742"},"uris":["http://www.mendeley.com/documents/?uuid=ded3505a-772a-46d7-b828-468f1570475d"]},{"id":"ITEM-4","itemData":{"DOI":"10.5194/acp-9-2891-2009","ISSN":"16807316","abstract":"The organic aerosol (OA) dataset from an Aerodyne Aerosol Mass Spectrometer (Q-AMS) collected at the Pittsburgh Air Quality Study (PAQS) in September 2002 was analyzed with Positive Matrix Factorization (PMF). Three components-hydrocarbon-like organic aerosol OA (HOA), a highly-oxygenated OA (OOA-1) that correlates well with sulfate, and a less-oxygenated, semi-volatile OA (OOA-2) that correlates well with nitrate and chloride-are identified and interpreted as primary combustion emissions, aged SOA, and semivolatile, less aged SOA, respectively. The complexity of interpreting the PMF solutions of unit mass resolution (UMR) AMS data is illustrated by a detailed analysis of the solutions as a function of number of components and rotational forcing. A public web-based database of AMS spectra has been created to aid this type of analysis. Realistic synthetic data is also used to characterize the behavior of PMF for choosing the best number of factors, and evaluating the rotations of non-unique solutions. The ambient and synthetic data indicate that the variation of the PMF quality of fit parameter (Q, a normalized chi-squared metric) vs. number of factors in the solution is useful to identify the minimum number of factors, but more detailed analysis and interpretation are needed to choose the best number of factors. The maximum value of the rotational matrix is not useful for determining the best number of factors. In synthetic datasets, factors are \"split\" into two or more components when solving for more factors than were used in the input. Elements of the \"splitting\" behavior are observed in solutions of real datasets with several factors. Significant structure remains in the residual of the real dataset after physically- meaningful factors have been assigned and an unrealistic number of factors would be required to explain the remaining variance. This residual structure appears to be due to variability in the spectra of the components (especially OOA-2 in this case), which is likely to be a key limit of the retrievability of components from AMS datasets using PMF and similar methods that need to assume constant component mass spectra. Methods for characterizing and dealing with this variability are needed. Interpretation of PMF factors must be done carefully. Synthetic data indicate that PMF internal diagnostics and similarity to available source component spectra together are not sufficient for identifying factors. It is critical to use correlations be…","author":[{"dropping-particle":"","family":"Ulbrich","given":"I. M.","non-dropping-particle":"","parse-names":false,"suffix":""},{"dropping-particle":"","family":"Canagaratna","given":"M. R.","non-dropping-particle":"","parse-names":false,"suffix":""},{"dropping-particle":"","family":"Zhang","given":"Q.","non-dropping-particle":"","parse-names":false,"suffix":""},{"dropping-particle":"","family":"Worsnop","given":"D. R.","non-dropping-particle":"","parse-names":false,"suffix":""},{"dropping-particle":"","family":"Jimenez","given":"J. L.","non-dropping-particle":"","parse-names":false,"suffix":""}],"container-title":"Atmospheric Chemistry and Physics","id":"ITEM-4","issue":"9","issued":{"date-parts":[["2009"]]},"page":"2891-2918","title":"Interpretation of organic components from Positive Matrix Factorization of aerosol mass spectrometric data","type":"article-journal","volume":"9"},"uris":["http://www.mendeley.com/documents/?uuid=32ab9c82-7860-404f-81ec-4f28881f2abc"]}],"mendeley":{"formattedCitation":"(Faisal et al., 2025; Manchanda et al., 2021; Rai et al., 2020a; Ulbrich et al., 2009)","plainTextFormattedCitation":"(Faisal et al., 2025; Manchanda et al., 2021; Rai et al., 2020a; Ulbrich et al., 2009)","previouslyFormattedCitation":"(Faisal et al., 2025; Manchanda et al., 2021; Rai et al., 2020a; Ulbrich et al., 2009)"},"properties":{"noteIndex":0},"schema":"https://github.com/citation-style-language/schema/raw/master/csl-citation.json"}</w:instrText>
      </w:r>
      <w:r w:rsidR="00A9302B">
        <w:rPr>
          <w:rFonts w:ascii="Times New Roman" w:hAnsi="Times New Roman" w:cs="Times New Roman"/>
          <w:bCs/>
        </w:rPr>
        <w:fldChar w:fldCharType="separate"/>
      </w:r>
      <w:r w:rsidR="00A9302B" w:rsidRPr="00A9302B">
        <w:rPr>
          <w:rFonts w:ascii="Times New Roman" w:hAnsi="Times New Roman" w:cs="Times New Roman"/>
          <w:bCs/>
          <w:noProof/>
        </w:rPr>
        <w:t>(Faisal et al., 2025; Manchanda et al., 2021; Rai et al., 2020a; Ulbrich et al., 2009)</w:t>
      </w:r>
      <w:r w:rsidR="00A9302B">
        <w:rPr>
          <w:rFonts w:ascii="Times New Roman" w:hAnsi="Times New Roman" w:cs="Times New Roman"/>
          <w:bCs/>
        </w:rPr>
        <w:fldChar w:fldCharType="end"/>
      </w:r>
      <w:r w:rsidR="00ED62D6">
        <w:rPr>
          <w:rFonts w:ascii="Times New Roman" w:hAnsi="Times New Roman" w:cs="Times New Roman"/>
          <w:bCs/>
        </w:rPr>
        <w:t xml:space="preserve">. </w:t>
      </w:r>
      <w:r w:rsidRPr="00B74E97">
        <w:rPr>
          <w:rFonts w:ascii="Times New Roman" w:hAnsi="Times New Roman" w:cs="Times New Roman"/>
          <w:bCs/>
        </w:rPr>
        <w:t xml:space="preserve">The range of f-peak rotations was constrained to ensure that the rotated solutions remained within the </w:t>
      </w:r>
      <w:proofErr w:type="gramStart"/>
      <w:r w:rsidRPr="00B74E97">
        <w:rPr>
          <w:rFonts w:ascii="Times New Roman" w:hAnsi="Times New Roman" w:cs="Times New Roman"/>
          <w:bCs/>
        </w:rPr>
        <w:t>same solution</w:t>
      </w:r>
      <w:proofErr w:type="gramEnd"/>
      <w:r w:rsidRPr="00B74E97">
        <w:rPr>
          <w:rFonts w:ascii="Times New Roman" w:hAnsi="Times New Roman" w:cs="Times New Roman"/>
          <w:bCs/>
        </w:rPr>
        <w:t xml:space="preserve"> space (i.e., exhibiting comparable total Q-values) unless rotational ambiguity was present. For BC source apportionment, no significant changes in factor source profiles or external correlations were observed across the f-peak variations. Consequently, the base solution was selected as the optimal solution. The final rotated solution was chosen based on its highest correlation with reference mass spectra and minimal mutual correlation among resolved factors, ensuring robustness and interpretability </w:t>
      </w:r>
      <w:r w:rsidR="00830961">
        <w:rPr>
          <w:rFonts w:ascii="Times New Roman" w:hAnsi="Times New Roman" w:cs="Times New Roman"/>
          <w:bCs/>
        </w:rPr>
        <w:fldChar w:fldCharType="begin" w:fldLock="1"/>
      </w:r>
      <w:r w:rsidR="00D2061A">
        <w:rPr>
          <w:rFonts w:ascii="Times New Roman" w:hAnsi="Times New Roman" w:cs="Times New Roman"/>
          <w:bCs/>
        </w:rPr>
        <w:instrText>ADDIN CSL_CITATION {"citationItems":[{"id":"ITEM-1","itemData":{"DOI":"10.5194/acp-20-735-2020","ISSN":"16807324","abstract":"Delhi, India, is the second most populated city in the world and routinely experiences some of the highest particulate matter concentrations of any megacity on the planet, posing acute challenges to public health (World Health Organization, 2018). However, the current understanding of the sources and dynamics of PM pollution in Delhi is limited. Measurements at the Delhi Aerosol Supersite (DAS) provide long-term chemical characterization of ambient submicron aerosol in Delhi, with near-continuous online measurements of aerosol composition. Here we report on source apportionment based on positive matrix factorization (PMF), conducted on 15 months of highly timeresolved speciated submicron non-refractory PM1 (NR-PM1) between January 2017 and March 2018. We report on seasonal variability across four seasons of 2017 and interannual variability using data from the two winters and springs of 2017 and 2018. We show that a modified tracer-based organic component analysis provides an opportunity for a realtime source apportionment approach for organics in Delhi. Phase equilibrium modeling of aerosols using the extended aerosol inorganics model (E-AIM) predicts equilibrium gasphase concentrations and allows evaluation of the importance of the ventilation coefficient (VC) and temperature in controlling primary and secondary organic aerosol. We also find that primary aerosol dominates severe air pollution episodes, and secondary aerosol dominates seasonal averages.","author":[{"dropping-particle":"","family":"Bhandari","given":"Sahil","non-dropping-particle":"","parse-names":false,"suffix":""},{"dropping-particle":"","family":"Gani","given":"Shahzad","non-dropping-particle":"","parse-names":false,"suffix":""},{"dropping-particle":"","family":"Patel","given":"Kanan","non-dropping-particle":"","parse-names":false,"suffix":""},{"dropping-particle":"","family":"Wang","given":"Dongyu S.","non-dropping-particle":"","parse-names":false,"suffix":""},{"dropping-particle":"","family":"Soni","given":"Prashant","non-dropping-particle":"","parse-names":false,"suffix":""},{"dropping-particle":"","family":"Arub","given":"Zainab","non-dropping-particle":"","parse-names":false,"suffix":""},{"dropping-particle":"","family":"Habib","given":"Gazala","non-dropping-particle":"","parse-names":false,"suffix":""},{"dropping-particle":"","family":"Apte","given":"Joshua S.","non-dropping-particle":"","parse-names":false,"suffix":""},{"dropping-particle":"","family":"Hildebrandt Ruiz","given":"Lea","non-dropping-particle":"","parse-names":false,"suffix":""}],"container-title":"Atmospheric Chemistry and Physics","id":"ITEM-1","issue":"2","issued":{"date-parts":[["2020","1","22"]]},"page":"735-752","publisher":"Copernicus GmbH","title":"Sources and atmospheric dynamics of organic aerosol in New Delhi, India: Insights from receptor modeling","type":"article-journal","volume":"20"},"uris":["http://www.mendeley.com/documents/?uuid=bb793434-18cb-3c04-b171-f5cfc7048007"]},{"id":"ITEM-2","itemData":{"DOI":"10.1016/j.scitotenv.2020.140332","ISSN":"18791026","PMID":"33167294","abstract":"Delhi, the capital of India, suffers from heavy local emissions as well as regional transport of air pollutants, resulting in severe aerosol loadings. To determine the sources of these pollutants, we have quantified the mass concentrations of 26 elements in airborne particles, measured by an online X-ray fluorescence spectrometer with time resolution between 30 min and 1 h. Measurements of PM10 and PM2.5 (particulate matter &lt;10 μm and &lt; 2.5 μm) were conducted during two consecutive winters (2018 and 2019) in Delhi. On average, 26 elements from Al to Pb made up ~25% and ~19% of the total PM10 mass (271 μg m−3 and 300 μg m−3) in 2018 and 2019, respectively. Nine different aerosol sources were identified during both winters using positive matrix factorization (PMF), including dust, non-exhaust, an S-rich factor, two solid fuel combustion (SFC) factors and four industrial/combustion factors related to plume events (Cr-Ni-Mn, Cu-Cd-Pb, Pb-Sn-Se and Cl-Br-Se). All factors were resolved in both size ranges (but varying relative concentrations), comprising the following contributions to the elemental PM10 mass (in % average for 2018 and 2019): Cl-Br-Se (41.5%, 36.9%), dust (27.6%, 28.7%), non-exhaust (16.2%, 13.7%), S-rich (6.9%, 9.2%), SFC1 + SFC2 (4%, 7%), Pb-Sn-Se (2.3%, 1.66%), Cu-Cd-Pb (0.67%, 2.2%) and Cr-Ni-Mn (0.57%, 0.47%). Most of these sources had the highest relative contributions during late night (22:00 local time (LT)) and early morning hours (between 03:00 to 08:00 LT), which is consistent with enhanced emissions into a shallow boundary layer. Modelling of airmass source geography revealed that the Pb-Sn-Se, Cl-Br-Se and SFC2 factors prevailed for northwest winds (Pakistan, Punjab, Haryana and Delhi), while the Cu-Cd-Pb and S-rich factors originated from east (Nepal and Uttar Pradesh) and the Cr-Ni-Mn factor from northeast (Uttar Pradesh). In contrast, SFC1, dust and non-exhaust were not associated with any specific wind direction.","author":[{"dropping-particle":"","family":"Rai","given":"Pragati","non-dropping-particle":"","parse-names":false,"suffix":""},{"dropping-particle":"","family":"Furger","given":"Markus","non-dropping-particle":"","parse-names":false,"suffix":""},{"dropping-particle":"","family":"Haddad","given":"Imad","non-dropping-particle":"El","parse-names":false,"suffix":""},{"dropping-particle":"","family":"Kumar","given":"Varun","non-dropping-particle":"","parse-names":false,"suffix":""},{"dropping-particle":"","family":"Wang","given":"Liwei","non-dropping-particle":"","parse-names":false,"suffix":""},{"dropping-particle":"","family":"Singh","given":"Atinderpal","non-dropping-particle":"","parse-names":false,"suffix":""},{"dropping-particle":"","family":"Dixit","given":"Kuldeep","non-dropping-particle":"","parse-names":false,"suffix":""},{"dropping-particle":"","family":"Bhattu","given":"Deepika","non-dropping-particle":"","parse-names":false,"suffix":""},{"dropping-particle":"","family":"Petit","given":"Jean Eudes","non-dropping-particle":"","parse-names":false,"suffix":""},{"dropping-particle":"","family":"Ganguly","given":"Dilip","non-dropping-particle":"","parse-names":false,"suffix":""},{"dropping-particle":"","family":"Rastogi","given":"Neeraj","non-dropping-particle":"","parse-names":false,"suffix":""},{"dropping-particle":"","family":"Baltensperger","given":"Urs","non-dropping-particle":"","parse-names":false,"suffix":""},{"dropping-particle":"","family":"Tripathi","given":"Sachchida Nand","non-dropping-particle":"","parse-names":false,"suffix":""},{"dropping-particle":"","family":"Slowik","given":"Jay G.","non-dropping-particle":"","parse-names":false,"suffix":""},{"dropping-particle":"","family":"Prévôt","given":"André S.H.","non-dropping-particle":"","parse-names":false,"suffix":""}],"container-title":"Science of the Total Environment","id":"ITEM-2","issued":{"date-parts":[["2020"]]},"page":"140332","publisher":"The Authors","title":"Real-time measurement and source apportionment of elements in Delhi's atmosphere","type":"article-journal","volume":"742"},"uris":["http://www.mendeley.com/documents/?uuid=b72ea5d1-fb51-4b48-a7a3-114b2cf01ac0"]}],"mendeley":{"formattedCitation":"(Bhandari et al., 2020; Rai et al., 2020a)","plainTextFormattedCitation":"(Bhandari et al., 2020; Rai et al., 2020a)","previouslyFormattedCitation":"(Bhandari et al., 2020; Rai et al., 2020a)"},"properties":{"noteIndex":0},"schema":"https://github.com/citation-style-language/schema/raw/master/csl-citation.json"}</w:instrText>
      </w:r>
      <w:r w:rsidR="00830961">
        <w:rPr>
          <w:rFonts w:ascii="Times New Roman" w:hAnsi="Times New Roman" w:cs="Times New Roman"/>
          <w:bCs/>
        </w:rPr>
        <w:fldChar w:fldCharType="separate"/>
      </w:r>
      <w:r w:rsidR="00830961" w:rsidRPr="00830961">
        <w:rPr>
          <w:rFonts w:ascii="Times New Roman" w:hAnsi="Times New Roman" w:cs="Times New Roman"/>
          <w:bCs/>
          <w:noProof/>
        </w:rPr>
        <w:t>(Bhandari et al., 2020; Rai et al., 2020a)</w:t>
      </w:r>
      <w:r w:rsidR="00830961">
        <w:rPr>
          <w:rFonts w:ascii="Times New Roman" w:hAnsi="Times New Roman" w:cs="Times New Roman"/>
          <w:bCs/>
        </w:rPr>
        <w:fldChar w:fldCharType="end"/>
      </w:r>
      <w:r w:rsidR="00D2061A">
        <w:rPr>
          <w:rFonts w:ascii="Times New Roman" w:hAnsi="Times New Roman" w:cs="Times New Roman"/>
          <w:bCs/>
        </w:rPr>
        <w:t xml:space="preserve">. </w:t>
      </w:r>
      <w:r w:rsidRPr="00B74E97">
        <w:rPr>
          <w:rFonts w:ascii="Times New Roman" w:hAnsi="Times New Roman" w:cs="Times New Roman"/>
          <w:bCs/>
        </w:rPr>
        <w:t xml:space="preserve">As detailed in Section S2.2, an additional </w:t>
      </w:r>
      <w:r w:rsidR="00D2061A">
        <w:rPr>
          <w:rFonts w:ascii="Times New Roman" w:hAnsi="Times New Roman" w:cs="Times New Roman"/>
          <w:bCs/>
        </w:rPr>
        <w:t>modelling</w:t>
      </w:r>
      <w:r w:rsidRPr="00B74E97">
        <w:rPr>
          <w:rFonts w:ascii="Times New Roman" w:hAnsi="Times New Roman" w:cs="Times New Roman"/>
          <w:bCs/>
        </w:rPr>
        <w:t xml:space="preserve"> uncertainty was introduced to account for potential discrepancies arising from differences in the error structures of the three instruments used in this study </w:t>
      </w:r>
      <w:r w:rsidR="00D2061A">
        <w:rPr>
          <w:rFonts w:ascii="Times New Roman" w:hAnsi="Times New Roman" w:cs="Times New Roman"/>
          <w:bCs/>
        </w:rPr>
        <w:fldChar w:fldCharType="begin" w:fldLock="1"/>
      </w:r>
      <w:r w:rsidR="00EE60EC">
        <w:rPr>
          <w:rFonts w:ascii="Times New Roman" w:hAnsi="Times New Roman" w:cs="Times New Roman"/>
          <w:bCs/>
        </w:rPr>
        <w:instrText>ADDIN CSL_CITATION {"citationItems":[{"id":"ITEM-1","itemData":{"DOI":"10.5194/acp-14-13773-2014","ISSN":"16807324","abstract":"Online non-refractory submicron aerosol mass spectrometer (AMS) measurements in urban areas have successfully allowed the apportionment of specific sources and/or physical and chemical properties of the organic fraction. However, in order to be fully representative of PM pollution, a comprehensive source apportionment analysis is needed by taking into account all major components of submicron aerosols, creating strengthened bonds between the organic components and pollution sources. We present here a novel two-step methodology to perform such an analysis, by taking advantage of high time resolution of monitoring instruments: the aerosol chemical speciation monitor (ACSM) and the multi-wavelength absorption measurements (Aethalometer AE31) in Paris, France. As a first step, organic aerosols (OA) were deconvolved to hydrocarbon-like OA (HOA), biomass burning OA (BBOA) and oxygenated OA (OOA) with positive matrix factorization (PMF), and black carbon was deconvolved into its wood burning and fossil fuel combustion fractions. A second PMF analysis was then carried out with organic factors, BC fractions and inorganic species (nitrate, sulfate, ammonium, chloride), leading to a four-factor solution allowing highly time-resolved characterization of the major sources of PM1. Outputs of this PMF2 include two dominant combustion sources (wood burning and traffic) as well as semi-volatile and low-volatile secondary aerosols. While HOA is found to be emitted by both wood burning and traffic, the latter sources occurred to significantly contribute also to OOA.","author":[{"dropping-particle":"","family":"Petit","given":"J. E.","non-dropping-particle":"","parse-names":false,"suffix":""},{"dropping-particle":"","family":"Favez","given":"O.","non-dropping-particle":"","parse-names":false,"suffix":""},{"dropping-particle":"","family":"Sciare","given":"J.","non-dropping-particle":"","parse-names":false,"suffix":""},{"dropping-particle":"","family":"Canonaco","given":"F.","non-dropping-particle":"","parse-names":false,"suffix":""},{"dropping-particle":"","family":"Croteau","given":"P.","non-dropping-particle":"","parse-names":false,"suffix":""},{"dropping-particle":"","family":"Močnik","given":"G.","non-dropping-particle":"","parse-names":false,"suffix":""},{"dropping-particle":"","family":"Jayne","given":"J.","non-dropping-particle":"","parse-names":false,"suffix":""},{"dropping-particle":"","family":"Worsnop","given":"D.","non-dropping-particle":"","parse-names":false,"suffix":""},{"dropping-particle":"","family":"Leoz-Garziandia","given":"E.","non-dropping-particle":"","parse-names":false,"suffix":""}],"container-title":"Atmospheric Chemistry and Physics","id":"ITEM-1","issue":"24","issued":{"date-parts":[["2014","12","22"]]},"page":"13773-13787","publisher":"Copernicus GmbH","title":"Submicron aerosol source apportionment of wintertime pollution in Paris, France by double positive matrix factorization (PMF2) using an aerosol chemical speciation monitor (ACSM) and a multi-wavelength Aethalometer","type":"article-journal","volume":"14"},"uris":["http://www.mendeley.com/documents/?uuid=02749365-60c6-3b88-9c88-6bae7bc016b8"]}],"mendeley":{"formattedCitation":"(J. E. Petit et al., 2014)","manualFormatting":"(Petit et al., 2014)","plainTextFormattedCitation":"(J. E. Petit et al., 2014)","previouslyFormattedCitation":"(J. E. Petit et al., 2014)"},"properties":{"noteIndex":0},"schema":"https://github.com/citation-style-language/schema/raw/master/csl-citation.json"}</w:instrText>
      </w:r>
      <w:r w:rsidR="00D2061A">
        <w:rPr>
          <w:rFonts w:ascii="Times New Roman" w:hAnsi="Times New Roman" w:cs="Times New Roman"/>
          <w:bCs/>
        </w:rPr>
        <w:fldChar w:fldCharType="separate"/>
      </w:r>
      <w:r w:rsidR="00D2061A" w:rsidRPr="00D2061A">
        <w:rPr>
          <w:rFonts w:ascii="Times New Roman" w:hAnsi="Times New Roman" w:cs="Times New Roman"/>
          <w:bCs/>
          <w:noProof/>
        </w:rPr>
        <w:t>(Petit et al., 2014)</w:t>
      </w:r>
      <w:r w:rsidR="00D2061A">
        <w:rPr>
          <w:rFonts w:ascii="Times New Roman" w:hAnsi="Times New Roman" w:cs="Times New Roman"/>
          <w:bCs/>
        </w:rPr>
        <w:fldChar w:fldCharType="end"/>
      </w:r>
      <w:r w:rsidR="00EE60EC">
        <w:rPr>
          <w:rFonts w:ascii="Times New Roman" w:hAnsi="Times New Roman" w:cs="Times New Roman"/>
          <w:bCs/>
        </w:rPr>
        <w:t xml:space="preserve">. </w:t>
      </w:r>
      <w:r w:rsidRPr="00B74E97">
        <w:rPr>
          <w:rFonts w:ascii="Times New Roman" w:hAnsi="Times New Roman" w:cs="Times New Roman"/>
          <w:bCs/>
        </w:rPr>
        <w:t xml:space="preserve">The </w:t>
      </w:r>
      <w:r w:rsidR="00D2061A">
        <w:rPr>
          <w:rFonts w:ascii="Times New Roman" w:hAnsi="Times New Roman" w:cs="Times New Roman"/>
          <w:bCs/>
        </w:rPr>
        <w:t>modelling</w:t>
      </w:r>
      <w:r w:rsidRPr="00B74E97">
        <w:rPr>
          <w:rFonts w:ascii="Times New Roman" w:hAnsi="Times New Roman" w:cs="Times New Roman"/>
          <w:bCs/>
        </w:rPr>
        <w:t xml:space="preserve"> uncertainty was systematically varied from 0% to 20% in increments of 5%, and its influence on the sensitivity of the solution to f-peak rotations was evaluated. Results indicated that incorporating modeling uncertainty effectively reduced the sensitivity to f-peak variations. Specifically, the percentage change in Q (%Q) for f=+0.1 decreased from 0.25% at 0% modeling uncertainty to 0.13% at 5% and further to 0.097% at 10%. However, beyond 10%, additional increases in modeling uncertainty had a negligible impact on rotational sensitivity. Therefore, a 10% modeling uncertainty was identified as optimal for ensuring solution stability </w:t>
      </w:r>
      <w:r w:rsidR="00EE60EC">
        <w:rPr>
          <w:rFonts w:ascii="Times New Roman" w:hAnsi="Times New Roman" w:cs="Times New Roman"/>
          <w:bCs/>
        </w:rPr>
        <w:fldChar w:fldCharType="begin" w:fldLock="1"/>
      </w:r>
      <w:r w:rsidR="008C0CF4">
        <w:rPr>
          <w:rFonts w:ascii="Times New Roman" w:hAnsi="Times New Roman" w:cs="Times New Roman"/>
          <w:bCs/>
        </w:rPr>
        <w:instrText>ADDIN CSL_CITATION {"citationItems":[{"id":"ITEM-1","itemData":{"DOI":"10.5194/acp-9-2891-2009","ISSN":"16807316","abstract":"The organic aerosol (OA) dataset from an Aerodyne Aerosol Mass Spectrometer (Q-AMS) collected at the Pittsburgh Air Quality Study (PAQS) in September 2002 was analyzed with Positive Matrix Factorization (PMF). Three components-hydrocarbon-like organic aerosol OA (HOA), a highly-oxygenated OA (OOA-1) that correlates well with sulfate, and a less-oxygenated, semi-volatile OA (OOA-2) that correlates well with nitrate and chloride-are identified and interpreted as primary combustion emissions, aged SOA, and semivolatile, less aged SOA, respectively. The complexity of interpreting the PMF solutions of unit mass resolution (UMR) AMS data is illustrated by a detailed analysis of the solutions as a function of number of components and rotational forcing. A public web-based database of AMS spectra has been created to aid this type of analysis. Realistic synthetic data is also used to characterize the behavior of PMF for choosing the best number of factors, and evaluating the rotations of non-unique solutions. The ambient and synthetic data indicate that the variation of the PMF quality of fit parameter (Q, a normalized chi-squared metric) vs. number of factors in the solution is useful to identify the minimum number of factors, but more detailed analysis and interpretation are needed to choose the best number of factors. The maximum value of the rotational matrix is not useful for determining the best number of factors. In synthetic datasets, factors are \"split\" into two or more components when solving for more factors than were used in the input. Elements of the \"splitting\" behavior are observed in solutions of real datasets with several factors. Significant structure remains in the residual of the real dataset after physically- meaningful factors have been assigned and an unrealistic number of factors would be required to explain the remaining variance. This residual structure appears to be due to variability in the spectra of the components (especially OOA-2 in this case), which is likely to be a key limit of the retrievability of components from AMS datasets using PMF and similar methods that need to assume constant component mass spectra. Methods for characterizing and dealing with this variability are needed. Interpretation of PMF factors must be done carefully. Synthetic data indicate that PMF internal diagnostics and similarity to available source component spectra together are not sufficient for identifying factors. It is critical to use correlations be…","author":[{"dropping-particle":"","family":"Ulbrich","given":"I. M.","non-dropping-particle":"","parse-names":false,"suffix":""},{"dropping-particle":"","family":"Canagaratna","given":"M. R.","non-dropping-particle":"","parse-names":false,"suffix":""},{"dropping-particle":"","family":"Zhang","given":"Q.","non-dropping-particle":"","parse-names":false,"suffix":""},{"dropping-particle":"","family":"Worsnop","given":"D. R.","non-dropping-particle":"","parse-names":false,"suffix":""},{"dropping-particle":"","family":"Jimenez","given":"J. L.","non-dropping-particle":"","parse-names":false,"suffix":""}],"container-title":"Atmospheric Chemistry and Physics","id":"ITEM-1","issue":"9","issued":{"date-parts":[["2009"]]},"page":"2891-2918","title":"Interpretation of organic components from Positive Matrix Factorization of aerosol mass spectrometric data","type":"article-journal","volume":"9"},"uris":["http://www.mendeley.com/documents/?uuid=32ab9c82-7860-404f-81ec-4f28881f2abc"]}],"mendeley":{"formattedCitation":"(Ulbrich et al., 2009)","plainTextFormattedCitation":"(Ulbrich et al., 2009)","previouslyFormattedCitation":"(Ulbrich et al., 2009)"},"properties":{"noteIndex":0},"schema":"https://github.com/citation-style-language/schema/raw/master/csl-citation.json"}</w:instrText>
      </w:r>
      <w:r w:rsidR="00EE60EC">
        <w:rPr>
          <w:rFonts w:ascii="Times New Roman" w:hAnsi="Times New Roman" w:cs="Times New Roman"/>
          <w:bCs/>
        </w:rPr>
        <w:fldChar w:fldCharType="separate"/>
      </w:r>
      <w:r w:rsidR="00EE60EC" w:rsidRPr="00EE60EC">
        <w:rPr>
          <w:rFonts w:ascii="Times New Roman" w:hAnsi="Times New Roman" w:cs="Times New Roman"/>
          <w:bCs/>
          <w:noProof/>
        </w:rPr>
        <w:t>(Ulbrich et al., 2009)</w:t>
      </w:r>
      <w:r w:rsidR="00EE60EC">
        <w:rPr>
          <w:rFonts w:ascii="Times New Roman" w:hAnsi="Times New Roman" w:cs="Times New Roman"/>
          <w:bCs/>
        </w:rPr>
        <w:fldChar w:fldCharType="end"/>
      </w:r>
      <w:r w:rsidRPr="00B74E97">
        <w:rPr>
          <w:rFonts w:ascii="Times New Roman" w:hAnsi="Times New Roman" w:cs="Times New Roman"/>
          <w:bCs/>
        </w:rPr>
        <w:t>.</w:t>
      </w:r>
    </w:p>
    <w:p w14:paraId="63990330" w14:textId="77777777" w:rsidR="005A7424" w:rsidRPr="00035D28" w:rsidRDefault="005A7424" w:rsidP="005A7424">
      <w:pPr>
        <w:spacing w:line="480" w:lineRule="auto"/>
        <w:jc w:val="both"/>
        <w:rPr>
          <w:rFonts w:ascii="Times New Roman" w:hAnsi="Times New Roman" w:cs="Times New Roman"/>
          <w:b/>
          <w:i/>
          <w:iCs/>
        </w:rPr>
      </w:pPr>
      <w:r w:rsidRPr="00035D28">
        <w:rPr>
          <w:rFonts w:ascii="Times New Roman" w:hAnsi="Times New Roman" w:cs="Times New Roman"/>
          <w:b/>
          <w:i/>
          <w:iCs/>
        </w:rPr>
        <w:t>S2.3.4 Bootstrap (BS) Analysis</w:t>
      </w:r>
    </w:p>
    <w:p w14:paraId="0E615CC7" w14:textId="09E020F0" w:rsidR="005C4EE0" w:rsidRPr="00C46CE1" w:rsidRDefault="005A7424" w:rsidP="005A7424">
      <w:pPr>
        <w:spacing w:line="480" w:lineRule="auto"/>
        <w:jc w:val="both"/>
        <w:rPr>
          <w:rFonts w:ascii="Times New Roman" w:hAnsi="Times New Roman" w:cs="Times New Roman"/>
          <w:bCs/>
        </w:rPr>
      </w:pPr>
      <w:r w:rsidRPr="00B74E97">
        <w:rPr>
          <w:rFonts w:ascii="Times New Roman" w:hAnsi="Times New Roman" w:cs="Times New Roman"/>
          <w:bCs/>
        </w:rPr>
        <w:t xml:space="preserve">The effect of random errors was evaluated using the bootstrap (BS) randomized resampling strategy </w:t>
      </w:r>
      <w:r w:rsidR="008C0CF4">
        <w:rPr>
          <w:rFonts w:ascii="Times New Roman" w:hAnsi="Times New Roman" w:cs="Times New Roman"/>
          <w:bCs/>
        </w:rPr>
        <w:fldChar w:fldCharType="begin" w:fldLock="1"/>
      </w:r>
      <w:r w:rsidR="00FA4913">
        <w:rPr>
          <w:rFonts w:ascii="Times New Roman" w:hAnsi="Times New Roman" w:cs="Times New Roman"/>
          <w:bCs/>
        </w:rPr>
        <w:instrText>ADDIN CSL_CITATION {"citationItems":[{"id":"ITEM-1","itemData":{"DOI":"10.1016/j.scitotenv.2015.01.022","ISSN":"18791026","PMID":"25776202","abstract":"The new version of EPA's positive matrix factorization (EPA PMF) software, 5.0, includes three error estimation (EE) methods for analyzing factor analytic solutions: classical bootstrap (BS), displacement of factor elements (DISP), and bootstrap enhanced by displacement (BS-DISP). These methods capture the uncertainty of PMF analyses due to random errors and rotational ambiguity. To demonstrate the utility of the EE methods, results are presented for three data sets: (1) speciated PM2.5 data from a chemical speciation network (CSN) site in Sacramento, California (2003-2009); (2) trace metal, ammonia, and other species in water quality samples taken at an inline storage system (ISS) in Milwaukee, Wisconsin (2006); and (3) an organic aerosol data set from high-resolution aerosol mass spectrometer (HR-AMS) measurements in Las Vegas, Nevada (January 2008). We present an interpretation of EE diagnostics for these data sets, results from sensitivity tests of EE diagnostics using additional and fewer factors, and recommendations for reporting PMF results. BS-DISP and BS are found useful in understanding the uncertainty of factor profiles; they also suggest if the data are over-fitted by specifying too many factors. DISP diagnostics were consistently robust, indicating its use for understanding rotational uncertainty and as a first step in assessing a solution's viability. The uncertainty of each factor's identifying species is shown to be a useful gauge for evaluating multiple solutions, e.g., with a different number of factors.","author":[{"dropping-particle":"","family":"Brown","given":"Steven G.","non-dropping-particle":"","parse-names":false,"suffix":""},{"dropping-particle":"","family":"Eberly","given":"Shelly","non-dropping-particle":"","parse-names":false,"suffix":""},{"dropping-particle":"","family":"Paatero","given":"Pentti","non-dropping-particle":"","parse-names":false,"suffix":""},{"dropping-particle":"","family":"Norris","given":"Gary A.","non-dropping-particle":"","parse-names":false,"suffix":""}],"container-title":"Science of the Total Environment","id":"ITEM-1","issued":{"date-parts":[["2015","6","5"]]},"page":"626-635","publisher":"Elsevier","title":"Methods for estimating uncertainty in PMF solutions: Examples with ambient air and water quality data and guidance on reporting PMF results","type":"article-journal","volume":"518-519"},"uris":["http://www.mendeley.com/documents/?uuid=95e7d200-94c6-3cef-9879-ab1f53bb4ea3"]},{"id":"ITEM-2","itemData":{"DOI":"10.1214/aos/1176344552","ISSN":"0090-5364","author":[{"dropping-particle":"","family":"Efron","given":"B.","non-dropping-particle":"","parse-names":false,"suffix":""}],"container-title":"The Annals of Statistics","id":"ITEM-2","issue":"1","issued":{"date-parts":[["1979","1"]]},"page":"1-26","title":"Bootstrap Methods: Another Look at the Jackknife","type":"article-journal","volume":"7"},"uris":["http://www.mendeley.com/documents/?uuid=7e6827e6-7eda-42a8-9d00-dba64b569ede"]}],"mendeley":{"formattedCitation":"(Brown et al., 2015a; Efron, 1979)","plainTextFormattedCitation":"(Brown et al., 2015a; Efron, 1979)","previouslyFormattedCitation":"(Brown et al., 2015; Efron, 1979)"},"properties":{"noteIndex":0},"schema":"https://github.com/citation-style-language/schema/raw/master/csl-citation.json"}</w:instrText>
      </w:r>
      <w:r w:rsidR="008C0CF4">
        <w:rPr>
          <w:rFonts w:ascii="Times New Roman" w:hAnsi="Times New Roman" w:cs="Times New Roman"/>
          <w:bCs/>
        </w:rPr>
        <w:fldChar w:fldCharType="separate"/>
      </w:r>
      <w:r w:rsidR="00FA4913" w:rsidRPr="00FA4913">
        <w:rPr>
          <w:rFonts w:ascii="Times New Roman" w:hAnsi="Times New Roman" w:cs="Times New Roman"/>
          <w:bCs/>
          <w:noProof/>
        </w:rPr>
        <w:t>(Brown et al., 2015a; Efron, 1979)</w:t>
      </w:r>
      <w:r w:rsidR="008C0CF4">
        <w:rPr>
          <w:rFonts w:ascii="Times New Roman" w:hAnsi="Times New Roman" w:cs="Times New Roman"/>
          <w:bCs/>
        </w:rPr>
        <w:fldChar w:fldCharType="end"/>
      </w:r>
      <w:r w:rsidR="00802A16">
        <w:rPr>
          <w:rFonts w:ascii="Times New Roman" w:hAnsi="Times New Roman" w:cs="Times New Roman"/>
          <w:bCs/>
        </w:rPr>
        <w:t xml:space="preserve">. </w:t>
      </w:r>
      <w:r w:rsidRPr="00B74E97">
        <w:rPr>
          <w:rFonts w:ascii="Times New Roman" w:hAnsi="Times New Roman" w:cs="Times New Roman"/>
          <w:bCs/>
        </w:rPr>
        <w:t>The bootstrap is implemented in US EPA PMF 5.0 by randomly selecting non-overlapping blocks of species measurements from the input dataset and creating a new PMF input matrix with the total number of samples equal to the original input matrix, where the user specifies the block size. The PMF code then runs over the new input matrix, and the BS factors are mapped to the primary factors. The BS factors are assigned to corresponding base factors with which they have the highest uncentered correlation values (above a user-specified threshold). If a particular BS factor does not have an uncentered correlation higher than the threshold with any base factor, it is considered "unmapped." This analysis provides a proxy to understand the uncertainty associated with the solution and the apportionment of each species in the resolved factors.</w:t>
      </w:r>
      <w:r w:rsidR="00C46CE1">
        <w:rPr>
          <w:rFonts w:ascii="Times New Roman" w:hAnsi="Times New Roman" w:cs="Times New Roman"/>
          <w:bCs/>
        </w:rPr>
        <w:t xml:space="preserve"> </w:t>
      </w:r>
      <w:r w:rsidRPr="00B74E97">
        <w:rPr>
          <w:rFonts w:ascii="Times New Roman" w:hAnsi="Times New Roman" w:cs="Times New Roman"/>
          <w:bCs/>
        </w:rPr>
        <w:t>In this study, the solutions deemed optimal following the prescreening based on Q/</w:t>
      </w:r>
      <w:proofErr w:type="spellStart"/>
      <w:r w:rsidRPr="00785A87">
        <w:rPr>
          <w:rFonts w:ascii="Times New Roman" w:hAnsi="Times New Roman" w:cs="Times New Roman"/>
          <w:bCs/>
          <w:vertAlign w:val="subscript"/>
        </w:rPr>
        <w:t>Qexp</w:t>
      </w:r>
      <w:proofErr w:type="spellEnd"/>
      <w:r w:rsidRPr="00B74E97">
        <w:rPr>
          <w:rFonts w:ascii="Times New Roman" w:hAnsi="Times New Roman" w:cs="Times New Roman"/>
          <w:bCs/>
        </w:rPr>
        <w:t xml:space="preserve"> and further evaluation based on </w:t>
      </w:r>
      <w:proofErr w:type="spellStart"/>
      <w:r w:rsidR="00A61BF7">
        <w:rPr>
          <w:rFonts w:ascii="Times New Roman" w:hAnsi="Times New Roman" w:cs="Times New Roman"/>
          <w:bCs/>
        </w:rPr>
        <w:t>F</w:t>
      </w:r>
      <w:r w:rsidRPr="00A61BF7">
        <w:rPr>
          <w:rFonts w:ascii="Times New Roman" w:hAnsi="Times New Roman" w:cs="Times New Roman"/>
          <w:bCs/>
          <w:vertAlign w:val="subscript"/>
        </w:rPr>
        <w:t>peak</w:t>
      </w:r>
      <w:proofErr w:type="spellEnd"/>
      <w:r w:rsidRPr="00B74E97">
        <w:rPr>
          <w:rFonts w:ascii="Times New Roman" w:hAnsi="Times New Roman" w:cs="Times New Roman"/>
          <w:bCs/>
        </w:rPr>
        <w:t xml:space="preserve"> rotations and DISP analysis were subjected to 800 BS runs each, with a threshold correlation of 0.8</w:t>
      </w:r>
      <w:r w:rsidR="00E93117">
        <w:rPr>
          <w:rFonts w:ascii="Times New Roman" w:hAnsi="Times New Roman" w:cs="Times New Roman"/>
          <w:bCs/>
        </w:rPr>
        <w:t xml:space="preserve"> (</w:t>
      </w:r>
      <w:r w:rsidR="004D72F2">
        <w:rPr>
          <w:rFonts w:ascii="Times New Roman" w:hAnsi="Times New Roman" w:cs="Times New Roman"/>
          <w:bCs/>
        </w:rPr>
        <w:t>Table S1)</w:t>
      </w:r>
      <w:r w:rsidRPr="00B74E97">
        <w:rPr>
          <w:rFonts w:ascii="Times New Roman" w:hAnsi="Times New Roman" w:cs="Times New Roman"/>
          <w:bCs/>
        </w:rPr>
        <w:t xml:space="preserve">. In the current study, 795 BS runs were classified as good solutions, with no unmapped factors </w:t>
      </w:r>
      <w:r w:rsidR="00FA4913">
        <w:rPr>
          <w:rFonts w:ascii="Times New Roman" w:hAnsi="Times New Roman" w:cs="Times New Roman"/>
          <w:bCs/>
        </w:rPr>
        <w:fldChar w:fldCharType="begin" w:fldLock="1"/>
      </w:r>
      <w:r w:rsidR="00FA4913">
        <w:rPr>
          <w:rFonts w:ascii="Times New Roman" w:hAnsi="Times New Roman" w:cs="Times New Roman"/>
          <w:bCs/>
        </w:rPr>
        <w:instrText>ADDIN CSL_CITATION {"citationItems":[{"id":"ITEM-1","itemData":{"DOI":"10.1016/j.scitotenv.2015.01.022","ISSN":"00489697","author":[{"dropping-particle":"","family":"Brown","given":"Steven G.","non-dropping-particle":"","parse-names":false,"suffix":""},{"dropping-particle":"","family":"Eberly","given":"Shelly","non-dropping-particle":"","parse-names":false,"suffix":""},{"dropping-particle":"","family":"Paatero","given":"Pentti","non-dropping-particle":"","parse-names":false,"suffix":""},{"dropping-particle":"","family":"Norris","given":"Gary A.","non-dropping-particle":"","parse-names":false,"suffix":""}],"container-title":"Science of The Total Environment","id":"ITEM-1","issued":{"date-parts":[["2015","6"]]},"page":"626-635","title":"Methods for estimating uncertainty in PMF solutions: Examples with ambient air and water quality data and guidance on reporting PMF results","type":"article-journal","volume":"518-519"},"uris":["http://www.mendeley.com/documents/?uuid=74912226-0acc-4275-94fa-78f4a7a31da8"]},{"id":"ITEM-2","itemData":{"author":[{"dropping-particle":"","family":"Norris","given":"Gary","non-dropping-particle":"","parse-names":false,"suffix":""},{"dropping-particle":"","family":"Duvall","given":"Rachelle","non-dropping-particle":"","parse-names":false,"suffix":""},{"dropping-particle":"","family":"Brown","given":"Steve","non-dropping-particle":"","parse-names":false,"suffix":""},{"dropping-particle":"","family":"Bai","given":"Song","non-dropping-particle":"","parse-names":false,"suffix":""}],"id":"ITEM-2","issued":{"date-parts":[["2014"]]},"title":"EPA PMF 5.0 User Guide","type":"report"},"uris":["http://www.mendeley.com/documents/?uuid=f8387656-22a4-40e0-a467-41da9a255468"]}],"mendeley":{"formattedCitation":"(Brown et al., 2015b; Norris et al., 2014)","plainTextFormattedCitation":"(Brown et al., 2015b; Norris et al., 2014)"},"properties":{"noteIndex":0},"schema":"https://github.com/citation-style-language/schema/raw/master/csl-citation.json"}</w:instrText>
      </w:r>
      <w:r w:rsidR="00FA4913">
        <w:rPr>
          <w:rFonts w:ascii="Times New Roman" w:hAnsi="Times New Roman" w:cs="Times New Roman"/>
          <w:bCs/>
        </w:rPr>
        <w:fldChar w:fldCharType="separate"/>
      </w:r>
      <w:r w:rsidR="00FA4913" w:rsidRPr="00FA4913">
        <w:rPr>
          <w:rFonts w:ascii="Times New Roman" w:hAnsi="Times New Roman" w:cs="Times New Roman"/>
          <w:bCs/>
          <w:noProof/>
        </w:rPr>
        <w:t>(Brown et al., 2015b; Norris et al., 2014)</w:t>
      </w:r>
      <w:r w:rsidR="00FA4913">
        <w:rPr>
          <w:rFonts w:ascii="Times New Roman" w:hAnsi="Times New Roman" w:cs="Times New Roman"/>
          <w:bCs/>
        </w:rPr>
        <w:fldChar w:fldCharType="end"/>
      </w:r>
      <w:r w:rsidR="00F23513">
        <w:rPr>
          <w:rFonts w:ascii="Times New Roman" w:hAnsi="Times New Roman" w:cs="Times New Roman"/>
          <w:bCs/>
        </w:rPr>
        <w:t xml:space="preserve">. </w:t>
      </w:r>
      <w:r w:rsidRPr="00B74E97">
        <w:rPr>
          <w:rFonts w:ascii="Times New Roman" w:hAnsi="Times New Roman" w:cs="Times New Roman"/>
          <w:bCs/>
        </w:rPr>
        <w:t>This high success rate further confirms the robustness and reliability of the selected six-factor solution</w:t>
      </w:r>
      <w:r w:rsidR="00557C5E">
        <w:rPr>
          <w:rFonts w:ascii="Times New Roman" w:hAnsi="Times New Roman" w:cs="Times New Roman"/>
          <w:bCs/>
        </w:rPr>
        <w:t>.</w:t>
      </w:r>
      <w:r w:rsidR="00E93117">
        <w:rPr>
          <w:rFonts w:ascii="Times New Roman" w:hAnsi="Times New Roman" w:cs="Times New Roman"/>
          <w:bCs/>
        </w:rPr>
        <w:t xml:space="preserve"> </w:t>
      </w:r>
    </w:p>
    <w:p w14:paraId="162FB6E2" w14:textId="0B659606" w:rsidR="00BB45B8" w:rsidRPr="00422D1D" w:rsidRDefault="00BB45B8" w:rsidP="00422D1D">
      <w:pPr>
        <w:spacing w:line="480" w:lineRule="auto"/>
        <w:jc w:val="both"/>
        <w:rPr>
          <w:rFonts w:ascii="Times New Roman" w:hAnsi="Times New Roman" w:cs="Times New Roman"/>
          <w:i/>
          <w:iCs/>
          <w:color w:val="002060"/>
        </w:rPr>
      </w:pPr>
    </w:p>
    <w:p w14:paraId="2AEACEC2" w14:textId="6C3B7026" w:rsidR="005752E5" w:rsidRPr="00210F83" w:rsidRDefault="005752E5" w:rsidP="005752E5">
      <w:pPr>
        <w:pStyle w:val="Caption"/>
        <w:keepNext/>
        <w:rPr>
          <w:rFonts w:ascii="Times New Roman" w:hAnsi="Times New Roman" w:cs="Times New Roman"/>
          <w:color w:val="auto"/>
          <w:sz w:val="22"/>
          <w:szCs w:val="22"/>
        </w:rPr>
      </w:pPr>
      <w:r w:rsidRPr="00210F83">
        <w:rPr>
          <w:rFonts w:ascii="Times New Roman" w:hAnsi="Times New Roman" w:cs="Times New Roman"/>
          <w:color w:val="auto"/>
          <w:sz w:val="22"/>
          <w:szCs w:val="22"/>
        </w:rPr>
        <w:t xml:space="preserve">Table </w:t>
      </w:r>
      <w:r w:rsidRPr="00210F83">
        <w:rPr>
          <w:rFonts w:ascii="Times New Roman" w:hAnsi="Times New Roman" w:cs="Times New Roman"/>
          <w:color w:val="auto"/>
          <w:sz w:val="22"/>
          <w:szCs w:val="22"/>
        </w:rPr>
        <w:fldChar w:fldCharType="begin"/>
      </w:r>
      <w:r w:rsidRPr="00210F83">
        <w:rPr>
          <w:rFonts w:ascii="Times New Roman" w:hAnsi="Times New Roman" w:cs="Times New Roman"/>
          <w:color w:val="auto"/>
          <w:sz w:val="22"/>
          <w:szCs w:val="22"/>
        </w:rPr>
        <w:instrText xml:space="preserve"> SEQ Table \* ARABIC </w:instrText>
      </w:r>
      <w:r w:rsidRPr="00210F83">
        <w:rPr>
          <w:rFonts w:ascii="Times New Roman" w:hAnsi="Times New Roman" w:cs="Times New Roman"/>
          <w:color w:val="auto"/>
          <w:sz w:val="22"/>
          <w:szCs w:val="22"/>
        </w:rPr>
        <w:fldChar w:fldCharType="separate"/>
      </w:r>
      <w:r w:rsidR="00556409" w:rsidRPr="00210F83">
        <w:rPr>
          <w:rFonts w:ascii="Times New Roman" w:hAnsi="Times New Roman" w:cs="Times New Roman"/>
          <w:noProof/>
          <w:color w:val="auto"/>
          <w:sz w:val="22"/>
          <w:szCs w:val="22"/>
        </w:rPr>
        <w:t>1</w:t>
      </w:r>
      <w:r w:rsidRPr="00210F83">
        <w:rPr>
          <w:rFonts w:ascii="Times New Roman" w:hAnsi="Times New Roman" w:cs="Times New Roman"/>
          <w:color w:val="auto"/>
          <w:sz w:val="22"/>
          <w:szCs w:val="22"/>
        </w:rPr>
        <w:fldChar w:fldCharType="end"/>
      </w:r>
      <w:r w:rsidRPr="00210F83">
        <w:rPr>
          <w:rFonts w:ascii="Times New Roman" w:hAnsi="Times New Roman" w:cs="Times New Roman"/>
          <w:color w:val="auto"/>
          <w:sz w:val="22"/>
          <w:szCs w:val="22"/>
        </w:rPr>
        <w:t>: Summary Table of Bootstrap result</w:t>
      </w:r>
    </w:p>
    <w:tbl>
      <w:tblPr>
        <w:tblStyle w:val="TableGrid1"/>
        <w:tblW w:w="9883" w:type="dxa"/>
        <w:tblInd w:w="-113" w:type="dxa"/>
        <w:tblLook w:val="04A0" w:firstRow="1" w:lastRow="0" w:firstColumn="1" w:lastColumn="0" w:noHBand="0" w:noVBand="1"/>
      </w:tblPr>
      <w:tblGrid>
        <w:gridCol w:w="1391"/>
        <w:gridCol w:w="1213"/>
        <w:gridCol w:w="1214"/>
        <w:gridCol w:w="1215"/>
        <w:gridCol w:w="1213"/>
        <w:gridCol w:w="1119"/>
        <w:gridCol w:w="1089"/>
        <w:gridCol w:w="1429"/>
      </w:tblGrid>
      <w:tr w:rsidR="00BB45B8" w:rsidRPr="00F450E2" w14:paraId="72594B71" w14:textId="77777777">
        <w:trPr>
          <w:trHeight w:val="334"/>
        </w:trPr>
        <w:tc>
          <w:tcPr>
            <w:tcW w:w="3818" w:type="dxa"/>
            <w:gridSpan w:val="3"/>
          </w:tcPr>
          <w:p w14:paraId="3F87BF16" w14:textId="36A54AD1"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 xml:space="preserve">Number of </w:t>
            </w:r>
            <w:r w:rsidR="00452B4E" w:rsidRPr="00C46CE1">
              <w:rPr>
                <w:rFonts w:ascii="Times New Roman" w:eastAsia="Calibri" w:hAnsi="Times New Roman" w:cs="Times New Roman"/>
                <w:bCs/>
                <w:sz w:val="20"/>
                <w:szCs w:val="20"/>
                <w14:ligatures w14:val="standardContextual"/>
              </w:rPr>
              <w:t>bootstraps</w:t>
            </w:r>
            <w:r w:rsidRPr="00C46CE1">
              <w:rPr>
                <w:rFonts w:ascii="Times New Roman" w:eastAsia="Calibri" w:hAnsi="Times New Roman" w:cs="Times New Roman"/>
                <w:bCs/>
                <w:sz w:val="20"/>
                <w:szCs w:val="20"/>
                <w14:ligatures w14:val="standardContextual"/>
              </w:rPr>
              <w:t xml:space="preserve"> runs:</w:t>
            </w:r>
          </w:p>
        </w:tc>
        <w:tc>
          <w:tcPr>
            <w:tcW w:w="6065" w:type="dxa"/>
            <w:gridSpan w:val="5"/>
          </w:tcPr>
          <w:p w14:paraId="55BA97AA"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800</w:t>
            </w:r>
          </w:p>
        </w:tc>
      </w:tr>
      <w:tr w:rsidR="00BB45B8" w:rsidRPr="00F450E2" w14:paraId="48352A86" w14:textId="77777777">
        <w:trPr>
          <w:trHeight w:val="324"/>
        </w:trPr>
        <w:tc>
          <w:tcPr>
            <w:tcW w:w="3818" w:type="dxa"/>
            <w:gridSpan w:val="3"/>
          </w:tcPr>
          <w:p w14:paraId="66B02376"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Bootstrap random seed:</w:t>
            </w:r>
            <w:r w:rsidRPr="00C46CE1">
              <w:rPr>
                <w:rFonts w:ascii="Times New Roman" w:eastAsia="Calibri" w:hAnsi="Times New Roman" w:cs="Times New Roman"/>
                <w:bCs/>
                <w:sz w:val="20"/>
                <w:szCs w:val="20"/>
                <w14:ligatures w14:val="standardContextual"/>
              </w:rPr>
              <w:tab/>
            </w:r>
          </w:p>
        </w:tc>
        <w:tc>
          <w:tcPr>
            <w:tcW w:w="6065" w:type="dxa"/>
            <w:gridSpan w:val="5"/>
          </w:tcPr>
          <w:p w14:paraId="0E4D57FD"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47</w:t>
            </w:r>
          </w:p>
        </w:tc>
      </w:tr>
      <w:tr w:rsidR="00BB45B8" w:rsidRPr="00F450E2" w14:paraId="0EB7B806" w14:textId="77777777">
        <w:trPr>
          <w:trHeight w:val="552"/>
        </w:trPr>
        <w:tc>
          <w:tcPr>
            <w:tcW w:w="3818" w:type="dxa"/>
            <w:gridSpan w:val="3"/>
          </w:tcPr>
          <w:p w14:paraId="3AAD379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Min. Correlation R-Value:</w:t>
            </w:r>
            <w:r w:rsidRPr="00C46CE1">
              <w:rPr>
                <w:rFonts w:ascii="Times New Roman" w:eastAsia="Calibri" w:hAnsi="Times New Roman" w:cs="Times New Roman"/>
                <w:bCs/>
                <w:sz w:val="20"/>
                <w:szCs w:val="20"/>
                <w14:ligatures w14:val="standardContextual"/>
              </w:rPr>
              <w:tab/>
            </w:r>
          </w:p>
        </w:tc>
        <w:tc>
          <w:tcPr>
            <w:tcW w:w="6065" w:type="dxa"/>
            <w:gridSpan w:val="5"/>
          </w:tcPr>
          <w:p w14:paraId="223963D5"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0.8</w:t>
            </w:r>
          </w:p>
        </w:tc>
      </w:tr>
      <w:tr w:rsidR="00BB45B8" w:rsidRPr="00F450E2" w14:paraId="706D82F6" w14:textId="77777777">
        <w:trPr>
          <w:trHeight w:val="399"/>
        </w:trPr>
        <w:tc>
          <w:tcPr>
            <w:tcW w:w="9883" w:type="dxa"/>
            <w:gridSpan w:val="8"/>
          </w:tcPr>
          <w:p w14:paraId="391B8942"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Mapping of bootstrap factors to base factors:</w:t>
            </w:r>
            <w:r w:rsidRPr="00C46CE1">
              <w:rPr>
                <w:rFonts w:ascii="Times New Roman" w:eastAsia="Calibri" w:hAnsi="Times New Roman" w:cs="Times New Roman"/>
                <w:bCs/>
                <w:sz w:val="20"/>
                <w:szCs w:val="20"/>
                <w14:ligatures w14:val="standardContextual"/>
              </w:rPr>
              <w:tab/>
            </w:r>
          </w:p>
        </w:tc>
      </w:tr>
      <w:tr w:rsidR="00BB45B8" w:rsidRPr="00F450E2" w14:paraId="1BD69D23" w14:textId="77777777">
        <w:trPr>
          <w:trHeight w:val="533"/>
        </w:trPr>
        <w:tc>
          <w:tcPr>
            <w:tcW w:w="1391" w:type="dxa"/>
          </w:tcPr>
          <w:p w14:paraId="34461D57"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p>
        </w:tc>
        <w:tc>
          <w:tcPr>
            <w:tcW w:w="1213" w:type="dxa"/>
          </w:tcPr>
          <w:p w14:paraId="00E063C2"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1</w:t>
            </w:r>
          </w:p>
        </w:tc>
        <w:tc>
          <w:tcPr>
            <w:tcW w:w="1214" w:type="dxa"/>
          </w:tcPr>
          <w:p w14:paraId="3B5FB217"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2</w:t>
            </w:r>
          </w:p>
        </w:tc>
        <w:tc>
          <w:tcPr>
            <w:tcW w:w="1215" w:type="dxa"/>
          </w:tcPr>
          <w:p w14:paraId="613FE11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3</w:t>
            </w:r>
          </w:p>
        </w:tc>
        <w:tc>
          <w:tcPr>
            <w:tcW w:w="1213" w:type="dxa"/>
          </w:tcPr>
          <w:p w14:paraId="6AAA1DC4"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4</w:t>
            </w:r>
          </w:p>
        </w:tc>
        <w:tc>
          <w:tcPr>
            <w:tcW w:w="1119" w:type="dxa"/>
          </w:tcPr>
          <w:p w14:paraId="1B44EB2E"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5</w:t>
            </w:r>
          </w:p>
        </w:tc>
        <w:tc>
          <w:tcPr>
            <w:tcW w:w="1089" w:type="dxa"/>
          </w:tcPr>
          <w:p w14:paraId="3DFF0AAB"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6</w:t>
            </w:r>
          </w:p>
        </w:tc>
        <w:tc>
          <w:tcPr>
            <w:tcW w:w="1429" w:type="dxa"/>
          </w:tcPr>
          <w:p w14:paraId="7C491C7B"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Unmapped</w:t>
            </w:r>
          </w:p>
        </w:tc>
      </w:tr>
      <w:tr w:rsidR="00BB45B8" w:rsidRPr="00F450E2" w14:paraId="5AFE99B9" w14:textId="77777777">
        <w:trPr>
          <w:trHeight w:val="389"/>
        </w:trPr>
        <w:tc>
          <w:tcPr>
            <w:tcW w:w="1391" w:type="dxa"/>
          </w:tcPr>
          <w:p w14:paraId="13570456"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1</w:t>
            </w:r>
          </w:p>
        </w:tc>
        <w:tc>
          <w:tcPr>
            <w:tcW w:w="1213" w:type="dxa"/>
          </w:tcPr>
          <w:p w14:paraId="0C4E08B3"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795</w:t>
            </w:r>
          </w:p>
        </w:tc>
        <w:tc>
          <w:tcPr>
            <w:tcW w:w="1214" w:type="dxa"/>
          </w:tcPr>
          <w:p w14:paraId="28B06A02"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5" w:type="dxa"/>
          </w:tcPr>
          <w:p w14:paraId="12DFA44C"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5</w:t>
            </w:r>
          </w:p>
        </w:tc>
        <w:tc>
          <w:tcPr>
            <w:tcW w:w="1213" w:type="dxa"/>
          </w:tcPr>
          <w:p w14:paraId="28AEBBB9"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119" w:type="dxa"/>
          </w:tcPr>
          <w:p w14:paraId="52645FF4"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089" w:type="dxa"/>
          </w:tcPr>
          <w:p w14:paraId="6FC1F2DF"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429" w:type="dxa"/>
          </w:tcPr>
          <w:p w14:paraId="7E8F500A"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r>
      <w:tr w:rsidR="00BB45B8" w:rsidRPr="00F450E2" w14:paraId="026254E7" w14:textId="77777777">
        <w:trPr>
          <w:trHeight w:val="399"/>
        </w:trPr>
        <w:tc>
          <w:tcPr>
            <w:tcW w:w="1391" w:type="dxa"/>
          </w:tcPr>
          <w:p w14:paraId="745C456A"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2</w:t>
            </w:r>
          </w:p>
        </w:tc>
        <w:tc>
          <w:tcPr>
            <w:tcW w:w="1213" w:type="dxa"/>
          </w:tcPr>
          <w:p w14:paraId="12DFF357"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4" w:type="dxa"/>
          </w:tcPr>
          <w:p w14:paraId="3486FF96"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800</w:t>
            </w:r>
          </w:p>
        </w:tc>
        <w:tc>
          <w:tcPr>
            <w:tcW w:w="1215" w:type="dxa"/>
          </w:tcPr>
          <w:p w14:paraId="3A07F31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3" w:type="dxa"/>
          </w:tcPr>
          <w:p w14:paraId="5E0470EC"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119" w:type="dxa"/>
          </w:tcPr>
          <w:p w14:paraId="6B6CEBD8"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089" w:type="dxa"/>
          </w:tcPr>
          <w:p w14:paraId="4CA09CB4"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429" w:type="dxa"/>
          </w:tcPr>
          <w:p w14:paraId="48A87A22"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r>
      <w:tr w:rsidR="00BB45B8" w:rsidRPr="00F450E2" w14:paraId="02CB460A" w14:textId="77777777">
        <w:trPr>
          <w:trHeight w:val="399"/>
        </w:trPr>
        <w:tc>
          <w:tcPr>
            <w:tcW w:w="1391" w:type="dxa"/>
          </w:tcPr>
          <w:p w14:paraId="115FE0A3"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3</w:t>
            </w:r>
          </w:p>
        </w:tc>
        <w:tc>
          <w:tcPr>
            <w:tcW w:w="1213" w:type="dxa"/>
          </w:tcPr>
          <w:p w14:paraId="263981F8"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4" w:type="dxa"/>
          </w:tcPr>
          <w:p w14:paraId="073BCCC8"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5" w:type="dxa"/>
          </w:tcPr>
          <w:p w14:paraId="1C2BC54A"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800</w:t>
            </w:r>
          </w:p>
        </w:tc>
        <w:tc>
          <w:tcPr>
            <w:tcW w:w="1213" w:type="dxa"/>
          </w:tcPr>
          <w:p w14:paraId="563C56F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119" w:type="dxa"/>
          </w:tcPr>
          <w:p w14:paraId="63E011B9"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089" w:type="dxa"/>
          </w:tcPr>
          <w:p w14:paraId="2614CC9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429" w:type="dxa"/>
          </w:tcPr>
          <w:p w14:paraId="06F8687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r>
      <w:tr w:rsidR="00BB45B8" w:rsidRPr="00F450E2" w14:paraId="3D7EF47D" w14:textId="77777777">
        <w:trPr>
          <w:trHeight w:val="389"/>
        </w:trPr>
        <w:tc>
          <w:tcPr>
            <w:tcW w:w="1391" w:type="dxa"/>
          </w:tcPr>
          <w:p w14:paraId="4B4AADB2"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4</w:t>
            </w:r>
          </w:p>
        </w:tc>
        <w:tc>
          <w:tcPr>
            <w:tcW w:w="1213" w:type="dxa"/>
          </w:tcPr>
          <w:p w14:paraId="0AF66B1F"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p>
        </w:tc>
        <w:tc>
          <w:tcPr>
            <w:tcW w:w="1214" w:type="dxa"/>
          </w:tcPr>
          <w:p w14:paraId="2A784C7F"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5" w:type="dxa"/>
          </w:tcPr>
          <w:p w14:paraId="641B5B82"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3" w:type="dxa"/>
          </w:tcPr>
          <w:p w14:paraId="08926CFC"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800</w:t>
            </w:r>
          </w:p>
        </w:tc>
        <w:tc>
          <w:tcPr>
            <w:tcW w:w="1119" w:type="dxa"/>
          </w:tcPr>
          <w:p w14:paraId="746BC274"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089" w:type="dxa"/>
          </w:tcPr>
          <w:p w14:paraId="650FE435"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429" w:type="dxa"/>
          </w:tcPr>
          <w:p w14:paraId="2DB2C01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r>
      <w:tr w:rsidR="00BB45B8" w:rsidRPr="00F450E2" w14:paraId="64DC4AE4" w14:textId="77777777">
        <w:trPr>
          <w:trHeight w:val="399"/>
        </w:trPr>
        <w:tc>
          <w:tcPr>
            <w:tcW w:w="1391" w:type="dxa"/>
          </w:tcPr>
          <w:p w14:paraId="4A762E9C"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5</w:t>
            </w:r>
          </w:p>
        </w:tc>
        <w:tc>
          <w:tcPr>
            <w:tcW w:w="1213" w:type="dxa"/>
          </w:tcPr>
          <w:p w14:paraId="32E6F04A"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4" w:type="dxa"/>
          </w:tcPr>
          <w:p w14:paraId="609D03A6"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5" w:type="dxa"/>
          </w:tcPr>
          <w:p w14:paraId="02A1DD1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3" w:type="dxa"/>
          </w:tcPr>
          <w:p w14:paraId="16AA558E"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119" w:type="dxa"/>
          </w:tcPr>
          <w:p w14:paraId="1FA0D88B"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798</w:t>
            </w:r>
          </w:p>
        </w:tc>
        <w:tc>
          <w:tcPr>
            <w:tcW w:w="1089" w:type="dxa"/>
          </w:tcPr>
          <w:p w14:paraId="78A0209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2</w:t>
            </w:r>
          </w:p>
        </w:tc>
        <w:tc>
          <w:tcPr>
            <w:tcW w:w="1429" w:type="dxa"/>
          </w:tcPr>
          <w:p w14:paraId="320E2CE0"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r>
      <w:tr w:rsidR="00BB45B8" w:rsidRPr="00F450E2" w14:paraId="63CCBDFA" w14:textId="77777777">
        <w:trPr>
          <w:trHeight w:val="399"/>
        </w:trPr>
        <w:tc>
          <w:tcPr>
            <w:tcW w:w="1391" w:type="dxa"/>
          </w:tcPr>
          <w:p w14:paraId="7231EB89"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Factor 6</w:t>
            </w:r>
          </w:p>
        </w:tc>
        <w:tc>
          <w:tcPr>
            <w:tcW w:w="1213" w:type="dxa"/>
          </w:tcPr>
          <w:p w14:paraId="0025D764"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4" w:type="dxa"/>
          </w:tcPr>
          <w:p w14:paraId="46C4CB1A"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5" w:type="dxa"/>
          </w:tcPr>
          <w:p w14:paraId="06B091FF"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213" w:type="dxa"/>
          </w:tcPr>
          <w:p w14:paraId="3EDD9491"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119" w:type="dxa"/>
          </w:tcPr>
          <w:p w14:paraId="5599499A"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c>
          <w:tcPr>
            <w:tcW w:w="1089" w:type="dxa"/>
          </w:tcPr>
          <w:p w14:paraId="74A98B5C"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800</w:t>
            </w:r>
          </w:p>
        </w:tc>
        <w:tc>
          <w:tcPr>
            <w:tcW w:w="1429" w:type="dxa"/>
          </w:tcPr>
          <w:p w14:paraId="27543046" w14:textId="77777777" w:rsidR="00BB45B8" w:rsidRPr="00C46CE1" w:rsidRDefault="00BB45B8">
            <w:pPr>
              <w:spacing w:line="360" w:lineRule="auto"/>
              <w:jc w:val="both"/>
              <w:rPr>
                <w:rFonts w:ascii="Times New Roman" w:eastAsia="Calibri" w:hAnsi="Times New Roman" w:cs="Times New Roman"/>
                <w:bCs/>
                <w:sz w:val="20"/>
                <w:szCs w:val="20"/>
                <w14:ligatures w14:val="standardContextual"/>
              </w:rPr>
            </w:pPr>
            <w:r w:rsidRPr="00C46CE1">
              <w:rPr>
                <w:rFonts w:ascii="Times New Roman" w:eastAsia="Calibri" w:hAnsi="Times New Roman" w:cs="Times New Roman"/>
                <w:bCs/>
                <w:sz w:val="20"/>
                <w:szCs w:val="20"/>
                <w14:ligatures w14:val="standardContextual"/>
              </w:rPr>
              <w:t>0</w:t>
            </w:r>
          </w:p>
        </w:tc>
      </w:tr>
    </w:tbl>
    <w:p w14:paraId="40A103C6" w14:textId="77777777" w:rsidR="00BB45B8" w:rsidRDefault="00BB45B8" w:rsidP="00BB45B8"/>
    <w:p w14:paraId="25C32ECF" w14:textId="74827B51" w:rsidR="00BB45B8" w:rsidRPr="00F62AFA" w:rsidRDefault="00BB45B8" w:rsidP="00BB45B8">
      <w:pPr>
        <w:rPr>
          <w:rFonts w:ascii="Times New Roman" w:hAnsi="Times New Roman" w:cs="Times New Roman"/>
          <w:sz w:val="24"/>
          <w:szCs w:val="24"/>
        </w:rPr>
      </w:pPr>
    </w:p>
    <w:p w14:paraId="6B4F70E7" w14:textId="41F11F44" w:rsidR="006E6F0E" w:rsidRPr="00210F83" w:rsidRDefault="006E6F0E" w:rsidP="006E6F0E">
      <w:pPr>
        <w:pStyle w:val="Caption"/>
        <w:keepNext/>
        <w:rPr>
          <w:rFonts w:ascii="Times New Roman" w:hAnsi="Times New Roman" w:cs="Times New Roman"/>
          <w:color w:val="auto"/>
          <w:sz w:val="22"/>
          <w:szCs w:val="22"/>
        </w:rPr>
      </w:pPr>
      <w:r w:rsidRPr="00210F83">
        <w:rPr>
          <w:rFonts w:ascii="Times New Roman" w:hAnsi="Times New Roman" w:cs="Times New Roman"/>
          <w:color w:val="auto"/>
          <w:sz w:val="22"/>
          <w:szCs w:val="22"/>
        </w:rPr>
        <w:t xml:space="preserve">Table </w:t>
      </w:r>
      <w:r w:rsidRPr="00210F83">
        <w:rPr>
          <w:rFonts w:ascii="Times New Roman" w:hAnsi="Times New Roman" w:cs="Times New Roman"/>
          <w:color w:val="auto"/>
          <w:sz w:val="22"/>
          <w:szCs w:val="22"/>
        </w:rPr>
        <w:fldChar w:fldCharType="begin"/>
      </w:r>
      <w:r w:rsidRPr="00210F83">
        <w:rPr>
          <w:rFonts w:ascii="Times New Roman" w:hAnsi="Times New Roman" w:cs="Times New Roman"/>
          <w:color w:val="auto"/>
          <w:sz w:val="22"/>
          <w:szCs w:val="22"/>
        </w:rPr>
        <w:instrText xml:space="preserve"> SEQ Table \* ARABIC </w:instrText>
      </w:r>
      <w:r w:rsidRPr="00210F83">
        <w:rPr>
          <w:rFonts w:ascii="Times New Roman" w:hAnsi="Times New Roman" w:cs="Times New Roman"/>
          <w:color w:val="auto"/>
          <w:sz w:val="22"/>
          <w:szCs w:val="22"/>
        </w:rPr>
        <w:fldChar w:fldCharType="separate"/>
      </w:r>
      <w:r w:rsidR="00556409" w:rsidRPr="00210F83">
        <w:rPr>
          <w:rFonts w:ascii="Times New Roman" w:hAnsi="Times New Roman" w:cs="Times New Roman"/>
          <w:noProof/>
          <w:color w:val="auto"/>
          <w:sz w:val="22"/>
          <w:szCs w:val="22"/>
        </w:rPr>
        <w:t>2</w:t>
      </w:r>
      <w:r w:rsidRPr="00210F83">
        <w:rPr>
          <w:rFonts w:ascii="Times New Roman" w:hAnsi="Times New Roman" w:cs="Times New Roman"/>
          <w:color w:val="auto"/>
          <w:sz w:val="22"/>
          <w:szCs w:val="22"/>
        </w:rPr>
        <w:fldChar w:fldCharType="end"/>
      </w:r>
      <w:r w:rsidRPr="00210F83">
        <w:rPr>
          <w:rFonts w:ascii="Times New Roman" w:hAnsi="Times New Roman" w:cs="Times New Roman"/>
          <w:color w:val="auto"/>
          <w:sz w:val="22"/>
          <w:szCs w:val="22"/>
        </w:rPr>
        <w:t>:</w:t>
      </w:r>
      <w:r w:rsidR="001A0153" w:rsidRPr="00210F83">
        <w:rPr>
          <w:rFonts w:ascii="Times New Roman" w:hAnsi="Times New Roman" w:cs="Times New Roman"/>
          <w:color w:val="auto"/>
          <w:sz w:val="22"/>
          <w:szCs w:val="22"/>
        </w:rPr>
        <w:t xml:space="preserve"> summary table of Displacement (DISP) result</w:t>
      </w:r>
    </w:p>
    <w:tbl>
      <w:tblPr>
        <w:tblStyle w:val="TableGrid"/>
        <w:tblW w:w="9932" w:type="dxa"/>
        <w:tblInd w:w="-95" w:type="dxa"/>
        <w:tblLook w:val="04A0" w:firstRow="1" w:lastRow="0" w:firstColumn="1" w:lastColumn="0" w:noHBand="0" w:noVBand="1"/>
      </w:tblPr>
      <w:tblGrid>
        <w:gridCol w:w="2001"/>
        <w:gridCol w:w="2229"/>
        <w:gridCol w:w="942"/>
        <w:gridCol w:w="920"/>
        <w:gridCol w:w="1280"/>
        <w:gridCol w:w="1280"/>
        <w:gridCol w:w="1280"/>
      </w:tblGrid>
      <w:tr w:rsidR="00BB45B8" w:rsidRPr="00F62AFA" w14:paraId="63110BFC" w14:textId="77777777">
        <w:trPr>
          <w:trHeight w:val="217"/>
        </w:trPr>
        <w:tc>
          <w:tcPr>
            <w:tcW w:w="2001" w:type="dxa"/>
            <w:noWrap/>
            <w:hideMark/>
          </w:tcPr>
          <w:p w14:paraId="4BE76F46" w14:textId="77777777" w:rsidR="00BB45B8" w:rsidRPr="00A802A6" w:rsidRDefault="00BB45B8">
            <w:pPr>
              <w:pStyle w:val="Caption"/>
              <w:keepNext/>
              <w:jc w:val="both"/>
              <w:rPr>
                <w:rFonts w:ascii="Times New Roman" w:hAnsi="Times New Roman" w:cs="Times New Roman"/>
                <w:i w:val="0"/>
                <w:sz w:val="20"/>
                <w:szCs w:val="20"/>
              </w:rPr>
            </w:pPr>
            <w:r w:rsidRPr="00A802A6">
              <w:rPr>
                <w:rFonts w:ascii="Times New Roman" w:hAnsi="Times New Roman" w:cs="Times New Roman"/>
                <w:i w:val="0"/>
                <w:color w:val="auto"/>
                <w:sz w:val="20"/>
                <w:szCs w:val="20"/>
              </w:rPr>
              <w:t>DISP Diagnostics:</w:t>
            </w:r>
          </w:p>
        </w:tc>
        <w:tc>
          <w:tcPr>
            <w:tcW w:w="2229" w:type="dxa"/>
            <w:noWrap/>
            <w:hideMark/>
          </w:tcPr>
          <w:p w14:paraId="08A4B37D" w14:textId="77777777" w:rsidR="00BB45B8" w:rsidRPr="00A802A6" w:rsidRDefault="00BB45B8">
            <w:pPr>
              <w:pStyle w:val="Caption"/>
              <w:keepNext/>
              <w:jc w:val="both"/>
              <w:rPr>
                <w:rFonts w:ascii="Times New Roman" w:hAnsi="Times New Roman" w:cs="Times New Roman"/>
                <w:i w:val="0"/>
                <w:sz w:val="20"/>
                <w:szCs w:val="20"/>
              </w:rPr>
            </w:pPr>
          </w:p>
        </w:tc>
        <w:tc>
          <w:tcPr>
            <w:tcW w:w="942" w:type="dxa"/>
            <w:noWrap/>
            <w:hideMark/>
          </w:tcPr>
          <w:p w14:paraId="31867AD5" w14:textId="77777777" w:rsidR="00BB45B8" w:rsidRPr="00A802A6" w:rsidRDefault="00BB45B8">
            <w:pPr>
              <w:pStyle w:val="Caption"/>
              <w:keepNext/>
              <w:jc w:val="both"/>
              <w:rPr>
                <w:rFonts w:ascii="Times New Roman" w:hAnsi="Times New Roman" w:cs="Times New Roman"/>
                <w:i w:val="0"/>
                <w:sz w:val="20"/>
                <w:szCs w:val="20"/>
              </w:rPr>
            </w:pPr>
          </w:p>
        </w:tc>
        <w:tc>
          <w:tcPr>
            <w:tcW w:w="920" w:type="dxa"/>
            <w:noWrap/>
            <w:hideMark/>
          </w:tcPr>
          <w:p w14:paraId="0F230E9B"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4EF3FFE3"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01AC8E6C"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53E06860" w14:textId="77777777" w:rsidR="00BB45B8" w:rsidRPr="00A802A6" w:rsidRDefault="00BB45B8">
            <w:pPr>
              <w:pStyle w:val="Caption"/>
              <w:keepNext/>
              <w:jc w:val="both"/>
              <w:rPr>
                <w:rFonts w:ascii="Times New Roman" w:hAnsi="Times New Roman" w:cs="Times New Roman"/>
                <w:i w:val="0"/>
                <w:sz w:val="20"/>
                <w:szCs w:val="20"/>
              </w:rPr>
            </w:pPr>
          </w:p>
        </w:tc>
      </w:tr>
      <w:tr w:rsidR="00BB45B8" w:rsidRPr="00F62AFA" w14:paraId="7FE46913" w14:textId="77777777">
        <w:trPr>
          <w:trHeight w:val="217"/>
        </w:trPr>
        <w:tc>
          <w:tcPr>
            <w:tcW w:w="2001" w:type="dxa"/>
            <w:noWrap/>
            <w:hideMark/>
          </w:tcPr>
          <w:p w14:paraId="20059C9D" w14:textId="77777777" w:rsidR="00BB45B8" w:rsidRPr="00A802A6" w:rsidRDefault="00BB45B8">
            <w:pPr>
              <w:pStyle w:val="Caption"/>
              <w:keepNext/>
              <w:jc w:val="both"/>
              <w:rPr>
                <w:rFonts w:ascii="Times New Roman" w:hAnsi="Times New Roman" w:cs="Times New Roman"/>
                <w:i w:val="0"/>
                <w:sz w:val="20"/>
                <w:szCs w:val="20"/>
              </w:rPr>
            </w:pPr>
            <w:r w:rsidRPr="00A802A6">
              <w:rPr>
                <w:rFonts w:ascii="Times New Roman" w:hAnsi="Times New Roman" w:cs="Times New Roman"/>
                <w:i w:val="0"/>
                <w:color w:val="auto"/>
                <w:sz w:val="20"/>
                <w:szCs w:val="20"/>
              </w:rPr>
              <w:t>Error Code</w:t>
            </w:r>
            <w:r w:rsidRPr="00A802A6">
              <w:rPr>
                <w:rFonts w:ascii="Times New Roman" w:hAnsi="Times New Roman" w:cs="Times New Roman"/>
                <w:i w:val="0"/>
                <w:sz w:val="20"/>
                <w:szCs w:val="20"/>
              </w:rPr>
              <w:t>:</w:t>
            </w:r>
          </w:p>
        </w:tc>
        <w:tc>
          <w:tcPr>
            <w:tcW w:w="2229" w:type="dxa"/>
            <w:noWrap/>
            <w:hideMark/>
          </w:tcPr>
          <w:p w14:paraId="1255F340" w14:textId="77777777" w:rsidR="00BB45B8" w:rsidRPr="00A802A6" w:rsidRDefault="00BB45B8">
            <w:pPr>
              <w:pStyle w:val="Caption"/>
              <w:keepNext/>
              <w:jc w:val="both"/>
              <w:rPr>
                <w:rFonts w:ascii="Times New Roman" w:hAnsi="Times New Roman" w:cs="Times New Roman"/>
                <w:i w:val="0"/>
                <w:sz w:val="20"/>
                <w:szCs w:val="20"/>
              </w:rPr>
            </w:pPr>
            <w:r w:rsidRPr="00A802A6">
              <w:rPr>
                <w:rFonts w:ascii="Times New Roman" w:hAnsi="Times New Roman" w:cs="Times New Roman"/>
                <w:i w:val="0"/>
                <w:color w:val="auto"/>
                <w:sz w:val="20"/>
                <w:szCs w:val="20"/>
              </w:rPr>
              <w:t>0</w:t>
            </w:r>
          </w:p>
        </w:tc>
        <w:tc>
          <w:tcPr>
            <w:tcW w:w="942" w:type="dxa"/>
            <w:noWrap/>
            <w:hideMark/>
          </w:tcPr>
          <w:p w14:paraId="0661AB48" w14:textId="77777777" w:rsidR="00BB45B8" w:rsidRPr="00A802A6" w:rsidRDefault="00BB45B8">
            <w:pPr>
              <w:pStyle w:val="Caption"/>
              <w:keepNext/>
              <w:jc w:val="both"/>
              <w:rPr>
                <w:rFonts w:ascii="Times New Roman" w:hAnsi="Times New Roman" w:cs="Times New Roman"/>
                <w:i w:val="0"/>
                <w:sz w:val="20"/>
                <w:szCs w:val="20"/>
              </w:rPr>
            </w:pPr>
          </w:p>
        </w:tc>
        <w:tc>
          <w:tcPr>
            <w:tcW w:w="920" w:type="dxa"/>
            <w:noWrap/>
            <w:hideMark/>
          </w:tcPr>
          <w:p w14:paraId="6BF49224"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209756A2"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68E33986"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7022BE1E" w14:textId="77777777" w:rsidR="00BB45B8" w:rsidRPr="00A802A6" w:rsidRDefault="00BB45B8">
            <w:pPr>
              <w:pStyle w:val="Caption"/>
              <w:keepNext/>
              <w:jc w:val="both"/>
              <w:rPr>
                <w:rFonts w:ascii="Times New Roman" w:hAnsi="Times New Roman" w:cs="Times New Roman"/>
                <w:i w:val="0"/>
                <w:sz w:val="20"/>
                <w:szCs w:val="20"/>
              </w:rPr>
            </w:pPr>
          </w:p>
        </w:tc>
      </w:tr>
      <w:tr w:rsidR="00BB45B8" w:rsidRPr="00F62AFA" w14:paraId="0FED6160" w14:textId="77777777">
        <w:trPr>
          <w:trHeight w:val="217"/>
        </w:trPr>
        <w:tc>
          <w:tcPr>
            <w:tcW w:w="2001" w:type="dxa"/>
            <w:noWrap/>
            <w:hideMark/>
          </w:tcPr>
          <w:p w14:paraId="789FF88F" w14:textId="77777777" w:rsidR="00BB45B8" w:rsidRPr="00A802A6" w:rsidRDefault="00BB45B8">
            <w:pPr>
              <w:pStyle w:val="Caption"/>
              <w:keepNext/>
              <w:jc w:val="both"/>
              <w:rPr>
                <w:rFonts w:ascii="Times New Roman" w:hAnsi="Times New Roman" w:cs="Times New Roman"/>
                <w:i w:val="0"/>
                <w:iCs w:val="0"/>
                <w:sz w:val="20"/>
                <w:szCs w:val="20"/>
              </w:rPr>
            </w:pPr>
            <w:r w:rsidRPr="00A802A6">
              <w:rPr>
                <w:rFonts w:ascii="Times New Roman" w:hAnsi="Times New Roman" w:cs="Times New Roman"/>
                <w:i w:val="0"/>
                <w:iCs w:val="0"/>
                <w:color w:val="auto"/>
                <w:sz w:val="20"/>
                <w:szCs w:val="20"/>
              </w:rPr>
              <w:t>Largest Decrease in Q</w:t>
            </w:r>
            <w:r w:rsidRPr="00A802A6">
              <w:rPr>
                <w:rFonts w:ascii="Times New Roman" w:hAnsi="Times New Roman" w:cs="Times New Roman"/>
                <w:i w:val="0"/>
                <w:iCs w:val="0"/>
                <w:sz w:val="20"/>
                <w:szCs w:val="20"/>
              </w:rPr>
              <w:t>:</w:t>
            </w:r>
          </w:p>
        </w:tc>
        <w:tc>
          <w:tcPr>
            <w:tcW w:w="2229" w:type="dxa"/>
            <w:noWrap/>
            <w:hideMark/>
          </w:tcPr>
          <w:p w14:paraId="2C0F6D21" w14:textId="77777777" w:rsidR="00BB45B8" w:rsidRPr="00A802A6" w:rsidRDefault="00BB45B8">
            <w:pPr>
              <w:pStyle w:val="Caption"/>
              <w:keepNext/>
              <w:jc w:val="both"/>
              <w:rPr>
                <w:rFonts w:ascii="Times New Roman" w:hAnsi="Times New Roman" w:cs="Times New Roman"/>
                <w:i w:val="0"/>
                <w:iCs w:val="0"/>
                <w:sz w:val="20"/>
                <w:szCs w:val="20"/>
              </w:rPr>
            </w:pPr>
            <w:r w:rsidRPr="00A802A6">
              <w:rPr>
                <w:rFonts w:ascii="Times New Roman" w:hAnsi="Times New Roman" w:cs="Times New Roman"/>
                <w:i w:val="0"/>
                <w:iCs w:val="0"/>
                <w:color w:val="auto"/>
                <w:sz w:val="20"/>
                <w:szCs w:val="20"/>
              </w:rPr>
              <w:t>0.0738</w:t>
            </w:r>
          </w:p>
        </w:tc>
        <w:tc>
          <w:tcPr>
            <w:tcW w:w="942" w:type="dxa"/>
            <w:noWrap/>
            <w:hideMark/>
          </w:tcPr>
          <w:p w14:paraId="66DA431C" w14:textId="77777777" w:rsidR="00BB45B8" w:rsidRPr="00A802A6" w:rsidRDefault="00BB45B8">
            <w:pPr>
              <w:pStyle w:val="Caption"/>
              <w:keepNext/>
              <w:jc w:val="both"/>
              <w:rPr>
                <w:rFonts w:ascii="Times New Roman" w:hAnsi="Times New Roman" w:cs="Times New Roman"/>
                <w:i w:val="0"/>
                <w:sz w:val="20"/>
                <w:szCs w:val="20"/>
              </w:rPr>
            </w:pPr>
          </w:p>
        </w:tc>
        <w:tc>
          <w:tcPr>
            <w:tcW w:w="920" w:type="dxa"/>
            <w:noWrap/>
            <w:hideMark/>
          </w:tcPr>
          <w:p w14:paraId="5E4D64E2"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5A241887"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35CDD87F"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34F757BB" w14:textId="77777777" w:rsidR="00BB45B8" w:rsidRPr="00A802A6" w:rsidRDefault="00BB45B8">
            <w:pPr>
              <w:pStyle w:val="Caption"/>
              <w:keepNext/>
              <w:jc w:val="both"/>
              <w:rPr>
                <w:rFonts w:ascii="Times New Roman" w:hAnsi="Times New Roman" w:cs="Times New Roman"/>
                <w:i w:val="0"/>
                <w:sz w:val="20"/>
                <w:szCs w:val="20"/>
              </w:rPr>
            </w:pPr>
          </w:p>
        </w:tc>
      </w:tr>
      <w:tr w:rsidR="00BB45B8" w:rsidRPr="00F62AFA" w14:paraId="37CDBD7C" w14:textId="77777777">
        <w:trPr>
          <w:trHeight w:val="217"/>
        </w:trPr>
        <w:tc>
          <w:tcPr>
            <w:tcW w:w="2001" w:type="dxa"/>
            <w:noWrap/>
            <w:hideMark/>
          </w:tcPr>
          <w:p w14:paraId="20BD5B72" w14:textId="77777777" w:rsidR="00BB45B8" w:rsidRPr="00A802A6" w:rsidRDefault="00BB45B8">
            <w:pPr>
              <w:pStyle w:val="Caption"/>
              <w:keepNext/>
              <w:jc w:val="both"/>
              <w:rPr>
                <w:rFonts w:ascii="Times New Roman" w:hAnsi="Times New Roman" w:cs="Times New Roman"/>
                <w:i w:val="0"/>
                <w:sz w:val="20"/>
                <w:szCs w:val="20"/>
              </w:rPr>
            </w:pPr>
            <w:r w:rsidRPr="00A802A6">
              <w:rPr>
                <w:rFonts w:ascii="Times New Roman" w:hAnsi="Times New Roman" w:cs="Times New Roman"/>
                <w:i w:val="0"/>
                <w:color w:val="auto"/>
                <w:sz w:val="20"/>
                <w:szCs w:val="20"/>
              </w:rPr>
              <w:t>%</w:t>
            </w:r>
            <w:proofErr w:type="spellStart"/>
            <w:r w:rsidRPr="00A802A6">
              <w:rPr>
                <w:rFonts w:ascii="Times New Roman" w:hAnsi="Times New Roman" w:cs="Times New Roman"/>
                <w:i w:val="0"/>
                <w:color w:val="auto"/>
                <w:sz w:val="20"/>
                <w:szCs w:val="20"/>
              </w:rPr>
              <w:t>dQ</w:t>
            </w:r>
            <w:proofErr w:type="spellEnd"/>
            <w:r w:rsidRPr="00A802A6">
              <w:rPr>
                <w:rFonts w:ascii="Times New Roman" w:hAnsi="Times New Roman" w:cs="Times New Roman"/>
                <w:i w:val="0"/>
                <w:color w:val="auto"/>
                <w:sz w:val="20"/>
                <w:szCs w:val="20"/>
              </w:rPr>
              <w:t>:</w:t>
            </w:r>
          </w:p>
        </w:tc>
        <w:tc>
          <w:tcPr>
            <w:tcW w:w="2229" w:type="dxa"/>
            <w:noWrap/>
            <w:hideMark/>
          </w:tcPr>
          <w:p w14:paraId="1B69E767" w14:textId="77777777" w:rsidR="00BB45B8" w:rsidRPr="00A802A6" w:rsidRDefault="00BB45B8">
            <w:pPr>
              <w:pStyle w:val="Caption"/>
              <w:keepNext/>
              <w:jc w:val="both"/>
              <w:rPr>
                <w:rFonts w:ascii="Times New Roman" w:hAnsi="Times New Roman" w:cs="Times New Roman"/>
                <w:i w:val="0"/>
                <w:iCs w:val="0"/>
                <w:sz w:val="20"/>
                <w:szCs w:val="20"/>
              </w:rPr>
            </w:pPr>
            <w:r w:rsidRPr="00A802A6">
              <w:rPr>
                <w:rFonts w:ascii="Times New Roman" w:hAnsi="Times New Roman" w:cs="Times New Roman"/>
                <w:i w:val="0"/>
                <w:iCs w:val="0"/>
                <w:color w:val="auto"/>
                <w:sz w:val="20"/>
                <w:szCs w:val="20"/>
              </w:rPr>
              <w:t>0.0018</w:t>
            </w:r>
          </w:p>
        </w:tc>
        <w:tc>
          <w:tcPr>
            <w:tcW w:w="942" w:type="dxa"/>
            <w:noWrap/>
            <w:hideMark/>
          </w:tcPr>
          <w:p w14:paraId="48DF1CBB" w14:textId="77777777" w:rsidR="00BB45B8" w:rsidRPr="00A802A6" w:rsidRDefault="00BB45B8">
            <w:pPr>
              <w:pStyle w:val="Caption"/>
              <w:keepNext/>
              <w:jc w:val="both"/>
              <w:rPr>
                <w:rFonts w:ascii="Times New Roman" w:hAnsi="Times New Roman" w:cs="Times New Roman"/>
                <w:i w:val="0"/>
                <w:sz w:val="20"/>
                <w:szCs w:val="20"/>
              </w:rPr>
            </w:pPr>
          </w:p>
        </w:tc>
        <w:tc>
          <w:tcPr>
            <w:tcW w:w="920" w:type="dxa"/>
            <w:noWrap/>
            <w:hideMark/>
          </w:tcPr>
          <w:p w14:paraId="325E0242"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5B896D06"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42287139" w14:textId="77777777" w:rsidR="00BB45B8" w:rsidRPr="00A802A6" w:rsidRDefault="00BB45B8">
            <w:pPr>
              <w:pStyle w:val="Caption"/>
              <w:keepNext/>
              <w:jc w:val="both"/>
              <w:rPr>
                <w:rFonts w:ascii="Times New Roman" w:hAnsi="Times New Roman" w:cs="Times New Roman"/>
                <w:i w:val="0"/>
                <w:sz w:val="20"/>
                <w:szCs w:val="20"/>
              </w:rPr>
            </w:pPr>
          </w:p>
        </w:tc>
        <w:tc>
          <w:tcPr>
            <w:tcW w:w="1280" w:type="dxa"/>
            <w:noWrap/>
            <w:hideMark/>
          </w:tcPr>
          <w:p w14:paraId="248C5CB8" w14:textId="77777777" w:rsidR="00BB45B8" w:rsidRPr="00A802A6" w:rsidRDefault="00BB45B8">
            <w:pPr>
              <w:pStyle w:val="Caption"/>
              <w:keepNext/>
              <w:jc w:val="both"/>
              <w:rPr>
                <w:rFonts w:ascii="Times New Roman" w:hAnsi="Times New Roman" w:cs="Times New Roman"/>
                <w:i w:val="0"/>
                <w:sz w:val="20"/>
                <w:szCs w:val="20"/>
              </w:rPr>
            </w:pPr>
          </w:p>
        </w:tc>
      </w:tr>
      <w:tr w:rsidR="00BB45B8" w:rsidRPr="00F62AFA" w14:paraId="2E83C993" w14:textId="77777777">
        <w:trPr>
          <w:trHeight w:val="217"/>
        </w:trPr>
        <w:tc>
          <w:tcPr>
            <w:tcW w:w="2001" w:type="dxa"/>
            <w:noWrap/>
            <w:hideMark/>
          </w:tcPr>
          <w:p w14:paraId="6AEB1230" w14:textId="77777777" w:rsidR="00BB45B8" w:rsidRPr="00A802A6" w:rsidRDefault="00BB45B8">
            <w:pPr>
              <w:pStyle w:val="Caption"/>
              <w:keepNext/>
              <w:rPr>
                <w:rFonts w:ascii="Times New Roman" w:hAnsi="Times New Roman" w:cs="Times New Roman"/>
                <w:i w:val="0"/>
                <w:sz w:val="20"/>
                <w:szCs w:val="20"/>
              </w:rPr>
            </w:pPr>
            <w:r w:rsidRPr="00A802A6">
              <w:rPr>
                <w:rFonts w:ascii="Times New Roman" w:hAnsi="Times New Roman" w:cs="Times New Roman"/>
                <w:i w:val="0"/>
                <w:color w:val="auto"/>
                <w:sz w:val="20"/>
                <w:szCs w:val="20"/>
              </w:rPr>
              <w:t>Swaps by Factor</w:t>
            </w:r>
            <w:r w:rsidRPr="00A802A6">
              <w:rPr>
                <w:rFonts w:ascii="Times New Roman" w:hAnsi="Times New Roman" w:cs="Times New Roman"/>
                <w:i w:val="0"/>
                <w:sz w:val="20"/>
                <w:szCs w:val="20"/>
              </w:rPr>
              <w:t>:</w:t>
            </w:r>
          </w:p>
        </w:tc>
        <w:tc>
          <w:tcPr>
            <w:tcW w:w="2229" w:type="dxa"/>
            <w:noWrap/>
            <w:hideMark/>
          </w:tcPr>
          <w:p w14:paraId="5725BAF7" w14:textId="77777777" w:rsidR="00BB45B8" w:rsidRPr="00A802A6" w:rsidRDefault="00BB45B8">
            <w:pPr>
              <w:pStyle w:val="Caption"/>
              <w:keepNext/>
              <w:jc w:val="both"/>
              <w:rPr>
                <w:rFonts w:ascii="Times New Roman" w:hAnsi="Times New Roman" w:cs="Times New Roman"/>
                <w:i w:val="0"/>
                <w:iCs w:val="0"/>
                <w:sz w:val="20"/>
                <w:szCs w:val="20"/>
              </w:rPr>
            </w:pPr>
            <w:r w:rsidRPr="00A802A6">
              <w:rPr>
                <w:rFonts w:ascii="Times New Roman" w:hAnsi="Times New Roman" w:cs="Times New Roman"/>
                <w:i w:val="0"/>
                <w:iCs w:val="0"/>
                <w:color w:val="auto"/>
                <w:sz w:val="20"/>
                <w:szCs w:val="20"/>
              </w:rPr>
              <w:t>0</w:t>
            </w:r>
          </w:p>
        </w:tc>
        <w:tc>
          <w:tcPr>
            <w:tcW w:w="942" w:type="dxa"/>
            <w:noWrap/>
            <w:hideMark/>
          </w:tcPr>
          <w:p w14:paraId="5D827590" w14:textId="77777777" w:rsidR="00BB45B8" w:rsidRPr="00A802A6" w:rsidRDefault="00BB45B8">
            <w:pPr>
              <w:pStyle w:val="Caption"/>
              <w:keepNext/>
              <w:jc w:val="both"/>
              <w:rPr>
                <w:rFonts w:ascii="Times New Roman" w:hAnsi="Times New Roman" w:cs="Times New Roman"/>
                <w:i w:val="0"/>
                <w:iCs w:val="0"/>
                <w:color w:val="auto"/>
                <w:sz w:val="20"/>
                <w:szCs w:val="20"/>
              </w:rPr>
            </w:pPr>
            <w:r w:rsidRPr="00A802A6">
              <w:rPr>
                <w:rFonts w:ascii="Times New Roman" w:hAnsi="Times New Roman" w:cs="Times New Roman"/>
                <w:i w:val="0"/>
                <w:iCs w:val="0"/>
                <w:color w:val="auto"/>
                <w:sz w:val="20"/>
                <w:szCs w:val="20"/>
              </w:rPr>
              <w:t>0</w:t>
            </w:r>
          </w:p>
        </w:tc>
        <w:tc>
          <w:tcPr>
            <w:tcW w:w="920" w:type="dxa"/>
            <w:noWrap/>
            <w:hideMark/>
          </w:tcPr>
          <w:p w14:paraId="70E4FB5D" w14:textId="77777777" w:rsidR="00BB45B8" w:rsidRPr="00A802A6" w:rsidRDefault="00BB45B8">
            <w:pPr>
              <w:pStyle w:val="Caption"/>
              <w:keepNext/>
              <w:jc w:val="both"/>
              <w:rPr>
                <w:rFonts w:ascii="Times New Roman" w:hAnsi="Times New Roman" w:cs="Times New Roman"/>
                <w:i w:val="0"/>
                <w:iCs w:val="0"/>
                <w:color w:val="auto"/>
                <w:sz w:val="20"/>
                <w:szCs w:val="20"/>
              </w:rPr>
            </w:pPr>
            <w:r w:rsidRPr="00A802A6">
              <w:rPr>
                <w:rFonts w:ascii="Times New Roman" w:hAnsi="Times New Roman" w:cs="Times New Roman"/>
                <w:i w:val="0"/>
                <w:iCs w:val="0"/>
                <w:color w:val="auto"/>
                <w:sz w:val="20"/>
                <w:szCs w:val="20"/>
              </w:rPr>
              <w:t>0</w:t>
            </w:r>
          </w:p>
        </w:tc>
        <w:tc>
          <w:tcPr>
            <w:tcW w:w="1280" w:type="dxa"/>
            <w:noWrap/>
            <w:hideMark/>
          </w:tcPr>
          <w:p w14:paraId="1B8C07C3" w14:textId="77777777" w:rsidR="00BB45B8" w:rsidRPr="00A802A6" w:rsidRDefault="00BB45B8">
            <w:pPr>
              <w:pStyle w:val="Caption"/>
              <w:keepNext/>
              <w:jc w:val="both"/>
              <w:rPr>
                <w:rFonts w:ascii="Times New Roman" w:hAnsi="Times New Roman" w:cs="Times New Roman"/>
                <w:i w:val="0"/>
                <w:iCs w:val="0"/>
                <w:color w:val="auto"/>
                <w:sz w:val="20"/>
                <w:szCs w:val="20"/>
              </w:rPr>
            </w:pPr>
            <w:r w:rsidRPr="00A802A6">
              <w:rPr>
                <w:rFonts w:ascii="Times New Roman" w:hAnsi="Times New Roman" w:cs="Times New Roman"/>
                <w:i w:val="0"/>
                <w:iCs w:val="0"/>
                <w:color w:val="auto"/>
                <w:sz w:val="20"/>
                <w:szCs w:val="20"/>
              </w:rPr>
              <w:t>0</w:t>
            </w:r>
          </w:p>
        </w:tc>
        <w:tc>
          <w:tcPr>
            <w:tcW w:w="1280" w:type="dxa"/>
            <w:noWrap/>
            <w:hideMark/>
          </w:tcPr>
          <w:p w14:paraId="661289BF" w14:textId="77777777" w:rsidR="00BB45B8" w:rsidRPr="00A802A6" w:rsidRDefault="00BB45B8">
            <w:pPr>
              <w:pStyle w:val="Caption"/>
              <w:keepNext/>
              <w:jc w:val="both"/>
              <w:rPr>
                <w:rFonts w:ascii="Times New Roman" w:hAnsi="Times New Roman" w:cs="Times New Roman"/>
                <w:i w:val="0"/>
                <w:iCs w:val="0"/>
                <w:color w:val="auto"/>
                <w:sz w:val="20"/>
                <w:szCs w:val="20"/>
              </w:rPr>
            </w:pPr>
            <w:r w:rsidRPr="00A802A6">
              <w:rPr>
                <w:rFonts w:ascii="Times New Roman" w:hAnsi="Times New Roman" w:cs="Times New Roman"/>
                <w:i w:val="0"/>
                <w:iCs w:val="0"/>
                <w:color w:val="auto"/>
                <w:sz w:val="20"/>
                <w:szCs w:val="20"/>
              </w:rPr>
              <w:t>0</w:t>
            </w:r>
          </w:p>
        </w:tc>
        <w:tc>
          <w:tcPr>
            <w:tcW w:w="1280" w:type="dxa"/>
            <w:noWrap/>
            <w:hideMark/>
          </w:tcPr>
          <w:p w14:paraId="703B5048" w14:textId="77777777" w:rsidR="00BB45B8" w:rsidRPr="00A802A6" w:rsidRDefault="00BB45B8">
            <w:pPr>
              <w:pStyle w:val="Caption"/>
              <w:keepNext/>
              <w:jc w:val="both"/>
              <w:rPr>
                <w:rFonts w:ascii="Times New Roman" w:hAnsi="Times New Roman" w:cs="Times New Roman"/>
                <w:i w:val="0"/>
                <w:iCs w:val="0"/>
                <w:color w:val="auto"/>
                <w:sz w:val="20"/>
                <w:szCs w:val="20"/>
              </w:rPr>
            </w:pPr>
            <w:r w:rsidRPr="00A802A6">
              <w:rPr>
                <w:rFonts w:ascii="Times New Roman" w:hAnsi="Times New Roman" w:cs="Times New Roman"/>
                <w:i w:val="0"/>
                <w:iCs w:val="0"/>
                <w:color w:val="auto"/>
                <w:sz w:val="20"/>
                <w:szCs w:val="20"/>
              </w:rPr>
              <w:t>0</w:t>
            </w:r>
          </w:p>
        </w:tc>
      </w:tr>
    </w:tbl>
    <w:p w14:paraId="10D8EA24" w14:textId="77777777" w:rsidR="00BB45B8" w:rsidRDefault="00BB45B8" w:rsidP="00BB45B8"/>
    <w:p w14:paraId="76E4756D" w14:textId="77777777" w:rsidR="00BB45B8" w:rsidRDefault="00BB45B8" w:rsidP="00BB45B8"/>
    <w:p w14:paraId="5D6919E3" w14:textId="368FAD84" w:rsidR="00556409" w:rsidRPr="00210F83" w:rsidRDefault="00556409" w:rsidP="00556409">
      <w:pPr>
        <w:pStyle w:val="Caption"/>
        <w:keepNext/>
        <w:rPr>
          <w:rFonts w:ascii="Times New Roman" w:hAnsi="Times New Roman" w:cs="Times New Roman"/>
          <w:color w:val="auto"/>
          <w:sz w:val="22"/>
          <w:szCs w:val="22"/>
        </w:rPr>
      </w:pPr>
      <w:r w:rsidRPr="00210F83">
        <w:rPr>
          <w:rFonts w:ascii="Times New Roman" w:hAnsi="Times New Roman" w:cs="Times New Roman"/>
          <w:color w:val="auto"/>
          <w:sz w:val="22"/>
          <w:szCs w:val="22"/>
        </w:rPr>
        <w:t xml:space="preserve">Table </w:t>
      </w:r>
      <w:r w:rsidRPr="00210F83">
        <w:rPr>
          <w:rFonts w:ascii="Times New Roman" w:hAnsi="Times New Roman" w:cs="Times New Roman"/>
          <w:color w:val="auto"/>
          <w:sz w:val="22"/>
          <w:szCs w:val="22"/>
        </w:rPr>
        <w:fldChar w:fldCharType="begin"/>
      </w:r>
      <w:r w:rsidRPr="00210F83">
        <w:rPr>
          <w:rFonts w:ascii="Times New Roman" w:hAnsi="Times New Roman" w:cs="Times New Roman"/>
          <w:color w:val="auto"/>
          <w:sz w:val="22"/>
          <w:szCs w:val="22"/>
        </w:rPr>
        <w:instrText xml:space="preserve"> SEQ Table \* ARABIC </w:instrText>
      </w:r>
      <w:r w:rsidRPr="00210F83">
        <w:rPr>
          <w:rFonts w:ascii="Times New Roman" w:hAnsi="Times New Roman" w:cs="Times New Roman"/>
          <w:color w:val="auto"/>
          <w:sz w:val="22"/>
          <w:szCs w:val="22"/>
        </w:rPr>
        <w:fldChar w:fldCharType="separate"/>
      </w:r>
      <w:r w:rsidRPr="00210F83">
        <w:rPr>
          <w:rFonts w:ascii="Times New Roman" w:hAnsi="Times New Roman" w:cs="Times New Roman"/>
          <w:noProof/>
          <w:color w:val="auto"/>
          <w:sz w:val="22"/>
          <w:szCs w:val="22"/>
        </w:rPr>
        <w:t>3</w:t>
      </w:r>
      <w:r w:rsidRPr="00210F83">
        <w:rPr>
          <w:rFonts w:ascii="Times New Roman" w:hAnsi="Times New Roman" w:cs="Times New Roman"/>
          <w:color w:val="auto"/>
          <w:sz w:val="22"/>
          <w:szCs w:val="22"/>
        </w:rPr>
        <w:fldChar w:fldCharType="end"/>
      </w:r>
      <w:r w:rsidRPr="00210F83">
        <w:rPr>
          <w:rFonts w:ascii="Times New Roman" w:hAnsi="Times New Roman" w:cs="Times New Roman"/>
          <w:color w:val="auto"/>
          <w:sz w:val="22"/>
          <w:szCs w:val="22"/>
        </w:rPr>
        <w:t xml:space="preserve">: Regression diagnostics for the Punjab campaign </w:t>
      </w:r>
      <w:r w:rsidR="00124741" w:rsidRPr="00210F83">
        <w:rPr>
          <w:rFonts w:ascii="Times New Roman" w:hAnsi="Times New Roman" w:cs="Times New Roman"/>
          <w:color w:val="auto"/>
          <w:sz w:val="22"/>
          <w:szCs w:val="22"/>
        </w:rPr>
        <w:t>da</w:t>
      </w:r>
      <w:r w:rsidR="000822C1" w:rsidRPr="00210F83">
        <w:rPr>
          <w:rFonts w:ascii="Times New Roman" w:hAnsi="Times New Roman" w:cs="Times New Roman"/>
          <w:color w:val="auto"/>
          <w:sz w:val="22"/>
          <w:szCs w:val="22"/>
        </w:rPr>
        <w:t>ta</w:t>
      </w:r>
    </w:p>
    <w:tbl>
      <w:tblPr>
        <w:tblStyle w:val="TableGrid"/>
        <w:tblW w:w="0" w:type="auto"/>
        <w:tblLook w:val="04A0" w:firstRow="1" w:lastRow="0" w:firstColumn="1" w:lastColumn="0" w:noHBand="0" w:noVBand="1"/>
      </w:tblPr>
      <w:tblGrid>
        <w:gridCol w:w="2113"/>
        <w:gridCol w:w="1472"/>
        <w:gridCol w:w="1473"/>
        <w:gridCol w:w="1473"/>
        <w:gridCol w:w="966"/>
        <w:gridCol w:w="966"/>
        <w:gridCol w:w="966"/>
      </w:tblGrid>
      <w:tr w:rsidR="00BB45B8" w:rsidRPr="00F11C86" w14:paraId="3A013E9C" w14:textId="77777777" w:rsidTr="00556409">
        <w:trPr>
          <w:trHeight w:val="255"/>
        </w:trPr>
        <w:tc>
          <w:tcPr>
            <w:tcW w:w="2113" w:type="dxa"/>
            <w:noWrap/>
            <w:hideMark/>
          </w:tcPr>
          <w:p w14:paraId="3579D860" w14:textId="77777777" w:rsidR="00BB45B8" w:rsidRPr="00F11C86" w:rsidRDefault="00BB45B8"/>
        </w:tc>
        <w:tc>
          <w:tcPr>
            <w:tcW w:w="1472" w:type="dxa"/>
            <w:noWrap/>
            <w:hideMark/>
          </w:tcPr>
          <w:p w14:paraId="1E6EA56E" w14:textId="77777777" w:rsidR="00BB45B8" w:rsidRPr="00F11C86" w:rsidRDefault="00BB45B8"/>
        </w:tc>
        <w:tc>
          <w:tcPr>
            <w:tcW w:w="1473" w:type="dxa"/>
            <w:noWrap/>
            <w:hideMark/>
          </w:tcPr>
          <w:p w14:paraId="15CD3C8A" w14:textId="77777777" w:rsidR="00BB45B8" w:rsidRPr="00F11C86" w:rsidRDefault="00BB45B8"/>
        </w:tc>
        <w:tc>
          <w:tcPr>
            <w:tcW w:w="1473" w:type="dxa"/>
            <w:noWrap/>
            <w:hideMark/>
          </w:tcPr>
          <w:p w14:paraId="7D9829DC" w14:textId="77777777" w:rsidR="00BB45B8" w:rsidRPr="00F11C86" w:rsidRDefault="00BB45B8"/>
        </w:tc>
        <w:tc>
          <w:tcPr>
            <w:tcW w:w="966" w:type="dxa"/>
            <w:noWrap/>
            <w:hideMark/>
          </w:tcPr>
          <w:p w14:paraId="518AD1CF" w14:textId="77777777" w:rsidR="00BB45B8" w:rsidRPr="00F11C86" w:rsidRDefault="00BB45B8"/>
        </w:tc>
        <w:tc>
          <w:tcPr>
            <w:tcW w:w="966" w:type="dxa"/>
            <w:noWrap/>
            <w:hideMark/>
          </w:tcPr>
          <w:p w14:paraId="559FD9D3" w14:textId="77777777" w:rsidR="00BB45B8" w:rsidRPr="00F11C86" w:rsidRDefault="00BB45B8"/>
        </w:tc>
        <w:tc>
          <w:tcPr>
            <w:tcW w:w="966" w:type="dxa"/>
            <w:noWrap/>
            <w:hideMark/>
          </w:tcPr>
          <w:p w14:paraId="70745582" w14:textId="77777777" w:rsidR="00BB45B8" w:rsidRPr="00F11C86" w:rsidRDefault="00BB45B8"/>
        </w:tc>
      </w:tr>
      <w:tr w:rsidR="00BB45B8" w:rsidRPr="00452B4E" w14:paraId="6DC31EFD" w14:textId="77777777" w:rsidTr="00556409">
        <w:trPr>
          <w:trHeight w:val="255"/>
        </w:trPr>
        <w:tc>
          <w:tcPr>
            <w:tcW w:w="2113" w:type="dxa"/>
            <w:noWrap/>
            <w:hideMark/>
          </w:tcPr>
          <w:p w14:paraId="5CCBAD2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Regression diagnostics:</w:t>
            </w:r>
          </w:p>
        </w:tc>
        <w:tc>
          <w:tcPr>
            <w:tcW w:w="1472" w:type="dxa"/>
            <w:noWrap/>
            <w:hideMark/>
          </w:tcPr>
          <w:p w14:paraId="0CBF94A2" w14:textId="77777777" w:rsidR="00BB45B8" w:rsidRPr="00F625B9" w:rsidRDefault="00BB45B8">
            <w:pPr>
              <w:rPr>
                <w:rFonts w:ascii="Times New Roman" w:hAnsi="Times New Roman" w:cs="Times New Roman"/>
                <w:sz w:val="20"/>
                <w:szCs w:val="20"/>
              </w:rPr>
            </w:pPr>
          </w:p>
        </w:tc>
        <w:tc>
          <w:tcPr>
            <w:tcW w:w="1473" w:type="dxa"/>
            <w:noWrap/>
            <w:hideMark/>
          </w:tcPr>
          <w:p w14:paraId="2CB5B2F1" w14:textId="77777777" w:rsidR="00BB45B8" w:rsidRPr="00F625B9" w:rsidRDefault="00BB45B8">
            <w:pPr>
              <w:rPr>
                <w:rFonts w:ascii="Times New Roman" w:hAnsi="Times New Roman" w:cs="Times New Roman"/>
                <w:sz w:val="20"/>
                <w:szCs w:val="20"/>
              </w:rPr>
            </w:pPr>
          </w:p>
        </w:tc>
        <w:tc>
          <w:tcPr>
            <w:tcW w:w="1473" w:type="dxa"/>
            <w:noWrap/>
            <w:hideMark/>
          </w:tcPr>
          <w:p w14:paraId="519E81D8" w14:textId="77777777" w:rsidR="00BB45B8" w:rsidRPr="00F625B9" w:rsidRDefault="00BB45B8">
            <w:pPr>
              <w:rPr>
                <w:rFonts w:ascii="Times New Roman" w:hAnsi="Times New Roman" w:cs="Times New Roman"/>
                <w:sz w:val="20"/>
                <w:szCs w:val="20"/>
              </w:rPr>
            </w:pPr>
          </w:p>
        </w:tc>
        <w:tc>
          <w:tcPr>
            <w:tcW w:w="966" w:type="dxa"/>
            <w:noWrap/>
            <w:hideMark/>
          </w:tcPr>
          <w:p w14:paraId="48E82172" w14:textId="77777777" w:rsidR="00BB45B8" w:rsidRPr="00F625B9" w:rsidRDefault="00BB45B8">
            <w:pPr>
              <w:rPr>
                <w:rFonts w:ascii="Times New Roman" w:hAnsi="Times New Roman" w:cs="Times New Roman"/>
                <w:sz w:val="20"/>
                <w:szCs w:val="20"/>
              </w:rPr>
            </w:pPr>
          </w:p>
        </w:tc>
        <w:tc>
          <w:tcPr>
            <w:tcW w:w="966" w:type="dxa"/>
            <w:noWrap/>
            <w:hideMark/>
          </w:tcPr>
          <w:p w14:paraId="0C57F46C" w14:textId="77777777" w:rsidR="00BB45B8" w:rsidRPr="00F625B9" w:rsidRDefault="00BB45B8">
            <w:pPr>
              <w:rPr>
                <w:rFonts w:ascii="Times New Roman" w:hAnsi="Times New Roman" w:cs="Times New Roman"/>
                <w:sz w:val="20"/>
                <w:szCs w:val="20"/>
              </w:rPr>
            </w:pPr>
          </w:p>
        </w:tc>
        <w:tc>
          <w:tcPr>
            <w:tcW w:w="966" w:type="dxa"/>
            <w:noWrap/>
            <w:hideMark/>
          </w:tcPr>
          <w:p w14:paraId="25489D31" w14:textId="77777777" w:rsidR="00BB45B8" w:rsidRPr="00F625B9" w:rsidRDefault="00BB45B8">
            <w:pPr>
              <w:rPr>
                <w:rFonts w:ascii="Times New Roman" w:hAnsi="Times New Roman" w:cs="Times New Roman"/>
                <w:sz w:val="20"/>
                <w:szCs w:val="20"/>
              </w:rPr>
            </w:pPr>
          </w:p>
        </w:tc>
      </w:tr>
      <w:tr w:rsidR="00BB45B8" w:rsidRPr="00452B4E" w14:paraId="13EA8CF9" w14:textId="77777777" w:rsidTr="00556409">
        <w:trPr>
          <w:trHeight w:val="255"/>
        </w:trPr>
        <w:tc>
          <w:tcPr>
            <w:tcW w:w="2113" w:type="dxa"/>
            <w:noWrap/>
            <w:hideMark/>
          </w:tcPr>
          <w:p w14:paraId="7188C6F8" w14:textId="77777777" w:rsidR="00BB45B8" w:rsidRPr="00F625B9" w:rsidRDefault="00BB45B8">
            <w:pPr>
              <w:rPr>
                <w:rFonts w:ascii="Times New Roman" w:hAnsi="Times New Roman" w:cs="Times New Roman"/>
                <w:sz w:val="20"/>
                <w:szCs w:val="20"/>
              </w:rPr>
            </w:pPr>
          </w:p>
        </w:tc>
        <w:tc>
          <w:tcPr>
            <w:tcW w:w="1472" w:type="dxa"/>
            <w:noWrap/>
            <w:hideMark/>
          </w:tcPr>
          <w:p w14:paraId="27460A10" w14:textId="77777777" w:rsidR="00BB45B8" w:rsidRPr="00F625B9" w:rsidRDefault="00BB45B8">
            <w:pPr>
              <w:rPr>
                <w:rFonts w:ascii="Times New Roman" w:hAnsi="Times New Roman" w:cs="Times New Roman"/>
                <w:sz w:val="20"/>
                <w:szCs w:val="20"/>
              </w:rPr>
            </w:pPr>
          </w:p>
        </w:tc>
        <w:tc>
          <w:tcPr>
            <w:tcW w:w="1473" w:type="dxa"/>
            <w:noWrap/>
            <w:hideMark/>
          </w:tcPr>
          <w:p w14:paraId="44FCC5EE" w14:textId="77777777" w:rsidR="00BB45B8" w:rsidRPr="00F625B9" w:rsidRDefault="00BB45B8">
            <w:pPr>
              <w:rPr>
                <w:rFonts w:ascii="Times New Roman" w:hAnsi="Times New Roman" w:cs="Times New Roman"/>
                <w:sz w:val="20"/>
                <w:szCs w:val="20"/>
              </w:rPr>
            </w:pPr>
          </w:p>
        </w:tc>
        <w:tc>
          <w:tcPr>
            <w:tcW w:w="1473" w:type="dxa"/>
            <w:noWrap/>
            <w:hideMark/>
          </w:tcPr>
          <w:p w14:paraId="30420531" w14:textId="77777777" w:rsidR="00BB45B8" w:rsidRPr="00F625B9" w:rsidRDefault="00BB45B8">
            <w:pPr>
              <w:rPr>
                <w:rFonts w:ascii="Times New Roman" w:hAnsi="Times New Roman" w:cs="Times New Roman"/>
                <w:sz w:val="20"/>
                <w:szCs w:val="20"/>
              </w:rPr>
            </w:pPr>
          </w:p>
        </w:tc>
        <w:tc>
          <w:tcPr>
            <w:tcW w:w="966" w:type="dxa"/>
            <w:noWrap/>
            <w:hideMark/>
          </w:tcPr>
          <w:p w14:paraId="6FCDF872" w14:textId="77777777" w:rsidR="00BB45B8" w:rsidRPr="00F625B9" w:rsidRDefault="00BB45B8">
            <w:pPr>
              <w:rPr>
                <w:rFonts w:ascii="Times New Roman" w:hAnsi="Times New Roman" w:cs="Times New Roman"/>
                <w:sz w:val="20"/>
                <w:szCs w:val="20"/>
              </w:rPr>
            </w:pPr>
          </w:p>
        </w:tc>
        <w:tc>
          <w:tcPr>
            <w:tcW w:w="966" w:type="dxa"/>
            <w:noWrap/>
            <w:hideMark/>
          </w:tcPr>
          <w:p w14:paraId="4BC130D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KS Test</w:t>
            </w:r>
          </w:p>
        </w:tc>
        <w:tc>
          <w:tcPr>
            <w:tcW w:w="966" w:type="dxa"/>
            <w:noWrap/>
            <w:hideMark/>
          </w:tcPr>
          <w:p w14:paraId="4D7B72A9"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KS Test</w:t>
            </w:r>
          </w:p>
        </w:tc>
      </w:tr>
      <w:tr w:rsidR="00BB45B8" w:rsidRPr="00452B4E" w14:paraId="325386DB" w14:textId="77777777" w:rsidTr="00556409">
        <w:trPr>
          <w:trHeight w:val="255"/>
        </w:trPr>
        <w:tc>
          <w:tcPr>
            <w:tcW w:w="2113" w:type="dxa"/>
            <w:noWrap/>
            <w:hideMark/>
          </w:tcPr>
          <w:p w14:paraId="282EDC30"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Species</w:t>
            </w:r>
          </w:p>
        </w:tc>
        <w:tc>
          <w:tcPr>
            <w:tcW w:w="1472" w:type="dxa"/>
            <w:noWrap/>
            <w:hideMark/>
          </w:tcPr>
          <w:p w14:paraId="28C1EBF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Intercept</w:t>
            </w:r>
          </w:p>
        </w:tc>
        <w:tc>
          <w:tcPr>
            <w:tcW w:w="1473" w:type="dxa"/>
            <w:noWrap/>
            <w:hideMark/>
          </w:tcPr>
          <w:p w14:paraId="328623F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Slope</w:t>
            </w:r>
          </w:p>
        </w:tc>
        <w:tc>
          <w:tcPr>
            <w:tcW w:w="1473" w:type="dxa"/>
            <w:noWrap/>
            <w:hideMark/>
          </w:tcPr>
          <w:p w14:paraId="5F1FA92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SE</w:t>
            </w:r>
          </w:p>
        </w:tc>
        <w:tc>
          <w:tcPr>
            <w:tcW w:w="966" w:type="dxa"/>
            <w:noWrap/>
            <w:hideMark/>
          </w:tcPr>
          <w:p w14:paraId="5CA8395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r^2</w:t>
            </w:r>
          </w:p>
        </w:tc>
        <w:tc>
          <w:tcPr>
            <w:tcW w:w="966" w:type="dxa"/>
            <w:noWrap/>
            <w:hideMark/>
          </w:tcPr>
          <w:p w14:paraId="3CADB7F2"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Stat</w:t>
            </w:r>
          </w:p>
        </w:tc>
        <w:tc>
          <w:tcPr>
            <w:tcW w:w="966" w:type="dxa"/>
            <w:noWrap/>
            <w:hideMark/>
          </w:tcPr>
          <w:p w14:paraId="6F768ED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P Value</w:t>
            </w:r>
          </w:p>
        </w:tc>
      </w:tr>
      <w:tr w:rsidR="00BB45B8" w:rsidRPr="00452B4E" w14:paraId="388E6E02" w14:textId="77777777" w:rsidTr="00556409">
        <w:trPr>
          <w:trHeight w:val="255"/>
        </w:trPr>
        <w:tc>
          <w:tcPr>
            <w:tcW w:w="2113" w:type="dxa"/>
            <w:noWrap/>
            <w:hideMark/>
          </w:tcPr>
          <w:p w14:paraId="49695FF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Si 14 (ng/m3)</w:t>
            </w:r>
          </w:p>
        </w:tc>
        <w:tc>
          <w:tcPr>
            <w:tcW w:w="1472" w:type="dxa"/>
            <w:noWrap/>
            <w:hideMark/>
          </w:tcPr>
          <w:p w14:paraId="6A94645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128.164076</w:t>
            </w:r>
          </w:p>
        </w:tc>
        <w:tc>
          <w:tcPr>
            <w:tcW w:w="1473" w:type="dxa"/>
            <w:noWrap/>
            <w:hideMark/>
          </w:tcPr>
          <w:p w14:paraId="59DA725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0.471209514</w:t>
            </w:r>
          </w:p>
        </w:tc>
        <w:tc>
          <w:tcPr>
            <w:tcW w:w="1473" w:type="dxa"/>
            <w:noWrap/>
            <w:hideMark/>
          </w:tcPr>
          <w:p w14:paraId="2C613C70"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121.3256602</w:t>
            </w:r>
          </w:p>
        </w:tc>
        <w:tc>
          <w:tcPr>
            <w:tcW w:w="966" w:type="dxa"/>
            <w:noWrap/>
            <w:hideMark/>
          </w:tcPr>
          <w:p w14:paraId="29585D72"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0.89108</w:t>
            </w:r>
          </w:p>
        </w:tc>
        <w:tc>
          <w:tcPr>
            <w:tcW w:w="966" w:type="dxa"/>
            <w:noWrap/>
            <w:hideMark/>
          </w:tcPr>
          <w:p w14:paraId="3E05A03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0.109736</w:t>
            </w:r>
          </w:p>
        </w:tc>
        <w:tc>
          <w:tcPr>
            <w:tcW w:w="966" w:type="dxa"/>
            <w:noWrap/>
            <w:hideMark/>
          </w:tcPr>
          <w:p w14:paraId="78DFB0C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2.87E-05</w:t>
            </w:r>
          </w:p>
        </w:tc>
      </w:tr>
      <w:tr w:rsidR="00BB45B8" w:rsidRPr="00452B4E" w14:paraId="6CFF34C0" w14:textId="77777777" w:rsidTr="00556409">
        <w:trPr>
          <w:trHeight w:val="255"/>
        </w:trPr>
        <w:tc>
          <w:tcPr>
            <w:tcW w:w="2113" w:type="dxa"/>
            <w:noWrap/>
            <w:hideMark/>
          </w:tcPr>
          <w:p w14:paraId="4B1F0BC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S 16 (ng/m3)</w:t>
            </w:r>
          </w:p>
        </w:tc>
        <w:tc>
          <w:tcPr>
            <w:tcW w:w="1472" w:type="dxa"/>
            <w:noWrap/>
            <w:hideMark/>
          </w:tcPr>
          <w:p w14:paraId="0113D552"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309.4286351</w:t>
            </w:r>
          </w:p>
        </w:tc>
        <w:tc>
          <w:tcPr>
            <w:tcW w:w="1473" w:type="dxa"/>
            <w:noWrap/>
            <w:hideMark/>
          </w:tcPr>
          <w:p w14:paraId="70EB603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0.911983496</w:t>
            </w:r>
          </w:p>
        </w:tc>
        <w:tc>
          <w:tcPr>
            <w:tcW w:w="1473" w:type="dxa"/>
            <w:noWrap/>
            <w:hideMark/>
          </w:tcPr>
          <w:p w14:paraId="10D6E50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362.4101001</w:t>
            </w:r>
          </w:p>
        </w:tc>
        <w:tc>
          <w:tcPr>
            <w:tcW w:w="966" w:type="dxa"/>
            <w:noWrap/>
            <w:hideMark/>
          </w:tcPr>
          <w:p w14:paraId="1F1C90F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0.96273</w:t>
            </w:r>
          </w:p>
        </w:tc>
        <w:tc>
          <w:tcPr>
            <w:tcW w:w="966" w:type="dxa"/>
            <w:noWrap/>
            <w:hideMark/>
          </w:tcPr>
          <w:p w14:paraId="25F20449"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0.050286</w:t>
            </w:r>
          </w:p>
        </w:tc>
        <w:tc>
          <w:tcPr>
            <w:tcW w:w="966" w:type="dxa"/>
            <w:noWrap/>
            <w:hideMark/>
          </w:tcPr>
          <w:p w14:paraId="509B32F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0.192186</w:t>
            </w:r>
          </w:p>
        </w:tc>
      </w:tr>
      <w:tr w:rsidR="00BB45B8" w:rsidRPr="00452B4E" w14:paraId="5679BF7D" w14:textId="77777777" w:rsidTr="00556409">
        <w:trPr>
          <w:trHeight w:val="255"/>
        </w:trPr>
        <w:tc>
          <w:tcPr>
            <w:tcW w:w="2113" w:type="dxa"/>
            <w:noWrap/>
            <w:hideMark/>
          </w:tcPr>
          <w:p w14:paraId="15978FBB"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Cl 17 (ng/m3)</w:t>
            </w:r>
          </w:p>
        </w:tc>
        <w:tc>
          <w:tcPr>
            <w:tcW w:w="1472" w:type="dxa"/>
            <w:noWrap/>
            <w:hideMark/>
          </w:tcPr>
          <w:p w14:paraId="7271B4A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164.9209065</w:t>
            </w:r>
          </w:p>
        </w:tc>
        <w:tc>
          <w:tcPr>
            <w:tcW w:w="1473" w:type="dxa"/>
            <w:noWrap/>
            <w:hideMark/>
          </w:tcPr>
          <w:p w14:paraId="0F2C3B9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0.938318068</w:t>
            </w:r>
          </w:p>
        </w:tc>
        <w:tc>
          <w:tcPr>
            <w:tcW w:w="1473" w:type="dxa"/>
            <w:noWrap/>
            <w:hideMark/>
          </w:tcPr>
          <w:p w14:paraId="2EF6F04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428.3928097</w:t>
            </w:r>
          </w:p>
        </w:tc>
        <w:tc>
          <w:tcPr>
            <w:tcW w:w="966" w:type="dxa"/>
            <w:noWrap/>
            <w:hideMark/>
          </w:tcPr>
          <w:p w14:paraId="526D17F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0.971701</w:t>
            </w:r>
          </w:p>
        </w:tc>
        <w:tc>
          <w:tcPr>
            <w:tcW w:w="966" w:type="dxa"/>
            <w:noWrap/>
            <w:hideMark/>
          </w:tcPr>
          <w:p w14:paraId="3E3CDA03"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0.039343</w:t>
            </w:r>
          </w:p>
        </w:tc>
        <w:tc>
          <w:tcPr>
            <w:tcW w:w="966" w:type="dxa"/>
            <w:noWrap/>
            <w:hideMark/>
          </w:tcPr>
          <w:p w14:paraId="3F846DE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0.470548</w:t>
            </w:r>
          </w:p>
        </w:tc>
      </w:tr>
      <w:tr w:rsidR="00BB45B8" w:rsidRPr="00452B4E" w14:paraId="129102B3" w14:textId="77777777" w:rsidTr="00556409">
        <w:trPr>
          <w:trHeight w:val="255"/>
        </w:trPr>
        <w:tc>
          <w:tcPr>
            <w:tcW w:w="2113" w:type="dxa"/>
            <w:noWrap/>
            <w:hideMark/>
          </w:tcPr>
          <w:p w14:paraId="17B40690"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K 19 (ng/m3)</w:t>
            </w:r>
          </w:p>
        </w:tc>
        <w:tc>
          <w:tcPr>
            <w:tcW w:w="1472" w:type="dxa"/>
            <w:noWrap/>
            <w:hideMark/>
          </w:tcPr>
          <w:p w14:paraId="706C883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212.6382374</w:t>
            </w:r>
          </w:p>
        </w:tc>
        <w:tc>
          <w:tcPr>
            <w:tcW w:w="1473" w:type="dxa"/>
            <w:noWrap/>
            <w:hideMark/>
          </w:tcPr>
          <w:p w14:paraId="0EB2B83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0.925365379</w:t>
            </w:r>
          </w:p>
        </w:tc>
        <w:tc>
          <w:tcPr>
            <w:tcW w:w="1473" w:type="dxa"/>
            <w:noWrap/>
            <w:hideMark/>
          </w:tcPr>
          <w:p w14:paraId="7952EB93"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394.3759821</w:t>
            </w:r>
          </w:p>
        </w:tc>
        <w:tc>
          <w:tcPr>
            <w:tcW w:w="966" w:type="dxa"/>
            <w:noWrap/>
            <w:hideMark/>
          </w:tcPr>
          <w:p w14:paraId="7D246A6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0.979983</w:t>
            </w:r>
          </w:p>
        </w:tc>
        <w:tc>
          <w:tcPr>
            <w:tcW w:w="966" w:type="dxa"/>
            <w:noWrap/>
            <w:hideMark/>
          </w:tcPr>
          <w:p w14:paraId="7913B38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0.031879</w:t>
            </w:r>
          </w:p>
        </w:tc>
        <w:tc>
          <w:tcPr>
            <w:tcW w:w="966" w:type="dxa"/>
            <w:noWrap/>
            <w:hideMark/>
          </w:tcPr>
          <w:p w14:paraId="03DB63D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0.734476</w:t>
            </w:r>
          </w:p>
        </w:tc>
      </w:tr>
      <w:tr w:rsidR="00BB45B8" w:rsidRPr="00452B4E" w14:paraId="277DB017" w14:textId="77777777" w:rsidTr="00556409">
        <w:trPr>
          <w:trHeight w:val="255"/>
        </w:trPr>
        <w:tc>
          <w:tcPr>
            <w:tcW w:w="2113" w:type="dxa"/>
            <w:noWrap/>
            <w:hideMark/>
          </w:tcPr>
          <w:p w14:paraId="6021423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Ca 20 (ng/m3)</w:t>
            </w:r>
          </w:p>
        </w:tc>
        <w:tc>
          <w:tcPr>
            <w:tcW w:w="1472" w:type="dxa"/>
            <w:noWrap/>
            <w:hideMark/>
          </w:tcPr>
          <w:p w14:paraId="76F6838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57.41967588</w:t>
            </w:r>
          </w:p>
        </w:tc>
        <w:tc>
          <w:tcPr>
            <w:tcW w:w="1473" w:type="dxa"/>
            <w:noWrap/>
            <w:hideMark/>
          </w:tcPr>
          <w:p w14:paraId="6A21F2A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0.69085081</w:t>
            </w:r>
          </w:p>
        </w:tc>
        <w:tc>
          <w:tcPr>
            <w:tcW w:w="1473" w:type="dxa"/>
            <w:noWrap/>
            <w:hideMark/>
          </w:tcPr>
          <w:p w14:paraId="33667AC9"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70.4514882</w:t>
            </w:r>
          </w:p>
        </w:tc>
        <w:tc>
          <w:tcPr>
            <w:tcW w:w="966" w:type="dxa"/>
            <w:noWrap/>
            <w:hideMark/>
          </w:tcPr>
          <w:p w14:paraId="7D81387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0.847238</w:t>
            </w:r>
          </w:p>
        </w:tc>
        <w:tc>
          <w:tcPr>
            <w:tcW w:w="966" w:type="dxa"/>
            <w:noWrap/>
            <w:hideMark/>
          </w:tcPr>
          <w:p w14:paraId="61616B4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0.153457</w:t>
            </w:r>
          </w:p>
        </w:tc>
        <w:tc>
          <w:tcPr>
            <w:tcW w:w="966" w:type="dxa"/>
            <w:noWrap/>
            <w:hideMark/>
          </w:tcPr>
          <w:p w14:paraId="715D687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6.77E-10</w:t>
            </w:r>
          </w:p>
        </w:tc>
      </w:tr>
      <w:tr w:rsidR="00BB45B8" w:rsidRPr="00452B4E" w14:paraId="2673CA6A" w14:textId="77777777" w:rsidTr="00556409">
        <w:trPr>
          <w:trHeight w:val="255"/>
        </w:trPr>
        <w:tc>
          <w:tcPr>
            <w:tcW w:w="2113" w:type="dxa"/>
            <w:noWrap/>
            <w:hideMark/>
          </w:tcPr>
          <w:p w14:paraId="1BD93CC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Ti 22 (ng/m3)</w:t>
            </w:r>
          </w:p>
        </w:tc>
        <w:tc>
          <w:tcPr>
            <w:tcW w:w="1472" w:type="dxa"/>
            <w:noWrap/>
            <w:hideMark/>
          </w:tcPr>
          <w:p w14:paraId="77FE1AC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-3.403874461</w:t>
            </w:r>
          </w:p>
        </w:tc>
        <w:tc>
          <w:tcPr>
            <w:tcW w:w="1473" w:type="dxa"/>
            <w:noWrap/>
            <w:hideMark/>
          </w:tcPr>
          <w:p w14:paraId="6A57094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1.052982736</w:t>
            </w:r>
          </w:p>
        </w:tc>
        <w:tc>
          <w:tcPr>
            <w:tcW w:w="1473" w:type="dxa"/>
            <w:noWrap/>
            <w:hideMark/>
          </w:tcPr>
          <w:p w14:paraId="280AFA4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13.79996052</w:t>
            </w:r>
          </w:p>
        </w:tc>
        <w:tc>
          <w:tcPr>
            <w:tcW w:w="966" w:type="dxa"/>
            <w:noWrap/>
            <w:hideMark/>
          </w:tcPr>
          <w:p w14:paraId="48302C5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0.957416</w:t>
            </w:r>
          </w:p>
        </w:tc>
        <w:tc>
          <w:tcPr>
            <w:tcW w:w="966" w:type="dxa"/>
            <w:noWrap/>
            <w:hideMark/>
          </w:tcPr>
          <w:p w14:paraId="7B21E86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0.037625</w:t>
            </w:r>
          </w:p>
        </w:tc>
        <w:tc>
          <w:tcPr>
            <w:tcW w:w="966" w:type="dxa"/>
            <w:noWrap/>
            <w:hideMark/>
          </w:tcPr>
          <w:p w14:paraId="5EDEDA9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0.528625</w:t>
            </w:r>
          </w:p>
        </w:tc>
      </w:tr>
      <w:tr w:rsidR="00BB45B8" w:rsidRPr="00452B4E" w14:paraId="3F1CAAED" w14:textId="77777777" w:rsidTr="00556409">
        <w:trPr>
          <w:trHeight w:val="255"/>
        </w:trPr>
        <w:tc>
          <w:tcPr>
            <w:tcW w:w="2113" w:type="dxa"/>
            <w:noWrap/>
            <w:hideMark/>
          </w:tcPr>
          <w:p w14:paraId="432900E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V 23 (ng/m3)</w:t>
            </w:r>
          </w:p>
        </w:tc>
        <w:tc>
          <w:tcPr>
            <w:tcW w:w="1472" w:type="dxa"/>
            <w:noWrap/>
            <w:hideMark/>
          </w:tcPr>
          <w:p w14:paraId="171460D5"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-0.1042503</w:t>
            </w:r>
          </w:p>
        </w:tc>
        <w:tc>
          <w:tcPr>
            <w:tcW w:w="1473" w:type="dxa"/>
            <w:noWrap/>
            <w:hideMark/>
          </w:tcPr>
          <w:p w14:paraId="03D386B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0.90084639</w:t>
            </w:r>
          </w:p>
        </w:tc>
        <w:tc>
          <w:tcPr>
            <w:tcW w:w="1473" w:type="dxa"/>
            <w:noWrap/>
            <w:hideMark/>
          </w:tcPr>
          <w:p w14:paraId="64E43BA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2.376259315</w:t>
            </w:r>
          </w:p>
        </w:tc>
        <w:tc>
          <w:tcPr>
            <w:tcW w:w="966" w:type="dxa"/>
            <w:noWrap/>
            <w:hideMark/>
          </w:tcPr>
          <w:p w14:paraId="22D1445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0.956823</w:t>
            </w:r>
          </w:p>
        </w:tc>
        <w:tc>
          <w:tcPr>
            <w:tcW w:w="966" w:type="dxa"/>
            <w:noWrap/>
            <w:hideMark/>
          </w:tcPr>
          <w:p w14:paraId="5137B32B"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0.114131</w:t>
            </w:r>
          </w:p>
        </w:tc>
        <w:tc>
          <w:tcPr>
            <w:tcW w:w="966" w:type="dxa"/>
            <w:noWrap/>
            <w:hideMark/>
          </w:tcPr>
          <w:p w14:paraId="60E1523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1.16E-05</w:t>
            </w:r>
          </w:p>
        </w:tc>
      </w:tr>
      <w:tr w:rsidR="00BB45B8" w:rsidRPr="00452B4E" w14:paraId="031842DF" w14:textId="77777777" w:rsidTr="00556409">
        <w:trPr>
          <w:trHeight w:val="255"/>
        </w:trPr>
        <w:tc>
          <w:tcPr>
            <w:tcW w:w="2113" w:type="dxa"/>
            <w:noWrap/>
            <w:hideMark/>
          </w:tcPr>
          <w:p w14:paraId="49D62BD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Cr 24 (ng/m3)</w:t>
            </w:r>
          </w:p>
        </w:tc>
        <w:tc>
          <w:tcPr>
            <w:tcW w:w="1472" w:type="dxa"/>
            <w:noWrap/>
            <w:hideMark/>
          </w:tcPr>
          <w:p w14:paraId="385D174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1.271490145</w:t>
            </w:r>
          </w:p>
        </w:tc>
        <w:tc>
          <w:tcPr>
            <w:tcW w:w="1473" w:type="dxa"/>
            <w:noWrap/>
            <w:hideMark/>
          </w:tcPr>
          <w:p w14:paraId="665394ED"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0.235324495</w:t>
            </w:r>
          </w:p>
        </w:tc>
        <w:tc>
          <w:tcPr>
            <w:tcW w:w="1473" w:type="dxa"/>
            <w:noWrap/>
            <w:hideMark/>
          </w:tcPr>
          <w:p w14:paraId="2F852B8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1.16049718</w:t>
            </w:r>
          </w:p>
        </w:tc>
        <w:tc>
          <w:tcPr>
            <w:tcW w:w="966" w:type="dxa"/>
            <w:noWrap/>
            <w:hideMark/>
          </w:tcPr>
          <w:p w14:paraId="22E3B54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0.454896</w:t>
            </w:r>
          </w:p>
        </w:tc>
        <w:tc>
          <w:tcPr>
            <w:tcW w:w="966" w:type="dxa"/>
            <w:noWrap/>
            <w:hideMark/>
          </w:tcPr>
          <w:p w14:paraId="14AF5452"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0.155129</w:t>
            </w:r>
          </w:p>
        </w:tc>
        <w:tc>
          <w:tcPr>
            <w:tcW w:w="966" w:type="dxa"/>
            <w:noWrap/>
            <w:hideMark/>
          </w:tcPr>
          <w:p w14:paraId="25427F3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4.2E-10</w:t>
            </w:r>
          </w:p>
        </w:tc>
      </w:tr>
      <w:tr w:rsidR="00BB45B8" w:rsidRPr="00452B4E" w14:paraId="0BB77E66" w14:textId="77777777" w:rsidTr="00556409">
        <w:trPr>
          <w:trHeight w:val="255"/>
        </w:trPr>
        <w:tc>
          <w:tcPr>
            <w:tcW w:w="2113" w:type="dxa"/>
            <w:noWrap/>
            <w:hideMark/>
          </w:tcPr>
          <w:p w14:paraId="54CA143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Mn 25 (ng/m3)</w:t>
            </w:r>
          </w:p>
        </w:tc>
        <w:tc>
          <w:tcPr>
            <w:tcW w:w="1472" w:type="dxa"/>
            <w:noWrap/>
            <w:hideMark/>
          </w:tcPr>
          <w:p w14:paraId="67766C7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3.584608893</w:t>
            </w:r>
          </w:p>
        </w:tc>
        <w:tc>
          <w:tcPr>
            <w:tcW w:w="1473" w:type="dxa"/>
            <w:noWrap/>
            <w:hideMark/>
          </w:tcPr>
          <w:p w14:paraId="452B934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0.819972225</w:t>
            </w:r>
          </w:p>
        </w:tc>
        <w:tc>
          <w:tcPr>
            <w:tcW w:w="1473" w:type="dxa"/>
            <w:noWrap/>
            <w:hideMark/>
          </w:tcPr>
          <w:p w14:paraId="33BCFAC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7.758589069</w:t>
            </w:r>
          </w:p>
        </w:tc>
        <w:tc>
          <w:tcPr>
            <w:tcW w:w="966" w:type="dxa"/>
            <w:noWrap/>
            <w:hideMark/>
          </w:tcPr>
          <w:p w14:paraId="73EDA02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0.863069</w:t>
            </w:r>
          </w:p>
        </w:tc>
        <w:tc>
          <w:tcPr>
            <w:tcW w:w="966" w:type="dxa"/>
            <w:noWrap/>
            <w:hideMark/>
          </w:tcPr>
          <w:p w14:paraId="7E25B54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0.09175</w:t>
            </w:r>
          </w:p>
        </w:tc>
        <w:tc>
          <w:tcPr>
            <w:tcW w:w="966" w:type="dxa"/>
            <w:noWrap/>
            <w:hideMark/>
          </w:tcPr>
          <w:p w14:paraId="07A979E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0.000823</w:t>
            </w:r>
          </w:p>
        </w:tc>
      </w:tr>
      <w:tr w:rsidR="00BB45B8" w:rsidRPr="00452B4E" w14:paraId="1239101B" w14:textId="77777777" w:rsidTr="00556409">
        <w:trPr>
          <w:trHeight w:val="255"/>
        </w:trPr>
        <w:tc>
          <w:tcPr>
            <w:tcW w:w="2113" w:type="dxa"/>
            <w:noWrap/>
            <w:hideMark/>
          </w:tcPr>
          <w:p w14:paraId="1978C7D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Fe 26 (ng/m3)</w:t>
            </w:r>
          </w:p>
        </w:tc>
        <w:tc>
          <w:tcPr>
            <w:tcW w:w="1472" w:type="dxa"/>
            <w:noWrap/>
            <w:hideMark/>
          </w:tcPr>
          <w:p w14:paraId="4997C3E5"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13.40539587</w:t>
            </w:r>
          </w:p>
        </w:tc>
        <w:tc>
          <w:tcPr>
            <w:tcW w:w="1473" w:type="dxa"/>
            <w:noWrap/>
            <w:hideMark/>
          </w:tcPr>
          <w:p w14:paraId="5E430FE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0.954898813</w:t>
            </w:r>
          </w:p>
        </w:tc>
        <w:tc>
          <w:tcPr>
            <w:tcW w:w="1473" w:type="dxa"/>
            <w:noWrap/>
            <w:hideMark/>
          </w:tcPr>
          <w:p w14:paraId="4DC586A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39.49373836</w:t>
            </w:r>
          </w:p>
        </w:tc>
        <w:tc>
          <w:tcPr>
            <w:tcW w:w="966" w:type="dxa"/>
            <w:noWrap/>
            <w:hideMark/>
          </w:tcPr>
          <w:p w14:paraId="2DCB92E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0.9608</w:t>
            </w:r>
          </w:p>
        </w:tc>
        <w:tc>
          <w:tcPr>
            <w:tcW w:w="966" w:type="dxa"/>
            <w:noWrap/>
            <w:hideMark/>
          </w:tcPr>
          <w:p w14:paraId="75D07B4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0.124484</w:t>
            </w:r>
          </w:p>
        </w:tc>
        <w:tc>
          <w:tcPr>
            <w:tcW w:w="966" w:type="dxa"/>
            <w:noWrap/>
            <w:hideMark/>
          </w:tcPr>
          <w:p w14:paraId="5A15D27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1.17E-06</w:t>
            </w:r>
          </w:p>
        </w:tc>
      </w:tr>
      <w:tr w:rsidR="00BB45B8" w:rsidRPr="00452B4E" w14:paraId="4A066FDC" w14:textId="77777777" w:rsidTr="00556409">
        <w:trPr>
          <w:trHeight w:val="255"/>
        </w:trPr>
        <w:tc>
          <w:tcPr>
            <w:tcW w:w="2113" w:type="dxa"/>
            <w:noWrap/>
            <w:hideMark/>
          </w:tcPr>
          <w:p w14:paraId="322B979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Cu 29 (ng/m3)</w:t>
            </w:r>
          </w:p>
        </w:tc>
        <w:tc>
          <w:tcPr>
            <w:tcW w:w="1472" w:type="dxa"/>
            <w:noWrap/>
            <w:hideMark/>
          </w:tcPr>
          <w:p w14:paraId="4D63C6D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2.220604502</w:t>
            </w:r>
          </w:p>
        </w:tc>
        <w:tc>
          <w:tcPr>
            <w:tcW w:w="1473" w:type="dxa"/>
            <w:noWrap/>
            <w:hideMark/>
          </w:tcPr>
          <w:p w14:paraId="07CFDC0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0.754239046</w:t>
            </w:r>
          </w:p>
        </w:tc>
        <w:tc>
          <w:tcPr>
            <w:tcW w:w="1473" w:type="dxa"/>
            <w:noWrap/>
            <w:hideMark/>
          </w:tcPr>
          <w:p w14:paraId="4C39D68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5.750578043</w:t>
            </w:r>
          </w:p>
        </w:tc>
        <w:tc>
          <w:tcPr>
            <w:tcW w:w="966" w:type="dxa"/>
            <w:noWrap/>
            <w:hideMark/>
          </w:tcPr>
          <w:p w14:paraId="61E80A4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0.755779</w:t>
            </w:r>
          </w:p>
        </w:tc>
        <w:tc>
          <w:tcPr>
            <w:tcW w:w="966" w:type="dxa"/>
            <w:noWrap/>
            <w:hideMark/>
          </w:tcPr>
          <w:p w14:paraId="1DDE3A3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0.078149</w:t>
            </w:r>
          </w:p>
        </w:tc>
        <w:tc>
          <w:tcPr>
            <w:tcW w:w="966" w:type="dxa"/>
            <w:noWrap/>
            <w:hideMark/>
          </w:tcPr>
          <w:p w14:paraId="716BA78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0.006998</w:t>
            </w:r>
          </w:p>
        </w:tc>
      </w:tr>
      <w:tr w:rsidR="00BB45B8" w:rsidRPr="00452B4E" w14:paraId="03FCD767" w14:textId="77777777" w:rsidTr="00556409">
        <w:trPr>
          <w:trHeight w:val="255"/>
        </w:trPr>
        <w:tc>
          <w:tcPr>
            <w:tcW w:w="2113" w:type="dxa"/>
            <w:noWrap/>
            <w:hideMark/>
          </w:tcPr>
          <w:p w14:paraId="73FE1CF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Zn 30 (ng/m3)</w:t>
            </w:r>
          </w:p>
        </w:tc>
        <w:tc>
          <w:tcPr>
            <w:tcW w:w="1472" w:type="dxa"/>
            <w:noWrap/>
            <w:hideMark/>
          </w:tcPr>
          <w:p w14:paraId="76AA2BF5"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62.25555655</w:t>
            </w:r>
          </w:p>
        </w:tc>
        <w:tc>
          <w:tcPr>
            <w:tcW w:w="1473" w:type="dxa"/>
            <w:noWrap/>
            <w:hideMark/>
          </w:tcPr>
          <w:p w14:paraId="79655C7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0.928057971</w:t>
            </w:r>
          </w:p>
        </w:tc>
        <w:tc>
          <w:tcPr>
            <w:tcW w:w="1473" w:type="dxa"/>
            <w:noWrap/>
            <w:hideMark/>
          </w:tcPr>
          <w:p w14:paraId="409A7623"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144.893566</w:t>
            </w:r>
          </w:p>
        </w:tc>
        <w:tc>
          <w:tcPr>
            <w:tcW w:w="966" w:type="dxa"/>
            <w:noWrap/>
            <w:hideMark/>
          </w:tcPr>
          <w:p w14:paraId="00B2FC4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0.99055</w:t>
            </w:r>
          </w:p>
        </w:tc>
        <w:tc>
          <w:tcPr>
            <w:tcW w:w="966" w:type="dxa"/>
            <w:noWrap/>
            <w:hideMark/>
          </w:tcPr>
          <w:p w14:paraId="6D83ED6D"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0.213754</w:t>
            </w:r>
          </w:p>
        </w:tc>
        <w:tc>
          <w:tcPr>
            <w:tcW w:w="966" w:type="dxa"/>
            <w:noWrap/>
            <w:hideMark/>
          </w:tcPr>
          <w:p w14:paraId="7938680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w:t>
            </w:r>
          </w:p>
        </w:tc>
      </w:tr>
      <w:tr w:rsidR="00BB45B8" w:rsidRPr="00452B4E" w14:paraId="40547D77" w14:textId="77777777" w:rsidTr="00556409">
        <w:trPr>
          <w:trHeight w:val="255"/>
        </w:trPr>
        <w:tc>
          <w:tcPr>
            <w:tcW w:w="2113" w:type="dxa"/>
            <w:noWrap/>
            <w:hideMark/>
          </w:tcPr>
          <w:p w14:paraId="15E036B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As 33 (ng/m3)</w:t>
            </w:r>
          </w:p>
        </w:tc>
        <w:tc>
          <w:tcPr>
            <w:tcW w:w="1472" w:type="dxa"/>
            <w:noWrap/>
            <w:hideMark/>
          </w:tcPr>
          <w:p w14:paraId="559F584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0.698179024</w:t>
            </w:r>
          </w:p>
        </w:tc>
        <w:tc>
          <w:tcPr>
            <w:tcW w:w="1473" w:type="dxa"/>
            <w:noWrap/>
            <w:hideMark/>
          </w:tcPr>
          <w:p w14:paraId="5D0A812B"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0.862456729</w:t>
            </w:r>
          </w:p>
        </w:tc>
        <w:tc>
          <w:tcPr>
            <w:tcW w:w="1473" w:type="dxa"/>
            <w:noWrap/>
            <w:hideMark/>
          </w:tcPr>
          <w:p w14:paraId="770A459B"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3.817658465</w:t>
            </w:r>
          </w:p>
        </w:tc>
        <w:tc>
          <w:tcPr>
            <w:tcW w:w="966" w:type="dxa"/>
            <w:noWrap/>
            <w:hideMark/>
          </w:tcPr>
          <w:p w14:paraId="601D363B"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0.602455</w:t>
            </w:r>
          </w:p>
        </w:tc>
        <w:tc>
          <w:tcPr>
            <w:tcW w:w="966" w:type="dxa"/>
            <w:noWrap/>
            <w:hideMark/>
          </w:tcPr>
          <w:p w14:paraId="5BB65710"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0.064042</w:t>
            </w:r>
          </w:p>
        </w:tc>
        <w:tc>
          <w:tcPr>
            <w:tcW w:w="966" w:type="dxa"/>
            <w:noWrap/>
            <w:hideMark/>
          </w:tcPr>
          <w:p w14:paraId="7D36F4A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0.044835</w:t>
            </w:r>
          </w:p>
        </w:tc>
      </w:tr>
      <w:tr w:rsidR="00BB45B8" w:rsidRPr="00452B4E" w14:paraId="5B25247F" w14:textId="77777777" w:rsidTr="00556409">
        <w:trPr>
          <w:trHeight w:val="255"/>
        </w:trPr>
        <w:tc>
          <w:tcPr>
            <w:tcW w:w="2113" w:type="dxa"/>
            <w:noWrap/>
            <w:hideMark/>
          </w:tcPr>
          <w:p w14:paraId="045E0D22"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lastRenderedPageBreak/>
              <w:t>Se 34 (ng/m3)</w:t>
            </w:r>
          </w:p>
        </w:tc>
        <w:tc>
          <w:tcPr>
            <w:tcW w:w="1472" w:type="dxa"/>
            <w:noWrap/>
            <w:hideMark/>
          </w:tcPr>
          <w:p w14:paraId="272A8F1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2.602661856</w:t>
            </w:r>
          </w:p>
        </w:tc>
        <w:tc>
          <w:tcPr>
            <w:tcW w:w="1473" w:type="dxa"/>
            <w:noWrap/>
            <w:hideMark/>
          </w:tcPr>
          <w:p w14:paraId="26C058F9"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0.408320809</w:t>
            </w:r>
          </w:p>
        </w:tc>
        <w:tc>
          <w:tcPr>
            <w:tcW w:w="1473" w:type="dxa"/>
            <w:noWrap/>
            <w:hideMark/>
          </w:tcPr>
          <w:p w14:paraId="3C220659"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2.986154929</w:t>
            </w:r>
          </w:p>
        </w:tc>
        <w:tc>
          <w:tcPr>
            <w:tcW w:w="966" w:type="dxa"/>
            <w:noWrap/>
            <w:hideMark/>
          </w:tcPr>
          <w:p w14:paraId="005A5F8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0.567989</w:t>
            </w:r>
          </w:p>
        </w:tc>
        <w:tc>
          <w:tcPr>
            <w:tcW w:w="966" w:type="dxa"/>
            <w:noWrap/>
            <w:hideMark/>
          </w:tcPr>
          <w:p w14:paraId="260F4D55"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0.084685</w:t>
            </w:r>
          </w:p>
        </w:tc>
        <w:tc>
          <w:tcPr>
            <w:tcW w:w="966" w:type="dxa"/>
            <w:noWrap/>
            <w:hideMark/>
          </w:tcPr>
          <w:p w14:paraId="34166B75"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0.002612</w:t>
            </w:r>
          </w:p>
        </w:tc>
      </w:tr>
      <w:tr w:rsidR="00BB45B8" w:rsidRPr="00452B4E" w14:paraId="6B7D849A" w14:textId="77777777" w:rsidTr="00556409">
        <w:trPr>
          <w:trHeight w:val="255"/>
        </w:trPr>
        <w:tc>
          <w:tcPr>
            <w:tcW w:w="2113" w:type="dxa"/>
            <w:noWrap/>
            <w:hideMark/>
          </w:tcPr>
          <w:p w14:paraId="3AF5F06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Br 35 (ng/m3)</w:t>
            </w:r>
          </w:p>
        </w:tc>
        <w:tc>
          <w:tcPr>
            <w:tcW w:w="1472" w:type="dxa"/>
            <w:noWrap/>
            <w:hideMark/>
          </w:tcPr>
          <w:p w14:paraId="0815931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6.677594555</w:t>
            </w:r>
          </w:p>
        </w:tc>
        <w:tc>
          <w:tcPr>
            <w:tcW w:w="1473" w:type="dxa"/>
            <w:noWrap/>
            <w:hideMark/>
          </w:tcPr>
          <w:p w14:paraId="3EB7A441"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0.845620195</w:t>
            </w:r>
          </w:p>
        </w:tc>
        <w:tc>
          <w:tcPr>
            <w:tcW w:w="1473" w:type="dxa"/>
            <w:noWrap/>
            <w:hideMark/>
          </w:tcPr>
          <w:p w14:paraId="26252A7B"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11.44501461</w:t>
            </w:r>
          </w:p>
        </w:tc>
        <w:tc>
          <w:tcPr>
            <w:tcW w:w="966" w:type="dxa"/>
            <w:noWrap/>
            <w:hideMark/>
          </w:tcPr>
          <w:p w14:paraId="7ADB747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0.87083</w:t>
            </w:r>
          </w:p>
        </w:tc>
        <w:tc>
          <w:tcPr>
            <w:tcW w:w="966" w:type="dxa"/>
            <w:noWrap/>
            <w:hideMark/>
          </w:tcPr>
          <w:p w14:paraId="5010EE5F"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0.068551</w:t>
            </w:r>
          </w:p>
        </w:tc>
        <w:tc>
          <w:tcPr>
            <w:tcW w:w="966" w:type="dxa"/>
            <w:noWrap/>
            <w:hideMark/>
          </w:tcPr>
          <w:p w14:paraId="3495A23B"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0.025774</w:t>
            </w:r>
          </w:p>
        </w:tc>
      </w:tr>
      <w:tr w:rsidR="00BB45B8" w:rsidRPr="00452B4E" w14:paraId="60ED97CC" w14:textId="77777777" w:rsidTr="00556409">
        <w:trPr>
          <w:trHeight w:val="255"/>
        </w:trPr>
        <w:tc>
          <w:tcPr>
            <w:tcW w:w="2113" w:type="dxa"/>
            <w:noWrap/>
            <w:hideMark/>
          </w:tcPr>
          <w:p w14:paraId="4954F99C"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Sr 38 (ng/m3)</w:t>
            </w:r>
          </w:p>
        </w:tc>
        <w:tc>
          <w:tcPr>
            <w:tcW w:w="1472" w:type="dxa"/>
            <w:noWrap/>
            <w:hideMark/>
          </w:tcPr>
          <w:p w14:paraId="5BF8C4A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0.276261086</w:t>
            </w:r>
          </w:p>
        </w:tc>
        <w:tc>
          <w:tcPr>
            <w:tcW w:w="1473" w:type="dxa"/>
            <w:noWrap/>
            <w:hideMark/>
          </w:tcPr>
          <w:p w14:paraId="719CA1C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0.928608133</w:t>
            </w:r>
          </w:p>
        </w:tc>
        <w:tc>
          <w:tcPr>
            <w:tcW w:w="1473" w:type="dxa"/>
            <w:noWrap/>
            <w:hideMark/>
          </w:tcPr>
          <w:p w14:paraId="20F7B6E6"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3.365139246</w:t>
            </w:r>
          </w:p>
        </w:tc>
        <w:tc>
          <w:tcPr>
            <w:tcW w:w="966" w:type="dxa"/>
            <w:noWrap/>
            <w:hideMark/>
          </w:tcPr>
          <w:p w14:paraId="5A305A6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0.994035</w:t>
            </w:r>
          </w:p>
        </w:tc>
        <w:tc>
          <w:tcPr>
            <w:tcW w:w="966" w:type="dxa"/>
            <w:noWrap/>
            <w:hideMark/>
          </w:tcPr>
          <w:p w14:paraId="0C096B9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0.044772</w:t>
            </w:r>
          </w:p>
        </w:tc>
        <w:tc>
          <w:tcPr>
            <w:tcW w:w="966" w:type="dxa"/>
            <w:noWrap/>
            <w:hideMark/>
          </w:tcPr>
          <w:p w14:paraId="6070C2C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0.31135</w:t>
            </w:r>
          </w:p>
        </w:tc>
      </w:tr>
      <w:tr w:rsidR="00BB45B8" w:rsidRPr="00452B4E" w14:paraId="27F29501" w14:textId="77777777" w:rsidTr="00556409">
        <w:trPr>
          <w:trHeight w:val="255"/>
        </w:trPr>
        <w:tc>
          <w:tcPr>
            <w:tcW w:w="2113" w:type="dxa"/>
            <w:noWrap/>
            <w:hideMark/>
          </w:tcPr>
          <w:p w14:paraId="15E553D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Pb 82 (ng/m3)</w:t>
            </w:r>
          </w:p>
        </w:tc>
        <w:tc>
          <w:tcPr>
            <w:tcW w:w="1472" w:type="dxa"/>
            <w:noWrap/>
            <w:hideMark/>
          </w:tcPr>
          <w:p w14:paraId="19CE13B5"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2.599437797</w:t>
            </w:r>
          </w:p>
        </w:tc>
        <w:tc>
          <w:tcPr>
            <w:tcW w:w="1473" w:type="dxa"/>
            <w:noWrap/>
            <w:hideMark/>
          </w:tcPr>
          <w:p w14:paraId="11D6CDDD"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0.978681513</w:t>
            </w:r>
          </w:p>
        </w:tc>
        <w:tc>
          <w:tcPr>
            <w:tcW w:w="1473" w:type="dxa"/>
            <w:noWrap/>
            <w:hideMark/>
          </w:tcPr>
          <w:p w14:paraId="78A4593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10.52793493</w:t>
            </w:r>
          </w:p>
        </w:tc>
        <w:tc>
          <w:tcPr>
            <w:tcW w:w="966" w:type="dxa"/>
            <w:noWrap/>
            <w:hideMark/>
          </w:tcPr>
          <w:p w14:paraId="53FFB38D"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0.997543</w:t>
            </w:r>
          </w:p>
        </w:tc>
        <w:tc>
          <w:tcPr>
            <w:tcW w:w="966" w:type="dxa"/>
            <w:noWrap/>
            <w:hideMark/>
          </w:tcPr>
          <w:p w14:paraId="13980BF5"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0.154618</w:t>
            </w:r>
          </w:p>
        </w:tc>
        <w:tc>
          <w:tcPr>
            <w:tcW w:w="966" w:type="dxa"/>
            <w:noWrap/>
            <w:hideMark/>
          </w:tcPr>
          <w:p w14:paraId="4B0F606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4.86E-10</w:t>
            </w:r>
          </w:p>
        </w:tc>
      </w:tr>
      <w:tr w:rsidR="00BB45B8" w:rsidRPr="00452B4E" w14:paraId="20793727" w14:textId="77777777" w:rsidTr="00556409">
        <w:trPr>
          <w:trHeight w:val="255"/>
        </w:trPr>
        <w:tc>
          <w:tcPr>
            <w:tcW w:w="2113" w:type="dxa"/>
            <w:noWrap/>
            <w:hideMark/>
          </w:tcPr>
          <w:p w14:paraId="204B20AE"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BC</w:t>
            </w:r>
          </w:p>
        </w:tc>
        <w:tc>
          <w:tcPr>
            <w:tcW w:w="1472" w:type="dxa"/>
            <w:noWrap/>
            <w:hideMark/>
          </w:tcPr>
          <w:p w14:paraId="7D317A7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-455.1525654</w:t>
            </w:r>
          </w:p>
        </w:tc>
        <w:tc>
          <w:tcPr>
            <w:tcW w:w="1473" w:type="dxa"/>
            <w:noWrap/>
            <w:hideMark/>
          </w:tcPr>
          <w:p w14:paraId="6E341D77"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0.98900768</w:t>
            </w:r>
          </w:p>
        </w:tc>
        <w:tc>
          <w:tcPr>
            <w:tcW w:w="1473" w:type="dxa"/>
            <w:noWrap/>
            <w:hideMark/>
          </w:tcPr>
          <w:p w14:paraId="605B5058"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2646.966764</w:t>
            </w:r>
          </w:p>
        </w:tc>
        <w:tc>
          <w:tcPr>
            <w:tcW w:w="966" w:type="dxa"/>
            <w:noWrap/>
            <w:hideMark/>
          </w:tcPr>
          <w:p w14:paraId="2A263263" w14:textId="001F0370"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0.8</w:t>
            </w:r>
            <w:r w:rsidR="006A6A28">
              <w:rPr>
                <w:rFonts w:ascii="Times New Roman" w:hAnsi="Times New Roman" w:cs="Times New Roman"/>
                <w:sz w:val="20"/>
                <w:szCs w:val="20"/>
              </w:rPr>
              <w:t>8</w:t>
            </w:r>
            <w:r w:rsidRPr="00F625B9">
              <w:rPr>
                <w:rFonts w:ascii="Times New Roman" w:hAnsi="Times New Roman" w:cs="Times New Roman"/>
                <w:sz w:val="20"/>
                <w:szCs w:val="20"/>
              </w:rPr>
              <w:t>0316</w:t>
            </w:r>
          </w:p>
        </w:tc>
        <w:tc>
          <w:tcPr>
            <w:tcW w:w="966" w:type="dxa"/>
            <w:noWrap/>
            <w:hideMark/>
          </w:tcPr>
          <w:p w14:paraId="1667C174"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0.060015</w:t>
            </w:r>
          </w:p>
        </w:tc>
        <w:tc>
          <w:tcPr>
            <w:tcW w:w="966" w:type="dxa"/>
            <w:noWrap/>
            <w:hideMark/>
          </w:tcPr>
          <w:p w14:paraId="25754F8A" w14:textId="77777777" w:rsidR="00BB45B8" w:rsidRPr="00F625B9" w:rsidRDefault="00BB45B8">
            <w:pPr>
              <w:rPr>
                <w:rFonts w:ascii="Times New Roman" w:hAnsi="Times New Roman" w:cs="Times New Roman"/>
                <w:sz w:val="20"/>
                <w:szCs w:val="20"/>
              </w:rPr>
            </w:pPr>
            <w:r w:rsidRPr="00F625B9">
              <w:rPr>
                <w:rFonts w:ascii="Times New Roman" w:hAnsi="Times New Roman" w:cs="Times New Roman"/>
                <w:sz w:val="20"/>
                <w:szCs w:val="20"/>
              </w:rPr>
              <w:t>0.071209</w:t>
            </w:r>
          </w:p>
        </w:tc>
      </w:tr>
    </w:tbl>
    <w:p w14:paraId="65459AB9" w14:textId="59374F3E" w:rsidR="00BB45B8" w:rsidRPr="00452B4E" w:rsidRDefault="00AB53C7" w:rsidP="00BB45B8">
      <w:pPr>
        <w:rPr>
          <w:rFonts w:ascii="Times New Roman" w:hAnsi="Times New Roman" w:cs="Times New Roman"/>
          <w:sz w:val="24"/>
          <w:szCs w:val="24"/>
        </w:rPr>
      </w:pPr>
      <w:r w:rsidRPr="0076251A">
        <w:rPr>
          <w:rFonts w:ascii="Times New Roman" w:hAnsi="Times New Roman" w:cs="Times New Roman"/>
          <w:noProof/>
        </w:rPr>
        <w:drawing>
          <wp:anchor distT="0" distB="0" distL="114300" distR="114300" simplePos="0" relativeHeight="251658240" behindDoc="0" locked="0" layoutInCell="1" allowOverlap="1" wp14:anchorId="7CE68337" wp14:editId="587B2C7C">
            <wp:simplePos x="0" y="0"/>
            <wp:positionH relativeFrom="column">
              <wp:posOffset>312420</wp:posOffset>
            </wp:positionH>
            <wp:positionV relativeFrom="margin">
              <wp:posOffset>1221740</wp:posOffset>
            </wp:positionV>
            <wp:extent cx="4947285" cy="4072890"/>
            <wp:effectExtent l="0" t="0" r="5715" b="3810"/>
            <wp:wrapTopAndBottom/>
            <wp:docPr id="176214188" name="Picture 6" descr="A map of india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188" name="Picture 6" descr="A map of india with black text&#10;&#10;AI-generated content may be incorrect."/>
                    <pic:cNvPicPr/>
                  </pic:nvPicPr>
                  <pic:blipFill rotWithShape="1">
                    <a:blip r:embed="rId8" cstate="print">
                      <a:extLst>
                        <a:ext uri="{28A0092B-C50C-407E-A947-70E740481C1C}">
                          <a14:useLocalDpi xmlns:a14="http://schemas.microsoft.com/office/drawing/2010/main" val="0"/>
                        </a:ext>
                      </a:extLst>
                    </a:blip>
                    <a:srcRect l="3469" t="8340" r="21964" b="4814"/>
                    <a:stretch/>
                  </pic:blipFill>
                  <pic:spPr bwMode="auto">
                    <a:xfrm>
                      <a:off x="0" y="0"/>
                      <a:ext cx="4947285" cy="407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D96F4" w14:textId="6C5BEAF4" w:rsidR="00BB45B8" w:rsidRPr="00452B4E" w:rsidRDefault="005003D7" w:rsidP="00BB45B8">
      <w:pP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43B81878" wp14:editId="12F8819F">
                <wp:simplePos x="0" y="0"/>
                <wp:positionH relativeFrom="page">
                  <wp:posOffset>373380</wp:posOffset>
                </wp:positionH>
                <wp:positionV relativeFrom="paragraph">
                  <wp:posOffset>4485640</wp:posOffset>
                </wp:positionV>
                <wp:extent cx="6773545" cy="635"/>
                <wp:effectExtent l="0" t="0" r="8255" b="6350"/>
                <wp:wrapTopAndBottom/>
                <wp:docPr id="748954190" name="Text Box 1"/>
                <wp:cNvGraphicFramePr/>
                <a:graphic xmlns:a="http://schemas.openxmlformats.org/drawingml/2006/main">
                  <a:graphicData uri="http://schemas.microsoft.com/office/word/2010/wordprocessingShape">
                    <wps:wsp>
                      <wps:cNvSpPr txBox="1"/>
                      <wps:spPr>
                        <a:xfrm>
                          <a:off x="0" y="0"/>
                          <a:ext cx="6773545" cy="635"/>
                        </a:xfrm>
                        <a:prstGeom prst="rect">
                          <a:avLst/>
                        </a:prstGeom>
                        <a:solidFill>
                          <a:prstClr val="white"/>
                        </a:solidFill>
                        <a:ln>
                          <a:noFill/>
                        </a:ln>
                      </wps:spPr>
                      <wps:txbx>
                        <w:txbxContent>
                          <w:p w14:paraId="273EA723" w14:textId="20F6B8D7" w:rsidR="00922307" w:rsidRPr="007450C8" w:rsidRDefault="00922307" w:rsidP="00664544">
                            <w:pPr>
                              <w:pStyle w:val="Caption"/>
                              <w:spacing w:line="480" w:lineRule="auto"/>
                              <w:jc w:val="both"/>
                              <w:rPr>
                                <w:rFonts w:ascii="Times New Roman" w:hAnsi="Times New Roman" w:cs="Times New Roman"/>
                                <w:i w:val="0"/>
                                <w:iCs w:val="0"/>
                                <w:noProof/>
                                <w:color w:val="auto"/>
                                <w:sz w:val="24"/>
                                <w:szCs w:val="24"/>
                                <w14:ligatures w14:val="none"/>
                              </w:rPr>
                            </w:pPr>
                            <w:r w:rsidRPr="007450C8">
                              <w:rPr>
                                <w:rFonts w:ascii="Times New Roman" w:hAnsi="Times New Roman" w:cs="Times New Roman"/>
                                <w:i w:val="0"/>
                                <w:iCs w:val="0"/>
                                <w:color w:val="auto"/>
                                <w:sz w:val="24"/>
                                <w:szCs w:val="24"/>
                              </w:rPr>
                              <w:t xml:space="preserve">Figure </w:t>
                            </w:r>
                            <w:r w:rsidR="00731DA5" w:rsidRPr="007450C8">
                              <w:rPr>
                                <w:rFonts w:ascii="Times New Roman" w:hAnsi="Times New Roman" w:cs="Times New Roman"/>
                                <w:i w:val="0"/>
                                <w:iCs w:val="0"/>
                                <w:color w:val="auto"/>
                                <w:sz w:val="24"/>
                                <w:szCs w:val="24"/>
                              </w:rPr>
                              <w:t>S1: Sampling Site Locations</w:t>
                            </w:r>
                            <w:r w:rsidR="00441AA4" w:rsidRPr="007450C8">
                              <w:rPr>
                                <w:rFonts w:ascii="Times New Roman" w:hAnsi="Times New Roman" w:cs="Times New Roman"/>
                                <w:i w:val="0"/>
                                <w:iCs w:val="0"/>
                                <w:color w:val="auto"/>
                                <w:sz w:val="24"/>
                                <w:szCs w:val="24"/>
                              </w:rPr>
                              <w:t xml:space="preserve"> of</w:t>
                            </w:r>
                            <w:r w:rsidR="00731DA5" w:rsidRPr="007450C8">
                              <w:rPr>
                                <w:rFonts w:ascii="Times New Roman" w:hAnsi="Times New Roman" w:cs="Times New Roman"/>
                                <w:i w:val="0"/>
                                <w:iCs w:val="0"/>
                                <w:color w:val="auto"/>
                                <w:sz w:val="24"/>
                                <w:szCs w:val="24"/>
                              </w:rPr>
                              <w:t xml:space="preserve"> Khera Village in the Fatehgarh Sahib district of </w:t>
                            </w:r>
                            <w:r w:rsidR="0066309C" w:rsidRPr="007450C8">
                              <w:rPr>
                                <w:rFonts w:ascii="Times New Roman" w:hAnsi="Times New Roman" w:cs="Times New Roman"/>
                                <w:i w:val="0"/>
                                <w:iCs w:val="0"/>
                                <w:color w:val="auto"/>
                                <w:sz w:val="24"/>
                                <w:szCs w:val="24"/>
                              </w:rPr>
                              <w:t>Punjab</w:t>
                            </w:r>
                            <w:r w:rsidR="00731DA5" w:rsidRPr="007450C8">
                              <w:rPr>
                                <w:rFonts w:ascii="Times New Roman" w:hAnsi="Times New Roman" w:cs="Times New Roman"/>
                                <w:i w:val="0"/>
                                <w:iCs w:val="0"/>
                                <w:color w:val="auto"/>
                                <w:sz w:val="24"/>
                                <w:szCs w:val="24"/>
                              </w:rPr>
                              <w:t>. Khera Village, situated northwest (NW) of Delhi, served as a measurement site for characterizing emissions from crop residue (stubble) burning. Real-time air quality measurements were conducted during the post-monsoon period of 2023 using a mobile laboratory equipped with advanced instrumentation, positioned in proximity to active stubble-burning fields.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B81878" id="_x0000_t202" coordsize="21600,21600" o:spt="202" path="m,l,21600r21600,l21600,xe">
                <v:stroke joinstyle="miter"/>
                <v:path gradientshapeok="t" o:connecttype="rect"/>
              </v:shapetype>
              <v:shape id="Text Box 1" o:spid="_x0000_s1026" type="#_x0000_t202" style="position:absolute;margin-left:29.4pt;margin-top:353.2pt;width:533.35pt;height:.0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0oFgIAADgEAAAOAAAAZHJzL2Uyb0RvYy54bWysU8GO2jAQvVfqP1i+l8BuYStEWFFWVJXQ&#10;7kpstWfjOCSS7XHHhoR+fcdOAu22p6oXZ+IZv/G897y4b41mJ4W+BpvzyWjMmbISitoecv7tZfPh&#10;E2c+CFsIDVbl/Kw8v1++f7do3FzdQAW6UMgIxPp543JeheDmWeZlpYzwI3DKUrIENCLQLx6yAkVD&#10;6EZnN+PxLGsAC4cglfe0+9Al+TLhl6WS4aksvQpM55zuFtKKad3HNVsuxPyAwlW17K8h/uEWRtSW&#10;ml6gHkQQ7Ij1H1CmlggeyjCSYDIoy1qqNANNMxm/mWZXCafSLESOdxea/P+DlY+nnXtGFtrP0JKA&#10;kZDG+bmnzThPW6KJX7opozxReL7QptrAJG3O7u5upx+nnEnKzW6n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KP/Om7hAAAACwEAAA8AAABkcnMvZG93bnJldi54bWxMj8FOwzAQRO9I/IO1SFwQ&#10;dVqSUIU4VVXBAS4VoRdubryNA/E6sp02/D1uL3Dc2dHMm3I1mZ4d0fnOkoD5LAGG1FjVUStg9/Fy&#10;vwTmgyQle0so4Ac9rKrrq1IWyp7oHY91aFkMIV9IATqEoeDcNxqN9DM7IMXfwTojQzxdy5WTpxhu&#10;er5Ikpwb2VFs0HLAjcbmux6NgG36udV34+H5bZ0+uNfduMm/2lqI25tp/QQs4BT+zHDGj+hQRaa9&#10;HUl51gvIlpE8CHhM8hTY2TBfZBmw/UXKgFcl/7+h+gUAAP//AwBQSwECLQAUAAYACAAAACEAtoM4&#10;kv4AAADhAQAAEwAAAAAAAAAAAAAAAAAAAAAAW0NvbnRlbnRfVHlwZXNdLnhtbFBLAQItABQABgAI&#10;AAAAIQA4/SH/1gAAAJQBAAALAAAAAAAAAAAAAAAAAC8BAABfcmVscy8ucmVsc1BLAQItABQABgAI&#10;AAAAIQDaF90oFgIAADgEAAAOAAAAAAAAAAAAAAAAAC4CAABkcnMvZTJvRG9jLnhtbFBLAQItABQA&#10;BgAIAAAAIQCj/zpu4QAAAAsBAAAPAAAAAAAAAAAAAAAAAHAEAABkcnMvZG93bnJldi54bWxQSwUG&#10;AAAAAAQABADzAAAAfgUAAAAA&#10;" stroked="f">
                <v:textbox style="mso-fit-shape-to-text:t" inset="0,0,0,0">
                  <w:txbxContent>
                    <w:p w14:paraId="273EA723" w14:textId="20F6B8D7" w:rsidR="00922307" w:rsidRPr="007450C8" w:rsidRDefault="00922307" w:rsidP="00664544">
                      <w:pPr>
                        <w:pStyle w:val="Caption"/>
                        <w:spacing w:line="480" w:lineRule="auto"/>
                        <w:jc w:val="both"/>
                        <w:rPr>
                          <w:rFonts w:ascii="Times New Roman" w:hAnsi="Times New Roman" w:cs="Times New Roman"/>
                          <w:i w:val="0"/>
                          <w:iCs w:val="0"/>
                          <w:noProof/>
                          <w:color w:val="auto"/>
                          <w:sz w:val="24"/>
                          <w:szCs w:val="24"/>
                          <w14:ligatures w14:val="none"/>
                        </w:rPr>
                      </w:pPr>
                      <w:r w:rsidRPr="007450C8">
                        <w:rPr>
                          <w:rFonts w:ascii="Times New Roman" w:hAnsi="Times New Roman" w:cs="Times New Roman"/>
                          <w:i w:val="0"/>
                          <w:iCs w:val="0"/>
                          <w:color w:val="auto"/>
                          <w:sz w:val="24"/>
                          <w:szCs w:val="24"/>
                        </w:rPr>
                        <w:t xml:space="preserve">Figure </w:t>
                      </w:r>
                      <w:r w:rsidR="00731DA5" w:rsidRPr="007450C8">
                        <w:rPr>
                          <w:rFonts w:ascii="Times New Roman" w:hAnsi="Times New Roman" w:cs="Times New Roman"/>
                          <w:i w:val="0"/>
                          <w:iCs w:val="0"/>
                          <w:color w:val="auto"/>
                          <w:sz w:val="24"/>
                          <w:szCs w:val="24"/>
                        </w:rPr>
                        <w:t>S1: Sampling Site Locations</w:t>
                      </w:r>
                      <w:r w:rsidR="00441AA4" w:rsidRPr="007450C8">
                        <w:rPr>
                          <w:rFonts w:ascii="Times New Roman" w:hAnsi="Times New Roman" w:cs="Times New Roman"/>
                          <w:i w:val="0"/>
                          <w:iCs w:val="0"/>
                          <w:color w:val="auto"/>
                          <w:sz w:val="24"/>
                          <w:szCs w:val="24"/>
                        </w:rPr>
                        <w:t xml:space="preserve"> of</w:t>
                      </w:r>
                      <w:r w:rsidR="00731DA5" w:rsidRPr="007450C8">
                        <w:rPr>
                          <w:rFonts w:ascii="Times New Roman" w:hAnsi="Times New Roman" w:cs="Times New Roman"/>
                          <w:i w:val="0"/>
                          <w:iCs w:val="0"/>
                          <w:color w:val="auto"/>
                          <w:sz w:val="24"/>
                          <w:szCs w:val="24"/>
                        </w:rPr>
                        <w:t xml:space="preserve"> Khera Village in the Fatehgarh Sahib district of </w:t>
                      </w:r>
                      <w:r w:rsidR="0066309C" w:rsidRPr="007450C8">
                        <w:rPr>
                          <w:rFonts w:ascii="Times New Roman" w:hAnsi="Times New Roman" w:cs="Times New Roman"/>
                          <w:i w:val="0"/>
                          <w:iCs w:val="0"/>
                          <w:color w:val="auto"/>
                          <w:sz w:val="24"/>
                          <w:szCs w:val="24"/>
                        </w:rPr>
                        <w:t>Punjab</w:t>
                      </w:r>
                      <w:r w:rsidR="00731DA5" w:rsidRPr="007450C8">
                        <w:rPr>
                          <w:rFonts w:ascii="Times New Roman" w:hAnsi="Times New Roman" w:cs="Times New Roman"/>
                          <w:i w:val="0"/>
                          <w:iCs w:val="0"/>
                          <w:color w:val="auto"/>
                          <w:sz w:val="24"/>
                          <w:szCs w:val="24"/>
                        </w:rPr>
                        <w:t>. Khera Village, situated northwest (NW) of Delhi, served as a measurement site for characterizing emissions from crop residue (stubble) burning. Real-time air quality measurements were conducted during the post-monsoon period of 2023 using a mobile laboratory equipped with advanced instrumentation, positioned in proximity to active stubble-burning fields.</w:t>
                      </w:r>
                    </w:p>
                  </w:txbxContent>
                </v:textbox>
                <w10:wrap type="topAndBottom" anchorx="page"/>
              </v:shape>
            </w:pict>
          </mc:Fallback>
        </mc:AlternateContent>
      </w:r>
    </w:p>
    <w:p w14:paraId="204342AF" w14:textId="65EA661A" w:rsidR="00BB45B8" w:rsidRDefault="00BB45B8" w:rsidP="00BB45B8"/>
    <w:p w14:paraId="16EE84EF" w14:textId="727649A4" w:rsidR="00967F56" w:rsidRDefault="009F4641" w:rsidP="00967F56">
      <w:pPr>
        <w:spacing w:line="480" w:lineRule="auto"/>
        <w:jc w:val="both"/>
        <w:rPr>
          <w:rFonts w:ascii="Times New Roman" w:eastAsiaTheme="minorEastAsia" w:hAnsi="Times New Roman" w:cs="Times New Roman"/>
          <w:b/>
          <w:sz w:val="24"/>
        </w:rPr>
      </w:pPr>
      <w:r w:rsidRPr="003F7672">
        <w:rPr>
          <w:rFonts w:ascii="Times New Roman" w:eastAsiaTheme="minorEastAsia" w:hAnsi="Times New Roman" w:cs="Times New Roman"/>
          <w:b/>
          <w:sz w:val="24"/>
        </w:rPr>
        <w:t>S3</w:t>
      </w:r>
      <w:r w:rsidR="00D712FB">
        <w:rPr>
          <w:rFonts w:ascii="Times New Roman" w:eastAsiaTheme="minorEastAsia" w:hAnsi="Times New Roman" w:cs="Times New Roman"/>
          <w:b/>
          <w:sz w:val="24"/>
        </w:rPr>
        <w:t xml:space="preserve"> </w:t>
      </w:r>
      <w:r w:rsidR="004D091A">
        <w:rPr>
          <w:rFonts w:ascii="Times New Roman" w:eastAsiaTheme="minorEastAsia" w:hAnsi="Times New Roman" w:cs="Times New Roman"/>
          <w:b/>
          <w:sz w:val="24"/>
        </w:rPr>
        <w:t xml:space="preserve">Result and </w:t>
      </w:r>
      <w:r w:rsidR="00F8573C">
        <w:rPr>
          <w:rFonts w:ascii="Times New Roman" w:eastAsiaTheme="minorEastAsia" w:hAnsi="Times New Roman" w:cs="Times New Roman"/>
          <w:b/>
          <w:sz w:val="24"/>
        </w:rPr>
        <w:t>discussion</w:t>
      </w:r>
    </w:p>
    <w:p w14:paraId="4866C7E3" w14:textId="2645AEE8" w:rsidR="007B01BC" w:rsidRPr="00A865BB" w:rsidRDefault="007B01BC" w:rsidP="00967F56">
      <w:pPr>
        <w:spacing w:line="480" w:lineRule="auto"/>
        <w:jc w:val="both"/>
        <w:rPr>
          <w:rFonts w:ascii="Times New Roman" w:eastAsiaTheme="minorEastAsia" w:hAnsi="Times New Roman" w:cs="Times New Roman"/>
          <w:b/>
          <w:sz w:val="24"/>
        </w:rPr>
      </w:pPr>
      <w:r w:rsidRPr="00A865BB">
        <w:rPr>
          <w:rFonts w:ascii="Times New Roman" w:hAnsi="Times New Roman" w:cs="Times New Roman"/>
        </w:rPr>
        <w:t xml:space="preserve">Positive Matrix Factorization (PMF) was employed to </w:t>
      </w:r>
      <w:proofErr w:type="spellStart"/>
      <w:r w:rsidRPr="00A865BB">
        <w:rPr>
          <w:rFonts w:ascii="Times New Roman" w:hAnsi="Times New Roman" w:cs="Times New Roman"/>
        </w:rPr>
        <w:t>analyse</w:t>
      </w:r>
      <w:proofErr w:type="spellEnd"/>
      <w:r w:rsidRPr="00A865BB">
        <w:rPr>
          <w:rFonts w:ascii="Times New Roman" w:hAnsi="Times New Roman" w:cs="Times New Roman"/>
        </w:rPr>
        <w:t xml:space="preserve"> the input dataset, yielding the identification of six distinct source profiles. Three of these factors were comprehensively discussed in the main manuscript. The remaining three factors, specifically the dust-related factor, Pb-rich factor, and waste incineration factor, are further </w:t>
      </w:r>
      <w:r w:rsidR="002D3DD5" w:rsidRPr="00A865BB">
        <w:rPr>
          <w:rFonts w:ascii="Times New Roman" w:hAnsi="Times New Roman" w:cs="Times New Roman"/>
        </w:rPr>
        <w:t xml:space="preserve">explained </w:t>
      </w:r>
      <w:r w:rsidRPr="00A865BB">
        <w:rPr>
          <w:rFonts w:ascii="Times New Roman" w:hAnsi="Times New Roman" w:cs="Times New Roman"/>
        </w:rPr>
        <w:t>below.</w:t>
      </w:r>
    </w:p>
    <w:p w14:paraId="2A0F251C" w14:textId="5E22907D" w:rsidR="007B01BC" w:rsidRPr="002D3DD5" w:rsidRDefault="00D712FB" w:rsidP="00B914BF">
      <w:pPr>
        <w:spacing w:line="480" w:lineRule="auto"/>
        <w:jc w:val="both"/>
        <w:rPr>
          <w:rFonts w:ascii="Times New Roman" w:hAnsi="Times New Roman" w:cs="Times New Roman"/>
          <w:b/>
          <w:bCs/>
          <w:i/>
          <w:iCs/>
        </w:rPr>
      </w:pPr>
      <w:r>
        <w:rPr>
          <w:rFonts w:ascii="Times New Roman" w:hAnsi="Times New Roman" w:cs="Times New Roman"/>
          <w:b/>
          <w:bCs/>
          <w:i/>
          <w:iCs/>
        </w:rPr>
        <w:t xml:space="preserve">3.1 </w:t>
      </w:r>
      <w:r w:rsidR="007B01BC" w:rsidRPr="002D3DD5">
        <w:rPr>
          <w:rFonts w:ascii="Times New Roman" w:hAnsi="Times New Roman" w:cs="Times New Roman"/>
          <w:b/>
          <w:bCs/>
          <w:i/>
          <w:iCs/>
        </w:rPr>
        <w:t>Dust related</w:t>
      </w:r>
    </w:p>
    <w:p w14:paraId="7B566EC4" w14:textId="6B230A59" w:rsidR="007B01BC" w:rsidRPr="00B914BF" w:rsidRDefault="007B01BC" w:rsidP="00B914BF">
      <w:pPr>
        <w:spacing w:line="480" w:lineRule="auto"/>
        <w:jc w:val="both"/>
        <w:rPr>
          <w:rFonts w:ascii="Times New Roman" w:hAnsi="Times New Roman" w:cs="Times New Roman"/>
          <w:i/>
          <w:iCs/>
          <w:noProof/>
        </w:rPr>
      </w:pPr>
      <w:r w:rsidRPr="00B914BF">
        <w:rPr>
          <w:rFonts w:ascii="Times New Roman" w:hAnsi="Times New Roman" w:cs="Times New Roman"/>
          <w:i/>
          <w:iCs/>
          <w:noProof/>
        </w:rPr>
        <w:lastRenderedPageBreak/>
        <w:t>The dust fact</w:t>
      </w:r>
      <w:r w:rsidR="00C259BA">
        <w:rPr>
          <w:rFonts w:ascii="Times New Roman" w:hAnsi="Times New Roman" w:cs="Times New Roman"/>
          <w:i/>
          <w:iCs/>
          <w:noProof/>
        </w:rPr>
        <w:t xml:space="preserve">or </w:t>
      </w:r>
      <w:r w:rsidR="00836E50">
        <w:rPr>
          <w:rFonts w:ascii="Times New Roman" w:hAnsi="Times New Roman" w:cs="Times New Roman"/>
          <w:i/>
          <w:iCs/>
          <w:noProof/>
        </w:rPr>
        <w:t xml:space="preserve">shown </w:t>
      </w:r>
      <w:r w:rsidR="000916D8">
        <w:rPr>
          <w:rFonts w:ascii="Times New Roman" w:hAnsi="Times New Roman" w:cs="Times New Roman"/>
          <w:i/>
          <w:iCs/>
          <w:noProof/>
        </w:rPr>
        <w:t xml:space="preserve">in Figure </w:t>
      </w:r>
      <w:r w:rsidR="00DD5A73">
        <w:rPr>
          <w:rFonts w:ascii="Times New Roman" w:hAnsi="Times New Roman" w:cs="Times New Roman"/>
          <w:i/>
          <w:iCs/>
          <w:noProof/>
        </w:rPr>
        <w:t>6</w:t>
      </w:r>
      <w:r w:rsidR="000916D8">
        <w:rPr>
          <w:rFonts w:ascii="Times New Roman" w:hAnsi="Times New Roman" w:cs="Times New Roman"/>
          <w:i/>
          <w:iCs/>
          <w:noProof/>
        </w:rPr>
        <w:t>e</w:t>
      </w:r>
      <w:r w:rsidRPr="00B914BF">
        <w:rPr>
          <w:rFonts w:ascii="Times New Roman" w:hAnsi="Times New Roman" w:cs="Times New Roman"/>
          <w:i/>
          <w:iCs/>
          <w:noProof/>
        </w:rPr>
        <w:t xml:space="preserve"> is responsible for 60% of total Si, 93% of total Ca, 23% of total Ti, 21% of total Fe, 62.5% of total Cr, and 4% of total S. Its</w:t>
      </w:r>
      <w:r w:rsidR="005F3D29">
        <w:rPr>
          <w:rFonts w:ascii="Times New Roman" w:hAnsi="Times New Roman" w:cs="Times New Roman"/>
          <w:i/>
          <w:iCs/>
          <w:noProof/>
        </w:rPr>
        <w:t xml:space="preserve"> mass</w:t>
      </w:r>
      <w:r w:rsidRPr="00B914BF">
        <w:rPr>
          <w:rFonts w:ascii="Times New Roman" w:hAnsi="Times New Roman" w:cs="Times New Roman"/>
          <w:i/>
          <w:iCs/>
          <w:noProof/>
        </w:rPr>
        <w:t xml:space="preserve"> fractional composition is primarily dominated by Si, Ca, Fe, S, and K, which are well-established tracers of crustal dust and soil </w:t>
      </w:r>
      <w:r w:rsidR="009D4714">
        <w:rPr>
          <w:rFonts w:ascii="Times New Roman" w:hAnsi="Times New Roman" w:cs="Times New Roman"/>
          <w:i/>
          <w:iCs/>
          <w:noProof/>
        </w:rPr>
        <w:fldChar w:fldCharType="begin" w:fldLock="1"/>
      </w:r>
      <w:r w:rsidR="00830961">
        <w:rPr>
          <w:rFonts w:ascii="Times New Roman" w:hAnsi="Times New Roman" w:cs="Times New Roman"/>
          <w:i/>
          <w:iCs/>
          <w:noProof/>
        </w:rPr>
        <w:instrText>ADDIN CSL_CITATION {"citationItems":[{"id":"ITEM-1","itemData":{"DOI":"10.1007/s00128-016-1836-1","ISSN":"14320800","PMID":"27209541","abstract":"Chemical characterization of PM2.5 [organic carbon, elemental carbon, water soluble inorganic ionic components, and major and trace elements] was carried out for a source apportionment study of PM2.5 at an urban site of Delhi, India from January, 2013, to December, 2014. The annual average mass concentration of PM2.5 was 122 ± 94.1 µg m−3. Strong seasonal variation was observed in PM2.5 mass concentration and its chemical composition with maxima during winter and minima during monsoon. A receptor model, positive matrix factorization (PMF) was applied for source apportionment of PM2.5 mass concentration. The PMF model resolved the major sources of PM2.5 as secondary aerosols (21.3 %), followed by soil dust (20.5 %), vehicle emissions (19.7 %), biomass burning (14.3 %), fossil fuel combustion (13.7 %), industrial emissions (6.2 %) and sea salt (4.3 %).","author":[{"dropping-particle":"","family":"Sharma","given":"S. K.","non-dropping-particle":"","parse-names":false,"suffix":""},{"dropping-particle":"","family":"Mandal","given":"T. K.","non-dropping-particle":"","parse-names":false,"suffix":""},{"dropping-particle":"","family":"Jain","given":"Srishti","non-dropping-particle":"","parse-names":false,"suffix":""},{"dropping-particle":"","family":"Saraswati","given":"","non-dropping-particle":"","parse-names":false,"suffix":""},{"dropping-particle":"","family":"Sharma","given":"A.","non-dropping-particle":"","parse-names":false,"suffix":""},{"dropping-particle":"","family":"Saxena","given":"Mohit","non-dropping-particle":"","parse-names":false,"suffix":""}],"container-title":"Bulletin of Environmental Contamination and Toxicology","id":"ITEM-1","issue":"2","issued":{"date-parts":[["2016"]]},"page":"286-293","publisher":"Springer US","title":"Source Apportionment of PM2.5 in Delhi, India Using PMF Model","type":"article-journal","volume":"97"},"uris":["http://www.mendeley.com/documents/?uuid=e08e390a-5be5-4f70-8dfe-c1e9e4bf4311"]},{"id":"ITEM-2","itemData":{"DOI":"10.5194/acp-20-1657-2020","ISSN":"16807324","abstract":"The measurement of elements in PM10 was performed with 1h time resolution at a rural freeway site during summer 2015 in Switzerland using the Xact1 625 Ambient Metals Monitor. On average the Xact elements (without accounting for oxygen and other associated elements) make up about 20% of the total PM10 mass (14.6?g m-3). We conducted source apportionment by positive matrix factorisation (PMF) of the elemental mass measurable by the Xact (i.e. major elements heavier than Al), defined here as PM10el. Eight different sources were identified in PM10el (elemental PM10) mass driven by the sum of 14 elements (notable elements in brackets): Fireworks-I (K, S, Ba and Cl), Fireworks-II (K), sea salt (Cl), secondary sulfate (S), background dust (Si, Ti), road dust (Ca), non-exhaust traffic-related elements (Fe) and industrial elements (Zn and Pb). The major components were secondary sulfate and non-exhaust traffic-related elements followed by background dust and road dust factors, explaining 21%, 20%, 18% and 16% of the analysed PM10 elemental mass, respectively, with the factor mass not corrected for oxygen content. Further, there were minor contributions (on the order of a few percent) of sea salt and industrial sources. The regionally influenced secondary sulfate factor showed negligible resuspension, and concentrations were similar throughout the day. The significant loads of the non-exhaust traffic-related and road dust factors with strong diurnal variations highlight the continuing importance of vehicle-related air pollutants at this site. Enhanced control of PMF implemented via the SourceFinder software (SoFi Pro version 6.2, PSI, Switzerland) allowed for a successful apportionment of transient sources such as the two firework factors and sea salt, which remained mixed when analysed by unconstrained PMF.","author":[{"dropping-particle":"","family":"Rai","given":"Pragati","non-dropping-particle":"","parse-names":false,"suffix":""},{"dropping-particle":"","family":"Furger","given":"Markus","non-dropping-particle":"","parse-names":false,"suffix":""},{"dropping-particle":"","family":"Slowik","given":"Jay G.","non-dropping-particle":"","parse-names":false,"suffix":""},{"dropping-particle":"","family":"Canonaco","given":"Francesco","non-dropping-particle":"","parse-names":false,"suffix":""},{"dropping-particle":"","family":"Fröhlich","given":"Roman","non-dropping-particle":"","parse-names":false,"suffix":""},{"dropping-particle":"","family":"Hüglin","given":"Christoph","non-dropping-particle":"","parse-names":false,"suffix":""},{"dropping-particle":"","family":"Minguillón","given":"María Cruz","non-dropping-particle":"","parse-names":false,"suffix":""},{"dropping-particle":"","family":"Petterson","given":"Krag","non-dropping-particle":"","parse-names":false,"suffix":""},{"dropping-particle":"","family":"Baltensperger","given":"Urs","non-dropping-particle":"","parse-names":false,"suffix":""},{"dropping-particle":"","family":"Prévôt","given":"André S.H.","non-dropping-particle":"","parse-names":false,"suffix":""}],"container-title":"Atmospheric Chemistry and Physics","id":"ITEM-2","issue":"3","issued":{"date-parts":[["2020","2","11"]]},"page":"1657-1674","publisher":"Copernicus GmbH","title":"Source apportionment of highly time-resolved elements during a firework episode from a rural freeway site in Switzerland","type":"article-journal","volume":"20"},"uris":["http://www.mendeley.com/documents/?uuid=cd5ba41a-b46c-3462-9c35-6dd1ddba580d"]}],"mendeley":{"formattedCitation":"(Rai et al., 2020c; Sharma et al., 2016)","plainTextFormattedCitation":"(Rai et al., 2020c; Sharma et al., 2016)","previouslyFormattedCitation":"(Rai et al., 2020c; Sharma et al., 2016)"},"properties":{"noteIndex":0},"schema":"https://github.com/citation-style-language/schema/raw/master/csl-citation.json"}</w:instrText>
      </w:r>
      <w:r w:rsidR="009D4714">
        <w:rPr>
          <w:rFonts w:ascii="Times New Roman" w:hAnsi="Times New Roman" w:cs="Times New Roman"/>
          <w:i/>
          <w:iCs/>
          <w:noProof/>
        </w:rPr>
        <w:fldChar w:fldCharType="separate"/>
      </w:r>
      <w:r w:rsidR="00A9302B" w:rsidRPr="00A9302B">
        <w:rPr>
          <w:rFonts w:ascii="Times New Roman" w:hAnsi="Times New Roman" w:cs="Times New Roman"/>
          <w:iCs/>
          <w:noProof/>
        </w:rPr>
        <w:t>(Rai et al., 2020c; Sharma et al., 2016)</w:t>
      </w:r>
      <w:r w:rsidR="009D4714">
        <w:rPr>
          <w:rFonts w:ascii="Times New Roman" w:hAnsi="Times New Roman" w:cs="Times New Roman"/>
          <w:i/>
          <w:iCs/>
          <w:noProof/>
        </w:rPr>
        <w:fldChar w:fldCharType="end"/>
      </w:r>
      <w:r w:rsidRPr="00B914BF">
        <w:rPr>
          <w:rFonts w:ascii="Times New Roman" w:hAnsi="Times New Roman" w:cs="Times New Roman"/>
          <w:i/>
          <w:iCs/>
          <w:noProof/>
        </w:rPr>
        <w:t xml:space="preserve">. This composition aligns with the upper continental crustal profile, </w:t>
      </w:r>
      <w:r w:rsidR="00A63BAB">
        <w:rPr>
          <w:rFonts w:ascii="Times New Roman" w:hAnsi="Times New Roman" w:cs="Times New Roman"/>
          <w:i/>
          <w:iCs/>
          <w:noProof/>
        </w:rPr>
        <w:t>repo</w:t>
      </w:r>
      <w:r w:rsidR="001A0621">
        <w:rPr>
          <w:rFonts w:ascii="Times New Roman" w:hAnsi="Times New Roman" w:cs="Times New Roman"/>
          <w:i/>
          <w:iCs/>
          <w:noProof/>
        </w:rPr>
        <w:t xml:space="preserve">rted by </w:t>
      </w:r>
      <w:r w:rsidR="00C8245E">
        <w:rPr>
          <w:rFonts w:ascii="Times New Roman" w:hAnsi="Times New Roman" w:cs="Times New Roman"/>
          <w:i/>
          <w:iCs/>
          <w:noProof/>
        </w:rPr>
        <w:fldChar w:fldCharType="begin" w:fldLock="1"/>
      </w:r>
      <w:r w:rsidR="00830961">
        <w:rPr>
          <w:rFonts w:ascii="Times New Roman" w:hAnsi="Times New Roman" w:cs="Times New Roman"/>
          <w:i/>
          <w:iCs/>
          <w:noProof/>
        </w:rPr>
        <w:instrText>ADDIN CSL_CITATION {"citationItems":[{"id":"ITEM-1","itemData":{"DOI":"10.5194/acp-20-1657-2020","ISSN":"16807324","abstract":"The measurement of elements in PM10 was performed with 1h time resolution at a rural freeway site during summer 2015 in Switzerland using the Xact1 625 Ambient Metals Monitor. On average the Xact elements (without accounting for oxygen and other associated elements) make up about 20% of the total PM10 mass (14.6?g m-3). We conducted source apportionment by positive matrix factorisation (PMF) of the elemental mass measurable by the Xact (i.e. major elements heavier than Al), defined here as PM10el. Eight different sources were identified in PM10el (elemental PM10) mass driven by the sum of 14 elements (notable elements in brackets): Fireworks-I (K, S, Ba and Cl), Fireworks-II (K), sea salt (Cl), secondary sulfate (S), background dust (Si, Ti), road dust (Ca), non-exhaust traffic-related elements (Fe) and industrial elements (Zn and Pb). The major components were secondary sulfate and non-exhaust traffic-related elements followed by background dust and road dust factors, explaining 21%, 20%, 18% and 16% of the analysed PM10 elemental mass, respectively, with the factor mass not corrected for oxygen content. Further, there were minor contributions (on the order of a few percent) of sea salt and industrial sources. The regionally influenced secondary sulfate factor showed negligible resuspension, and concentrations were similar throughout the day. The significant loads of the non-exhaust traffic-related and road dust factors with strong diurnal variations highlight the continuing importance of vehicle-related air pollutants at this site. Enhanced control of PMF implemented via the SourceFinder software (SoFi Pro version 6.2, PSI, Switzerland) allowed for a successful apportionment of transient sources such as the two firework factors and sea salt, which remained mixed when analysed by unconstrained PMF.","author":[{"dropping-particle":"","family":"Rai","given":"Pragati","non-dropping-particle":"","parse-names":false,"suffix":""},{"dropping-particle":"","family":"Furger","given":"Markus","non-dropping-particle":"","parse-names":false,"suffix":""},{"dropping-particle":"","family":"Slowik","given":"Jay G.","non-dropping-particle":"","parse-names":false,"suffix":""},{"dropping-particle":"","family":"Canonaco","given":"Francesco","non-dropping-particle":"","parse-names":false,"suffix":""},{"dropping-particle":"","family":"Fröhlich","given":"Roman","non-dropping-particle":"","parse-names":false,"suffix":""},{"dropping-particle":"","family":"Hüglin","given":"Christoph","non-dropping-particle":"","parse-names":false,"suffix":""},{"dropping-particle":"","family":"Minguillón","given":"María Cruz","non-dropping-particle":"","parse-names":false,"suffix":""},{"dropping-particle":"","family":"Petterson","given":"Krag","non-dropping-particle":"","parse-names":false,"suffix":""},{"dropping-particle":"","family":"Baltensperger","given":"Urs","non-dropping-particle":"","parse-names":false,"suffix":""},{"dropping-particle":"","family":"Prévôt","given":"André S.H.","non-dropping-particle":"","parse-names":false,"suffix":""}],"container-title":"Atmospheric Chemistry and Physics","id":"ITEM-1","issue":"3","issued":{"date-parts":[["2020","2","11"]]},"page":"1657-1674","publisher":"Copernicus GmbH","title":"Source apportionment of highly time-resolved elements during a firework episode from a rural freeway site in Switzerland","type":"article-journal","volume":"20"},"uris":["http://www.mendeley.com/documents/?uuid=cd5ba41a-b46c-3462-9c35-6dd1ddba580d"]}],"mendeley":{"formattedCitation":"(Rai et al., 2020c)","manualFormatting":"Rai et al. (2020)","plainTextFormattedCitation":"(Rai et al., 2020c)","previouslyFormattedCitation":"(Rai et al., 2020c)"},"properties":{"noteIndex":0},"schema":"https://github.com/citation-style-language/schema/raw/master/csl-citation.json"}</w:instrText>
      </w:r>
      <w:r w:rsidR="00C8245E">
        <w:rPr>
          <w:rFonts w:ascii="Times New Roman" w:hAnsi="Times New Roman" w:cs="Times New Roman"/>
          <w:i/>
          <w:iCs/>
          <w:noProof/>
        </w:rPr>
        <w:fldChar w:fldCharType="separate"/>
      </w:r>
      <w:r w:rsidR="00C8245E" w:rsidRPr="00C8245E">
        <w:rPr>
          <w:rFonts w:ascii="Times New Roman" w:hAnsi="Times New Roman" w:cs="Times New Roman"/>
          <w:iCs/>
          <w:noProof/>
        </w:rPr>
        <w:t xml:space="preserve">Rai et al. </w:t>
      </w:r>
      <w:r w:rsidR="006F1143">
        <w:rPr>
          <w:rFonts w:ascii="Times New Roman" w:hAnsi="Times New Roman" w:cs="Times New Roman"/>
          <w:iCs/>
          <w:noProof/>
        </w:rPr>
        <w:t>(</w:t>
      </w:r>
      <w:r w:rsidR="00C8245E" w:rsidRPr="00C8245E">
        <w:rPr>
          <w:rFonts w:ascii="Times New Roman" w:hAnsi="Times New Roman" w:cs="Times New Roman"/>
          <w:iCs/>
          <w:noProof/>
        </w:rPr>
        <w:t>2020)</w:t>
      </w:r>
      <w:r w:rsidR="00C8245E">
        <w:rPr>
          <w:rFonts w:ascii="Times New Roman" w:hAnsi="Times New Roman" w:cs="Times New Roman"/>
          <w:i/>
          <w:iCs/>
          <w:noProof/>
        </w:rPr>
        <w:fldChar w:fldCharType="end"/>
      </w:r>
      <w:r w:rsidRPr="00B914BF">
        <w:rPr>
          <w:rFonts w:ascii="Times New Roman" w:hAnsi="Times New Roman" w:cs="Times New Roman"/>
          <w:i/>
          <w:iCs/>
          <w:noProof/>
        </w:rPr>
        <w:t>.</w:t>
      </w:r>
      <w:r w:rsidR="002D3DD5">
        <w:rPr>
          <w:rFonts w:ascii="Times New Roman" w:hAnsi="Times New Roman" w:cs="Times New Roman"/>
          <w:i/>
          <w:iCs/>
          <w:noProof/>
        </w:rPr>
        <w:t xml:space="preserve"> </w:t>
      </w:r>
      <w:r w:rsidRPr="00B914BF">
        <w:rPr>
          <w:rFonts w:ascii="Times New Roman" w:hAnsi="Times New Roman" w:cs="Times New Roman"/>
          <w:i/>
          <w:iCs/>
          <w:noProof/>
        </w:rPr>
        <w:t xml:space="preserve">The presence of S within this factor </w:t>
      </w:r>
      <w:r w:rsidR="00C02DB9">
        <w:rPr>
          <w:rFonts w:ascii="Times New Roman" w:hAnsi="Times New Roman" w:cs="Times New Roman"/>
          <w:i/>
          <w:iCs/>
          <w:noProof/>
        </w:rPr>
        <w:t>suggests</w:t>
      </w:r>
      <w:r w:rsidRPr="00B914BF">
        <w:rPr>
          <w:rFonts w:ascii="Times New Roman" w:hAnsi="Times New Roman" w:cs="Times New Roman"/>
          <w:i/>
          <w:iCs/>
          <w:noProof/>
        </w:rPr>
        <w:t xml:space="preserve"> a potential influence from construction activities, particularly gypsum (CaSO₄) emissions. Additionally, the co-occurrence of Si and Ca indicates contributions from various construction-related dust sources, including silt and gravel </w:t>
      </w:r>
      <w:r w:rsidR="00251924">
        <w:rPr>
          <w:rFonts w:ascii="Times New Roman" w:hAnsi="Times New Roman" w:cs="Times New Roman"/>
          <w:i/>
          <w:iCs/>
          <w:noProof/>
        </w:rPr>
        <w:fldChar w:fldCharType="begin" w:fldLock="1"/>
      </w:r>
      <w:r w:rsidR="00E25DF4">
        <w:rPr>
          <w:rFonts w:ascii="Times New Roman" w:hAnsi="Times New Roman" w:cs="Times New Roman"/>
          <w:i/>
          <w:iCs/>
          <w:noProof/>
        </w:rPr>
        <w:instrText>ADDIN CSL_CITATION {"citationItems":[{"id":"ITEM-1","itemData":{"DOI":"10.1016/j.scitotenv.2011.07.048","ISSN":"00489697","PMID":"21851961","abstract":"In this work Positive Matrix Factorization (PMF) was applied to 4-hour resolved PM10 data collected in Milan (Italy) during summer and winter 2006. PM10 characterisation included elements (Mg-Pb), main inorganic ions (NH 4+, NO 3-, SO 42-), levoglucosan and its isomers (mannosan and galactosan), and organic and elemental carbon (OC and EC).PMF resolved seven factors that were assigned to construction works, re-suspended dust, secondary sulphate, traffic, industry, secondary nitrate, and wood burning. Multi Linear Regression was applied to obtain the PM10 source apportionment. The 4-hour temporal resolution allowed the estimation of the factor contributions during peculiar episodes, which would have not been detected with the traditional 24-hour sampling strategy. © 2011 Elsevier B.V.","author":[{"dropping-particle":"","family":"Bernardoni","given":"Vera","non-dropping-particle":"","parse-names":false,"suffix":""},{"dropping-particle":"","family":"Vecchi","given":"Roberta","non-dropping-particle":"","parse-names":false,"suffix":""},{"dropping-particle":"","family":"Valli","given":"Gianluigi","non-dropping-particle":"","parse-names":false,"suffix":""},{"dropping-particle":"","family":"Piazzalunga","given":"Andrea","non-dropping-particle":"","parse-names":false,"suffix":""},{"dropping-particle":"","family":"Fermo","given":"Paola","non-dropping-particle":"","parse-names":false,"suffix":""}],"container-title":"Science of the Total Environment","id":"ITEM-1","issue":"22","issued":{"date-parts":[["2011"]]},"page":"4788-4795","publisher":"Elsevier B.V.","title":"PM10 source apportionment in Milan (Italy) using time-resolved data","type":"article-journal","volume":"409"},"uris":["http://www.mendeley.com/documents/?uuid=1c321b62-7273-4cae-a960-c9d079bf499f"]}],"mendeley":{"formattedCitation":"(Bernardoni et al., 2011)","plainTextFormattedCitation":"(Bernardoni et al., 2011)","previouslyFormattedCitation":"(Bernardoni et al., 2011)"},"properties":{"noteIndex":0},"schema":"https://github.com/citation-style-language/schema/raw/master/csl-citation.json"}</w:instrText>
      </w:r>
      <w:r w:rsidR="00251924">
        <w:rPr>
          <w:rFonts w:ascii="Times New Roman" w:hAnsi="Times New Roman" w:cs="Times New Roman"/>
          <w:i/>
          <w:iCs/>
          <w:noProof/>
        </w:rPr>
        <w:fldChar w:fldCharType="separate"/>
      </w:r>
      <w:r w:rsidR="00251924" w:rsidRPr="00251924">
        <w:rPr>
          <w:rFonts w:ascii="Times New Roman" w:hAnsi="Times New Roman" w:cs="Times New Roman"/>
          <w:iCs/>
          <w:noProof/>
        </w:rPr>
        <w:t>(Bernardoni et al., 2011)</w:t>
      </w:r>
      <w:r w:rsidR="00251924">
        <w:rPr>
          <w:rFonts w:ascii="Times New Roman" w:hAnsi="Times New Roman" w:cs="Times New Roman"/>
          <w:i/>
          <w:iCs/>
          <w:noProof/>
        </w:rPr>
        <w:fldChar w:fldCharType="end"/>
      </w:r>
      <w:r w:rsidRPr="00B914BF">
        <w:rPr>
          <w:rFonts w:ascii="Times New Roman" w:hAnsi="Times New Roman" w:cs="Times New Roman"/>
          <w:i/>
          <w:iCs/>
          <w:noProof/>
        </w:rPr>
        <w:t xml:space="preserve">. Consequently, this factor likely encompasses both natural mineral dust and anthropogenic sources such as road dust resuspension, construction, demolition activities, and material weathering and erosive processes from built environments. </w:t>
      </w:r>
      <w:r w:rsidR="00D74E76" w:rsidRPr="00D74E76">
        <w:rPr>
          <w:rFonts w:ascii="Times New Roman" w:hAnsi="Times New Roman" w:cs="Times New Roman"/>
          <w:i/>
          <w:iCs/>
          <w:noProof/>
        </w:rPr>
        <w:t xml:space="preserve">Further supporting this interpretation, the diurnal variation of this factor exhibits a pronounced evening peak (Fig. </w:t>
      </w:r>
      <w:r w:rsidR="003D7693">
        <w:rPr>
          <w:rFonts w:ascii="Times New Roman" w:hAnsi="Times New Roman" w:cs="Times New Roman"/>
          <w:i/>
          <w:iCs/>
          <w:noProof/>
        </w:rPr>
        <w:t>S</w:t>
      </w:r>
      <w:r w:rsidR="00FB63C0">
        <w:rPr>
          <w:rFonts w:ascii="Times New Roman" w:hAnsi="Times New Roman" w:cs="Times New Roman"/>
          <w:i/>
          <w:iCs/>
          <w:noProof/>
        </w:rPr>
        <w:t>5</w:t>
      </w:r>
      <w:r w:rsidR="00D74E76" w:rsidRPr="00D74E76">
        <w:rPr>
          <w:rFonts w:ascii="Times New Roman" w:hAnsi="Times New Roman" w:cs="Times New Roman"/>
          <w:i/>
          <w:iCs/>
          <w:noProof/>
        </w:rPr>
        <w:t>), indicative of dust resuspension driven by vehicular movement, road dust resuspension, and ongoing construction activities, coupled with boundary layer dynamics</w:t>
      </w:r>
      <w:r w:rsidRPr="00B914BF">
        <w:rPr>
          <w:rFonts w:ascii="Times New Roman" w:hAnsi="Times New Roman" w:cs="Times New Roman"/>
          <w:i/>
          <w:iCs/>
          <w:noProof/>
        </w:rPr>
        <w:t>. This factor accounts for approximately 4% of the total elemental and black carbon fraction of PM₂.₅, as illustrated in Figure S</w:t>
      </w:r>
      <w:r w:rsidR="00FB63C0">
        <w:rPr>
          <w:rFonts w:ascii="Times New Roman" w:hAnsi="Times New Roman" w:cs="Times New Roman"/>
          <w:i/>
          <w:iCs/>
          <w:noProof/>
        </w:rPr>
        <w:t>4</w:t>
      </w:r>
      <w:r w:rsidRPr="00B914BF">
        <w:rPr>
          <w:rFonts w:ascii="Times New Roman" w:hAnsi="Times New Roman" w:cs="Times New Roman"/>
          <w:i/>
          <w:iCs/>
        </w:rPr>
        <w:t>.</w:t>
      </w:r>
    </w:p>
    <w:p w14:paraId="3DE44CB7" w14:textId="77777777" w:rsidR="007B01BC" w:rsidRPr="00967F56" w:rsidRDefault="007B01BC" w:rsidP="00967F56">
      <w:pPr>
        <w:pStyle w:val="ListParagraph"/>
        <w:spacing w:line="480" w:lineRule="auto"/>
        <w:jc w:val="both"/>
        <w:rPr>
          <w:rFonts w:ascii="Times New Roman" w:hAnsi="Times New Roman" w:cs="Times New Roman"/>
          <w:i/>
          <w:iCs/>
        </w:rPr>
      </w:pPr>
    </w:p>
    <w:p w14:paraId="7A5FD787" w14:textId="4609E29F" w:rsidR="007B01BC" w:rsidRPr="00D712FB" w:rsidRDefault="00D712FB" w:rsidP="00B914BF">
      <w:pPr>
        <w:spacing w:line="480" w:lineRule="auto"/>
        <w:jc w:val="both"/>
        <w:rPr>
          <w:rFonts w:ascii="Times New Roman" w:hAnsi="Times New Roman" w:cs="Times New Roman"/>
          <w:b/>
          <w:bCs/>
          <w:i/>
          <w:iCs/>
          <w:noProof/>
        </w:rPr>
      </w:pPr>
      <w:r w:rsidRPr="00D712FB">
        <w:rPr>
          <w:rFonts w:ascii="Times New Roman" w:hAnsi="Times New Roman" w:cs="Times New Roman"/>
          <w:b/>
          <w:bCs/>
          <w:i/>
          <w:iCs/>
        </w:rPr>
        <w:t xml:space="preserve">3.2 </w:t>
      </w:r>
      <w:r w:rsidR="007B01BC" w:rsidRPr="00D712FB">
        <w:rPr>
          <w:rFonts w:ascii="Times New Roman" w:hAnsi="Times New Roman" w:cs="Times New Roman"/>
          <w:b/>
          <w:bCs/>
          <w:i/>
          <w:iCs/>
        </w:rPr>
        <w:t>Pb-rich factor</w:t>
      </w:r>
    </w:p>
    <w:p w14:paraId="49DC4815" w14:textId="734E3645" w:rsidR="007B01BC" w:rsidRPr="00B914BF" w:rsidRDefault="007B01BC" w:rsidP="00B914BF">
      <w:pPr>
        <w:spacing w:line="480" w:lineRule="auto"/>
        <w:jc w:val="both"/>
        <w:rPr>
          <w:rFonts w:ascii="Times New Roman" w:hAnsi="Times New Roman" w:cs="Times New Roman"/>
          <w:i/>
          <w:iCs/>
        </w:rPr>
      </w:pPr>
      <w:r w:rsidRPr="00B914BF">
        <w:rPr>
          <w:rFonts w:ascii="Times New Roman" w:hAnsi="Times New Roman" w:cs="Times New Roman"/>
          <w:i/>
          <w:iCs/>
        </w:rPr>
        <w:t xml:space="preserve">The lead-rich factor is </w:t>
      </w:r>
      <w:r w:rsidR="005458CB">
        <w:rPr>
          <w:rFonts w:ascii="Times New Roman" w:hAnsi="Times New Roman" w:cs="Times New Roman"/>
          <w:i/>
          <w:iCs/>
        </w:rPr>
        <w:t>dominated</w:t>
      </w:r>
      <w:r w:rsidRPr="00B914BF">
        <w:rPr>
          <w:rFonts w:ascii="Times New Roman" w:hAnsi="Times New Roman" w:cs="Times New Roman"/>
          <w:i/>
          <w:iCs/>
        </w:rPr>
        <w:t xml:space="preserve"> by high contributions of </w:t>
      </w:r>
      <w:r w:rsidR="005458CB">
        <w:rPr>
          <w:rFonts w:ascii="Times New Roman" w:hAnsi="Times New Roman" w:cs="Times New Roman"/>
          <w:i/>
          <w:iCs/>
        </w:rPr>
        <w:t>BC</w:t>
      </w:r>
      <w:r w:rsidRPr="00B914BF">
        <w:rPr>
          <w:rFonts w:ascii="Times New Roman" w:hAnsi="Times New Roman" w:cs="Times New Roman"/>
          <w:i/>
          <w:iCs/>
        </w:rPr>
        <w:t xml:space="preserve">, </w:t>
      </w:r>
      <w:r w:rsidR="005458CB">
        <w:rPr>
          <w:rFonts w:ascii="Times New Roman" w:hAnsi="Times New Roman" w:cs="Times New Roman"/>
          <w:i/>
          <w:iCs/>
        </w:rPr>
        <w:t>S</w:t>
      </w:r>
      <w:r w:rsidRPr="00B914BF">
        <w:rPr>
          <w:rFonts w:ascii="Times New Roman" w:hAnsi="Times New Roman" w:cs="Times New Roman"/>
          <w:i/>
          <w:iCs/>
        </w:rPr>
        <w:t xml:space="preserve">, </w:t>
      </w:r>
      <w:r w:rsidR="005458CB">
        <w:rPr>
          <w:rFonts w:ascii="Times New Roman" w:hAnsi="Times New Roman" w:cs="Times New Roman"/>
          <w:i/>
          <w:iCs/>
        </w:rPr>
        <w:t>Cl</w:t>
      </w:r>
      <w:r w:rsidRPr="00B914BF">
        <w:rPr>
          <w:rFonts w:ascii="Times New Roman" w:hAnsi="Times New Roman" w:cs="Times New Roman"/>
          <w:i/>
          <w:iCs/>
        </w:rPr>
        <w:t xml:space="preserve">, </w:t>
      </w:r>
      <w:r w:rsidR="008A53FC">
        <w:rPr>
          <w:rFonts w:ascii="Times New Roman" w:hAnsi="Times New Roman" w:cs="Times New Roman"/>
          <w:i/>
          <w:iCs/>
        </w:rPr>
        <w:t xml:space="preserve">Pb, </w:t>
      </w:r>
      <w:r w:rsidRPr="00B914BF">
        <w:rPr>
          <w:rFonts w:ascii="Times New Roman" w:hAnsi="Times New Roman" w:cs="Times New Roman"/>
          <w:i/>
          <w:iCs/>
        </w:rPr>
        <w:t xml:space="preserve">and </w:t>
      </w:r>
      <w:r w:rsidR="005458CB">
        <w:rPr>
          <w:rFonts w:ascii="Times New Roman" w:hAnsi="Times New Roman" w:cs="Times New Roman"/>
          <w:i/>
          <w:iCs/>
        </w:rPr>
        <w:t>Zn</w:t>
      </w:r>
      <w:r w:rsidRPr="00B914BF">
        <w:rPr>
          <w:rFonts w:ascii="Times New Roman" w:hAnsi="Times New Roman" w:cs="Times New Roman"/>
          <w:i/>
          <w:iCs/>
        </w:rPr>
        <w:t xml:space="preserve">, accounting for 43%, 26%, 9%, </w:t>
      </w:r>
      <w:proofErr w:type="gramStart"/>
      <w:r w:rsidR="00A53D18" w:rsidRPr="00A53D18">
        <w:rPr>
          <w:rFonts w:ascii="Times New Roman" w:hAnsi="Times New Roman" w:cs="Times New Roman"/>
          <w:i/>
          <w:iCs/>
        </w:rPr>
        <w:t>6</w:t>
      </w:r>
      <w:r w:rsidR="00A53D18">
        <w:rPr>
          <w:rFonts w:ascii="Times New Roman" w:hAnsi="Times New Roman" w:cs="Times New Roman"/>
          <w:i/>
          <w:iCs/>
        </w:rPr>
        <w:t xml:space="preserve">. </w:t>
      </w:r>
      <w:r w:rsidR="00A53D18" w:rsidRPr="00A53D18">
        <w:rPr>
          <w:rFonts w:ascii="Times New Roman" w:hAnsi="Times New Roman" w:cs="Times New Roman"/>
          <w:i/>
          <w:iCs/>
        </w:rPr>
        <w:t>5</w:t>
      </w:r>
      <w:proofErr w:type="gramEnd"/>
      <w:r w:rsidR="00A53D18" w:rsidRPr="00A53D18">
        <w:rPr>
          <w:rFonts w:ascii="Times New Roman" w:hAnsi="Times New Roman" w:cs="Times New Roman"/>
          <w:i/>
          <w:iCs/>
        </w:rPr>
        <w:t xml:space="preserve">%, </w:t>
      </w:r>
      <w:r w:rsidR="00A53D18">
        <w:rPr>
          <w:rFonts w:ascii="Times New Roman" w:hAnsi="Times New Roman" w:cs="Times New Roman"/>
          <w:i/>
          <w:iCs/>
        </w:rPr>
        <w:t xml:space="preserve">and </w:t>
      </w:r>
      <w:r w:rsidRPr="00B914BF">
        <w:rPr>
          <w:rFonts w:ascii="Times New Roman" w:hAnsi="Times New Roman" w:cs="Times New Roman"/>
          <w:i/>
          <w:iCs/>
        </w:rPr>
        <w:t>5% of the total factor mass, respectively</w:t>
      </w:r>
      <w:r w:rsidR="008C79FE">
        <w:rPr>
          <w:rFonts w:ascii="Times New Roman" w:hAnsi="Times New Roman" w:cs="Times New Roman"/>
          <w:i/>
          <w:iCs/>
        </w:rPr>
        <w:t xml:space="preserve"> (Figure (</w:t>
      </w:r>
      <w:r w:rsidR="00DD5A73">
        <w:rPr>
          <w:rFonts w:ascii="Times New Roman" w:hAnsi="Times New Roman" w:cs="Times New Roman"/>
          <w:i/>
          <w:iCs/>
        </w:rPr>
        <w:t>6</w:t>
      </w:r>
      <w:r w:rsidR="008C79FE">
        <w:rPr>
          <w:rFonts w:ascii="Times New Roman" w:hAnsi="Times New Roman" w:cs="Times New Roman"/>
          <w:i/>
          <w:iCs/>
        </w:rPr>
        <w:t>f</w:t>
      </w:r>
      <w:r w:rsidR="00F723FD">
        <w:rPr>
          <w:rFonts w:ascii="Times New Roman" w:hAnsi="Times New Roman" w:cs="Times New Roman"/>
          <w:i/>
          <w:iCs/>
        </w:rPr>
        <w:t>)</w:t>
      </w:r>
      <w:r w:rsidR="008C79FE">
        <w:rPr>
          <w:rFonts w:ascii="Times New Roman" w:hAnsi="Times New Roman" w:cs="Times New Roman"/>
          <w:i/>
          <w:iCs/>
        </w:rPr>
        <w:t>)</w:t>
      </w:r>
      <w:r w:rsidRPr="00B914BF">
        <w:rPr>
          <w:rFonts w:ascii="Times New Roman" w:hAnsi="Times New Roman" w:cs="Times New Roman"/>
          <w:i/>
          <w:iCs/>
        </w:rPr>
        <w:t>. In terms of species distribution across factors, this factor is responsible for 73% of Pb, 12% of S, 14% of Mn, 14% of Cu, 8% of Zn, 7% of As, and 6% of BC. The contribution of this lead-rich factor to the elemental and BC fraction of PM</w:t>
      </w:r>
      <w:proofErr w:type="gramStart"/>
      <w:r w:rsidRPr="00B914BF">
        <w:rPr>
          <w:rFonts w:ascii="Times New Roman" w:hAnsi="Times New Roman" w:cs="Times New Roman"/>
          <w:i/>
          <w:iCs/>
        </w:rPr>
        <w:t>₂.₅</w:t>
      </w:r>
      <w:proofErr w:type="gramEnd"/>
      <w:r w:rsidRPr="00B914BF">
        <w:rPr>
          <w:rFonts w:ascii="Times New Roman" w:hAnsi="Times New Roman" w:cs="Times New Roman"/>
          <w:i/>
          <w:iCs/>
        </w:rPr>
        <w:t xml:space="preserve"> was estimated at 7% during the study period.</w:t>
      </w:r>
      <w:r w:rsidR="00A947A7">
        <w:rPr>
          <w:rFonts w:ascii="Times New Roman" w:hAnsi="Times New Roman" w:cs="Times New Roman"/>
          <w:i/>
          <w:iCs/>
        </w:rPr>
        <w:t xml:space="preserve"> High abundance lead factor was identified as </w:t>
      </w:r>
      <w:r w:rsidR="00D01B04">
        <w:rPr>
          <w:rFonts w:ascii="Times New Roman" w:hAnsi="Times New Roman" w:cs="Times New Roman"/>
          <w:i/>
          <w:iCs/>
        </w:rPr>
        <w:t>coal combustion (Manchanda et al., 2021)</w:t>
      </w:r>
      <w:r w:rsidR="00A947A7">
        <w:rPr>
          <w:rFonts w:ascii="Times New Roman" w:hAnsi="Times New Roman" w:cs="Times New Roman"/>
          <w:i/>
          <w:iCs/>
        </w:rPr>
        <w:t xml:space="preserve"> </w:t>
      </w:r>
    </w:p>
    <w:p w14:paraId="29B7876B" w14:textId="509B48AA" w:rsidR="007B01BC" w:rsidRPr="00B914BF" w:rsidRDefault="00A269A5" w:rsidP="00B914BF">
      <w:pPr>
        <w:spacing w:line="480" w:lineRule="auto"/>
        <w:jc w:val="both"/>
        <w:rPr>
          <w:rFonts w:ascii="Times New Roman" w:hAnsi="Times New Roman" w:cs="Times New Roman"/>
          <w:i/>
          <w:iCs/>
        </w:rPr>
      </w:pPr>
      <w:r>
        <w:rPr>
          <w:rFonts w:ascii="Times New Roman" w:hAnsi="Times New Roman" w:cs="Times New Roman"/>
          <w:i/>
          <w:iCs/>
        </w:rPr>
        <w:t>As</w:t>
      </w:r>
      <w:r w:rsidR="007B01BC" w:rsidRPr="00B914BF">
        <w:rPr>
          <w:rFonts w:ascii="Times New Roman" w:hAnsi="Times New Roman" w:cs="Times New Roman"/>
          <w:i/>
          <w:iCs/>
        </w:rPr>
        <w:t xml:space="preserve"> and zinc</w:t>
      </w:r>
      <w:r>
        <w:rPr>
          <w:rFonts w:ascii="Times New Roman" w:hAnsi="Times New Roman" w:cs="Times New Roman"/>
          <w:i/>
          <w:iCs/>
        </w:rPr>
        <w:t xml:space="preserve"> Zn</w:t>
      </w:r>
      <w:r w:rsidR="007B01BC" w:rsidRPr="00B914BF">
        <w:rPr>
          <w:rFonts w:ascii="Times New Roman" w:hAnsi="Times New Roman" w:cs="Times New Roman"/>
          <w:i/>
          <w:iCs/>
        </w:rPr>
        <w:t xml:space="preserve"> have been widely recognized as tracers of coal combustion </w:t>
      </w:r>
      <w:r w:rsidR="00E25DF4">
        <w:rPr>
          <w:rFonts w:ascii="Times New Roman" w:hAnsi="Times New Roman" w:cs="Times New Roman"/>
          <w:i/>
          <w:iCs/>
        </w:rPr>
        <w:fldChar w:fldCharType="begin" w:fldLock="1"/>
      </w:r>
      <w:r>
        <w:rPr>
          <w:rFonts w:ascii="Times New Roman" w:hAnsi="Times New Roman" w:cs="Times New Roman"/>
          <w:i/>
          <w:iCs/>
        </w:rPr>
        <w:instrText>ADDIN CSL_CITATION {"citationItems":[{"id":"ITEM-1","itemData":{"DOI":"10.1016/j.jhazmat.2006.08.013","ISSN":"03043894","PMID":"16987605","abstract":"Daily average PM10 (particulate matter which passes through a size selective impactor inlet with a 50% efficiency cut-off at 10 μm aerodynamic diameter), TSP (total suspended particulate matter) and their chemical species mass concentrations were measured at residential and industrial sites of an urban region of Kolkata during November 2003-November 2004. Source apportionment using chemical mass balance model revealed that the most dominant source throughout the study period at residential site was coal combustion (42%), while vehicular emission (47%) dominates at industrial site to PM10. Paved road, field burning and wood combustion contributed 21%, 7% and 1% at residential site, while coal combustion, metal industry and soil dust contributed 34%, 1% and 1% at industrial site, respectively, to PM10 during the study period. The contributors to TSP included coal combustion (37%), soil dust (19%), road dust (17%) and diesel combustion (15%) at residential site, while soil dust (36%), coal combustion (17%), solid waste (17%), road dust (16%) and tyre wear (7%) at industrial site. Significant seasonal variations of the particulate matters have been observed during the study period. In the monitoring sites total carbon, organic carbon and iron were found to be the marker species of road dust, while organic carbon, total carbon, chloride and sulfate have been observed as the marker species of soil dust in TSP. © 2006 Elsevier B.V. All rights reserved.","author":[{"dropping-particle":"","family":"Gupta","given":"A. K.","non-dropping-particle":"","parse-names":false,"suffix":""},{"dropping-particle":"","family":"Karar","given":"Kakoli","non-dropping-particle":"","parse-names":false,"suffix":""},{"dropping-particle":"","family":"Srivastava","given":"Anjali","non-dropping-particle":"","parse-names":false,"suffix":""}],"container-title":"Journal of Hazardous Materials","id":"ITEM-1","issue":"1-2","issued":{"date-parts":[["2007","4","2"]]},"page":"279-287","title":"Chemical mass balance source apportionment of PM10 and TSP in residential and industrial sites of an urban region of Kolkata, India","type":"article-journal","volume":"142"},"uris":["http://www.mendeley.com/documents/?uuid=795eaf6c-0fdb-3eec-a5a5-447556b19109"]},{"id":"ITEM-2","itemData":{"abstract":"Elemental compositions were measured for TSP (total suspended particulate matter), PM \\ and PM (particulate matter with aerodynamic diameters from 2 to 10 m and less than 2 m, respectively) in Ho Chi Minh City. Concentrations of 23 elements and particulate mass (PM) were used for receptor modelling to identify and quantify aerosol sources using principal component factor analysis (PCFA). A suite of factors containing similar elements with signi\"cant factor loadings were revealed among the factor matrices, thus facilitating the identi\"cation of common sources for di!erent aerosol types. These sources include vehicular emissions (Br and Zn), coal burning (Se), industrial processes (Ce, Co, Cr, Pb and Sb), road dust (Al, Ti, V), soil dust (Fe and Th) and biomass burning (K). Marine aerosols (Na and Cl) and mineral #y ash (Sc and La) were revealed only in the PM \\ model. For TSP, the last four sources are combined in one factor. The last (9th) factor in the PM model, characterised by a high loading from PM and insigni\"cant loadings from elements, was attributed to secondary sulphates and organics, although these constituents were not measured in the experiments. Such a remarkable source identi\"cation capability of the modelling technique highlights the signi\"cance of achieving an optimal factor solution as a crucial step in PCFA, that was done by systematically varying the number of factors retained and carefully evaluating each factor matrix for both model \"tting performance and physical reason-ableness.","author":[{"dropping-particle":"","family":"Hien","given":"P D","non-dropping-particle":"","parse-names":false,"suffix":""},{"dropping-particle":"","family":"Binh","given":"N T","non-dropping-particle":"","parse-names":false,"suffix":""},{"dropping-particle":"","family":"Truong","given":"Y","non-dropping-particle":"","parse-names":false,"suffix":""},{"dropping-particle":"","family":"Ngo","given":"N T","non-dropping-particle":"","parse-names":false,"suffix":""},{"dropping-particle":"","family":"Sieu","given":"L N","non-dropping-particle":"","parse-names":false,"suffix":""}],"container-title":"Atmospheric Environment","id":"ITEM-2","issued":{"date-parts":[["2001"]]},"number-of-pages":"2669-2678","title":"Comparative receptor modelling study of TSP, PM and PM \\ in Ho Chi Minh City","type":"report","volume":"35"},"uris":["http://www.mendeley.com/documents/?uuid=c9624d90-8273-3192-b0f5-17f7f42bda9a"]},{"id":"ITEM-3","itemData":{"DOI":"10.1016/j.envint.2021.106541","ISSN":"18736750","PMID":"33845290","abstract":"The Government of India (GOI) announced a nationwide lockdown starting 25th March 2020 to contain the spread of COVID-19, leading to an unprecedented decline in anthropogenic activities and, in turn, improvements in ambient air quality. This is the first study to focus on highly time-resolved chemical speciation and source apportionment of PM2.5 to assess the impact of the lockdown and subsequent relaxations on the sources of ambient PM2.5 in Delhi, India. The elemental, organic, and black carbon fractions of PM2.5 were measured at the IIT Delhi campus from February 2020 to May 2020. We report source apportionment results using positive matrix factorization (PMF) of organic and elemental fractions of PM2.5 during the different phases of the lockdown. The resolved sources such as vehicular emissions, domestic coal combustion, and semi-volatile oxygenated organic aerosol (SVOOA) were found to decrease by 96%, 95%, and 86%, respectively, during lockdown phase-1 as compared to pre-lockdown. An unforeseen rise in O3 concentrations with declining NOx levels was observed, similar to other parts of the globe, leading to the low-volatility oxygenated organic aerosols (LVOOA) increasing to almost double the pre-lockdown concentrations during the last phase of the lockdown. The effect of the lockdown was found to be less pronounced on other resolved sources like secondary chloride, power plants, dust-related, hydrocarbon-like organic aerosols (HOA), and biomass burning related emissions, which were also swayed by the changing meteorological conditions during the four lockdown phases. The results presented in this study provide a basis for future emission control strategies, quantifying the extent to which constraining certain anthropogenic activities can ameliorate the ambient air. These results have direct relevance to not only Delhi but the entire Indo-Gangetic plain (IGP), citing similar geographical and meteorological conditions common to the region along with overlapping regional emission sources. Summary of main findings: We identify sources like vehicular emissions, domestic coal combustion, and semi-volatile oxygenated organic aerosol (SVOOA) to be severely impacted by the lockdown, whereas ozone levels and, in turn, low-volatility oxygenated organic aerosols (LVOOA) rise by more than 95% compared to the pre-lockdown concentrations during the last phase of the lockdown. However, other sources resolved in this study, like secondary chloride, power plants, d…","author":[{"dropping-particle":"","family":"Manchanda","given":"Chirag","non-dropping-particle":"","parse-names":false,"suffix":""},{"dropping-particle":"","family":"Kumar","given":"Mayank","non-dropping-particle":"","parse-names":false,"suffix":""},{"dropping-particle":"","family":"Singh","given":"Vikram","non-dropping-particle":"","parse-names":false,"suffix":""},{"dropping-particle":"","family":"Faisal","given":"Mohd","non-dropping-particle":"","parse-names":false,"suffix":""},{"dropping-particle":"","family":"Hazarika","given":"Naba","non-dropping-particle":"","parse-names":false,"suffix":""},{"dropping-particle":"","family":"Shukla","given":"Ashutosh","non-dropping-particle":"","parse-names":false,"suffix":""},{"dropping-particle":"","family":"Lalchandani","given":"Vipul","non-dropping-particle":"","parse-names":false,"suffix":""},{"dropping-particle":"","family":"Goel","given":"Vikas","non-dropping-particle":"","parse-names":false,"suffix":""},{"dropping-particle":"","family":"Thamban","given":"Navaneeth","non-dropping-particle":"","parse-names":false,"suffix":""},{"dropping-particle":"","family":"Ganguly","given":"Dilip","non-dropping-particle":"","parse-names":false,"suffix":""},{"dropping-particle":"","family":"Tripathi","given":"Sachchida Nand","non-dropping-particle":"","parse-names":false,"suffix":""}],"container-title":"Environment International","id":"ITEM-3","issue":"December 2020","issued":{"date-parts":[["2021"]]},"page":"106541","publisher":"Elsevier Ltd","title":"Variation in chemical composition and sources of PM2.5 during the COVID-19 lockdown in Delhi","type":"article-journal","volume":"153"},"uris":["http://www.mendeley.com/documents/?uuid=56f28b26-26dd-4669-a4ef-e32df43235ec"]}],"mendeley":{"formattedCitation":"(Gupta et al., 2007; Hien et al., 2001; Manchanda et al., 2021)","plainTextFormattedCitation":"(Gupta et al., 2007; Hien et al., 2001; Manchanda et al., 2021)","previouslyFormattedCitation":"(Gupta et al., 2007; Hien et al., 2001; Manchanda et al., 2021)"},"properties":{"noteIndex":0},"schema":"https://github.com/citation-style-language/schema/raw/master/csl-citation.json"}</w:instrText>
      </w:r>
      <w:r w:rsidR="00E25DF4">
        <w:rPr>
          <w:rFonts w:ascii="Times New Roman" w:hAnsi="Times New Roman" w:cs="Times New Roman"/>
          <w:i/>
          <w:iCs/>
        </w:rPr>
        <w:fldChar w:fldCharType="separate"/>
      </w:r>
      <w:r w:rsidR="00E25DF4" w:rsidRPr="00E25DF4">
        <w:rPr>
          <w:rFonts w:ascii="Times New Roman" w:hAnsi="Times New Roman" w:cs="Times New Roman"/>
          <w:iCs/>
          <w:noProof/>
        </w:rPr>
        <w:t>(Gupta et al., 2007; Hien et al., 2001; Manchanda et al., 2021)</w:t>
      </w:r>
      <w:r w:rsidR="00E25DF4">
        <w:rPr>
          <w:rFonts w:ascii="Times New Roman" w:hAnsi="Times New Roman" w:cs="Times New Roman"/>
          <w:i/>
          <w:iCs/>
        </w:rPr>
        <w:fldChar w:fldCharType="end"/>
      </w:r>
      <w:r w:rsidR="007B01BC" w:rsidRPr="00B914BF">
        <w:rPr>
          <w:rFonts w:ascii="Times New Roman" w:hAnsi="Times New Roman" w:cs="Times New Roman"/>
          <w:i/>
          <w:iCs/>
        </w:rPr>
        <w:t>. Z</w:t>
      </w:r>
      <w:r>
        <w:rPr>
          <w:rFonts w:ascii="Times New Roman" w:hAnsi="Times New Roman" w:cs="Times New Roman"/>
          <w:i/>
          <w:iCs/>
        </w:rPr>
        <w:t>n</w:t>
      </w:r>
      <w:r w:rsidR="007B01BC" w:rsidRPr="00B914BF">
        <w:rPr>
          <w:rFonts w:ascii="Times New Roman" w:hAnsi="Times New Roman" w:cs="Times New Roman"/>
          <w:i/>
          <w:iCs/>
        </w:rPr>
        <w:t xml:space="preserve">, in particular, has been used as an indicator of coal combustion in India due to the relatively higher Zn content in Indian coals </w:t>
      </w:r>
      <w:r>
        <w:rPr>
          <w:rFonts w:ascii="Times New Roman" w:hAnsi="Times New Roman" w:cs="Times New Roman"/>
          <w:i/>
          <w:iCs/>
        </w:rPr>
        <w:fldChar w:fldCharType="begin" w:fldLock="1"/>
      </w:r>
      <w:r>
        <w:rPr>
          <w:rFonts w:ascii="Times New Roman" w:hAnsi="Times New Roman" w:cs="Times New Roman"/>
          <w:i/>
          <w:iCs/>
        </w:rPr>
        <w:instrText>ADDIN CSL_CITATION {"citationItems":[{"id":"ITEM-1","itemData":{"DOI":"10.1016/j.atmosenv.2005.11.046","ISSN":"13522310","abstract":"During 1 year, twice per week (one working day and one sunday), 24-h averaged, separated fine and coarse atmospheric aerosol were measured, for total mass and chemical composition, in a suburban site on the outskirts of Lisbon. The relative concentration variability between working days and sundays allowed a better insight into the sources of atmospheric particulate matter. Receptor modelling based on Principal Component Analysis and Multilinear Regression applied to sunday and working day samples revealed marked differences during weekdays, in autumn/winter period. Based on the characteristics of the Principal Components it was possible to conclude that during autumn/winter, a predominant fraction of coarse and fine soil dust provides from anthropogenic activities, being presumably associated with road dust re-suspension by road traffic. © 2005 Elsevier Ltd. All rights reserved.","author":[{"dropping-particle":"","family":"Almeida","given":"S. M.","non-dropping-particle":"","parse-names":false,"suffix":""},{"dropping-particle":"","family":"Pio","given":"C. A.","non-dropping-particle":"","parse-names":false,"suffix":""},{"dropping-particle":"","family":"Freitas","given":"M. C.","non-dropping-particle":"","parse-names":false,"suffix":""},{"dropping-particle":"","family":"Reis","given":"M. A.","non-dropping-particle":"","parse-names":false,"suffix":""},{"dropping-particle":"","family":"Trancoso","given":"M. A.","non-dropping-particle":"","parse-names":false,"suffix":""}],"container-title":"Atmospheric Environment","id":"ITEM-1","issue":"11","issued":{"date-parts":[["2006","4"]]},"page":"2058-2067","title":"Source apportionment of atmospheric urban aerosol based on weekdays/weekend variability: Evaluation of road re-suspended dust contribution","type":"article-journal","volume":"40"},"uris":["http://www.mendeley.com/documents/?uuid=d19feb48-4b4e-3fc9-a2ee-2c06610cc462"]}],"mendeley":{"formattedCitation":"(Almeida et al., 2006)","plainTextFormattedCitation":"(Almeida et al., 2006)","previouslyFormattedCitation":"(Almeida et al., 2006)"},"properties":{"noteIndex":0},"schema":"https://github.com/citation-style-language/schema/raw/master/csl-citation.json"}</w:instrText>
      </w:r>
      <w:r>
        <w:rPr>
          <w:rFonts w:ascii="Times New Roman" w:hAnsi="Times New Roman" w:cs="Times New Roman"/>
          <w:i/>
          <w:iCs/>
        </w:rPr>
        <w:fldChar w:fldCharType="separate"/>
      </w:r>
      <w:r w:rsidRPr="00A269A5">
        <w:rPr>
          <w:rFonts w:ascii="Times New Roman" w:hAnsi="Times New Roman" w:cs="Times New Roman"/>
          <w:iCs/>
          <w:noProof/>
        </w:rPr>
        <w:t>(Almeida et al., 2006)</w:t>
      </w:r>
      <w:r>
        <w:rPr>
          <w:rFonts w:ascii="Times New Roman" w:hAnsi="Times New Roman" w:cs="Times New Roman"/>
          <w:i/>
          <w:iCs/>
        </w:rPr>
        <w:fldChar w:fldCharType="end"/>
      </w:r>
      <w:r w:rsidR="007B01BC" w:rsidRPr="00B914BF">
        <w:rPr>
          <w:rFonts w:ascii="Times New Roman" w:hAnsi="Times New Roman" w:cs="Times New Roman"/>
          <w:i/>
          <w:iCs/>
        </w:rPr>
        <w:t xml:space="preserve">. Although commercially available coal generally has low Pb content, </w:t>
      </w:r>
      <w:r>
        <w:rPr>
          <w:rFonts w:ascii="Times New Roman" w:hAnsi="Times New Roman" w:cs="Times New Roman"/>
          <w:i/>
          <w:iCs/>
        </w:rPr>
        <w:fldChar w:fldCharType="begin" w:fldLock="1"/>
      </w:r>
      <w:r w:rsidR="00F50FF9">
        <w:rPr>
          <w:rFonts w:ascii="Times New Roman" w:hAnsi="Times New Roman" w:cs="Times New Roman"/>
          <w:i/>
          <w:iCs/>
        </w:rPr>
        <w:instrText>ADDIN CSL_CITATION {"citationItems":[{"id":"ITEM-1","itemData":{"abstract":"Abatraet-The elemental composition ofaerosols over four cities in India was determined by EDXRF over a l-year period and the results are presented. The crustal element levels in air in all the cities are found to be similar to those reported for urban areas elsewhere in the world while that of anthropogenic elements are lower. The aerosol compositions show a seasonal variation. The levels of crustal elements are higher during summer and decrease with rainfall. The anthropogenic elements are generally higher during winter. The lead levels are essentially from non-auto exhaust sources such as refuse burning, smelter etc., and in three of the cities they are strongly correlated to zinc. The erustal elements are from local soils and no significant crust-air fractionation is seen. Factor analysis of the data suggests between four and six aerosol source types for the four cities. Soil dust accounts for the major fraction ofthe measured mass. About 68-80%of theaerosol mass comprising the residuals seems to consist of C, Oz and N, in particular, which were not measured. Key word index: Aerosol composition, urban areas in India, EDXRF analysis, crustal and anthropogenic elements, seasonal variation, factor analysis, aerosol sources. lNTRODUCTlON The aerosol loadings in the tropics are generally high compared to other latitudes. According to a recent study (WHO, 1984) the S-year averages of total suspended paniculates (TSP or aerosol mass) for three metropolitan cities in India are in the range of 140-540~gm-3, with soil being the primary contributor to dust load. The sources of non-commercial energy in India are different from those of developed countries. Firewood combustion accounted for 27 \"/;, in terms of the coal replacement value of total energy needs (Govt. of India, 1979) and this sort of fuel consumption should also influence the aerosol composition (Sexton et a/., 1985). Though the trace element composition of aerosols collected at many cities in India have been reported (Gopalakrishnan et a/., 1983) no measurements of the major elements in aerosols are available. Using the Energy Dispersive X-ray Fluorescence Technique the aerosol composition at four cities in India was estimated and the results are presented in this paper. SAMPLE COLLECTION AND ANALYSIS The aerosol samples were collected during a period of I year (1980-1981) at four cities Bombay, Bangalore, Nagpur and Jaipur (Fig. 1). Of these Bombay is situated on the western margin of the Deccan b…","author":[{"dropping-particle":"","family":"Negi","given":"B S","non-dropping-particle":"","parse-names":false,"suffix":""},{"dropping-particle":"","family":"Sadasivan","given":"S","non-dropping-particle":"","parse-names":false,"suffix":""},{"dropping-particle":"","family":"Mishra","given":"U C","non-dropping-particle":"","parse-names":false,"suffix":""}],"id":"ITEM-1","issue":"6","issued":{"date-parts":[["1987"]]},"number-of-pages":"12594266","title":"AEROSOL COMPOSITION AND SOURCES IN URBAN AREAS IN INDIA","type":"report","volume":"21"},"uris":["http://www.mendeley.com/documents/?uuid=b3b5acfc-64b3-3420-8432-514122dfe27f"]}],"mendeley":{"formattedCitation":"(Negi et al., 1987)","plainTextFormattedCitation":"(Negi et al., 1987)","previouslyFormattedCitation":"(Negi et al., 1987)"},"properties":{"noteIndex":0},"schema":"https://github.com/citation-style-language/schema/raw/master/csl-citation.json"}</w:instrText>
      </w:r>
      <w:r>
        <w:rPr>
          <w:rFonts w:ascii="Times New Roman" w:hAnsi="Times New Roman" w:cs="Times New Roman"/>
          <w:i/>
          <w:iCs/>
        </w:rPr>
        <w:fldChar w:fldCharType="separate"/>
      </w:r>
      <w:r w:rsidRPr="00A269A5">
        <w:rPr>
          <w:rFonts w:ascii="Times New Roman" w:hAnsi="Times New Roman" w:cs="Times New Roman"/>
          <w:iCs/>
          <w:noProof/>
        </w:rPr>
        <w:t>(Negi et al., 1987)</w:t>
      </w:r>
      <w:r>
        <w:rPr>
          <w:rFonts w:ascii="Times New Roman" w:hAnsi="Times New Roman" w:cs="Times New Roman"/>
          <w:i/>
          <w:iCs/>
        </w:rPr>
        <w:fldChar w:fldCharType="end"/>
      </w:r>
      <w:r w:rsidR="007B01BC" w:rsidRPr="00B914BF">
        <w:rPr>
          <w:rFonts w:ascii="Times New Roman" w:hAnsi="Times New Roman" w:cs="Times New Roman"/>
          <w:i/>
          <w:iCs/>
        </w:rPr>
        <w:t xml:space="preserve"> reported elevated Pb and Zn concentrations in domestic soft coal.</w:t>
      </w:r>
      <w:r w:rsidR="00CC2893">
        <w:rPr>
          <w:rFonts w:ascii="Times New Roman" w:hAnsi="Times New Roman" w:cs="Times New Roman"/>
          <w:i/>
          <w:iCs/>
        </w:rPr>
        <w:t xml:space="preserve"> </w:t>
      </w:r>
      <w:r w:rsidR="00D3332B">
        <w:rPr>
          <w:rFonts w:ascii="Times New Roman" w:hAnsi="Times New Roman" w:cs="Times New Roman"/>
          <w:i/>
          <w:iCs/>
        </w:rPr>
        <w:t>P</w:t>
      </w:r>
      <w:r w:rsidR="0032196A" w:rsidRPr="0032196A">
        <w:rPr>
          <w:rFonts w:ascii="Times New Roman" w:hAnsi="Times New Roman" w:cs="Times New Roman"/>
          <w:i/>
          <w:iCs/>
        </w:rPr>
        <w:t xml:space="preserve">revious </w:t>
      </w:r>
      <w:r w:rsidR="00301E44">
        <w:rPr>
          <w:rFonts w:ascii="Times New Roman" w:hAnsi="Times New Roman" w:cs="Times New Roman"/>
          <w:i/>
          <w:iCs/>
        </w:rPr>
        <w:t>studies</w:t>
      </w:r>
      <w:r w:rsidR="0032196A" w:rsidRPr="0032196A">
        <w:rPr>
          <w:rFonts w:ascii="Times New Roman" w:hAnsi="Times New Roman" w:cs="Times New Roman"/>
          <w:i/>
          <w:iCs/>
        </w:rPr>
        <w:t xml:space="preserve"> identified BC emissions associated with </w:t>
      </w:r>
      <w:r w:rsidR="00F07CF3">
        <w:rPr>
          <w:rFonts w:ascii="Times New Roman" w:hAnsi="Times New Roman" w:cs="Times New Roman"/>
          <w:i/>
          <w:iCs/>
        </w:rPr>
        <w:t>this</w:t>
      </w:r>
      <w:r w:rsidR="0032196A" w:rsidRPr="0032196A">
        <w:rPr>
          <w:rFonts w:ascii="Times New Roman" w:hAnsi="Times New Roman" w:cs="Times New Roman"/>
          <w:i/>
          <w:iCs/>
        </w:rPr>
        <w:t xml:space="preserve"> factor</w:t>
      </w:r>
      <w:r w:rsidR="00F07CF3">
        <w:rPr>
          <w:rFonts w:ascii="Times New Roman" w:hAnsi="Times New Roman" w:cs="Times New Roman"/>
          <w:i/>
          <w:iCs/>
        </w:rPr>
        <w:t xml:space="preserve"> </w:t>
      </w:r>
      <w:r w:rsidR="00F07CF3">
        <w:rPr>
          <w:rFonts w:ascii="Times New Roman" w:hAnsi="Times New Roman" w:cs="Times New Roman"/>
          <w:i/>
          <w:iCs/>
        </w:rPr>
        <w:fldChar w:fldCharType="begin" w:fldLock="1"/>
      </w:r>
      <w:r w:rsidR="005B4754">
        <w:rPr>
          <w:rFonts w:ascii="Times New Roman" w:hAnsi="Times New Roman" w:cs="Times New Roman"/>
          <w:i/>
          <w:iCs/>
        </w:rPr>
        <w:instrText>ADDIN CSL_CITATION {"citationItems":[{"id":"ITEM-1","itemData":{"DOI":"10.1016/j.atmosenv.2024.120863","ISSN":"18732844","abstract":"The aethalometer model (AM) is widely used for source apportionment (SA) of black carbon (BC) in regions with mixed BC sources despite being initially developed for a relatively simplistic and low-pollution environments. The present study interrogates the applicability of AM in highly polluted metropolitan environments by comparing its results with the more nuanced Positive Matrix Factorization (PMF) model. The measurements were conducted in Delhi during the winter and summer season. PMF apportions the BC into diverse sources by taking help from complementary trace elemental measurements, thereby acknowledging the complex pollution landscape of the Delhi region. The AM estimates BCbb (BC from biomass burning) and BCff (BC from fossil fuel combustion) contributions as 48.3% and 51.7% during the winter and 16.6% and 83.4% during the summer, respectively. In contrast, the PMF model-derived biomass burning factor is the dominant source of BC during both winter and summer seasons, contributing 53.9% and 44% of the total BC, respectively. The decrease in light absorption at UV wavelengths of biomass-burning aerosols owing to escalated ambient aging is posited to be the reason for BCbb underprediction by the AM model during summers. Furthermore, while the AM model identifies fossil fuel combustion as the only other BC source apart from biomass burning, the PMF model apportions BC to five additional sources during winter, including vehicle emissions (22.9%), Pb-rich factor (10%), power plant (5.7%), waste incineration (4%) and industrial emission (3.6%). The contribution of these BC sources during summer is vehicular emission (16.5%), power plant (14.5%), waste incineration (11.5%), Pb-rich factor (9.5%), and industrial emission (4%). Additionally, the spectral variation of the light absorption properties of black carbon (bBCabs) and brown carbon (bBrCabs), delta-C effect, and sensitivity of the AM are reported for the study period. The present study cautions that BC source apportionment can be complex in highly polluted metropolitan environments, and complementary tracer measurements are recommended for reliable results.","author":[{"dropping-particle":"","family":"Kumar","given":"Ajit","non-dropping-particle":"","parse-names":false,"suffix":""},{"dropping-particle":"","family":"Goel","given":"Vikas","non-dropping-particle":"","parse-names":false,"suffix":""},{"dropping-particle":"","family":"Faisal","given":"Mohd","non-dropping-particle":"","parse-names":false,"suffix":""},{"dropping-particle":"","family":"Ali","given":"Umer","non-dropping-particle":"","parse-names":false,"suffix":""},{"dropping-particle":"","family":"Maity","given":"Rakesh","non-dropping-particle":"","parse-names":false,"suffix":""},{"dropping-particle":"","family":"Ganguly","given":"Dilip","non-dropping-particle":"","parse-names":false,"suffix":""},{"dropping-particle":"","family":"Singh","given":"Vikram","non-dropping-particle":"","parse-names":false,"suffix":""},{"dropping-particle":"","family":"Kumar","given":"Mayank","non-dropping-particle":"","parse-names":false,"suffix":""}],"container-title":"Atmospheric Environment","id":"ITEM-1","issue":"March","issued":{"date-parts":[["2024"]]},"page":"120863","publisher":"Elsevier Ltd","title":"Two different approaches for source apportionment of ambient black carbon in highly polluted environments","type":"article-journal","volume":"338"},"uris":["http://www.mendeley.com/documents/?uuid=7505b22f-548e-48e5-ad06-57188dfa05d2"]}],"mendeley":{"formattedCitation":"(Kumar et al., 2024)","plainTextFormattedCitation":"(Kumar et al., 2024)","previouslyFormattedCitation":"(Kumar et al., 2024)"},"properties":{"noteIndex":0},"schema":"https://github.com/citation-style-language/schema/raw/master/csl-citation.json"}</w:instrText>
      </w:r>
      <w:r w:rsidR="00F07CF3">
        <w:rPr>
          <w:rFonts w:ascii="Times New Roman" w:hAnsi="Times New Roman" w:cs="Times New Roman"/>
          <w:i/>
          <w:iCs/>
        </w:rPr>
        <w:fldChar w:fldCharType="separate"/>
      </w:r>
      <w:r w:rsidR="00F07CF3" w:rsidRPr="00F07CF3">
        <w:rPr>
          <w:rFonts w:ascii="Times New Roman" w:hAnsi="Times New Roman" w:cs="Times New Roman"/>
          <w:iCs/>
          <w:noProof/>
        </w:rPr>
        <w:t>(Kumar et al., 2024)</w:t>
      </w:r>
      <w:r w:rsidR="00F07CF3">
        <w:rPr>
          <w:rFonts w:ascii="Times New Roman" w:hAnsi="Times New Roman" w:cs="Times New Roman"/>
          <w:i/>
          <w:iCs/>
        </w:rPr>
        <w:fldChar w:fldCharType="end"/>
      </w:r>
      <w:r w:rsidR="00DF0E2B">
        <w:rPr>
          <w:rFonts w:ascii="Times New Roman" w:hAnsi="Times New Roman" w:cs="Times New Roman"/>
          <w:i/>
          <w:iCs/>
        </w:rPr>
        <w:t>.</w:t>
      </w:r>
      <w:r w:rsidR="00400A21">
        <w:rPr>
          <w:rFonts w:ascii="Times New Roman" w:hAnsi="Times New Roman" w:cs="Times New Roman"/>
          <w:i/>
          <w:iCs/>
        </w:rPr>
        <w:t xml:space="preserve"> </w:t>
      </w:r>
      <w:r w:rsidR="007B01BC" w:rsidRPr="00B914BF">
        <w:rPr>
          <w:rFonts w:ascii="Times New Roman" w:hAnsi="Times New Roman" w:cs="Times New Roman"/>
          <w:i/>
          <w:iCs/>
        </w:rPr>
        <w:t xml:space="preserve">Indian domestic coals typically contain low sulfur levels (below 0.6% by mass), except for coal deposits in northeastern India, which exhibit higher sulfur content </w:t>
      </w:r>
      <w:r w:rsidR="00F50FF9">
        <w:rPr>
          <w:rFonts w:ascii="Times New Roman" w:hAnsi="Times New Roman" w:cs="Times New Roman"/>
          <w:i/>
          <w:iCs/>
        </w:rPr>
        <w:fldChar w:fldCharType="begin" w:fldLock="1"/>
      </w:r>
      <w:r w:rsidR="00FB218D">
        <w:rPr>
          <w:rFonts w:ascii="Times New Roman" w:hAnsi="Times New Roman" w:cs="Times New Roman"/>
          <w:i/>
          <w:iCs/>
        </w:rPr>
        <w:instrText>ADDIN CSL_CITATION {"citationItems":[{"id":"ITEM-1","itemData":{"author":[{"dropping-particle":"","family":"Sarkar","given":"S","non-dropping-particle":"","parse-names":false,"suffix":""}],"id":"ITEM-1","issued":{"date-parts":[["2009"]]},"title":"Fuels and Combustion","type":"book"},"uris":["http://www.mendeley.com/documents/?uuid=f09bc625-0df6-3de2-bc9a-d986aa4d65cf"]}],"mendeley":{"formattedCitation":"(Sarkar, 2009)","plainTextFormattedCitation":"(Sarkar, 2009)","previouslyFormattedCitation":"(Sarkar, 2009)"},"properties":{"noteIndex":0},"schema":"https://github.com/citation-style-language/schema/raw/master/csl-citation.json"}</w:instrText>
      </w:r>
      <w:r w:rsidR="00F50FF9">
        <w:rPr>
          <w:rFonts w:ascii="Times New Roman" w:hAnsi="Times New Roman" w:cs="Times New Roman"/>
          <w:i/>
          <w:iCs/>
        </w:rPr>
        <w:fldChar w:fldCharType="separate"/>
      </w:r>
      <w:r w:rsidR="00F50FF9" w:rsidRPr="00F50FF9">
        <w:rPr>
          <w:rFonts w:ascii="Times New Roman" w:hAnsi="Times New Roman" w:cs="Times New Roman"/>
          <w:iCs/>
          <w:noProof/>
        </w:rPr>
        <w:t>(Sarkar, 2009)</w:t>
      </w:r>
      <w:r w:rsidR="00F50FF9">
        <w:rPr>
          <w:rFonts w:ascii="Times New Roman" w:hAnsi="Times New Roman" w:cs="Times New Roman"/>
          <w:i/>
          <w:iCs/>
        </w:rPr>
        <w:fldChar w:fldCharType="end"/>
      </w:r>
      <w:r w:rsidR="007B01BC" w:rsidRPr="00B914BF">
        <w:rPr>
          <w:rFonts w:ascii="Times New Roman" w:hAnsi="Times New Roman" w:cs="Times New Roman"/>
          <w:i/>
          <w:iCs/>
        </w:rPr>
        <w:t xml:space="preserve">. Furthermore, Indian power plants have been reported to use blended domestic and imported coals, contributing to increased sulfate emissions from power generation facilities </w:t>
      </w:r>
      <w:r w:rsidR="00FB218D">
        <w:rPr>
          <w:rFonts w:ascii="Times New Roman" w:hAnsi="Times New Roman" w:cs="Times New Roman"/>
          <w:i/>
          <w:iCs/>
        </w:rPr>
        <w:fldChar w:fldCharType="begin" w:fldLock="1"/>
      </w:r>
      <w:r w:rsidR="00F07CF3">
        <w:rPr>
          <w:rFonts w:ascii="Times New Roman" w:hAnsi="Times New Roman" w:cs="Times New Roman"/>
          <w:i/>
          <w:iCs/>
        </w:rPr>
        <w:instrText>ADDIN CSL_CITATION {"citationItems":[{"id":"ITEM-1","itemData":{"author":[{"dropping-particle":"","family":"Central Electricity Authority","given":"","non-dropping-particle":"","parse-names":false,"suffix":""}],"id":"ITEM-1","issued":{"date-parts":[["2012"]]},"publisher":"New Delhi","title":"Report of the group for studying range of blending of imported coal with domestic coal.","type":"patent"},"uris":["http://www.mendeley.com/documents/?uuid=7aa5c13f-0d71-3e38-bab2-bbc56e4eb32a"]},{"id":"ITEM-2","itemData":{"DOI":"10.1016/j.envint.2021.106541","ISSN":"18736750","PMID":"33845290","abstract":"The Government of India (GOI) announced a nationwide lockdown starting 25th March 2020 to contain the spread of COVID-19, leading to an unprecedented decline in anthropogenic activities and, in turn, improvements in ambient air quality. This is the first study to focus on highly time-resolved chemical speciation and source apportionment of PM2.5 to assess the impact of the lockdown and subsequent relaxations on the sources of ambient PM2.5 in Delhi, India. The elemental, organic, and black carbon fractions of PM2.5 were measured at the IIT Delhi campus from February 2020 to May 2020. We report source apportionment results using positive matrix factorization (PMF) of organic and elemental fractions of PM2.5 during the different phases of the lockdown. The resolved sources such as vehicular emissions, domestic coal combustion, and semi-volatile oxygenated organic aerosol (SVOOA) were found to decrease by 96%, 95%, and 86%, respectively, during lockdown phase-1 as compared to pre-lockdown. An unforeseen rise in O3 concentrations with declining NOx levels was observed, similar to other parts of the globe, leading to the low-volatility oxygenated organic aerosols (LVOOA) increasing to almost double the pre-lockdown concentrations during the last phase of the lockdown. The effect of the lockdown was found to be less pronounced on other resolved sources like secondary chloride, power plants, dust-related, hydrocarbon-like organic aerosols (HOA), and biomass burning related emissions, which were also swayed by the changing meteorological conditions during the four lockdown phases. The results presented in this study provide a basis for future emission control strategies, quantifying the extent to which constraining certain anthropogenic activities can ameliorate the ambient air. These results have direct relevance to not only Delhi but the entire Indo-Gangetic plain (IGP), citing similar geographical and meteorological conditions common to the region along with overlapping regional emission sources. Summary of main findings: We identify sources like vehicular emissions, domestic coal combustion, and semi-volatile oxygenated organic aerosol (SVOOA) to be severely impacted by the lockdown, whereas ozone levels and, in turn, low-volatility oxygenated organic aerosols (LVOOA) rise by more than 95% compared to the pre-lockdown concentrations during the last phase of the lockdown. However, other sources resolved in this study, like secondary chloride, power plants, d…","author":[{"dropping-particle":"","family":"Manchanda","given":"Chirag","non-dropping-particle":"","parse-names":false,"suffix":""},{"dropping-particle":"","family":"Kumar","given":"Mayank","non-dropping-particle":"","parse-names":false,"suffix":""},{"dropping-particle":"","family":"Singh","given":"Vikram","non-dropping-particle":"","parse-names":false,"suffix":""},{"dropping-particle":"","family":"Faisal","given":"Mohd","non-dropping-particle":"","parse-names":false,"suffix":""},{"dropping-particle":"","family":"Hazarika","given":"Naba","non-dropping-particle":"","parse-names":false,"suffix":""},{"dropping-particle":"","family":"Shukla","given":"Ashutosh","non-dropping-particle":"","parse-names":false,"suffix":""},{"dropping-particle":"","family":"Lalchandani","given":"Vipul","non-dropping-particle":"","parse-names":false,"suffix":""},{"dropping-particle":"","family":"Goel","given":"Vikas","non-dropping-particle":"","parse-names":false,"suffix":""},{"dropping-particle":"","family":"Thamban","given":"Navaneeth","non-dropping-particle":"","parse-names":false,"suffix":""},{"dropping-particle":"","family":"Ganguly","given":"Dilip","non-dropping-particle":"","parse-names":false,"suffix":""},{"dropping-particle":"","family":"Tripathi","given":"Sachchida Nand","non-dropping-particle":"","parse-names":false,"suffix":""}],"container-title":"Environment International","id":"ITEM-2","issue":"December 2020","issued":{"date-parts":[["2021"]]},"page":"106541","publisher":"Elsevier Ltd","title":"Variation in chemical composition and sources of PM2.5 during the COVID-19 lockdown in Delhi","type":"article-journal","volume":"153"},"uris":["http://www.mendeley.com/documents/?uuid=56f28b26-26dd-4669-a4ef-e32df43235ec"]}],"mendeley":{"formattedCitation":"(Central Electricity Authority, 2012; Manchanda et al., 2021)","plainTextFormattedCitation":"(Central Electricity Authority, 2012; Manchanda et al., 2021)","previouslyFormattedCitation":"(Central Electricity Authority, 2012; Manchanda et al., 2021)"},"properties":{"noteIndex":0},"schema":"https://github.com/citation-style-language/schema/raw/master/csl-citation.json"}</w:instrText>
      </w:r>
      <w:r w:rsidR="00FB218D">
        <w:rPr>
          <w:rFonts w:ascii="Times New Roman" w:hAnsi="Times New Roman" w:cs="Times New Roman"/>
          <w:i/>
          <w:iCs/>
        </w:rPr>
        <w:fldChar w:fldCharType="separate"/>
      </w:r>
      <w:r w:rsidR="00FB218D" w:rsidRPr="00FB218D">
        <w:rPr>
          <w:rFonts w:ascii="Times New Roman" w:hAnsi="Times New Roman" w:cs="Times New Roman"/>
          <w:iCs/>
          <w:noProof/>
        </w:rPr>
        <w:t>(Central Electricity Authority, 2012; Manchanda et al., 2021)</w:t>
      </w:r>
      <w:r w:rsidR="00FB218D">
        <w:rPr>
          <w:rFonts w:ascii="Times New Roman" w:hAnsi="Times New Roman" w:cs="Times New Roman"/>
          <w:i/>
          <w:iCs/>
        </w:rPr>
        <w:fldChar w:fldCharType="end"/>
      </w:r>
      <w:r w:rsidR="004822D6">
        <w:rPr>
          <w:rFonts w:ascii="Times New Roman" w:hAnsi="Times New Roman" w:cs="Times New Roman"/>
          <w:i/>
          <w:iCs/>
        </w:rPr>
        <w:t>.</w:t>
      </w:r>
      <w:r w:rsidR="00D70454">
        <w:rPr>
          <w:rFonts w:ascii="Times New Roman" w:hAnsi="Times New Roman" w:cs="Times New Roman"/>
          <w:i/>
          <w:iCs/>
        </w:rPr>
        <w:t xml:space="preserve"> </w:t>
      </w:r>
      <w:r w:rsidR="007A0B2C">
        <w:rPr>
          <w:rFonts w:ascii="Times New Roman" w:hAnsi="Times New Roman" w:cs="Times New Roman"/>
          <w:i/>
          <w:iCs/>
        </w:rPr>
        <w:t>In a previous study, Prakash et al. (2018) examined the origins of Cu and Pb emissions in Delhi, particularly from industrial metal processing and lead-acid battery manufacturing and recycling facilities. Diurnal</w:t>
      </w:r>
      <w:r w:rsidR="007B01BC" w:rsidRPr="00B914BF">
        <w:rPr>
          <w:rFonts w:ascii="Times New Roman" w:hAnsi="Times New Roman" w:cs="Times New Roman"/>
          <w:i/>
          <w:iCs/>
        </w:rPr>
        <w:t xml:space="preserve"> variation of this factor exhibits a distinct peak during the morning hours, followed by a gradual decline and subsequent stabilization </w:t>
      </w:r>
      <w:r w:rsidR="007B01BC" w:rsidRPr="00B914BF">
        <w:rPr>
          <w:rFonts w:ascii="Times New Roman" w:hAnsi="Times New Roman" w:cs="Times New Roman"/>
          <w:i/>
          <w:iCs/>
        </w:rPr>
        <w:lastRenderedPageBreak/>
        <w:t>throughout the day. The pronounced morning peak suggests enhanced emissions during the early hours, likely linked to combustion activities such as industrial operations or power plant emissions, which are more prominent at the start of the day</w:t>
      </w:r>
      <w:r w:rsidR="00D4692E">
        <w:rPr>
          <w:rFonts w:ascii="Times New Roman" w:hAnsi="Times New Roman" w:cs="Times New Roman"/>
          <w:i/>
          <w:iCs/>
        </w:rPr>
        <w:t xml:space="preserve"> (Figure </w:t>
      </w:r>
      <w:r w:rsidR="00A42E60">
        <w:rPr>
          <w:rFonts w:ascii="Times New Roman" w:hAnsi="Times New Roman" w:cs="Times New Roman"/>
          <w:i/>
          <w:iCs/>
        </w:rPr>
        <w:t>(</w:t>
      </w:r>
      <w:r w:rsidR="00DD5A73">
        <w:rPr>
          <w:rFonts w:ascii="Times New Roman" w:hAnsi="Times New Roman" w:cs="Times New Roman"/>
          <w:i/>
          <w:iCs/>
        </w:rPr>
        <w:t>5</w:t>
      </w:r>
      <w:r w:rsidR="00A42E60">
        <w:rPr>
          <w:rFonts w:ascii="Times New Roman" w:hAnsi="Times New Roman" w:cs="Times New Roman"/>
          <w:i/>
          <w:iCs/>
        </w:rPr>
        <w:t>d))</w:t>
      </w:r>
      <w:r w:rsidR="007B01BC" w:rsidRPr="00B914BF">
        <w:rPr>
          <w:rFonts w:ascii="Times New Roman" w:hAnsi="Times New Roman" w:cs="Times New Roman"/>
          <w:i/>
          <w:iCs/>
        </w:rPr>
        <w:t>. The subsequent decrease and stabilization may be attributed to reduced emission rates or the influence of boundary layer dynamics, leading to pollutant dispersion and dilution.</w:t>
      </w:r>
      <w:r w:rsidR="00F341F7">
        <w:rPr>
          <w:rFonts w:ascii="Times New Roman" w:hAnsi="Times New Roman" w:cs="Times New Roman"/>
          <w:i/>
          <w:iCs/>
        </w:rPr>
        <w:t xml:space="preserve"> </w:t>
      </w:r>
      <w:r w:rsidR="007B01BC" w:rsidRPr="00B914BF">
        <w:rPr>
          <w:rFonts w:ascii="Times New Roman" w:hAnsi="Times New Roman" w:cs="Times New Roman"/>
          <w:i/>
          <w:iCs/>
        </w:rPr>
        <w:t>The black carbon concentration associated with this lead-rich factor (</w:t>
      </w:r>
      <w:proofErr w:type="spellStart"/>
      <w:r w:rsidR="007B01BC" w:rsidRPr="00B914BF">
        <w:rPr>
          <w:rFonts w:ascii="Times New Roman" w:hAnsi="Times New Roman" w:cs="Times New Roman"/>
          <w:i/>
          <w:iCs/>
        </w:rPr>
        <w:t>BC</w:t>
      </w:r>
      <w:r w:rsidR="007B01BC" w:rsidRPr="00F341F7">
        <w:rPr>
          <w:rFonts w:ascii="Times New Roman" w:hAnsi="Times New Roman" w:cs="Times New Roman"/>
          <w:i/>
          <w:iCs/>
          <w:vertAlign w:val="subscript"/>
        </w:rPr>
        <w:t>Pb</w:t>
      </w:r>
      <w:proofErr w:type="spellEnd"/>
      <w:r w:rsidR="007B01BC" w:rsidRPr="00F341F7">
        <w:rPr>
          <w:rFonts w:ascii="Times New Roman" w:hAnsi="Times New Roman" w:cs="Times New Roman"/>
          <w:i/>
          <w:iCs/>
          <w:vertAlign w:val="subscript"/>
        </w:rPr>
        <w:t xml:space="preserve">−rich) </w:t>
      </w:r>
      <w:r w:rsidR="007B01BC" w:rsidRPr="00B914BF">
        <w:rPr>
          <w:rFonts w:ascii="Times New Roman" w:hAnsi="Times New Roman" w:cs="Times New Roman"/>
          <w:i/>
          <w:iCs/>
        </w:rPr>
        <w:t>had an average value of 0.7 ± 1.45 µg/m³.</w:t>
      </w:r>
    </w:p>
    <w:p w14:paraId="00D2DC1B" w14:textId="41068461" w:rsidR="007B01BC" w:rsidRPr="00D712FB" w:rsidRDefault="00D712FB" w:rsidP="00B914BF">
      <w:pPr>
        <w:spacing w:line="480" w:lineRule="auto"/>
        <w:jc w:val="both"/>
        <w:rPr>
          <w:rFonts w:ascii="Times New Roman" w:hAnsi="Times New Roman" w:cs="Times New Roman"/>
          <w:b/>
          <w:bCs/>
          <w:i/>
          <w:iCs/>
        </w:rPr>
      </w:pPr>
      <w:r w:rsidRPr="00D712FB">
        <w:rPr>
          <w:rFonts w:ascii="Times New Roman" w:hAnsi="Times New Roman" w:cs="Times New Roman"/>
          <w:b/>
          <w:bCs/>
          <w:i/>
          <w:iCs/>
        </w:rPr>
        <w:t xml:space="preserve">3.3 </w:t>
      </w:r>
      <w:r w:rsidR="007B01BC" w:rsidRPr="00D712FB">
        <w:rPr>
          <w:rFonts w:ascii="Times New Roman" w:hAnsi="Times New Roman" w:cs="Times New Roman"/>
          <w:b/>
          <w:bCs/>
          <w:i/>
          <w:iCs/>
        </w:rPr>
        <w:t>Waste Incineration</w:t>
      </w:r>
    </w:p>
    <w:p w14:paraId="380022C2" w14:textId="5048EAB8" w:rsidR="007B01BC" w:rsidRPr="00B914BF" w:rsidRDefault="007B01BC" w:rsidP="00B914BF">
      <w:pPr>
        <w:spacing w:line="480" w:lineRule="auto"/>
        <w:jc w:val="both"/>
        <w:rPr>
          <w:rFonts w:ascii="Times New Roman" w:hAnsi="Times New Roman" w:cs="Times New Roman"/>
          <w:i/>
          <w:iCs/>
        </w:rPr>
      </w:pPr>
      <w:r w:rsidRPr="00B914BF">
        <w:rPr>
          <w:rFonts w:ascii="Times New Roman" w:hAnsi="Times New Roman" w:cs="Times New Roman"/>
          <w:i/>
          <w:iCs/>
        </w:rPr>
        <w:t>This factor</w:t>
      </w:r>
      <w:r w:rsidR="00CB7D77">
        <w:rPr>
          <w:rFonts w:ascii="Times New Roman" w:hAnsi="Times New Roman" w:cs="Times New Roman"/>
          <w:i/>
          <w:iCs/>
        </w:rPr>
        <w:t>,</w:t>
      </w:r>
      <w:r w:rsidR="002E5F96">
        <w:rPr>
          <w:rFonts w:ascii="Times New Roman" w:hAnsi="Times New Roman" w:cs="Times New Roman"/>
          <w:i/>
          <w:iCs/>
        </w:rPr>
        <w:t xml:space="preserve"> </w:t>
      </w:r>
      <w:r w:rsidR="00EA00B8">
        <w:rPr>
          <w:rFonts w:ascii="Times New Roman" w:hAnsi="Times New Roman" w:cs="Times New Roman"/>
          <w:i/>
          <w:iCs/>
        </w:rPr>
        <w:t xml:space="preserve">depicted in Figure </w:t>
      </w:r>
      <w:r w:rsidR="00D66C38">
        <w:rPr>
          <w:rFonts w:ascii="Times New Roman" w:hAnsi="Times New Roman" w:cs="Times New Roman"/>
          <w:i/>
          <w:iCs/>
        </w:rPr>
        <w:t>(</w:t>
      </w:r>
      <w:r w:rsidR="00DD5A73">
        <w:rPr>
          <w:rFonts w:ascii="Times New Roman" w:hAnsi="Times New Roman" w:cs="Times New Roman"/>
          <w:i/>
          <w:iCs/>
        </w:rPr>
        <w:t>6</w:t>
      </w:r>
      <w:r w:rsidR="00EA00B8">
        <w:rPr>
          <w:rFonts w:ascii="Times New Roman" w:hAnsi="Times New Roman" w:cs="Times New Roman"/>
          <w:i/>
          <w:iCs/>
        </w:rPr>
        <w:t>d)</w:t>
      </w:r>
      <w:r w:rsidR="00D66C38">
        <w:rPr>
          <w:rFonts w:ascii="Times New Roman" w:hAnsi="Times New Roman" w:cs="Times New Roman"/>
          <w:i/>
          <w:iCs/>
        </w:rPr>
        <w:t>,</w:t>
      </w:r>
      <w:r w:rsidRPr="00B914BF">
        <w:rPr>
          <w:rFonts w:ascii="Times New Roman" w:hAnsi="Times New Roman" w:cs="Times New Roman"/>
          <w:i/>
          <w:iCs/>
        </w:rPr>
        <w:t xml:space="preserve"> is primarily dominated by high contributions of Zn (42%), Cl (24%), BC (9.4%), K (7.5%), and Fe (2%). In terms of species distribution across factors, it accounts for 75% of total Zn, 33.4% of total Mn, 13.6% of total As, 12.2% of total Pb, 14% of total Cu, 13% of total Cl, 7.3% of total Fe, 5% of total Br, and 4.5% of total K (Fig. 2(a)). Several studies have previously identified a Zn-dominated factor as indicative of waste incineration sources </w:t>
      </w:r>
      <w:r w:rsidR="005B4754">
        <w:rPr>
          <w:rFonts w:ascii="Times New Roman" w:hAnsi="Times New Roman" w:cs="Times New Roman"/>
          <w:i/>
          <w:iCs/>
        </w:rPr>
        <w:fldChar w:fldCharType="begin" w:fldLock="1"/>
      </w:r>
      <w:r w:rsidR="00B01895">
        <w:rPr>
          <w:rFonts w:ascii="Times New Roman" w:hAnsi="Times New Roman" w:cs="Times New Roman"/>
          <w:i/>
          <w:iCs/>
        </w:rPr>
        <w:instrText>ADDIN CSL_CITATION {"citationItems":[{"id":"ITEM-1","itemData":{"DOI":"10.1100/2012/585791","ISSN":"1537744X","PMID":"22645437","abstract":"Particulate Matter (PM10) has been one of the main air pollutants exceeding the ambient standards in most of the major cities in India. During last few years, receptor models such as Chemical Mass Balance, Positive Matrix Factorization (PMF), PCAAPCS and UNMIX have been used to provide solutions to the source identification and contributions which are accepted for developing effective and efficient air quality management plans. Each site poses different complexities while resolving PM10 contributions. This paper reports the variability of four sites within Mumbai city using PMF. Industrial area of Mahul showed sources such as residual oil combustion and paved road dust (27), traffic (20), coal fired boiler (17), nitrate (15). Residential area of Khar showed sources such as residual oil combustion and construction (25), motor vehicles (23), marine aerosol and nitrate (19), paved road dust (18) compared to construction and natural dust (27), motor vehicles and smelting work (25), nitrate (16) and biomass burning and paved road dust (15) in Dharavi, a low income slum residential area. The major contributors of PM10 at Colaba were marine aerosol, wood burning and ammonium sulphate (24), motor vehicles and smelting work (22), Natural soil (19), nitrate and oil burning (18). Copyright © 2012 Indrani Gupta et al.","author":[{"dropping-particle":"","family":"Gupta","given":"Indrani","non-dropping-particle":"","parse-names":false,"suffix":""},{"dropping-particle":"","family":"Salunkhe","given":"Abhaysinh","non-dropping-particle":"","parse-names":false,"suffix":""},{"dropping-particle":"","family":"Kumar","given":"Rakesh","non-dropping-particle":"","parse-names":false,"suffix":""}],"container-title":"The Scientific World Journal","id":"ITEM-1","issued":{"date-parts":[["2012"]]},"title":"Source apportionment of PM10 by positive matrix factorization in urban area of Mumbai, India","type":"article-journal","volume":"2012"},"uris":["http://www.mendeley.com/documents/?uuid=994948ea-8be5-3d0c-ac78-d63ffa7c0992"]},{"id":"ITEM-2","itemData":{"DOI":"10.1016/j.envint.2021.106541","ISSN":"18736750","PMID":"33845290","abstract":"The Government of India (GOI) announced a nationwide lockdown starting 25th March 2020 to contain the spread of COVID-19, leading to an unprecedented decline in anthropogenic activities and, in turn, improvements in ambient air quality. This is the first study to focus on highly time-resolved chemical speciation and source apportionment of PM2.5 to assess the impact of the lockdown and subsequent relaxations on the sources of ambient PM2.5 in Delhi, India. The elemental, organic, and black carbon fractions of PM2.5 were measured at the IIT Delhi campus from February 2020 to May 2020. We report source apportionment results using positive matrix factorization (PMF) of organic and elemental fractions of PM2.5 during the different phases of the lockdown. The resolved sources such as vehicular emissions, domestic coal combustion, and semi-volatile oxygenated organic aerosol (SVOOA) were found to decrease by 96%, 95%, and 86%, respectively, during lockdown phase-1 as compared to pre-lockdown. An unforeseen rise in O3 concentrations with declining NOx levels was observed, similar to other parts of the globe, leading to the low-volatility oxygenated organic aerosols (LVOOA) increasing to almost double the pre-lockdown concentrations during the last phase of the lockdown. The effect of the lockdown was found to be less pronounced on other resolved sources like secondary chloride, power plants, dust-related, hydrocarbon-like organic aerosols (HOA), and biomass burning related emissions, which were also swayed by the changing meteorological conditions during the four lockdown phases. The results presented in this study provide a basis for future emission control strategies, quantifying the extent to which constraining certain anthropogenic activities can ameliorate the ambient air. These results have direct relevance to not only Delhi but the entire Indo-Gangetic plain (IGP), citing similar geographical and meteorological conditions common to the region along with overlapping regional emission sources. Summary of main findings: We identify sources like vehicular emissions, domestic coal combustion, and semi-volatile oxygenated organic aerosol (SVOOA) to be severely impacted by the lockdown, whereas ozone levels and, in turn, low-volatility oxygenated organic aerosols (LVOOA) rise by more than 95% compared to the pre-lockdown concentrations during the last phase of the lockdown. However, other sources resolved in this study, like secondary chloride, power plants, d…","author":[{"dropping-particle":"","family":"Manchanda","given":"Chirag","non-dropping-particle":"","parse-names":false,"suffix":""},{"dropping-particle":"","family":"Kumar","given":"Mayank","non-dropping-particle":"","parse-names":false,"suffix":""},{"dropping-particle":"","family":"Singh","given":"Vikram","non-dropping-particle":"","parse-names":false,"suffix":""},{"dropping-particle":"","family":"Faisal","given":"Mohd","non-dropping-particle":"","parse-names":false,"suffix":""},{"dropping-particle":"","family":"Hazarika","given":"Naba","non-dropping-particle":"","parse-names":false,"suffix":""},{"dropping-particle":"","family":"Shukla","given":"Ashutosh","non-dropping-particle":"","parse-names":false,"suffix":""},{"dropping-particle":"","family":"Lalchandani","given":"Vipul","non-dropping-particle":"","parse-names":false,"suffix":""},{"dropping-particle":"","family":"Goel","given":"Vikas","non-dropping-particle":"","parse-names":false,"suffix":""},{"dropping-particle":"","family":"Thamban","given":"Navaneeth","non-dropping-particle":"","parse-names":false,"suffix":""},{"dropping-particle":"","family":"Ganguly","given":"Dilip","non-dropping-particle":"","parse-names":false,"suffix":""},{"dropping-particle":"","family":"Tripathi","given":"Sachchida Nand","non-dropping-particle":"","parse-names":false,"suffix":""}],"container-title":"Environment International","id":"ITEM-2","issue":"December 2020","issued":{"date-parts":[["2021"]]},"page":"106541","publisher":"Elsevier Ltd","title":"Variation in chemical composition and sources of PM2.5 during the COVID-19 lockdown in Delhi","type":"article-journal","volume":"153"},"uris":["http://www.mendeley.com/documents/?uuid=56f28b26-26dd-4669-a4ef-e32df43235ec"]},{"id":"ITEM-3","itemData":{"DOI":"10.1016/j.atmosenv.2024.120863","ISSN":"18732844","abstract":"The aethalometer model (AM) is widely used for source apportionment (SA) of black carbon (BC) in regions with mixed BC sources despite being initially developed for a relatively simplistic and low-pollution environments. The present study interrogates the applicability of AM in highly polluted metropolitan environments by comparing its results with the more nuanced Positive Matrix Factorization (PMF) model. The measurements were conducted in Delhi during the winter and summer season. PMF apportions the BC into diverse sources by taking help from complementary trace elemental measurements, thereby acknowledging the complex pollution landscape of the Delhi region. The AM estimates BCbb (BC from biomass burning) and BCff (BC from fossil fuel combustion) contributions as 48.3% and 51.7% during the winter and 16.6% and 83.4% during the summer, respectively. In contrast, the PMF model-derived biomass burning factor is the dominant source of BC during both winter and summer seasons, contributing 53.9% and 44% of the total BC, respectively. The decrease in light absorption at UV wavelengths of biomass-burning aerosols owing to escalated ambient aging is posited to be the reason for BCbb underprediction by the AM model during summers. Furthermore, while the AM model identifies fossil fuel combustion as the only other BC source apart from biomass burning, the PMF model apportions BC to five additional sources during winter, including vehicle emissions (22.9%), Pb-rich factor (10%), power plant (5.7%), waste incineration (4%) and industrial emission (3.6%). The contribution of these BC sources during summer is vehicular emission (16.5%), power plant (14.5%), waste incineration (11.5%), Pb-rich factor (9.5%), and industrial emission (4%). Additionally, the spectral variation of the light absorption properties of black carbon (bBCabs) and brown carbon (bBrCabs), delta-C effect, and sensitivity of the AM are reported for the study period. The present study cautions that BC source apportionment can be complex in highly polluted metropolitan environments, and complementary tracer measurements are recommended for reliable results.","author":[{"dropping-particle":"","family":"Kumar","given":"Ajit","non-dropping-particle":"","parse-names":false,"suffix":""},{"dropping-particle":"","family":"Goel","given":"Vikas","non-dropping-particle":"","parse-names":false,"suffix":""},{"dropping-particle":"","family":"Faisal","given":"Mohd","non-dropping-particle":"","parse-names":false,"suffix":""},{"dropping-particle":"","family":"Ali","given":"Umer","non-dropping-particle":"","parse-names":false,"suffix":""},{"dropping-particle":"","family":"Maity","given":"Rakesh","non-dropping-particle":"","parse-names":false,"suffix":""},{"dropping-particle":"","family":"Ganguly","given":"Dilip","non-dropping-particle":"","parse-names":false,"suffix":""},{"dropping-particle":"","family":"Singh","given":"Vikram","non-dropping-particle":"","parse-names":false,"suffix":""},{"dropping-particle":"","family":"Kumar","given":"Mayank","non-dropping-particle":"","parse-names":false,"suffix":""}],"container-title":"Atmospheric Environment","id":"ITEM-3","issue":"March","issued":{"date-parts":[["2024"]]},"page":"120863","publisher":"Elsevier Ltd","title":"Two different approaches for source apportionment of ambient black carbon in highly polluted environments","type":"article-journal","volume":"338"},"uris":["http://www.mendeley.com/documents/?uuid=7505b22f-548e-48e5-ad06-57188dfa05d2"]},{"id":"ITEM-4","itemData":{"DOI":"10.1016/j.uclim.2022.101290","ISSN":"22120955","abstract":"This work analyzes the PM2.5 bound highly time-resolved non-refractory and elemental compositions to observe the lag effects of the COVID-19 lockdown in the capital city of India. To the best of our knowledge, this is the first study that focuses on PM2.5 bound highly time-resolved chemical species and source apportionment to assess the contribution of various sources in the post lockdown period (June to September 2020). Here, a comparative scenario between lockdown and unlock periods along with previous years' work is presented. The following eight source profiles are identified from the source apportionment of elements such as power plant (35.6%), dust (25.7%), biomass burning (16.2%), vehicular emission (10%), secondary chloride (4%), waste incineration (3.6%), coal combustion (2.8%) and industrial emission (2.2%). The apportion sources of organic aerosol (OA) yielded two primary factors, primary organic aerosol (POA) and biomass burning organic aerosol (BBOA), and two secondary factors, oxygenated organic aerosols 1 and 2 (OOA-1 and OOA-2). The two oxygenated factors, OOA-1 and OOA-2 dominated the total OA mass concentration with 67.5% and 22% contribution, followed by POA and BBOA with 6.5% and 4%, respectively. The primary factors, POA and BBOA, also showed significant dependency on meteorological conditions during the post lockdown period. A significantly low contribution from the primary factors is seemingly the lagging effect of the lockdown imposed by the government in the earlier months. The meteorological conditions also significantly impacted OOA-1 concentration, which decreased by around 50% in August compared to June 2020. To understand the formation pathways of secondary nitrate and sulphate, NOR and SOR values were calculated and their variation during different RH periods was studied. It was found that photochemical oxidation was the primary pathway of SO2 to SO42− conversion while heterogeneous aqueous pathway was the primary mechanism for nitrate formation during the study period.","author":[{"dropping-particle":"","family":"Faisal","given":"Mohd","non-dropping-particle":"","parse-names":false,"suffix":""},{"dropping-particle":"","family":"Hazarika","given":"Naba","non-dropping-particle":"","parse-names":false,"suffix":""},{"dropping-particle":"","family":"Ganguly","given":"Dilip","non-dropping-particle":"","parse-names":false,"suffix":""},{"dropping-particle":"","family":"Kumar","given":"Mayank","non-dropping-particle":"","parse-names":false,"suffix":""},{"dropping-particle":"","family":"Singh","given":"Vikram","non-dropping-particle":"","parse-names":false,"suffix":""}],"container-title":"Urban Climate","id":"ITEM-4","issue":"September","issued":{"date-parts":[["2022"]]},"page":"101290","publisher":"Elsevier B.V.","title":"PM2.5 bound species variation and source characterization in the post-lockdown period of the Covid-19 pandemic in Delhi","type":"article-journal","volume":"46"},"uris":["http://www.mendeley.com/documents/?uuid=3336115e-fe34-4050-8fa7-18af708753c2"]}],"mendeley":{"formattedCitation":"(Faisal et al., 2022; Gupta et al., 2012; Kumar et al., 2024; Manchanda et al., 2021)","plainTextFormattedCitation":"(Faisal et al., 2022; Gupta et al., 2012; Kumar et al., 2024; Manchanda et al., 2021)","previouslyFormattedCitation":"(Faisal et al., 2022; Gupta et al., 2012; Kumar et al., 2024; Manchanda et al., 2021)"},"properties":{"noteIndex":0},"schema":"https://github.com/citation-style-language/schema/raw/master/csl-citation.json"}</w:instrText>
      </w:r>
      <w:r w:rsidR="005B4754">
        <w:rPr>
          <w:rFonts w:ascii="Times New Roman" w:hAnsi="Times New Roman" w:cs="Times New Roman"/>
          <w:i/>
          <w:iCs/>
        </w:rPr>
        <w:fldChar w:fldCharType="separate"/>
      </w:r>
      <w:r w:rsidR="005B4754" w:rsidRPr="005B4754">
        <w:rPr>
          <w:rFonts w:ascii="Times New Roman" w:hAnsi="Times New Roman" w:cs="Times New Roman"/>
          <w:iCs/>
          <w:noProof/>
        </w:rPr>
        <w:t>(Faisal et al., 2022; Gupta et al., 2012; Kumar et al., 2024; Manchanda et al., 2021)</w:t>
      </w:r>
      <w:r w:rsidR="005B4754">
        <w:rPr>
          <w:rFonts w:ascii="Times New Roman" w:hAnsi="Times New Roman" w:cs="Times New Roman"/>
          <w:i/>
          <w:iCs/>
        </w:rPr>
        <w:fldChar w:fldCharType="end"/>
      </w:r>
      <w:r w:rsidRPr="00B914BF">
        <w:rPr>
          <w:rFonts w:ascii="Times New Roman" w:hAnsi="Times New Roman" w:cs="Times New Roman"/>
          <w:i/>
          <w:iCs/>
        </w:rPr>
        <w:t xml:space="preserve">. </w:t>
      </w:r>
      <w:r w:rsidR="00A20868" w:rsidRPr="00A20868">
        <w:rPr>
          <w:rFonts w:ascii="Times New Roman" w:hAnsi="Times New Roman" w:cs="Times New Roman"/>
          <w:i/>
          <w:iCs/>
        </w:rPr>
        <w:t>These studies primarily associate this factor with the incineration of electronic or municipal waste, where halides facilitate the volatilization of metals, forming metal halogenides</w:t>
      </w:r>
      <w:r w:rsidR="00A20868">
        <w:rPr>
          <w:rFonts w:ascii="Times New Roman" w:hAnsi="Times New Roman" w:cs="Times New Roman"/>
          <w:i/>
          <w:iCs/>
        </w:rPr>
        <w:t>.</w:t>
      </w:r>
      <w:r w:rsidRPr="00B914BF">
        <w:rPr>
          <w:rFonts w:ascii="Times New Roman" w:hAnsi="Times New Roman" w:cs="Times New Roman"/>
          <w:i/>
          <w:iCs/>
        </w:rPr>
        <w:t xml:space="preserve"> In addition to Zn, other metals </w:t>
      </w:r>
      <w:r w:rsidR="009D1F0A">
        <w:rPr>
          <w:rFonts w:ascii="Times New Roman" w:hAnsi="Times New Roman" w:cs="Times New Roman"/>
          <w:i/>
          <w:iCs/>
        </w:rPr>
        <w:t xml:space="preserve">reported </w:t>
      </w:r>
      <w:r w:rsidR="00B01895">
        <w:rPr>
          <w:rFonts w:ascii="Times New Roman" w:hAnsi="Times New Roman" w:cs="Times New Roman"/>
          <w:i/>
          <w:iCs/>
        </w:rPr>
        <w:t xml:space="preserve">in the obtained source profile </w:t>
      </w:r>
      <w:r w:rsidRPr="00B914BF">
        <w:rPr>
          <w:rFonts w:ascii="Times New Roman" w:hAnsi="Times New Roman" w:cs="Times New Roman"/>
          <w:i/>
          <w:iCs/>
        </w:rPr>
        <w:t>commonly linked to waste incineration include K, As, Fe, and Pb</w:t>
      </w:r>
      <w:r w:rsidR="00B01895">
        <w:rPr>
          <w:rFonts w:ascii="Times New Roman" w:hAnsi="Times New Roman" w:cs="Times New Roman"/>
          <w:i/>
          <w:iCs/>
        </w:rPr>
        <w:t xml:space="preserve"> </w:t>
      </w:r>
      <w:r w:rsidR="00B01895">
        <w:rPr>
          <w:rFonts w:ascii="Times New Roman" w:hAnsi="Times New Roman" w:cs="Times New Roman"/>
          <w:i/>
          <w:iCs/>
        </w:rPr>
        <w:fldChar w:fldCharType="begin" w:fldLock="1"/>
      </w:r>
      <w:r w:rsidR="00F5767B">
        <w:rPr>
          <w:rFonts w:ascii="Times New Roman" w:hAnsi="Times New Roman" w:cs="Times New Roman"/>
          <w:i/>
          <w:iCs/>
        </w:rPr>
        <w:instrText>ADDIN CSL_CITATION {"citationItems":[{"id":"ITEM-1","itemData":{"DOI":"10.1016/j.envint.2021.106541","ISSN":"18736750","PMID":"33845290","abstract":"The Government of India (GOI) announced a nationwide lockdown starting 25th March 2020 to contain the spread of COVID-19, leading to an unprecedented decline in anthropogenic activities and, in turn, improvements in ambient air quality. This is the first study to focus on highly time-resolved chemical speciation and source apportionment of PM2.5 to assess the impact of the lockdown and subsequent relaxations on the sources of ambient PM2.5 in Delhi, India. The elemental, organic, and black carbon fractions of PM2.5 were measured at the IIT Delhi campus from February 2020 to May 2020. We report source apportionment results using positive matrix factorization (PMF) of organic and elemental fractions of PM2.5 during the different phases of the lockdown. The resolved sources such as vehicular emissions, domestic coal combustion, and semi-volatile oxygenated organic aerosol (SVOOA) were found to decrease by 96%, 95%, and 86%, respectively, during lockdown phase-1 as compared to pre-lockdown. An unforeseen rise in O3 concentrations with declining NOx levels was observed, similar to other parts of the globe, leading to the low-volatility oxygenated organic aerosols (LVOOA) increasing to almost double the pre-lockdown concentrations during the last phase of the lockdown. The effect of the lockdown was found to be less pronounced on other resolved sources like secondary chloride, power plants, dust-related, hydrocarbon-like organic aerosols (HOA), and biomass burning related emissions, which were also swayed by the changing meteorological conditions during the four lockdown phases. The results presented in this study provide a basis for future emission control strategies, quantifying the extent to which constraining certain anthropogenic activities can ameliorate the ambient air. These results have direct relevance to not only Delhi but the entire Indo-Gangetic plain (IGP), citing similar geographical and meteorological conditions common to the region along with overlapping regional emission sources. Summary of main findings: We identify sources like vehicular emissions, domestic coal combustion, and semi-volatile oxygenated organic aerosol (SVOOA) to be severely impacted by the lockdown, whereas ozone levels and, in turn, low-volatility oxygenated organic aerosols (LVOOA) rise by more than 95% compared to the pre-lockdown concentrations during the last phase of the lockdown. However, other sources resolved in this study, like secondary chloride, power plants, d…","author":[{"dropping-particle":"","family":"Manchanda","given":"Chirag","non-dropping-particle":"","parse-names":false,"suffix":""},{"dropping-particle":"","family":"Kumar","given":"Mayank","non-dropping-particle":"","parse-names":false,"suffix":""},{"dropping-particle":"","family":"Singh","given":"Vikram","non-dropping-particle":"","parse-names":false,"suffix":""},{"dropping-particle":"","family":"Faisal","given":"Mohd","non-dropping-particle":"","parse-names":false,"suffix":""},{"dropping-particle":"","family":"Hazarika","given":"Naba","non-dropping-particle":"","parse-names":false,"suffix":""},{"dropping-particle":"","family":"Shukla","given":"Ashutosh","non-dropping-particle":"","parse-names":false,"suffix":""},{"dropping-particle":"","family":"Lalchandani","given":"Vipul","non-dropping-particle":"","parse-names":false,"suffix":""},{"dropping-particle":"","family":"Goel","given":"Vikas","non-dropping-particle":"","parse-names":false,"suffix":""},{"dropping-particle":"","family":"Thamban","given":"Navaneeth","non-dropping-particle":"","parse-names":false,"suffix":""},{"dropping-particle":"","family":"Ganguly","given":"Dilip","non-dropping-particle":"","parse-names":false,"suffix":""},{"dropping-particle":"","family":"Tripathi","given":"Sachchida Nand","non-dropping-particle":"","parse-names":false,"suffix":""}],"container-title":"Environment International","id":"ITEM-1","issue":"December 2020","issued":{"date-parts":[["2021"]]},"page":"106541","publisher":"Elsevier Ltd","title":"Variation in chemical composition and sources of PM2.5 during the COVID-19 lockdown in Delhi","type":"article-journal","volume":"153"},"uris":["http://www.mendeley.com/documents/?uuid=56f28b26-26dd-4669-a4ef-e32df43235ec"]}],"mendeley":{"formattedCitation":"(Manchanda et al., 2021)","plainTextFormattedCitation":"(Manchanda et al., 2021)","previouslyFormattedCitation":"(Manchanda et al., 2021)"},"properties":{"noteIndex":0},"schema":"https://github.com/citation-style-language/schema/raw/master/csl-citation.json"}</w:instrText>
      </w:r>
      <w:r w:rsidR="00B01895">
        <w:rPr>
          <w:rFonts w:ascii="Times New Roman" w:hAnsi="Times New Roman" w:cs="Times New Roman"/>
          <w:i/>
          <w:iCs/>
        </w:rPr>
        <w:fldChar w:fldCharType="separate"/>
      </w:r>
      <w:r w:rsidR="00B01895" w:rsidRPr="00B01895">
        <w:rPr>
          <w:rFonts w:ascii="Times New Roman" w:hAnsi="Times New Roman" w:cs="Times New Roman"/>
          <w:iCs/>
          <w:noProof/>
        </w:rPr>
        <w:t>(Manchanda et al., 2021)</w:t>
      </w:r>
      <w:r w:rsidR="00B01895">
        <w:rPr>
          <w:rFonts w:ascii="Times New Roman" w:hAnsi="Times New Roman" w:cs="Times New Roman"/>
          <w:i/>
          <w:iCs/>
        </w:rPr>
        <w:fldChar w:fldCharType="end"/>
      </w:r>
      <w:r w:rsidRPr="00B914BF">
        <w:rPr>
          <w:rFonts w:ascii="Times New Roman" w:hAnsi="Times New Roman" w:cs="Times New Roman"/>
          <w:i/>
          <w:iCs/>
        </w:rPr>
        <w:t xml:space="preserve">. While chlorine (Cl) is the most prevalent halide, </w:t>
      </w:r>
      <w:proofErr w:type="spellStart"/>
      <w:r w:rsidRPr="00B914BF">
        <w:rPr>
          <w:rFonts w:ascii="Times New Roman" w:hAnsi="Times New Roman" w:cs="Times New Roman"/>
          <w:i/>
          <w:iCs/>
        </w:rPr>
        <w:t>Vehlow</w:t>
      </w:r>
      <w:proofErr w:type="spellEnd"/>
      <w:r w:rsidRPr="00B914BF">
        <w:rPr>
          <w:rFonts w:ascii="Times New Roman" w:hAnsi="Times New Roman" w:cs="Times New Roman"/>
          <w:i/>
          <w:iCs/>
        </w:rPr>
        <w:t xml:space="preserve"> et al. (2003) have highlighted that bromine (Br), particularly from plastics containing flame retardants, can also play a significant role in the volatilization of heavy metals such as Zn, Fe, and As.</w:t>
      </w:r>
      <w:r w:rsidR="00B34CE2">
        <w:rPr>
          <w:rFonts w:ascii="Times New Roman" w:hAnsi="Times New Roman" w:cs="Times New Roman"/>
          <w:i/>
          <w:iCs/>
        </w:rPr>
        <w:t xml:space="preserve"> </w:t>
      </w:r>
      <w:r w:rsidR="00F5767B">
        <w:rPr>
          <w:rFonts w:ascii="Times New Roman" w:hAnsi="Times New Roman" w:cs="Times New Roman"/>
          <w:i/>
          <w:iCs/>
        </w:rPr>
        <w:fldChar w:fldCharType="begin" w:fldLock="1"/>
      </w:r>
      <w:r w:rsidR="00203EEE">
        <w:rPr>
          <w:rFonts w:ascii="Times New Roman" w:hAnsi="Times New Roman" w:cs="Times New Roman"/>
          <w:i/>
          <w:iCs/>
        </w:rPr>
        <w:instrText>ADDIN CSL_CITATION {"citationItems":[{"id":"ITEM-1","itemData":{"DOI":"10.1016/j.atmosenv.2013.03.031","ISSN":"13522310","abstract":"In recent years, heavy metal pollution accidents were reported frequently in China. The atmospheric heavy metal pollution is drawing all aspects of attention. This paper summarizes the recent research results from our studies and previous studies in recent years in China. The level, temporal variation, seasonal variation and size distribution of the heavy metals of atmospheric Lead(Pb), Vanadium(V), Manganese(Mn), Nickel(Ni), Chromium(Cr), Cadmium(Cd), Copper(Cu), Zinc(Zn) and Arsenic(As) were characterized in China. The emission characteristics and sources of atmospheric heavy metals and As in China were reviewed. Coal burning, iron and steel industry and vehicle emission are important sources in China. Control policies and effects in China were reviewed including emission standards, ambient air quality standards, phase out of leaded gasoline and so on, and further works for atmospheric heavy metals control were suggested. The comprehensive heavy metals pollution control measures and suggestions were put forward based on the summarization of the development and experience of the atmospheric heavy metal pollution control abroad. © 2013 Elsevier Ltd.","author":[{"dropping-particle":"","family":"Duan","given":"Jingchun","non-dropping-particle":"","parse-names":false,"suffix":""},{"dropping-particle":"","family":"Tan","given":"Jihua","non-dropping-particle":"","parse-names":false,"suffix":""}],"container-title":"Atmospheric Environment","id":"ITEM-1","issued":{"date-parts":[["2013","8"]]},"page":"93-101","title":"Atmospheric heavy metals and Arsenic in China: Situation, sources and control policies","type":"article","volume":"74"},"uris":["http://www.mendeley.com/documents/?uuid=9c563974-be61-3762-986c-2807e2fd4206"]}],"mendeley":{"formattedCitation":"(Duan and Tan, 2013)","manualFormatting":"Duan and Tan, (2013)","plainTextFormattedCitation":"(Duan and Tan, 2013)","previouslyFormattedCitation":"(Duan and Tan, 2013)"},"properties":{"noteIndex":0},"schema":"https://github.com/citation-style-language/schema/raw/master/csl-citation.json"}</w:instrText>
      </w:r>
      <w:r w:rsidR="00F5767B">
        <w:rPr>
          <w:rFonts w:ascii="Times New Roman" w:hAnsi="Times New Roman" w:cs="Times New Roman"/>
          <w:i/>
          <w:iCs/>
        </w:rPr>
        <w:fldChar w:fldCharType="separate"/>
      </w:r>
      <w:r w:rsidR="00F5767B" w:rsidRPr="00F5767B">
        <w:rPr>
          <w:rFonts w:ascii="Times New Roman" w:hAnsi="Times New Roman" w:cs="Times New Roman"/>
          <w:iCs/>
          <w:noProof/>
        </w:rPr>
        <w:t xml:space="preserve">Duan and Tan, </w:t>
      </w:r>
      <w:r w:rsidR="008E409B">
        <w:rPr>
          <w:rFonts w:ascii="Times New Roman" w:hAnsi="Times New Roman" w:cs="Times New Roman"/>
          <w:iCs/>
          <w:noProof/>
        </w:rPr>
        <w:t>(</w:t>
      </w:r>
      <w:r w:rsidR="00F5767B" w:rsidRPr="00F5767B">
        <w:rPr>
          <w:rFonts w:ascii="Times New Roman" w:hAnsi="Times New Roman" w:cs="Times New Roman"/>
          <w:iCs/>
          <w:noProof/>
        </w:rPr>
        <w:t>2013)</w:t>
      </w:r>
      <w:r w:rsidR="00F5767B">
        <w:rPr>
          <w:rFonts w:ascii="Times New Roman" w:hAnsi="Times New Roman" w:cs="Times New Roman"/>
          <w:i/>
          <w:iCs/>
        </w:rPr>
        <w:fldChar w:fldCharType="end"/>
      </w:r>
      <w:r w:rsidR="006D7586" w:rsidRPr="006D7586">
        <w:rPr>
          <w:rFonts w:ascii="Times New Roman" w:hAnsi="Times New Roman" w:cs="Times New Roman"/>
          <w:i/>
          <w:iCs/>
        </w:rPr>
        <w:t xml:space="preserve"> identified zinc (Zn) and arsenic (As) as key tracers of emissions from the iron and steel industry</w:t>
      </w:r>
      <w:r w:rsidRPr="00B914BF">
        <w:rPr>
          <w:rFonts w:ascii="Times New Roman" w:hAnsi="Times New Roman" w:cs="Times New Roman"/>
          <w:i/>
          <w:iCs/>
        </w:rPr>
        <w:t xml:space="preserve">, indicating that these elements may originate from multiple anthropogenic sources contributing to their atmospheric presence. The diurnal variation of this factor exhibits a distinct peak during the morning hours, indicating its maximum contribution </w:t>
      </w:r>
      <w:proofErr w:type="gramStart"/>
      <w:r w:rsidRPr="00B914BF">
        <w:rPr>
          <w:rFonts w:ascii="Times New Roman" w:hAnsi="Times New Roman" w:cs="Times New Roman"/>
          <w:i/>
          <w:iCs/>
        </w:rPr>
        <w:t>at this time</w:t>
      </w:r>
      <w:proofErr w:type="gramEnd"/>
      <w:r w:rsidR="009B149C">
        <w:rPr>
          <w:rFonts w:ascii="Times New Roman" w:hAnsi="Times New Roman" w:cs="Times New Roman"/>
          <w:i/>
          <w:iCs/>
        </w:rPr>
        <w:t xml:space="preserve"> </w:t>
      </w:r>
      <w:r w:rsidR="0048196E">
        <w:rPr>
          <w:rFonts w:ascii="Times New Roman" w:hAnsi="Times New Roman" w:cs="Times New Roman"/>
          <w:i/>
          <w:iCs/>
        </w:rPr>
        <w:t xml:space="preserve">(Figure </w:t>
      </w:r>
      <w:r w:rsidR="00DD5A73">
        <w:rPr>
          <w:rFonts w:ascii="Times New Roman" w:hAnsi="Times New Roman" w:cs="Times New Roman"/>
          <w:i/>
          <w:iCs/>
        </w:rPr>
        <w:t>5d</w:t>
      </w:r>
      <w:r w:rsidR="0048196E">
        <w:rPr>
          <w:rFonts w:ascii="Times New Roman" w:hAnsi="Times New Roman" w:cs="Times New Roman"/>
          <w:i/>
          <w:iCs/>
        </w:rPr>
        <w:t>)</w:t>
      </w:r>
      <w:r w:rsidRPr="00B914BF">
        <w:rPr>
          <w:rFonts w:ascii="Times New Roman" w:hAnsi="Times New Roman" w:cs="Times New Roman"/>
          <w:i/>
          <w:iCs/>
        </w:rPr>
        <w:t xml:space="preserve">. The average </w:t>
      </w:r>
      <w:r w:rsidR="000D4207">
        <w:rPr>
          <w:rFonts w:ascii="Times New Roman" w:hAnsi="Times New Roman" w:cs="Times New Roman"/>
          <w:i/>
          <w:iCs/>
        </w:rPr>
        <w:t>BC</w:t>
      </w:r>
      <w:r w:rsidRPr="00B914BF">
        <w:rPr>
          <w:rFonts w:ascii="Times New Roman" w:hAnsi="Times New Roman" w:cs="Times New Roman"/>
          <w:i/>
          <w:iCs/>
        </w:rPr>
        <w:t xml:space="preserve"> concentration attributed to this factor (B</w:t>
      </w:r>
      <w:r w:rsidR="000055E7">
        <w:rPr>
          <w:rFonts w:ascii="Times New Roman" w:hAnsi="Times New Roman" w:cs="Times New Roman"/>
          <w:i/>
          <w:iCs/>
        </w:rPr>
        <w:t>C</w:t>
      </w:r>
      <w:r w:rsidR="000055E7" w:rsidRPr="000055E7">
        <w:rPr>
          <w:rFonts w:ascii="Times New Roman" w:hAnsi="Times New Roman" w:cs="Times New Roman"/>
          <w:i/>
          <w:iCs/>
          <w:vertAlign w:val="subscript"/>
        </w:rPr>
        <w:t>WI</w:t>
      </w:r>
      <w:r w:rsidR="000055E7">
        <w:rPr>
          <w:rFonts w:ascii="Times New Roman" w:hAnsi="Times New Roman" w:cs="Times New Roman"/>
          <w:i/>
          <w:iCs/>
        </w:rPr>
        <w:t>)</w:t>
      </w:r>
      <w:r w:rsidRPr="00B914BF">
        <w:rPr>
          <w:rFonts w:ascii="Times New Roman" w:hAnsi="Times New Roman" w:cs="Times New Roman"/>
          <w:i/>
          <w:iCs/>
        </w:rPr>
        <w:t xml:space="preserve"> was found to be 0.23 ± 0.26 µg/m³.</w:t>
      </w:r>
    </w:p>
    <w:p w14:paraId="725F3760" w14:textId="72BEA35E" w:rsidR="001D2B0E" w:rsidRDefault="00CD3D1F" w:rsidP="001D2B0E">
      <w:pPr>
        <w:pStyle w:val="ListParagraph"/>
        <w:keepNext/>
        <w:spacing w:line="480" w:lineRule="auto"/>
        <w:jc w:val="both"/>
      </w:pPr>
      <w:r>
        <w:rPr>
          <w:rFonts w:ascii="Times New Roman" w:hAnsi="Times New Roman" w:cs="Times New Roman"/>
          <w:i/>
          <w:iCs/>
          <w:noProof/>
        </w:rPr>
        <w:lastRenderedPageBreak/>
        <w:drawing>
          <wp:inline distT="0" distB="0" distL="0" distR="0" wp14:anchorId="61D65EBB" wp14:editId="168E3680">
            <wp:extent cx="4538341" cy="3618482"/>
            <wp:effectExtent l="0" t="0" r="0" b="1270"/>
            <wp:docPr id="566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504" name="Picture 5666504"/>
                    <pic:cNvPicPr/>
                  </pic:nvPicPr>
                  <pic:blipFill>
                    <a:blip r:embed="rId9"/>
                    <a:stretch>
                      <a:fillRect/>
                    </a:stretch>
                  </pic:blipFill>
                  <pic:spPr>
                    <a:xfrm>
                      <a:off x="0" y="0"/>
                      <a:ext cx="4541397" cy="3620919"/>
                    </a:xfrm>
                    <a:prstGeom prst="rect">
                      <a:avLst/>
                    </a:prstGeom>
                  </pic:spPr>
                </pic:pic>
              </a:graphicData>
            </a:graphic>
          </wp:inline>
        </w:drawing>
      </w:r>
    </w:p>
    <w:p w14:paraId="784231A2" w14:textId="5CEB1683" w:rsidR="007B01BC" w:rsidRPr="004C50F1" w:rsidRDefault="00BC177A" w:rsidP="001D2B0E">
      <w:pPr>
        <w:pStyle w:val="Caption"/>
        <w:jc w:val="both"/>
        <w:rPr>
          <w:rFonts w:ascii="Times New Roman" w:hAnsi="Times New Roman" w:cs="Times New Roman"/>
          <w:sz w:val="22"/>
          <w:szCs w:val="22"/>
        </w:rPr>
      </w:pPr>
      <w:r w:rsidRPr="00BE2059">
        <w:rPr>
          <w:noProof/>
          <w:color w:val="auto"/>
        </w:rPr>
        <mc:AlternateContent>
          <mc:Choice Requires="wps">
            <w:drawing>
              <wp:anchor distT="0" distB="0" distL="114300" distR="114300" simplePos="0" relativeHeight="251664384" behindDoc="0" locked="0" layoutInCell="1" allowOverlap="1" wp14:anchorId="062FB9E9" wp14:editId="5D1194DD">
                <wp:simplePos x="0" y="0"/>
                <wp:positionH relativeFrom="column">
                  <wp:posOffset>665480</wp:posOffset>
                </wp:positionH>
                <wp:positionV relativeFrom="paragraph">
                  <wp:posOffset>3330575</wp:posOffset>
                </wp:positionV>
                <wp:extent cx="4039235" cy="635"/>
                <wp:effectExtent l="0" t="0" r="0" b="0"/>
                <wp:wrapTopAndBottom/>
                <wp:docPr id="635344859" name="Text Box 1"/>
                <wp:cNvGraphicFramePr/>
                <a:graphic xmlns:a="http://schemas.openxmlformats.org/drawingml/2006/main">
                  <a:graphicData uri="http://schemas.microsoft.com/office/word/2010/wordprocessingShape">
                    <wps:wsp>
                      <wps:cNvSpPr txBox="1"/>
                      <wps:spPr>
                        <a:xfrm>
                          <a:off x="0" y="0"/>
                          <a:ext cx="4039235" cy="635"/>
                        </a:xfrm>
                        <a:prstGeom prst="rect">
                          <a:avLst/>
                        </a:prstGeom>
                        <a:solidFill>
                          <a:prstClr val="white"/>
                        </a:solidFill>
                        <a:ln>
                          <a:noFill/>
                        </a:ln>
                      </wps:spPr>
                      <wps:txbx>
                        <w:txbxContent>
                          <w:p w14:paraId="48400A0A" w14:textId="2A081622" w:rsidR="00BC177A" w:rsidRPr="00BE2059" w:rsidRDefault="00BC177A" w:rsidP="00BC177A">
                            <w:pPr>
                              <w:pStyle w:val="Caption"/>
                              <w:rPr>
                                <w:rFonts w:ascii="Times New Roman" w:hAnsi="Times New Roman" w:cs="Times New Roman"/>
                                <w:noProof/>
                                <w:color w:val="auto"/>
                                <w:sz w:val="22"/>
                                <w:szCs w:val="22"/>
                              </w:rPr>
                            </w:pPr>
                            <w:r w:rsidRPr="00BE2059">
                              <w:rPr>
                                <w:rFonts w:ascii="Times New Roman" w:hAnsi="Times New Roman" w:cs="Times New Roman"/>
                                <w:color w:val="auto"/>
                                <w:sz w:val="22"/>
                                <w:szCs w:val="22"/>
                              </w:rPr>
                              <w:t xml:space="preserve">Figure </w:t>
                            </w:r>
                            <w:r w:rsidR="00DE5306" w:rsidRPr="00BE2059">
                              <w:rPr>
                                <w:rFonts w:ascii="Times New Roman" w:hAnsi="Times New Roman" w:cs="Times New Roman"/>
                                <w:color w:val="auto"/>
                                <w:sz w:val="22"/>
                                <w:szCs w:val="22"/>
                              </w:rPr>
                              <w:t>S3</w:t>
                            </w:r>
                            <w:r w:rsidR="0031056C" w:rsidRPr="00BE2059">
                              <w:rPr>
                                <w:rFonts w:ascii="Times New Roman" w:hAnsi="Times New Roman" w:cs="Times New Roman"/>
                                <w:color w:val="auto"/>
                                <w:sz w:val="22"/>
                                <w:szCs w:val="22"/>
                              </w:rPr>
                              <w:t xml:space="preserve">: Scatter plot between </w:t>
                            </w:r>
                            <w:r w:rsidR="0031056C" w:rsidRPr="00BE2059">
                              <w:rPr>
                                <w:rFonts w:ascii="Times New Roman" w:hAnsi="Times New Roman" w:cs="Times New Roman"/>
                                <w:color w:val="auto"/>
                                <w:sz w:val="22"/>
                                <w:szCs w:val="22"/>
                              </w:rPr>
                              <w:t>BC</w:t>
                            </w:r>
                            <w:r w:rsidR="0031056C" w:rsidRPr="00BE2059">
                              <w:rPr>
                                <w:rFonts w:ascii="Times New Roman" w:hAnsi="Times New Roman" w:cs="Times New Roman"/>
                                <w:color w:val="auto"/>
                                <w:sz w:val="22"/>
                                <w:szCs w:val="22"/>
                                <w:vertAlign w:val="subscript"/>
                              </w:rPr>
                              <w:t>Measured</w:t>
                            </w:r>
                            <w:r w:rsidR="0031056C" w:rsidRPr="00BE2059">
                              <w:rPr>
                                <w:rFonts w:ascii="Times New Roman" w:hAnsi="Times New Roman" w:cs="Times New Roman"/>
                                <w:color w:val="auto"/>
                                <w:sz w:val="22"/>
                                <w:szCs w:val="22"/>
                              </w:rPr>
                              <w:t xml:space="preserve"> and BC</w:t>
                            </w:r>
                            <w:r w:rsidR="0031056C" w:rsidRPr="00BE2059">
                              <w:rPr>
                                <w:rFonts w:ascii="Times New Roman" w:hAnsi="Times New Roman" w:cs="Times New Roman"/>
                                <w:color w:val="auto"/>
                                <w:sz w:val="22"/>
                                <w:szCs w:val="22"/>
                                <w:vertAlign w:val="subscript"/>
                              </w:rPr>
                              <w:t>reconstructed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FB9E9" id="_x0000_s1027" type="#_x0000_t202" style="position:absolute;left:0;text-align:left;margin-left:52.4pt;margin-top:262.25pt;width:318.0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MGAIAAD8EAAAOAAAAZHJzL2Uyb0RvYy54bWysU8Fu2zAMvQ/YPwi6L07Sr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6P06ub+dUnziTFrsmgGtnlqkMfvipoWDQKjsRJgkoc&#10;733oU8eU2MmD0eVGGxN/YmBtkB0F8dfWOqih+G9ZxsZcC/FWXzB6sssc0QrdrmO6fDXjDsoTjY7Q&#10;q8I7udHU71748CSQZEDTkrTDIx2VgbbgMFic1YA//+aP+cQORTlrSVYF9z8OAhVn5psl3qIGRwNH&#10;Yzca9tCsgSad0dI4mUy6gMGMZoXQvJDiV7ELhYSV1KvgYTTXoRc3bYxUq1VKIqU5Ee7t1slYesT1&#10;uXsR6AZWApH5AKPgRP6GnD430eNWh0BIJ+Yirj2KA9yk0sT9sFFxDV7/p6zL3i9/AQAA//8DAFBL&#10;AwQUAAYACAAAACEALGBa9uEAAAALAQAADwAAAGRycy9kb3ducmV2LnhtbEyPwU7DMBBE70j8g7VI&#10;XBC1KW6AEKeqKjjQS0XohZubbONAvI5spw1/j+ECx9kZzbwtlpPt2RF96BwpuJkJYEi1azpqFeze&#10;nq/vgYWoqdG9I1TwhQGW5flZofPGnegVj1VsWSqhkGsFJsYh5zzUBq0OMzcgJe/gvNUxSd/yxutT&#10;Krc9nwuRcas7SgtGD7g2WH9Wo1Wwle9bczUenjYreetfduM6+2grpS4vptUjsIhT/AvDD35ChzIx&#10;7d1ITWB90kIm9KhgMZcLYClxJ8UDsP3vJQNeFvz/D+U3AAAA//8DAFBLAQItABQABgAIAAAAIQC2&#10;gziS/gAAAOEBAAATAAAAAAAAAAAAAAAAAAAAAABbQ29udGVudF9UeXBlc10ueG1sUEsBAi0AFAAG&#10;AAgAAAAhADj9If/WAAAAlAEAAAsAAAAAAAAAAAAAAAAALwEAAF9yZWxzLy5yZWxzUEsBAi0AFAAG&#10;AAgAAAAhACESMIwYAgAAPwQAAA4AAAAAAAAAAAAAAAAALgIAAGRycy9lMm9Eb2MueG1sUEsBAi0A&#10;FAAGAAgAAAAhACxgWvbhAAAACwEAAA8AAAAAAAAAAAAAAAAAcgQAAGRycy9kb3ducmV2LnhtbFBL&#10;BQYAAAAABAAEAPMAAACABQAAAAA=&#10;" stroked="f">
                <v:textbox style="mso-fit-shape-to-text:t" inset="0,0,0,0">
                  <w:txbxContent>
                    <w:p w14:paraId="48400A0A" w14:textId="2A081622" w:rsidR="00BC177A" w:rsidRPr="00BE2059" w:rsidRDefault="00BC177A" w:rsidP="00BC177A">
                      <w:pPr>
                        <w:pStyle w:val="Caption"/>
                        <w:rPr>
                          <w:rFonts w:ascii="Times New Roman" w:hAnsi="Times New Roman" w:cs="Times New Roman"/>
                          <w:noProof/>
                          <w:color w:val="auto"/>
                          <w:sz w:val="22"/>
                          <w:szCs w:val="22"/>
                        </w:rPr>
                      </w:pPr>
                      <w:r w:rsidRPr="00BE2059">
                        <w:rPr>
                          <w:rFonts w:ascii="Times New Roman" w:hAnsi="Times New Roman" w:cs="Times New Roman"/>
                          <w:color w:val="auto"/>
                          <w:sz w:val="22"/>
                          <w:szCs w:val="22"/>
                        </w:rPr>
                        <w:t xml:space="preserve">Figure </w:t>
                      </w:r>
                      <w:r w:rsidR="00DE5306" w:rsidRPr="00BE2059">
                        <w:rPr>
                          <w:rFonts w:ascii="Times New Roman" w:hAnsi="Times New Roman" w:cs="Times New Roman"/>
                          <w:color w:val="auto"/>
                          <w:sz w:val="22"/>
                          <w:szCs w:val="22"/>
                        </w:rPr>
                        <w:t>S3</w:t>
                      </w:r>
                      <w:r w:rsidR="0031056C" w:rsidRPr="00BE2059">
                        <w:rPr>
                          <w:rFonts w:ascii="Times New Roman" w:hAnsi="Times New Roman" w:cs="Times New Roman"/>
                          <w:color w:val="auto"/>
                          <w:sz w:val="22"/>
                          <w:szCs w:val="22"/>
                        </w:rPr>
                        <w:t>: Scatter plot between BC</w:t>
                      </w:r>
                      <w:r w:rsidR="0031056C" w:rsidRPr="00BE2059">
                        <w:rPr>
                          <w:rFonts w:ascii="Times New Roman" w:hAnsi="Times New Roman" w:cs="Times New Roman"/>
                          <w:color w:val="auto"/>
                          <w:sz w:val="22"/>
                          <w:szCs w:val="22"/>
                          <w:vertAlign w:val="subscript"/>
                        </w:rPr>
                        <w:t>Measured</w:t>
                      </w:r>
                      <w:r w:rsidR="0031056C" w:rsidRPr="00BE2059">
                        <w:rPr>
                          <w:rFonts w:ascii="Times New Roman" w:hAnsi="Times New Roman" w:cs="Times New Roman"/>
                          <w:color w:val="auto"/>
                          <w:sz w:val="22"/>
                          <w:szCs w:val="22"/>
                        </w:rPr>
                        <w:t xml:space="preserve"> and BC</w:t>
                      </w:r>
                      <w:r w:rsidR="0031056C" w:rsidRPr="00BE2059">
                        <w:rPr>
                          <w:rFonts w:ascii="Times New Roman" w:hAnsi="Times New Roman" w:cs="Times New Roman"/>
                          <w:color w:val="auto"/>
                          <w:sz w:val="22"/>
                          <w:szCs w:val="22"/>
                          <w:vertAlign w:val="subscript"/>
                        </w:rPr>
                        <w:t>reconstructed</w:t>
                      </w:r>
                    </w:p>
                  </w:txbxContent>
                </v:textbox>
                <w10:wrap type="topAndBottom"/>
              </v:shape>
            </w:pict>
          </mc:Fallback>
        </mc:AlternateContent>
      </w:r>
      <w:r w:rsidR="0012445D" w:rsidRPr="00BE2059">
        <w:rPr>
          <w:rFonts w:ascii="Times New Roman" w:hAnsi="Times New Roman" w:cs="Times New Roman"/>
          <w:i w:val="0"/>
          <w:iCs w:val="0"/>
          <w:noProof/>
          <w:color w:val="auto"/>
        </w:rPr>
        <w:drawing>
          <wp:anchor distT="0" distB="0" distL="114300" distR="114300" simplePos="0" relativeHeight="251662336" behindDoc="0" locked="0" layoutInCell="1" allowOverlap="1" wp14:anchorId="159A3945" wp14:editId="02C70361">
            <wp:simplePos x="0" y="0"/>
            <wp:positionH relativeFrom="column">
              <wp:posOffset>666010</wp:posOffset>
            </wp:positionH>
            <wp:positionV relativeFrom="paragraph">
              <wp:posOffset>323215</wp:posOffset>
            </wp:positionV>
            <wp:extent cx="4039235" cy="2950210"/>
            <wp:effectExtent l="0" t="0" r="0" b="0"/>
            <wp:wrapTopAndBottom/>
            <wp:docPr id="1680998794" name="Picture 2" descr="A green and blue line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98794" name="Picture 2" descr="A green and blue line with numbers and a graph&#10;&#10;AI-generated content may be incorrect."/>
                    <pic:cNvPicPr/>
                  </pic:nvPicPr>
                  <pic:blipFill>
                    <a:blip r:embed="rId10"/>
                    <a:stretch>
                      <a:fillRect/>
                    </a:stretch>
                  </pic:blipFill>
                  <pic:spPr>
                    <a:xfrm>
                      <a:off x="0" y="0"/>
                      <a:ext cx="4039235" cy="2950210"/>
                    </a:xfrm>
                    <a:prstGeom prst="rect">
                      <a:avLst/>
                    </a:prstGeom>
                  </pic:spPr>
                </pic:pic>
              </a:graphicData>
            </a:graphic>
            <wp14:sizeRelH relativeFrom="margin">
              <wp14:pctWidth>0</wp14:pctWidth>
            </wp14:sizeRelH>
            <wp14:sizeRelV relativeFrom="margin">
              <wp14:pctHeight>0</wp14:pctHeight>
            </wp14:sizeRelV>
          </wp:anchor>
        </w:drawing>
      </w:r>
      <w:r w:rsidR="001D2B0E" w:rsidRPr="00BE2059">
        <w:rPr>
          <w:rFonts w:ascii="Times New Roman" w:hAnsi="Times New Roman" w:cs="Times New Roman"/>
          <w:color w:val="auto"/>
          <w:sz w:val="22"/>
          <w:szCs w:val="22"/>
        </w:rPr>
        <w:t xml:space="preserve">Figure </w:t>
      </w:r>
      <w:r w:rsidR="00A24A99" w:rsidRPr="00BE2059">
        <w:rPr>
          <w:rFonts w:ascii="Times New Roman" w:hAnsi="Times New Roman" w:cs="Times New Roman"/>
          <w:color w:val="auto"/>
          <w:sz w:val="22"/>
          <w:szCs w:val="22"/>
        </w:rPr>
        <w:t>S</w:t>
      </w:r>
      <w:r w:rsidR="00256210" w:rsidRPr="00BE2059">
        <w:rPr>
          <w:rFonts w:ascii="Times New Roman" w:hAnsi="Times New Roman" w:cs="Times New Roman"/>
          <w:color w:val="auto"/>
          <w:sz w:val="22"/>
          <w:szCs w:val="22"/>
        </w:rPr>
        <w:t>2</w:t>
      </w:r>
      <w:r w:rsidR="00A24A99" w:rsidRPr="00BE2059">
        <w:rPr>
          <w:rFonts w:ascii="Times New Roman" w:hAnsi="Times New Roman" w:cs="Times New Roman"/>
          <w:color w:val="auto"/>
          <w:sz w:val="22"/>
          <w:szCs w:val="22"/>
        </w:rPr>
        <w:t xml:space="preserve">: </w:t>
      </w:r>
      <w:r w:rsidR="004C50F1" w:rsidRPr="00BE2059">
        <w:rPr>
          <w:rFonts w:ascii="Times New Roman" w:hAnsi="Times New Roman" w:cs="Times New Roman"/>
          <w:color w:val="auto"/>
          <w:sz w:val="22"/>
          <w:szCs w:val="22"/>
        </w:rPr>
        <w:t xml:space="preserve">Scatter plot between K and </w:t>
      </w:r>
      <w:proofErr w:type="spellStart"/>
      <w:r w:rsidR="004C50F1" w:rsidRPr="00BE2059">
        <w:rPr>
          <w:rFonts w:ascii="Times New Roman" w:hAnsi="Times New Roman" w:cs="Times New Roman"/>
          <w:color w:val="auto"/>
          <w:sz w:val="22"/>
          <w:szCs w:val="22"/>
        </w:rPr>
        <w:t>BC</w:t>
      </w:r>
      <w:r w:rsidR="004C50F1" w:rsidRPr="00BE2059">
        <w:rPr>
          <w:rFonts w:ascii="Times New Roman" w:hAnsi="Times New Roman" w:cs="Times New Roman"/>
          <w:color w:val="auto"/>
          <w:sz w:val="22"/>
          <w:szCs w:val="22"/>
          <w:vertAlign w:val="subscript"/>
        </w:rPr>
        <w:t>bb</w:t>
      </w:r>
      <w:proofErr w:type="spellEnd"/>
      <w:r w:rsidR="004C50F1" w:rsidRPr="00BE2059">
        <w:rPr>
          <w:rFonts w:ascii="Times New Roman" w:hAnsi="Times New Roman" w:cs="Times New Roman"/>
          <w:color w:val="auto"/>
          <w:sz w:val="22"/>
          <w:szCs w:val="22"/>
        </w:rPr>
        <w:t xml:space="preserve">. The </w:t>
      </w:r>
      <w:proofErr w:type="spellStart"/>
      <w:r w:rsidR="004C50F1" w:rsidRPr="00BE2059">
        <w:rPr>
          <w:rFonts w:ascii="Times New Roman" w:hAnsi="Times New Roman" w:cs="Times New Roman"/>
          <w:color w:val="auto"/>
          <w:sz w:val="22"/>
          <w:szCs w:val="22"/>
        </w:rPr>
        <w:t>BC</w:t>
      </w:r>
      <w:r w:rsidR="004C50F1" w:rsidRPr="00BE2059">
        <w:rPr>
          <w:rFonts w:ascii="Times New Roman" w:hAnsi="Times New Roman" w:cs="Times New Roman"/>
          <w:color w:val="auto"/>
          <w:sz w:val="22"/>
          <w:szCs w:val="22"/>
          <w:vertAlign w:val="subscript"/>
        </w:rPr>
        <w:t>bb</w:t>
      </w:r>
      <w:proofErr w:type="spellEnd"/>
      <w:r w:rsidR="004C50F1" w:rsidRPr="00BE2059">
        <w:rPr>
          <w:rFonts w:ascii="Times New Roman" w:hAnsi="Times New Roman" w:cs="Times New Roman"/>
          <w:color w:val="auto"/>
          <w:sz w:val="22"/>
          <w:szCs w:val="22"/>
        </w:rPr>
        <w:t xml:space="preserve"> is apportioned using the aethalometer model and K is measured with Xact</w:t>
      </w:r>
      <w:r w:rsidR="004C50F1" w:rsidRPr="004C50F1">
        <w:rPr>
          <w:rFonts w:ascii="Times New Roman" w:hAnsi="Times New Roman" w:cs="Times New Roman"/>
          <w:sz w:val="22"/>
          <w:szCs w:val="22"/>
        </w:rPr>
        <w:t xml:space="preserve">.   </w:t>
      </w:r>
    </w:p>
    <w:p w14:paraId="1E7706CB" w14:textId="3D1C037D" w:rsidR="007B01BC" w:rsidRPr="00967F56" w:rsidRDefault="007B01BC" w:rsidP="00967F56">
      <w:pPr>
        <w:pStyle w:val="ListParagraph"/>
        <w:spacing w:line="480" w:lineRule="auto"/>
        <w:jc w:val="both"/>
        <w:rPr>
          <w:rFonts w:ascii="Times New Roman" w:hAnsi="Times New Roman" w:cs="Times New Roman"/>
          <w:i/>
          <w:iCs/>
        </w:rPr>
      </w:pPr>
    </w:p>
    <w:p w14:paraId="574C65CC" w14:textId="08069100" w:rsidR="007B01BC" w:rsidRPr="00967F56" w:rsidRDefault="0044125E" w:rsidP="00967F56">
      <w:pPr>
        <w:pStyle w:val="ListParagraph"/>
        <w:spacing w:line="480" w:lineRule="auto"/>
        <w:jc w:val="both"/>
        <w:rPr>
          <w:rFonts w:ascii="Times New Roman" w:hAnsi="Times New Roman" w:cs="Times New Roman"/>
          <w:i/>
          <w:iCs/>
        </w:rPr>
      </w:pPr>
      <w:r>
        <w:rPr>
          <w:noProof/>
        </w:rPr>
        <w:lastRenderedPageBreak/>
        <w:drawing>
          <wp:inline distT="0" distB="0" distL="0" distR="0" wp14:anchorId="7EF55455" wp14:editId="2AE8327E">
            <wp:extent cx="5129043" cy="3581774"/>
            <wp:effectExtent l="0" t="0" r="0" b="0"/>
            <wp:docPr id="1678210342" name="Picture 5"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10342" name="Picture 5" descr="A graph with lines and dots&#10;&#10;AI-generated content may be incorrect."/>
                    <pic:cNvPicPr/>
                  </pic:nvPicPr>
                  <pic:blipFill>
                    <a:blip r:embed="rId11"/>
                    <a:stretch>
                      <a:fillRect/>
                    </a:stretch>
                  </pic:blipFill>
                  <pic:spPr>
                    <a:xfrm>
                      <a:off x="0" y="0"/>
                      <a:ext cx="5131390" cy="3583413"/>
                    </a:xfrm>
                    <a:prstGeom prst="rect">
                      <a:avLst/>
                    </a:prstGeom>
                  </pic:spPr>
                </pic:pic>
              </a:graphicData>
            </a:graphic>
          </wp:inline>
        </w:drawing>
      </w:r>
      <w:r w:rsidR="004477F3">
        <w:rPr>
          <w:noProof/>
        </w:rPr>
        <mc:AlternateContent>
          <mc:Choice Requires="wps">
            <w:drawing>
              <wp:anchor distT="0" distB="0" distL="114300" distR="114300" simplePos="0" relativeHeight="251667456" behindDoc="0" locked="0" layoutInCell="1" allowOverlap="1" wp14:anchorId="380D68D0" wp14:editId="43C1CAAE">
                <wp:simplePos x="0" y="0"/>
                <wp:positionH relativeFrom="page">
                  <wp:posOffset>841375</wp:posOffset>
                </wp:positionH>
                <wp:positionV relativeFrom="paragraph">
                  <wp:posOffset>2635250</wp:posOffset>
                </wp:positionV>
                <wp:extent cx="4167505" cy="420370"/>
                <wp:effectExtent l="0" t="0" r="4445" b="0"/>
                <wp:wrapTopAndBottom/>
                <wp:docPr id="163371569" name="Text Box 1"/>
                <wp:cNvGraphicFramePr/>
                <a:graphic xmlns:a="http://schemas.openxmlformats.org/drawingml/2006/main">
                  <a:graphicData uri="http://schemas.microsoft.com/office/word/2010/wordprocessingShape">
                    <wps:wsp>
                      <wps:cNvSpPr txBox="1"/>
                      <wps:spPr>
                        <a:xfrm>
                          <a:off x="0" y="0"/>
                          <a:ext cx="4167505" cy="420370"/>
                        </a:xfrm>
                        <a:prstGeom prst="rect">
                          <a:avLst/>
                        </a:prstGeom>
                        <a:solidFill>
                          <a:prstClr val="white"/>
                        </a:solidFill>
                        <a:ln>
                          <a:noFill/>
                        </a:ln>
                      </wps:spPr>
                      <wps:txbx>
                        <w:txbxContent>
                          <w:p w14:paraId="2B8F1BD6" w14:textId="18540C9C" w:rsidR="004477F3" w:rsidRPr="00BE2059" w:rsidRDefault="004477F3" w:rsidP="004477F3">
                            <w:pPr>
                              <w:pStyle w:val="Caption"/>
                              <w:rPr>
                                <w:rFonts w:ascii="Times New Roman" w:hAnsi="Times New Roman" w:cs="Times New Roman"/>
                                <w:noProof/>
                                <w:color w:val="auto"/>
                                <w:sz w:val="22"/>
                                <w:szCs w:val="22"/>
                                <w14:ligatures w14:val="none"/>
                              </w:rPr>
                            </w:pPr>
                            <w:r w:rsidRPr="00BE2059">
                              <w:rPr>
                                <w:color w:val="auto"/>
                              </w:rPr>
                              <w:t xml:space="preserve">Figure </w:t>
                            </w:r>
                            <w:r w:rsidR="00DE5306" w:rsidRPr="00BE2059">
                              <w:rPr>
                                <w:color w:val="auto"/>
                              </w:rPr>
                              <w:t xml:space="preserve">S4: </w:t>
                            </w:r>
                            <w:r w:rsidRPr="00BE2059">
                              <w:rPr>
                                <w:color w:val="auto"/>
                              </w:rPr>
                              <w:t>Source contribution of different sources to elemental and black carbon (BC) fractions of PM</w:t>
                            </w:r>
                            <w:r w:rsidRPr="00BE2059">
                              <w:rPr>
                                <w:color w:val="auto"/>
                              </w:rPr>
                              <w:t>₂.₅ during the Punjab campaign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68D0" id="_x0000_s1028" type="#_x0000_t202" style="position:absolute;left:0;text-align:left;margin-left:66.25pt;margin-top:207.5pt;width:328.15pt;height:33.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NkHwIAAEIEAAAOAAAAZHJzL2Uyb0RvYy54bWysU01v2zAMvQ/YfxB0X+xk/RiMOEWWIsOA&#10;oi2QDj0rshQLkEWNUmJnv36UHSdbt9Owi0yLFMn3+Di/6xrLDgqDAVfy6STnTDkJlXG7kn97WX/4&#10;xFmIwlXCglMlP6rA7xbv381bX6gZ1GArhYySuFC0vuR1jL7IsiBr1YgwAa8cOTVgIyL94i6rULSU&#10;vbHZLM9vshaw8ghShUC394OTL/r8WisZn7QOKjJbcuot9if25zad2WIuih0KXxt5akP8QxeNMI6K&#10;nlPdiyjYHs0fqRojEQLoOJHQZKC1karHQGim+Rs0m1p41WMhcoI/0xT+X1r5eNj4Z2Sx+wwdDTAR&#10;0vpQBLpMeDqNTfpSp4z8ROHxTJvqIpN0eTW9ub3OrzmT5Lua5R9ve16zy2uPIX5R0LBklBxpLD1b&#10;4vAQIlWk0DEkFQtgTbU21qaf5FhZZAdBI2xrE1XqkV78FmVdinWQXg3udJNdoCQrdtuOmarksxHm&#10;FqojoUcYhBG8XBuq9yBCfBZISiDApO74RIe20JYcThZnNeCPv92neBoQeTlrSVklD9/3AhVn9quj&#10;0SUZjgaOxnY03L5ZASGd0t542Zv0AKMdTY3QvJLol6kKuYSTVKvkcTRXcdA3LY1Uy2UfRGLzIj64&#10;jZcp9cjrS/cq0J+mEmmejzBqThRvhjPEDiwv9xG06SeXeB1YPNFNQu3Hc1qqtAm//vdRl9Vf/AQA&#10;AP//AwBQSwMEFAAGAAgAAAAhACXi5NfgAAAACwEAAA8AAABkcnMvZG93bnJldi54bWxMj8FOwzAQ&#10;RO9I/IO1SFwQdRJoG6VxKmjhVg4tVc/b2CQR8TqKnSb9e5YTHGf2aXYmX0+2FRfT+8aRgngWgTBU&#10;Ot1QpeD4+f6YgvABSWPryCi4Gg/r4vYmx0y7kfbmcgiV4BDyGSqoQ+gyKX1ZG4t+5jpDfPtyvcXA&#10;sq+k7nHkcNvKJIoW0mJD/KHGzmxqU34fBqtgse2HcU+bh+3xbYcfXZWcXq8npe7vppcViGCm8AfD&#10;b32uDgV3OruBtBct66dkzqiC53jOo5hYpimPObOTxgnIIpf/NxQ/AAAA//8DAFBLAQItABQABgAI&#10;AAAAIQC2gziS/gAAAOEBAAATAAAAAAAAAAAAAAAAAAAAAABbQ29udGVudF9UeXBlc10ueG1sUEsB&#10;Ai0AFAAGAAgAAAAhADj9If/WAAAAlAEAAAsAAAAAAAAAAAAAAAAALwEAAF9yZWxzLy5yZWxzUEsB&#10;Ai0AFAAGAAgAAAAhAKgsY2QfAgAAQgQAAA4AAAAAAAAAAAAAAAAALgIAAGRycy9lMm9Eb2MueG1s&#10;UEsBAi0AFAAGAAgAAAAhACXi5NfgAAAACwEAAA8AAAAAAAAAAAAAAAAAeQQAAGRycy9kb3ducmV2&#10;LnhtbFBLBQYAAAAABAAEAPMAAACGBQAAAAA=&#10;" stroked="f">
                <v:textbox inset="0,0,0,0">
                  <w:txbxContent>
                    <w:p w14:paraId="2B8F1BD6" w14:textId="18540C9C" w:rsidR="004477F3" w:rsidRPr="00BE2059" w:rsidRDefault="004477F3" w:rsidP="004477F3">
                      <w:pPr>
                        <w:pStyle w:val="Caption"/>
                        <w:rPr>
                          <w:rFonts w:ascii="Times New Roman" w:hAnsi="Times New Roman" w:cs="Times New Roman"/>
                          <w:noProof/>
                          <w:color w:val="auto"/>
                          <w:sz w:val="22"/>
                          <w:szCs w:val="22"/>
                          <w14:ligatures w14:val="none"/>
                        </w:rPr>
                      </w:pPr>
                      <w:r w:rsidRPr="00BE2059">
                        <w:rPr>
                          <w:color w:val="auto"/>
                        </w:rPr>
                        <w:t xml:space="preserve">Figure </w:t>
                      </w:r>
                      <w:r w:rsidR="00DE5306" w:rsidRPr="00BE2059">
                        <w:rPr>
                          <w:color w:val="auto"/>
                        </w:rPr>
                        <w:t xml:space="preserve">S4: </w:t>
                      </w:r>
                      <w:r w:rsidRPr="00BE2059">
                        <w:rPr>
                          <w:color w:val="auto"/>
                        </w:rPr>
                        <w:t>Source contribution of different sources to elemental and black carbon (BC) fractions of PM₂.₅ during the Punjab campaign</w:t>
                      </w:r>
                    </w:p>
                  </w:txbxContent>
                </v:textbox>
                <w10:wrap type="topAndBottom" anchorx="page"/>
              </v:shape>
            </w:pict>
          </mc:Fallback>
        </mc:AlternateContent>
      </w:r>
      <w:r w:rsidR="00355A7A">
        <w:rPr>
          <w:rFonts w:ascii="Times New Roman" w:hAnsi="Times New Roman" w:cs="Times New Roman"/>
          <w:i/>
          <w:iCs/>
          <w:noProof/>
        </w:rPr>
        <w:drawing>
          <wp:anchor distT="0" distB="0" distL="114300" distR="114300" simplePos="0" relativeHeight="251665408" behindDoc="0" locked="0" layoutInCell="1" allowOverlap="1" wp14:anchorId="6CD6B82C" wp14:editId="5151D10F">
            <wp:simplePos x="0" y="0"/>
            <wp:positionH relativeFrom="margin">
              <wp:align>center</wp:align>
            </wp:positionH>
            <wp:positionV relativeFrom="paragraph">
              <wp:posOffset>84147</wp:posOffset>
            </wp:positionV>
            <wp:extent cx="3196565" cy="2445880"/>
            <wp:effectExtent l="0" t="0" r="4445" b="0"/>
            <wp:wrapTopAndBottom/>
            <wp:docPr id="1997354751" name="Picture 4" descr="A colorful pie char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54751" name="Picture 4" descr="A colorful pie chart with a black background&#10;&#10;AI-generated content may be incorrect."/>
                    <pic:cNvPicPr/>
                  </pic:nvPicPr>
                  <pic:blipFill>
                    <a:blip r:embed="rId12"/>
                    <a:stretch>
                      <a:fillRect/>
                    </a:stretch>
                  </pic:blipFill>
                  <pic:spPr>
                    <a:xfrm>
                      <a:off x="0" y="0"/>
                      <a:ext cx="3196565" cy="2445880"/>
                    </a:xfrm>
                    <a:prstGeom prst="rect">
                      <a:avLst/>
                    </a:prstGeom>
                  </pic:spPr>
                </pic:pic>
              </a:graphicData>
            </a:graphic>
          </wp:anchor>
        </w:drawing>
      </w:r>
    </w:p>
    <w:p w14:paraId="28EA2AF6" w14:textId="656327A8" w:rsidR="007B01BC" w:rsidRPr="00967F56" w:rsidRDefault="00441869" w:rsidP="00967F56">
      <w:pPr>
        <w:pStyle w:val="ListParagraph"/>
        <w:spacing w:line="480" w:lineRule="auto"/>
        <w:jc w:val="both"/>
        <w:rPr>
          <w:rFonts w:ascii="Times New Roman" w:hAnsi="Times New Roman" w:cs="Times New Roman"/>
          <w:i/>
          <w:iCs/>
        </w:rPr>
      </w:pPr>
      <w:r>
        <w:rPr>
          <w:rFonts w:ascii="Times New Roman" w:hAnsi="Times New Roman" w:cs="Times New Roman"/>
          <w:i/>
          <w:iCs/>
        </w:rPr>
        <w:t>Figure S</w:t>
      </w:r>
      <w:r w:rsidR="00DE5306">
        <w:rPr>
          <w:rFonts w:ascii="Times New Roman" w:hAnsi="Times New Roman" w:cs="Times New Roman"/>
          <w:i/>
          <w:iCs/>
        </w:rPr>
        <w:t>5</w:t>
      </w:r>
      <w:r w:rsidR="00DC681A">
        <w:rPr>
          <w:rFonts w:ascii="Times New Roman" w:hAnsi="Times New Roman" w:cs="Times New Roman"/>
          <w:i/>
          <w:iCs/>
        </w:rPr>
        <w:t>: Diurnal</w:t>
      </w:r>
      <w:r w:rsidR="00840703">
        <w:rPr>
          <w:rFonts w:ascii="Times New Roman" w:hAnsi="Times New Roman" w:cs="Times New Roman"/>
          <w:i/>
          <w:iCs/>
        </w:rPr>
        <w:t xml:space="preserve"> variation </w:t>
      </w:r>
      <w:r w:rsidR="002207E8">
        <w:rPr>
          <w:rFonts w:ascii="Times New Roman" w:hAnsi="Times New Roman" w:cs="Times New Roman"/>
          <w:i/>
          <w:iCs/>
        </w:rPr>
        <w:t>dust-related</w:t>
      </w:r>
      <w:r w:rsidR="00840703">
        <w:rPr>
          <w:rFonts w:ascii="Times New Roman" w:hAnsi="Times New Roman" w:cs="Times New Roman"/>
          <w:i/>
          <w:iCs/>
        </w:rPr>
        <w:t xml:space="preserve"> factor obtained from the </w:t>
      </w:r>
      <w:r w:rsidR="002207E8">
        <w:rPr>
          <w:rFonts w:ascii="Times New Roman" w:hAnsi="Times New Roman" w:cs="Times New Roman"/>
          <w:i/>
          <w:iCs/>
        </w:rPr>
        <w:t>PMF model</w:t>
      </w:r>
    </w:p>
    <w:p w14:paraId="2AD10438" w14:textId="32D4CDF3" w:rsidR="00192956" w:rsidRDefault="00042AF5">
      <w:pPr>
        <w:rPr>
          <w:rFonts w:ascii="Times New Roman" w:hAnsi="Times New Roman" w:cs="Times New Roman"/>
          <w:b/>
          <w:bCs/>
          <w:i/>
          <w:iCs/>
        </w:rPr>
      </w:pPr>
      <w:r>
        <w:rPr>
          <w:noProof/>
        </w:rPr>
        <w:lastRenderedPageBreak/>
        <mc:AlternateContent>
          <mc:Choice Requires="wps">
            <w:drawing>
              <wp:anchor distT="0" distB="0" distL="114300" distR="114300" simplePos="0" relativeHeight="251670528" behindDoc="0" locked="0" layoutInCell="1" allowOverlap="1" wp14:anchorId="28EDAAFC" wp14:editId="1A4EB2C0">
                <wp:simplePos x="0" y="0"/>
                <wp:positionH relativeFrom="column">
                  <wp:posOffset>152400</wp:posOffset>
                </wp:positionH>
                <wp:positionV relativeFrom="paragraph">
                  <wp:posOffset>5425440</wp:posOffset>
                </wp:positionV>
                <wp:extent cx="6126480" cy="419100"/>
                <wp:effectExtent l="0" t="0" r="7620" b="0"/>
                <wp:wrapTopAndBottom/>
                <wp:docPr id="1236527981" name="Text Box 1"/>
                <wp:cNvGraphicFramePr/>
                <a:graphic xmlns:a="http://schemas.openxmlformats.org/drawingml/2006/main">
                  <a:graphicData uri="http://schemas.microsoft.com/office/word/2010/wordprocessingShape">
                    <wps:wsp>
                      <wps:cNvSpPr txBox="1"/>
                      <wps:spPr>
                        <a:xfrm>
                          <a:off x="0" y="0"/>
                          <a:ext cx="6126480" cy="419100"/>
                        </a:xfrm>
                        <a:prstGeom prst="rect">
                          <a:avLst/>
                        </a:prstGeom>
                        <a:solidFill>
                          <a:prstClr val="white"/>
                        </a:solidFill>
                        <a:ln>
                          <a:noFill/>
                        </a:ln>
                      </wps:spPr>
                      <wps:txbx>
                        <w:txbxContent>
                          <w:p w14:paraId="483532CC" w14:textId="6DBD07B9" w:rsidR="00042AF5" w:rsidRDefault="00042AF5" w:rsidP="00042AF5">
                            <w:pPr>
                              <w:pStyle w:val="Caption"/>
                              <w:rPr>
                                <w:rFonts w:ascii="Times New Roman" w:hAnsi="Times New Roman" w:cs="Times New Roman"/>
                                <w:color w:val="auto"/>
                                <w:sz w:val="22"/>
                                <w:szCs w:val="22"/>
                              </w:rPr>
                            </w:pPr>
                            <w:r w:rsidRPr="00BE2059">
                              <w:rPr>
                                <w:rFonts w:ascii="Times New Roman" w:hAnsi="Times New Roman" w:cs="Times New Roman"/>
                                <w:color w:val="auto"/>
                                <w:sz w:val="22"/>
                                <w:szCs w:val="22"/>
                              </w:rPr>
                              <w:t xml:space="preserve">Figure S6: </w:t>
                            </w:r>
                            <w:r w:rsidR="008E6561" w:rsidRPr="00BE2059">
                              <w:rPr>
                                <w:rFonts w:ascii="Times New Roman" w:hAnsi="Times New Roman" w:cs="Times New Roman"/>
                                <w:color w:val="auto"/>
                                <w:sz w:val="22"/>
                                <w:szCs w:val="22"/>
                              </w:rPr>
                              <w:t>Scatter</w:t>
                            </w:r>
                            <w:r w:rsidR="00CF5D6B" w:rsidRPr="00BE2059">
                              <w:rPr>
                                <w:rFonts w:ascii="Times New Roman" w:hAnsi="Times New Roman" w:cs="Times New Roman"/>
                                <w:color w:val="auto"/>
                                <w:sz w:val="22"/>
                                <w:szCs w:val="22"/>
                              </w:rPr>
                              <w:t xml:space="preserve"> plot between (a) K and Cl, (b) K and BC, (C) Cl and BC, and (d) </w:t>
                            </w:r>
                            <w:r w:rsidR="008E6561" w:rsidRPr="00BE2059">
                              <w:rPr>
                                <w:rFonts w:ascii="Times New Roman" w:hAnsi="Times New Roman" w:cs="Times New Roman"/>
                                <w:color w:val="auto"/>
                                <w:sz w:val="22"/>
                                <w:szCs w:val="22"/>
                              </w:rPr>
                              <w:t>K and BC</w:t>
                            </w:r>
                            <w:r w:rsidR="008E6561" w:rsidRPr="00BE2059">
                              <w:rPr>
                                <w:rFonts w:ascii="Times New Roman" w:hAnsi="Times New Roman" w:cs="Times New Roman"/>
                                <w:color w:val="auto"/>
                                <w:sz w:val="22"/>
                                <w:szCs w:val="22"/>
                                <w:vertAlign w:val="subscript"/>
                              </w:rPr>
                              <w:t>BB</w:t>
                            </w:r>
                            <w:r w:rsidR="008E6561" w:rsidRPr="00BE2059">
                              <w:rPr>
                                <w:rFonts w:ascii="Times New Roman" w:hAnsi="Times New Roman" w:cs="Times New Roman"/>
                                <w:color w:val="auto"/>
                                <w:sz w:val="22"/>
                                <w:szCs w:val="22"/>
                              </w:rPr>
                              <w:t xml:space="preserve"> (derived from PMF model)</w:t>
                            </w:r>
                          </w:p>
                          <w:p w14:paraId="34A12631" w14:textId="77777777" w:rsidR="00AA4505" w:rsidRPr="00AA4505" w:rsidRDefault="00AA4505" w:rsidP="00AA45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EDAAFC" id="_x0000_t202" coordsize="21600,21600" o:spt="202" path="m,l,21600r21600,l21600,xe">
                <v:stroke joinstyle="miter"/>
                <v:path gradientshapeok="t" o:connecttype="rect"/>
              </v:shapetype>
              <v:shape id="_x0000_s1029" type="#_x0000_t202" style="position:absolute;margin-left:12pt;margin-top:427.2pt;width:482.4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MHgIAAEIEAAAOAAAAZHJzL2Uyb0RvYy54bWysU8Fu2zAMvQ/YPwi6L46zIuiMOEWWIsOA&#10;oC2QDj0rshQLkEWNUmJ3Xz/KjpOt22nYRaZFiuR7fFzcdY1lJ4XBgCt5PplyppyEyrhDyb89bz7c&#10;chaicJWw4FTJX1Xgd8v37xatL9QMarCVQkZJXChaX/I6Rl9kWZC1akSYgFeOnBqwEZF+8ZBVKFrK&#10;3thsNp3Osxaw8ghShUC394OTL/v8WisZH7UOKjJbcuot9if25z6d2XIhigMKXxt5bkP8QxeNMI6K&#10;XlLdiyjYEc0fqRojEQLoOJHQZKC1karHQGjy6Rs0u1p41WMhcoK/0BT+X1r5cNr5J2Sx+wwdDTAR&#10;0vpQBLpMeDqNTfpSp4z8ROHrhTbVRSbpcp7P5je35JLku8k/5dOe1+z62mOIXxQ0LBklRxpLz5Y4&#10;bUOkihQ6hqRiAaypNsba9JMca4vsJGiEbW2iSj3Si9+irEuxDtKrwZ1usiuUZMVu3zFTlfzjCHMP&#10;1SuhRxiEEbzcGKq3FSE+CSQlECpSd3ykQ1toSw5ni7Ma8Mff7lM8DYi8nLWkrJKH70eBijP71dHo&#10;kgxHA0djPxru2KyBkOa0N172Jj3AaEdTIzQvJPpVqkIu4STVKnkczXUc9E1LI9Vq1QeR2LyIW7fz&#10;MqUeeX3uXgT681QizfMBRs2J4s1whtiB5dUxgjb95BKvA4tnukmo/XjOS5U24df/Puq6+sufAAAA&#10;//8DAFBLAwQUAAYACAAAACEAqGITCN8AAAAKAQAADwAAAGRycy9kb3ducmV2LnhtbEyPwU7DMAyG&#10;70i8Q2QkLoilVGUqpekEG9zgsDHtnDWmrWicKknX7u0xJ3az5V+/v69czbYXJ/Shc6TgYZGAQKqd&#10;6ahRsP96v89BhKjJ6N4RKjhjgFV1fVXqwriJtnjaxUZwCYVCK2hjHAopQ92i1WHhBiS+fTtvdeTV&#10;N9J4PXG57WWaJEtpdUf8odUDrlusf3ajVbDc+HHa0vpus3/70J9Dkx5ezwelbm/ml2cQEef4H4Y/&#10;fEaHipmObiQTRK8gzVglKsgfswwEB57ynF2OPKRJBrIq5aVC9QsAAP//AwBQSwECLQAUAAYACAAA&#10;ACEAtoM4kv4AAADhAQAAEwAAAAAAAAAAAAAAAAAAAAAAW0NvbnRlbnRfVHlwZXNdLnhtbFBLAQIt&#10;ABQABgAIAAAAIQA4/SH/1gAAAJQBAAALAAAAAAAAAAAAAAAAAC8BAABfcmVscy8ucmVsc1BLAQIt&#10;ABQABgAIAAAAIQBCJ+8MHgIAAEIEAAAOAAAAAAAAAAAAAAAAAC4CAABkcnMvZTJvRG9jLnhtbFBL&#10;AQItABQABgAIAAAAIQCoYhMI3wAAAAoBAAAPAAAAAAAAAAAAAAAAAHgEAABkcnMvZG93bnJldi54&#10;bWxQSwUGAAAAAAQABADzAAAAhAUAAAAA&#10;" stroked="f">
                <v:textbox inset="0,0,0,0">
                  <w:txbxContent>
                    <w:p w14:paraId="483532CC" w14:textId="6DBD07B9" w:rsidR="00042AF5" w:rsidRDefault="00042AF5" w:rsidP="00042AF5">
                      <w:pPr>
                        <w:pStyle w:val="Caption"/>
                        <w:rPr>
                          <w:rFonts w:ascii="Times New Roman" w:hAnsi="Times New Roman" w:cs="Times New Roman"/>
                          <w:color w:val="auto"/>
                          <w:sz w:val="22"/>
                          <w:szCs w:val="22"/>
                        </w:rPr>
                      </w:pPr>
                      <w:r w:rsidRPr="00BE2059">
                        <w:rPr>
                          <w:rFonts w:ascii="Times New Roman" w:hAnsi="Times New Roman" w:cs="Times New Roman"/>
                          <w:color w:val="auto"/>
                          <w:sz w:val="22"/>
                          <w:szCs w:val="22"/>
                        </w:rPr>
                        <w:t xml:space="preserve">Figure S6: </w:t>
                      </w:r>
                      <w:r w:rsidR="008E6561" w:rsidRPr="00BE2059">
                        <w:rPr>
                          <w:rFonts w:ascii="Times New Roman" w:hAnsi="Times New Roman" w:cs="Times New Roman"/>
                          <w:color w:val="auto"/>
                          <w:sz w:val="22"/>
                          <w:szCs w:val="22"/>
                        </w:rPr>
                        <w:t>Scatter</w:t>
                      </w:r>
                      <w:r w:rsidR="00CF5D6B" w:rsidRPr="00BE2059">
                        <w:rPr>
                          <w:rFonts w:ascii="Times New Roman" w:hAnsi="Times New Roman" w:cs="Times New Roman"/>
                          <w:color w:val="auto"/>
                          <w:sz w:val="22"/>
                          <w:szCs w:val="22"/>
                        </w:rPr>
                        <w:t xml:space="preserve"> plot between (a) K and Cl, (b) K and BC, (C) Cl and BC, and (d) </w:t>
                      </w:r>
                      <w:r w:rsidR="008E6561" w:rsidRPr="00BE2059">
                        <w:rPr>
                          <w:rFonts w:ascii="Times New Roman" w:hAnsi="Times New Roman" w:cs="Times New Roman"/>
                          <w:color w:val="auto"/>
                          <w:sz w:val="22"/>
                          <w:szCs w:val="22"/>
                        </w:rPr>
                        <w:t>K and BC</w:t>
                      </w:r>
                      <w:r w:rsidR="008E6561" w:rsidRPr="00BE2059">
                        <w:rPr>
                          <w:rFonts w:ascii="Times New Roman" w:hAnsi="Times New Roman" w:cs="Times New Roman"/>
                          <w:color w:val="auto"/>
                          <w:sz w:val="22"/>
                          <w:szCs w:val="22"/>
                          <w:vertAlign w:val="subscript"/>
                        </w:rPr>
                        <w:t>BB</w:t>
                      </w:r>
                      <w:r w:rsidR="008E6561" w:rsidRPr="00BE2059">
                        <w:rPr>
                          <w:rFonts w:ascii="Times New Roman" w:hAnsi="Times New Roman" w:cs="Times New Roman"/>
                          <w:color w:val="auto"/>
                          <w:sz w:val="22"/>
                          <w:szCs w:val="22"/>
                        </w:rPr>
                        <w:t xml:space="preserve"> (derived from PMF model)</w:t>
                      </w:r>
                    </w:p>
                    <w:p w14:paraId="34A12631" w14:textId="77777777" w:rsidR="00AA4505" w:rsidRPr="00AA4505" w:rsidRDefault="00AA4505" w:rsidP="00AA4505"/>
                  </w:txbxContent>
                </v:textbox>
                <w10:wrap type="topAndBottom"/>
              </v:shape>
            </w:pict>
          </mc:Fallback>
        </mc:AlternateContent>
      </w:r>
      <w:r w:rsidR="00192956">
        <w:rPr>
          <w:rFonts w:ascii="Times New Roman" w:hAnsi="Times New Roman" w:cs="Times New Roman"/>
          <w:b/>
          <w:bCs/>
          <w:i/>
          <w:iCs/>
          <w:noProof/>
        </w:rPr>
        <w:drawing>
          <wp:anchor distT="0" distB="0" distL="114300" distR="114300" simplePos="0" relativeHeight="251668480" behindDoc="0" locked="0" layoutInCell="1" allowOverlap="1" wp14:anchorId="194ED140" wp14:editId="1BBA3FCB">
            <wp:simplePos x="0" y="0"/>
            <wp:positionH relativeFrom="column">
              <wp:posOffset>153970</wp:posOffset>
            </wp:positionH>
            <wp:positionV relativeFrom="paragraph">
              <wp:posOffset>286604</wp:posOffset>
            </wp:positionV>
            <wp:extent cx="6127063" cy="5082079"/>
            <wp:effectExtent l="0" t="0" r="0" b="0"/>
            <wp:wrapTopAndBottom/>
            <wp:docPr id="580908235" name="Picture 4" descr="A group of colorful feath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08235" name="Picture 4" descr="A group of colorful feathers&#10;&#10;AI-generated content may be incorrect."/>
                    <pic:cNvPicPr/>
                  </pic:nvPicPr>
                  <pic:blipFill>
                    <a:blip r:embed="rId13"/>
                    <a:stretch>
                      <a:fillRect/>
                    </a:stretch>
                  </pic:blipFill>
                  <pic:spPr>
                    <a:xfrm>
                      <a:off x="0" y="0"/>
                      <a:ext cx="6127063" cy="5082079"/>
                    </a:xfrm>
                    <a:prstGeom prst="rect">
                      <a:avLst/>
                    </a:prstGeom>
                  </pic:spPr>
                </pic:pic>
              </a:graphicData>
            </a:graphic>
          </wp:anchor>
        </w:drawing>
      </w:r>
    </w:p>
    <w:p w14:paraId="446AEF76" w14:textId="77777777" w:rsidR="00162AA2" w:rsidRDefault="00162AA2" w:rsidP="00162AA2">
      <w:pPr>
        <w:rPr>
          <w:rFonts w:ascii="Times New Roman" w:hAnsi="Times New Roman" w:cs="Times New Roman"/>
          <w:b/>
          <w:bCs/>
          <w:i/>
          <w:iCs/>
        </w:rPr>
      </w:pPr>
    </w:p>
    <w:p w14:paraId="240CD593" w14:textId="77777777" w:rsidR="00AA4505" w:rsidRDefault="00AA4505" w:rsidP="00162AA2">
      <w:pPr>
        <w:rPr>
          <w:rFonts w:ascii="Times New Roman" w:hAnsi="Times New Roman" w:cs="Times New Roman"/>
          <w:b/>
          <w:bCs/>
          <w:i/>
          <w:iCs/>
        </w:rPr>
      </w:pPr>
    </w:p>
    <w:p w14:paraId="789DF957" w14:textId="77777777" w:rsidR="00AA4505" w:rsidRDefault="00AA4505" w:rsidP="00AA4505">
      <w:pPr>
        <w:keepNext/>
      </w:pPr>
      <w:r>
        <w:rPr>
          <w:rFonts w:ascii="Times New Roman" w:hAnsi="Times New Roman" w:cs="Times New Roman"/>
          <w:b/>
          <w:bCs/>
          <w:i/>
          <w:iCs/>
          <w:noProof/>
        </w:rPr>
        <w:lastRenderedPageBreak/>
        <w:drawing>
          <wp:inline distT="0" distB="0" distL="0" distR="0" wp14:anchorId="52DEF09A" wp14:editId="1FB92F38">
            <wp:extent cx="6645910" cy="8861425"/>
            <wp:effectExtent l="0" t="0" r="2540" b="0"/>
            <wp:docPr id="55996560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65600" name="Graphic 559965600"/>
                    <pic:cNvPicPr/>
                  </pic:nvPicPr>
                  <pic:blipFill>
                    <a:blip r:embed="rId14">
                      <a:extLst>
                        <a:ext uri="{96DAC541-7B7A-43D3-8B79-37D633B846F1}">
                          <asvg:svgBlip xmlns:asvg="http://schemas.microsoft.com/office/drawing/2016/SVG/main" r:embed="rId15"/>
                        </a:ext>
                      </a:extLst>
                    </a:blip>
                    <a:stretch>
                      <a:fillRect/>
                    </a:stretch>
                  </pic:blipFill>
                  <pic:spPr>
                    <a:xfrm>
                      <a:off x="0" y="0"/>
                      <a:ext cx="6645910" cy="8861425"/>
                    </a:xfrm>
                    <a:prstGeom prst="rect">
                      <a:avLst/>
                    </a:prstGeom>
                  </pic:spPr>
                </pic:pic>
              </a:graphicData>
            </a:graphic>
          </wp:inline>
        </w:drawing>
      </w:r>
    </w:p>
    <w:p w14:paraId="30580079" w14:textId="3434DE17" w:rsidR="00AA4505" w:rsidRPr="00AA4505" w:rsidRDefault="00AA4505" w:rsidP="00AA4505">
      <w:pPr>
        <w:pStyle w:val="Caption"/>
        <w:rPr>
          <w:rFonts w:ascii="Times New Roman" w:hAnsi="Times New Roman" w:cs="Times New Roman"/>
          <w:b/>
          <w:bCs/>
          <w:i w:val="0"/>
          <w:iCs w:val="0"/>
          <w:color w:val="auto"/>
          <w:sz w:val="24"/>
          <w:szCs w:val="24"/>
        </w:rPr>
      </w:pPr>
      <w:r w:rsidRPr="00AA4505">
        <w:rPr>
          <w:rFonts w:ascii="Times New Roman" w:hAnsi="Times New Roman" w:cs="Times New Roman"/>
          <w:color w:val="auto"/>
          <w:sz w:val="24"/>
          <w:szCs w:val="24"/>
        </w:rPr>
        <w:t>Figure 7: Daily average variation of BC factors obtained from the PMF model</w:t>
      </w:r>
    </w:p>
    <w:p w14:paraId="58058683" w14:textId="77777777" w:rsidR="00AA4505" w:rsidRDefault="00AA4505" w:rsidP="00162AA2">
      <w:pPr>
        <w:rPr>
          <w:rFonts w:ascii="Times New Roman" w:hAnsi="Times New Roman" w:cs="Times New Roman"/>
          <w:b/>
          <w:bCs/>
          <w:i/>
          <w:iCs/>
        </w:rPr>
      </w:pPr>
    </w:p>
    <w:p w14:paraId="4E932EE6" w14:textId="77777777" w:rsidR="00AA4505" w:rsidRDefault="00AA4505" w:rsidP="00162AA2">
      <w:pPr>
        <w:rPr>
          <w:rFonts w:ascii="Times New Roman" w:hAnsi="Times New Roman" w:cs="Times New Roman"/>
          <w:b/>
          <w:bCs/>
          <w:i/>
          <w:iCs/>
        </w:rPr>
      </w:pPr>
    </w:p>
    <w:p w14:paraId="32C10839" w14:textId="1CADB205" w:rsidR="007B01BC" w:rsidRPr="00162AA2" w:rsidRDefault="006D263C" w:rsidP="00162AA2">
      <w:pPr>
        <w:rPr>
          <w:rFonts w:ascii="Times New Roman" w:hAnsi="Times New Roman" w:cs="Times New Roman"/>
          <w:b/>
          <w:bCs/>
          <w:i/>
          <w:iCs/>
        </w:rPr>
      </w:pPr>
      <w:r w:rsidRPr="00162AA2">
        <w:rPr>
          <w:rFonts w:ascii="Times New Roman" w:hAnsi="Times New Roman" w:cs="Times New Roman"/>
          <w:b/>
          <w:bCs/>
          <w:i/>
          <w:iCs/>
        </w:rPr>
        <w:lastRenderedPageBreak/>
        <w:t>References:</w:t>
      </w:r>
    </w:p>
    <w:p w14:paraId="67AC1E99" w14:textId="50FA8564" w:rsidR="00FA4913" w:rsidRPr="00FA4913" w:rsidRDefault="006D263C" w:rsidP="00FA4913">
      <w:pPr>
        <w:widowControl w:val="0"/>
        <w:autoSpaceDE w:val="0"/>
        <w:autoSpaceDN w:val="0"/>
        <w:adjustRightInd w:val="0"/>
        <w:spacing w:line="480" w:lineRule="auto"/>
        <w:ind w:left="480" w:hanging="480"/>
        <w:rPr>
          <w:rFonts w:ascii="Times New Roman" w:hAnsi="Times New Roman" w:cs="Times New Roman"/>
          <w:noProof/>
        </w:rPr>
      </w:pPr>
      <w:r>
        <w:rPr>
          <w:rFonts w:ascii="Times New Roman" w:hAnsi="Times New Roman" w:cs="Times New Roman"/>
          <w:i/>
          <w:iCs/>
        </w:rPr>
        <w:fldChar w:fldCharType="begin" w:fldLock="1"/>
      </w:r>
      <w:r>
        <w:rPr>
          <w:rFonts w:ascii="Times New Roman" w:hAnsi="Times New Roman" w:cs="Times New Roman"/>
          <w:i/>
          <w:iCs/>
        </w:rPr>
        <w:instrText xml:space="preserve">ADDIN Mendeley Bibliography CSL_BIBLIOGRAPHY </w:instrText>
      </w:r>
      <w:r>
        <w:rPr>
          <w:rFonts w:ascii="Times New Roman" w:hAnsi="Times New Roman" w:cs="Times New Roman"/>
          <w:i/>
          <w:iCs/>
        </w:rPr>
        <w:fldChar w:fldCharType="separate"/>
      </w:r>
      <w:r w:rsidR="00FA4913" w:rsidRPr="00FA4913">
        <w:rPr>
          <w:rFonts w:ascii="Times New Roman" w:hAnsi="Times New Roman" w:cs="Times New Roman"/>
          <w:noProof/>
        </w:rPr>
        <w:t>Almeida, S.M., Pio, C.A., Freitas, M.C., Reis, M.A., Trancoso, M.A., 2006. Source apportionment of atmospheric urban aerosol based on weekdays/weekend variability: Evaluation of road re-suspended dust contribution. Atmos. Environ. 40, 2058–2067. https://doi.org/10.1016/j.atmosenv.2005.11.046</w:t>
      </w:r>
    </w:p>
    <w:p w14:paraId="511EB3A4"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Bernardoni, V., Vecchi, R., Valli, G., Piazzalunga, A., Fermo, P., 2011. PM10 source apportionment in Milan (Italy) using time-resolved data. Sci. Total Environ. 409, 4788–4795. https://doi.org/10.1016/j.scitotenv.2011.07.048</w:t>
      </w:r>
    </w:p>
    <w:p w14:paraId="21DE6F2D"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Bhandari, S., Gani, S., Patel, K., Wang, D.S., Soni, P., Arub, Z., Habib, G., Apte, J.S., Hildebrandt Ruiz, L., 2020. Sources and atmospheric dynamics of organic aerosol in New Delhi, India: Insights from receptor modeling. Atmos. Chem. Phys. 20, 735–752. https://doi.org/10.5194/acp-20-735-2020</w:t>
      </w:r>
    </w:p>
    <w:p w14:paraId="6D5BC798"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Brown, S.G., Eberly, S., Paatero, P., Norris, G.A., 2015a. Methods for estimating uncertainty in PMF solutions: Examples with ambient air and water quality data and guidance on reporting PMF results. Sci. Total Environ. 518–519, 626–635. https://doi.org/10.1016/j.scitotenv.2015.01.022</w:t>
      </w:r>
    </w:p>
    <w:p w14:paraId="7504FF89"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Brown, S.G., Eberly, S., Paatero, P., Norris, G.A., 2015b. Methods for estimating uncertainty in PMF solutions: Examples with ambient air and water quality data and guidance on reporting PMF results. Sci. Total Environ. 518–519, 626–635. https://doi.org/10.1016/j.scitotenv.2015.01.022</w:t>
      </w:r>
    </w:p>
    <w:p w14:paraId="5BCC2B92"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Canonaco, F., Crippa, M., Slowik, J.G., Baltensperger, U., Prévôt, A.S.H., 2013. SoFi, an IGOR-based interface for the efficient use of the generalized multilinear engine (ME-2) for the source apportionment: ME-2 application to aerosol mass spectrometer data. Atmos. Meas. Tech. 6, 3649–3661. https://doi.org/10.5194/amt-6-3649-2013</w:t>
      </w:r>
    </w:p>
    <w:p w14:paraId="42B0632B"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Central Electricity Authority, 2012. Report of the group for studying range of blending of imported coal with domestic coal.</w:t>
      </w:r>
    </w:p>
    <w:p w14:paraId="03D94E61"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Duan, J., Tan, J., 2013. Atmospheric heavy metals and Arsenic in China: Situation, sources and control policies. Atmos. Environ. https://doi.org/10.1016/j.atmosenv.2013.03.031</w:t>
      </w:r>
    </w:p>
    <w:p w14:paraId="42A085FA" w14:textId="77777777" w:rsidR="00FA4913" w:rsidRPr="00B9001B" w:rsidRDefault="00FA4913" w:rsidP="00FA4913">
      <w:pPr>
        <w:widowControl w:val="0"/>
        <w:autoSpaceDE w:val="0"/>
        <w:autoSpaceDN w:val="0"/>
        <w:adjustRightInd w:val="0"/>
        <w:spacing w:line="480" w:lineRule="auto"/>
        <w:ind w:left="480" w:hanging="480"/>
        <w:rPr>
          <w:rFonts w:ascii="Times New Roman" w:hAnsi="Times New Roman" w:cs="Times New Roman"/>
          <w:noProof/>
          <w:lang w:val="de-DE"/>
        </w:rPr>
      </w:pPr>
      <w:r w:rsidRPr="00FA4913">
        <w:rPr>
          <w:rFonts w:ascii="Times New Roman" w:hAnsi="Times New Roman" w:cs="Times New Roman"/>
          <w:noProof/>
        </w:rPr>
        <w:t xml:space="preserve">Efron, B., 1979. Bootstrap Methods: Another Look at the Jackknife. </w:t>
      </w:r>
      <w:r w:rsidRPr="00B9001B">
        <w:rPr>
          <w:rFonts w:ascii="Times New Roman" w:hAnsi="Times New Roman" w:cs="Times New Roman"/>
          <w:noProof/>
          <w:lang w:val="de-DE"/>
        </w:rPr>
        <w:t>Ann. Stat. 7, 1–26. https://doi.org/10.1214/aos/1176344552</w:t>
      </w:r>
    </w:p>
    <w:p w14:paraId="23409E24"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B9001B">
        <w:rPr>
          <w:rFonts w:ascii="Times New Roman" w:hAnsi="Times New Roman" w:cs="Times New Roman"/>
          <w:noProof/>
          <w:lang w:val="de-DE"/>
        </w:rPr>
        <w:t xml:space="preserve">Faisal, M., Ali, U., Kumar, A., Kumar, M., Singh, V., 2025. </w:t>
      </w:r>
      <w:r w:rsidRPr="00FA4913">
        <w:rPr>
          <w:rFonts w:ascii="Times New Roman" w:hAnsi="Times New Roman" w:cs="Times New Roman"/>
          <w:noProof/>
        </w:rPr>
        <w:t>Unveiling PM2.5 sources: Double and tracer conjugate PMF approaches for high-resolution organic, BC, and inorganic PM2.5 data. Atmos. Environ. 343, 121011. https://doi.org/10.1016/j.atmosenv.2024.121011</w:t>
      </w:r>
    </w:p>
    <w:p w14:paraId="00FF8826"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 xml:space="preserve">Faisal, M., Hazarika, N., Ganguly, D., Kumar, M., Singh, V., 2022. PM2.5 bound species variation and source </w:t>
      </w:r>
      <w:r w:rsidRPr="00FA4913">
        <w:rPr>
          <w:rFonts w:ascii="Times New Roman" w:hAnsi="Times New Roman" w:cs="Times New Roman"/>
          <w:noProof/>
        </w:rPr>
        <w:lastRenderedPageBreak/>
        <w:t>characterization in the post-lockdown period of the Covid-19 pandemic in Delhi. Urban Clim. 46, 101290. https://doi.org/10.1016/j.uclim.2022.101290</w:t>
      </w:r>
    </w:p>
    <w:p w14:paraId="6616CEB4"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Gupta, A.K., Karar, K., Srivastava, A., 2007. Chemical mass balance source apportionment of PM10 and TSP in residential and industrial sites of an urban region of Kolkata, India. J. Hazard. Mater. 142, 279–287. https://doi.org/10.1016/j.jhazmat.2006.08.013</w:t>
      </w:r>
    </w:p>
    <w:p w14:paraId="1404B260"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Gupta, I., Salunkhe, A., Kumar, R., 2012. Source apportionment of PM10 by positive matrix factorization in urban area of Mumbai, India. Sci. World J. 2012. https://doi.org/10.1100/2012/585791</w:t>
      </w:r>
    </w:p>
    <w:p w14:paraId="133BC9CB"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Hien, P.D., Binh, N.T., Truong, Y., Ngo, N.T., Sieu, L.N., 2001. Comparative receptor modelling study of TSP, PM and PM \ in Ho Chi Minh City, Atmospheric Environment.</w:t>
      </w:r>
    </w:p>
    <w:p w14:paraId="77B93E12"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Kumar, A., Goel, V., Faisal, M., Ali, U., Maity, R., Ganguly, D., Singh, V., Kumar, M., 2024. Two different approaches for source apportionment of ambient black carbon in highly polluted environments. Atmos. Environ. 338, 120863. https://doi.org/10.1016/j.atmosenv.2024.120863</w:t>
      </w:r>
    </w:p>
    <w:p w14:paraId="188F23C4"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Manchanda, C., Kumar, M., Singh, V., Faisal, M., Hazarika, N., Shukla, A., Lalchandani, V., Goel, V., Thamban, N., Ganguly, D., Tripathi, S.N., 2021. Variation in chemical composition and sources of PM2.5 during the COVID-19 lockdown in Delhi. Environ. Int. 153, 106541. https://doi.org/10.1016/j.envint.2021.106541</w:t>
      </w:r>
    </w:p>
    <w:p w14:paraId="465BC6FB"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Negi, B.S., Sadasivan, S., Mishra, U.C., 1987. AEROSOL COMPOSITION AND SOURCES IN URBAN AREAS IN INDIA.</w:t>
      </w:r>
    </w:p>
    <w:p w14:paraId="49ED6E8A"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Norris, G., Duvall, R., Brown, S., Bai, S., 2014. EPA PMF 5.0 User Guide.</w:t>
      </w:r>
    </w:p>
    <w:p w14:paraId="34B6786E"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Petit, J.-E., Favez, O., Sciare, J., Canonaco, F., Croteau, P., Močnik, G., Jayne, J., Worsnop, D., Leoz-Garziandia, E., 2014. Submicron aerosol source apportionment of wintertime pollution in Paris, France by double positive matrix factorization (PMF&amp;amp;lt;sup&amp;amp;gt;2&amp;amp;lt;/sup&amp;amp;gt;) using an aerosol chemical speciation monitor (ACSM) and a multi-wavelength Aethalometer. Atmos. Chem. Phys. 14, 13773–13787. https://doi.org/10.5194/acp-14-13773-2014</w:t>
      </w:r>
    </w:p>
    <w:p w14:paraId="5736D4B3"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Petit, J.E., Favez, O., Sciare, J., Canonaco, F., Croteau, P., Močnik, G., Jayne, J., Worsnop, D., Leoz-Garziandia, E., 2014. Submicron aerosol source apportionment of wintertime pollution in Paris, France by double positive matrix factorization (PMF2) using an aerosol chemical speciation monitor (ACSM) and a multi-wavelength Aethalometer. Atmos. Chem. Phys. 14, 13773–13787. https://doi.org/10.5194/acp-14-13773-2014</w:t>
      </w:r>
    </w:p>
    <w:p w14:paraId="6D8AAE77"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 xml:space="preserve">Polissar, A. V., Hopke, P.K., Paatero, P., Malm, W.C., Sisler, J.F., 1998. Atmospheric aerosol over Alaska 2. </w:t>
      </w:r>
      <w:r w:rsidRPr="00FA4913">
        <w:rPr>
          <w:rFonts w:ascii="Times New Roman" w:hAnsi="Times New Roman" w:cs="Times New Roman"/>
          <w:noProof/>
        </w:rPr>
        <w:lastRenderedPageBreak/>
        <w:t>Elemental composition and sources. J. Geophys. Res. Atmos. 103, 19045–19057. https://doi.org/10.1029/98JD01212</w:t>
      </w:r>
    </w:p>
    <w:p w14:paraId="7C540A75"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Rai, P., Furger, M., El Haddad, I., Kumar, V., Wang, L., Singh, A., Dixit, K., Bhattu, D., Petit, J.E., Ganguly, D., Rastogi, N., Baltensperger, U., Tripathi, S.N., Slowik, J.G., Prévôt, A.S.H., 2020a. Real-time measurement and source apportionment of elements in Delhi’s atmosphere. Sci. Total Environ. 742, 140332. https://doi.org/10.1016/j.scitotenv.2020.140332</w:t>
      </w:r>
    </w:p>
    <w:p w14:paraId="3F2214D4"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Rai, P., Furger, M., Slowik, J.G., Canonaco, F., Fröhlich, R., Hüglin, C., Minguillón, M.C., Petterson, K., Baltensperger, U., Prévôt, A.S.H., 2020b. Source apportionment of highly time-resolved elements during a firework episode from a rural freeway site in Switzerland. Atmos. Chem. Phys. 20, 1657–1674. https://doi.org/10.5194/acp-20-1657-2020</w:t>
      </w:r>
    </w:p>
    <w:p w14:paraId="1985D944"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Rai, P., Furger, M., Slowik, J.G., Canonaco, F., Fröhlich, R., Hüglin, C., Minguillón, M.C., Petterson, K., Baltensperger, U., Prévôt, A.S.H., 2020c. Source apportionment of highly time-resolved elements during a firework episode from a rural freeway site in Switzerland. Atmos. Chem. Phys. 20, 1657–1674. https://doi.org/10.5194/acp-20-1657-2020</w:t>
      </w:r>
    </w:p>
    <w:p w14:paraId="3EECCDC9"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Sarkar, S., 2009. Fuels and Combustion.</w:t>
      </w:r>
    </w:p>
    <w:p w14:paraId="1D9F67D2"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Sharma, S.K., Mandal, T.K., Jain, S., Saraswati, Sharma, A., Saxena, M., 2016. Source Apportionment of PM2.5 in Delhi, India Using PMF Model. Bull. Environ. Contam. Toxicol. 97, 286–293. https://doi.org/10.1007/s00128-016-1836-1</w:t>
      </w:r>
    </w:p>
    <w:p w14:paraId="075EA7ED"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Tremper, A.H., Font, A., Priestman, M., Hamad, S.H., Chung, T.C., Pribadi, A., Brown, R.J.C., Goddard, S.L., Grassineau, N., Petterson, K., Kelly, F.J., Green, D.C., 2018. Field and laboratory evaluation of a high time resolution x-ray fluorescence instrument for determining the elemental composition of ambient aerosols. Atmos. Meas. Tech. 11, 3541–3557. https://doi.org/10.5194/amt-11-3541-2018</w:t>
      </w:r>
    </w:p>
    <w:p w14:paraId="555CF142" w14:textId="77777777" w:rsidR="00FA4913" w:rsidRPr="00FA4913" w:rsidRDefault="00FA4913" w:rsidP="00FA4913">
      <w:pPr>
        <w:widowControl w:val="0"/>
        <w:autoSpaceDE w:val="0"/>
        <w:autoSpaceDN w:val="0"/>
        <w:adjustRightInd w:val="0"/>
        <w:spacing w:line="480" w:lineRule="auto"/>
        <w:ind w:left="480" w:hanging="480"/>
        <w:rPr>
          <w:rFonts w:ascii="Times New Roman" w:hAnsi="Times New Roman" w:cs="Times New Roman"/>
          <w:noProof/>
        </w:rPr>
      </w:pPr>
      <w:r w:rsidRPr="00FA4913">
        <w:rPr>
          <w:rFonts w:ascii="Times New Roman" w:hAnsi="Times New Roman" w:cs="Times New Roman"/>
          <w:noProof/>
        </w:rPr>
        <w:t>Ulbrich, I.M., Canagaratna, M.R., Zhang, Q., Worsnop, D.R., Jimenez, J.L., 2009. Interpretation of organic components from Positive Matrix Factorization of aerosol mass spectrometric data. Atmos. Chem. Phys. 9, 2891–2918. https://doi.org/10.5194/acp-9-2891-2009</w:t>
      </w:r>
    </w:p>
    <w:p w14:paraId="0FBE4FA3" w14:textId="395EC091" w:rsidR="006D263C" w:rsidRPr="00967F56" w:rsidRDefault="006D263C" w:rsidP="00967F56">
      <w:pPr>
        <w:pStyle w:val="ListParagraph"/>
        <w:spacing w:line="480" w:lineRule="auto"/>
        <w:jc w:val="both"/>
        <w:rPr>
          <w:rFonts w:ascii="Times New Roman" w:hAnsi="Times New Roman" w:cs="Times New Roman"/>
          <w:i/>
          <w:iCs/>
        </w:rPr>
      </w:pPr>
      <w:r>
        <w:rPr>
          <w:rFonts w:ascii="Times New Roman" w:hAnsi="Times New Roman" w:cs="Times New Roman"/>
          <w:i/>
          <w:iCs/>
        </w:rPr>
        <w:fldChar w:fldCharType="end"/>
      </w:r>
    </w:p>
    <w:p w14:paraId="18A412E5" w14:textId="77777777" w:rsidR="00CA3D49" w:rsidRPr="00967F56" w:rsidRDefault="00CA3D49" w:rsidP="00967F56">
      <w:pPr>
        <w:spacing w:line="480" w:lineRule="auto"/>
        <w:jc w:val="both"/>
        <w:rPr>
          <w:rFonts w:ascii="Times New Roman" w:hAnsi="Times New Roman" w:cs="Times New Roman"/>
          <w:i/>
          <w:iCs/>
          <w:noProof/>
        </w:rPr>
      </w:pPr>
    </w:p>
    <w:sectPr w:rsidR="00CA3D49" w:rsidRPr="00967F56" w:rsidSect="00AD04C3">
      <w:footerReference w:type="default" r:id="rId16"/>
      <w:pgSz w:w="11906" w:h="16838" w:code="9"/>
      <w:pgMar w:top="576" w:right="720" w:bottom="576" w:left="720" w:header="288" w:footer="14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B923D" w14:textId="77777777" w:rsidR="004B0863" w:rsidRDefault="004B0863" w:rsidP="003869DC">
      <w:pPr>
        <w:spacing w:after="0" w:line="240" w:lineRule="auto"/>
      </w:pPr>
      <w:r>
        <w:separator/>
      </w:r>
    </w:p>
  </w:endnote>
  <w:endnote w:type="continuationSeparator" w:id="0">
    <w:p w14:paraId="42F783B4" w14:textId="77777777" w:rsidR="004B0863" w:rsidRDefault="004B0863" w:rsidP="003869DC">
      <w:pPr>
        <w:spacing w:after="0" w:line="240" w:lineRule="auto"/>
      </w:pPr>
      <w:r>
        <w:continuationSeparator/>
      </w:r>
    </w:p>
  </w:endnote>
  <w:endnote w:type="continuationNotice" w:id="1">
    <w:p w14:paraId="6E5991B3" w14:textId="77777777" w:rsidR="004B0863" w:rsidRDefault="004B08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494184"/>
      <w:docPartObj>
        <w:docPartGallery w:val="Page Numbers (Bottom of Page)"/>
        <w:docPartUnique/>
      </w:docPartObj>
    </w:sdtPr>
    <w:sdtEndPr>
      <w:rPr>
        <w:noProof/>
      </w:rPr>
    </w:sdtEndPr>
    <w:sdtContent>
      <w:p w14:paraId="2978AF67" w14:textId="77777777" w:rsidR="00665097" w:rsidRDefault="00665097">
        <w:pPr>
          <w:pStyle w:val="Footer"/>
          <w:jc w:val="right"/>
        </w:pPr>
        <w:r>
          <w:fldChar w:fldCharType="begin"/>
        </w:r>
        <w:r>
          <w:instrText xml:space="preserve"> PAGE   \* MERGEFORMAT </w:instrText>
        </w:r>
        <w:r>
          <w:fldChar w:fldCharType="separate"/>
        </w:r>
        <w:r w:rsidR="007D37CF">
          <w:rPr>
            <w:noProof/>
          </w:rPr>
          <w:t>19</w:t>
        </w:r>
        <w:r>
          <w:rPr>
            <w:noProof/>
          </w:rPr>
          <w:fldChar w:fldCharType="end"/>
        </w:r>
      </w:p>
    </w:sdtContent>
  </w:sdt>
  <w:p w14:paraId="15EDC016" w14:textId="77777777" w:rsidR="00665097" w:rsidRDefault="00665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A2025" w14:textId="77777777" w:rsidR="004B0863" w:rsidRDefault="004B0863" w:rsidP="003869DC">
      <w:pPr>
        <w:spacing w:after="0" w:line="240" w:lineRule="auto"/>
      </w:pPr>
      <w:r>
        <w:separator/>
      </w:r>
    </w:p>
  </w:footnote>
  <w:footnote w:type="continuationSeparator" w:id="0">
    <w:p w14:paraId="33C9AF37" w14:textId="77777777" w:rsidR="004B0863" w:rsidRDefault="004B0863" w:rsidP="003869DC">
      <w:pPr>
        <w:spacing w:after="0" w:line="240" w:lineRule="auto"/>
      </w:pPr>
      <w:r>
        <w:continuationSeparator/>
      </w:r>
    </w:p>
  </w:footnote>
  <w:footnote w:type="continuationNotice" w:id="1">
    <w:p w14:paraId="30495471" w14:textId="77777777" w:rsidR="004B0863" w:rsidRDefault="004B086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C4693"/>
    <w:multiLevelType w:val="hybridMultilevel"/>
    <w:tmpl w:val="607288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3F522CF"/>
    <w:multiLevelType w:val="hybridMultilevel"/>
    <w:tmpl w:val="023041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FB6F55"/>
    <w:multiLevelType w:val="hybridMultilevel"/>
    <w:tmpl w:val="C226A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8B7122"/>
    <w:multiLevelType w:val="hybridMultilevel"/>
    <w:tmpl w:val="F300D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1868054">
    <w:abstractNumId w:val="1"/>
  </w:num>
  <w:num w:numId="2" w16cid:durableId="1005787031">
    <w:abstractNumId w:val="2"/>
  </w:num>
  <w:num w:numId="3" w16cid:durableId="1564756313">
    <w:abstractNumId w:val="0"/>
  </w:num>
  <w:num w:numId="4" w16cid:durableId="13096306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3MzY3Nra0sLA0MjBT0lEKTi0uzszPAykwNKgFAFV1ahktAAAA"/>
  </w:docVars>
  <w:rsids>
    <w:rsidRoot w:val="00F228FB"/>
    <w:rsid w:val="000004F4"/>
    <w:rsid w:val="000055E7"/>
    <w:rsid w:val="00005C29"/>
    <w:rsid w:val="00010136"/>
    <w:rsid w:val="00010AB3"/>
    <w:rsid w:val="00017316"/>
    <w:rsid w:val="00025768"/>
    <w:rsid w:val="00025D6F"/>
    <w:rsid w:val="0003226A"/>
    <w:rsid w:val="0003244F"/>
    <w:rsid w:val="00034D75"/>
    <w:rsid w:val="00035D28"/>
    <w:rsid w:val="00036F2A"/>
    <w:rsid w:val="00037BE3"/>
    <w:rsid w:val="00041513"/>
    <w:rsid w:val="00042AF5"/>
    <w:rsid w:val="000453D4"/>
    <w:rsid w:val="00050744"/>
    <w:rsid w:val="0005245C"/>
    <w:rsid w:val="00064276"/>
    <w:rsid w:val="00067CE4"/>
    <w:rsid w:val="0007386E"/>
    <w:rsid w:val="00073B3B"/>
    <w:rsid w:val="00074D92"/>
    <w:rsid w:val="000822C1"/>
    <w:rsid w:val="000916D8"/>
    <w:rsid w:val="000A3074"/>
    <w:rsid w:val="000A3A1F"/>
    <w:rsid w:val="000A73DE"/>
    <w:rsid w:val="000B3EB6"/>
    <w:rsid w:val="000C3688"/>
    <w:rsid w:val="000D28AE"/>
    <w:rsid w:val="000D4207"/>
    <w:rsid w:val="000E62F4"/>
    <w:rsid w:val="000E673E"/>
    <w:rsid w:val="000F05DF"/>
    <w:rsid w:val="00103BD3"/>
    <w:rsid w:val="001070CC"/>
    <w:rsid w:val="00110950"/>
    <w:rsid w:val="00123076"/>
    <w:rsid w:val="0012445D"/>
    <w:rsid w:val="00124741"/>
    <w:rsid w:val="001372BE"/>
    <w:rsid w:val="0014026F"/>
    <w:rsid w:val="0014102F"/>
    <w:rsid w:val="00145D26"/>
    <w:rsid w:val="00150F3B"/>
    <w:rsid w:val="001527EA"/>
    <w:rsid w:val="00155CC5"/>
    <w:rsid w:val="00155CED"/>
    <w:rsid w:val="00156B48"/>
    <w:rsid w:val="00161D32"/>
    <w:rsid w:val="001624D0"/>
    <w:rsid w:val="00162AA2"/>
    <w:rsid w:val="00165233"/>
    <w:rsid w:val="00167206"/>
    <w:rsid w:val="00167B1E"/>
    <w:rsid w:val="00171B57"/>
    <w:rsid w:val="00175BD5"/>
    <w:rsid w:val="00191F08"/>
    <w:rsid w:val="00192956"/>
    <w:rsid w:val="00196D35"/>
    <w:rsid w:val="001A0153"/>
    <w:rsid w:val="001A0621"/>
    <w:rsid w:val="001A36C5"/>
    <w:rsid w:val="001B49E5"/>
    <w:rsid w:val="001B5744"/>
    <w:rsid w:val="001C4B2A"/>
    <w:rsid w:val="001C5CB2"/>
    <w:rsid w:val="001D0CD2"/>
    <w:rsid w:val="001D2B0E"/>
    <w:rsid w:val="001D376C"/>
    <w:rsid w:val="001D5147"/>
    <w:rsid w:val="001E3500"/>
    <w:rsid w:val="001F354F"/>
    <w:rsid w:val="001F4092"/>
    <w:rsid w:val="001F6949"/>
    <w:rsid w:val="002001F6"/>
    <w:rsid w:val="00203EEE"/>
    <w:rsid w:val="00210F2C"/>
    <w:rsid w:val="00210F83"/>
    <w:rsid w:val="00220004"/>
    <w:rsid w:val="002207E8"/>
    <w:rsid w:val="00221E20"/>
    <w:rsid w:val="0022565D"/>
    <w:rsid w:val="0022778C"/>
    <w:rsid w:val="00227DE0"/>
    <w:rsid w:val="002309A8"/>
    <w:rsid w:val="00231592"/>
    <w:rsid w:val="002329FC"/>
    <w:rsid w:val="002344EF"/>
    <w:rsid w:val="00251199"/>
    <w:rsid w:val="002512C5"/>
    <w:rsid w:val="00251924"/>
    <w:rsid w:val="002556C6"/>
    <w:rsid w:val="00256210"/>
    <w:rsid w:val="00263282"/>
    <w:rsid w:val="00265D2C"/>
    <w:rsid w:val="002665E2"/>
    <w:rsid w:val="00275AA2"/>
    <w:rsid w:val="00280E40"/>
    <w:rsid w:val="00282221"/>
    <w:rsid w:val="00285043"/>
    <w:rsid w:val="00286E47"/>
    <w:rsid w:val="00290CB3"/>
    <w:rsid w:val="002A0707"/>
    <w:rsid w:val="002A1658"/>
    <w:rsid w:val="002B05EE"/>
    <w:rsid w:val="002B74CA"/>
    <w:rsid w:val="002C1004"/>
    <w:rsid w:val="002C2F1D"/>
    <w:rsid w:val="002C77A9"/>
    <w:rsid w:val="002D0F78"/>
    <w:rsid w:val="002D1AB9"/>
    <w:rsid w:val="002D3DD5"/>
    <w:rsid w:val="002E2D9E"/>
    <w:rsid w:val="002E5F96"/>
    <w:rsid w:val="002F4B80"/>
    <w:rsid w:val="002F73D5"/>
    <w:rsid w:val="00301E44"/>
    <w:rsid w:val="003065E5"/>
    <w:rsid w:val="0031056C"/>
    <w:rsid w:val="00313674"/>
    <w:rsid w:val="0032196A"/>
    <w:rsid w:val="003235BA"/>
    <w:rsid w:val="00323B7A"/>
    <w:rsid w:val="003262E4"/>
    <w:rsid w:val="0033035D"/>
    <w:rsid w:val="003349BF"/>
    <w:rsid w:val="003371F7"/>
    <w:rsid w:val="003430C3"/>
    <w:rsid w:val="003438AE"/>
    <w:rsid w:val="003557BE"/>
    <w:rsid w:val="00355A7A"/>
    <w:rsid w:val="00355C47"/>
    <w:rsid w:val="00360704"/>
    <w:rsid w:val="00363A3D"/>
    <w:rsid w:val="00366FB2"/>
    <w:rsid w:val="00380300"/>
    <w:rsid w:val="003817FA"/>
    <w:rsid w:val="00384E3B"/>
    <w:rsid w:val="003869DC"/>
    <w:rsid w:val="00390229"/>
    <w:rsid w:val="003A268D"/>
    <w:rsid w:val="003A573E"/>
    <w:rsid w:val="003B6699"/>
    <w:rsid w:val="003B75AD"/>
    <w:rsid w:val="003D71AF"/>
    <w:rsid w:val="003D7693"/>
    <w:rsid w:val="003D7E37"/>
    <w:rsid w:val="003E6BBE"/>
    <w:rsid w:val="003F7672"/>
    <w:rsid w:val="00400A21"/>
    <w:rsid w:val="00412AE8"/>
    <w:rsid w:val="004135B6"/>
    <w:rsid w:val="00414FD4"/>
    <w:rsid w:val="00422D1D"/>
    <w:rsid w:val="00437306"/>
    <w:rsid w:val="00440538"/>
    <w:rsid w:val="00440B9D"/>
    <w:rsid w:val="0044125E"/>
    <w:rsid w:val="00441869"/>
    <w:rsid w:val="00441AA4"/>
    <w:rsid w:val="00443324"/>
    <w:rsid w:val="004458F6"/>
    <w:rsid w:val="004477F3"/>
    <w:rsid w:val="00451049"/>
    <w:rsid w:val="00452B4E"/>
    <w:rsid w:val="0045314D"/>
    <w:rsid w:val="00453151"/>
    <w:rsid w:val="0045396A"/>
    <w:rsid w:val="00461B26"/>
    <w:rsid w:val="0046455B"/>
    <w:rsid w:val="00464613"/>
    <w:rsid w:val="004654F2"/>
    <w:rsid w:val="0046661D"/>
    <w:rsid w:val="00466DD8"/>
    <w:rsid w:val="00467827"/>
    <w:rsid w:val="004727EE"/>
    <w:rsid w:val="00474DD0"/>
    <w:rsid w:val="0048114C"/>
    <w:rsid w:val="0048196E"/>
    <w:rsid w:val="004822D6"/>
    <w:rsid w:val="004828F0"/>
    <w:rsid w:val="004851B1"/>
    <w:rsid w:val="00485B6A"/>
    <w:rsid w:val="00487C88"/>
    <w:rsid w:val="00490878"/>
    <w:rsid w:val="004A0021"/>
    <w:rsid w:val="004A033E"/>
    <w:rsid w:val="004A11DD"/>
    <w:rsid w:val="004A2479"/>
    <w:rsid w:val="004A3C1E"/>
    <w:rsid w:val="004B0863"/>
    <w:rsid w:val="004B2744"/>
    <w:rsid w:val="004B2BE8"/>
    <w:rsid w:val="004B6127"/>
    <w:rsid w:val="004C50F1"/>
    <w:rsid w:val="004C6C33"/>
    <w:rsid w:val="004D091A"/>
    <w:rsid w:val="004D16C3"/>
    <w:rsid w:val="004D1F9C"/>
    <w:rsid w:val="004D2AAD"/>
    <w:rsid w:val="004D72F2"/>
    <w:rsid w:val="004E6CE4"/>
    <w:rsid w:val="004E7BF5"/>
    <w:rsid w:val="004F0825"/>
    <w:rsid w:val="004F354C"/>
    <w:rsid w:val="004F5B94"/>
    <w:rsid w:val="005003D7"/>
    <w:rsid w:val="00515C25"/>
    <w:rsid w:val="00522859"/>
    <w:rsid w:val="00532204"/>
    <w:rsid w:val="00537F14"/>
    <w:rsid w:val="00540DF7"/>
    <w:rsid w:val="005431CA"/>
    <w:rsid w:val="005458CB"/>
    <w:rsid w:val="00545A8C"/>
    <w:rsid w:val="00546F8A"/>
    <w:rsid w:val="00547946"/>
    <w:rsid w:val="00551DE3"/>
    <w:rsid w:val="00556409"/>
    <w:rsid w:val="00557C5E"/>
    <w:rsid w:val="005612BE"/>
    <w:rsid w:val="00562810"/>
    <w:rsid w:val="005752E5"/>
    <w:rsid w:val="005772C6"/>
    <w:rsid w:val="00583F05"/>
    <w:rsid w:val="00593024"/>
    <w:rsid w:val="005A7424"/>
    <w:rsid w:val="005B01E4"/>
    <w:rsid w:val="005B4754"/>
    <w:rsid w:val="005B52DC"/>
    <w:rsid w:val="005B5FC8"/>
    <w:rsid w:val="005C4EE0"/>
    <w:rsid w:val="005C6062"/>
    <w:rsid w:val="005C6918"/>
    <w:rsid w:val="005C7F13"/>
    <w:rsid w:val="005D4BD8"/>
    <w:rsid w:val="005D6168"/>
    <w:rsid w:val="005E44BD"/>
    <w:rsid w:val="005E6DB1"/>
    <w:rsid w:val="005F3485"/>
    <w:rsid w:val="005F3D29"/>
    <w:rsid w:val="005F49BC"/>
    <w:rsid w:val="005F613F"/>
    <w:rsid w:val="00605226"/>
    <w:rsid w:val="00605F62"/>
    <w:rsid w:val="00605FB6"/>
    <w:rsid w:val="00613124"/>
    <w:rsid w:val="0061634B"/>
    <w:rsid w:val="0061656E"/>
    <w:rsid w:val="0061682F"/>
    <w:rsid w:val="00622766"/>
    <w:rsid w:val="00630B6F"/>
    <w:rsid w:val="006326A0"/>
    <w:rsid w:val="0063741A"/>
    <w:rsid w:val="00640DBF"/>
    <w:rsid w:val="00645EB3"/>
    <w:rsid w:val="00662A56"/>
    <w:rsid w:val="0066309C"/>
    <w:rsid w:val="00664544"/>
    <w:rsid w:val="00665097"/>
    <w:rsid w:val="006660C8"/>
    <w:rsid w:val="006705A6"/>
    <w:rsid w:val="00671D99"/>
    <w:rsid w:val="006741C9"/>
    <w:rsid w:val="00675BCF"/>
    <w:rsid w:val="00676B06"/>
    <w:rsid w:val="00685237"/>
    <w:rsid w:val="00687F7F"/>
    <w:rsid w:val="00690809"/>
    <w:rsid w:val="006A2AD4"/>
    <w:rsid w:val="006A4491"/>
    <w:rsid w:val="006A5492"/>
    <w:rsid w:val="006A6A28"/>
    <w:rsid w:val="006B578E"/>
    <w:rsid w:val="006C16C0"/>
    <w:rsid w:val="006C3DB2"/>
    <w:rsid w:val="006C7E77"/>
    <w:rsid w:val="006D0FFF"/>
    <w:rsid w:val="006D263C"/>
    <w:rsid w:val="006D741A"/>
    <w:rsid w:val="006D7586"/>
    <w:rsid w:val="006E5F24"/>
    <w:rsid w:val="006E6AF6"/>
    <w:rsid w:val="006E6F0E"/>
    <w:rsid w:val="006F1143"/>
    <w:rsid w:val="007106BE"/>
    <w:rsid w:val="00721C91"/>
    <w:rsid w:val="00731DA5"/>
    <w:rsid w:val="007330A7"/>
    <w:rsid w:val="00735EB6"/>
    <w:rsid w:val="0073691D"/>
    <w:rsid w:val="00736F0C"/>
    <w:rsid w:val="00740966"/>
    <w:rsid w:val="00741BFC"/>
    <w:rsid w:val="00742699"/>
    <w:rsid w:val="00743A89"/>
    <w:rsid w:val="007450C8"/>
    <w:rsid w:val="007529B8"/>
    <w:rsid w:val="00753FCE"/>
    <w:rsid w:val="00755346"/>
    <w:rsid w:val="007556F8"/>
    <w:rsid w:val="00763A7A"/>
    <w:rsid w:val="00764B48"/>
    <w:rsid w:val="00777D0D"/>
    <w:rsid w:val="00780E5A"/>
    <w:rsid w:val="007823F7"/>
    <w:rsid w:val="00785A87"/>
    <w:rsid w:val="00792B90"/>
    <w:rsid w:val="00794548"/>
    <w:rsid w:val="007A0B2C"/>
    <w:rsid w:val="007A0CD7"/>
    <w:rsid w:val="007B01BC"/>
    <w:rsid w:val="007B1B62"/>
    <w:rsid w:val="007B2F9A"/>
    <w:rsid w:val="007B32B9"/>
    <w:rsid w:val="007B466A"/>
    <w:rsid w:val="007B493F"/>
    <w:rsid w:val="007C1E17"/>
    <w:rsid w:val="007C314E"/>
    <w:rsid w:val="007C4588"/>
    <w:rsid w:val="007C5C42"/>
    <w:rsid w:val="007D133E"/>
    <w:rsid w:val="007D1B67"/>
    <w:rsid w:val="007D37CF"/>
    <w:rsid w:val="007E69D9"/>
    <w:rsid w:val="007F0C6D"/>
    <w:rsid w:val="007F2E14"/>
    <w:rsid w:val="007F3D95"/>
    <w:rsid w:val="007F432F"/>
    <w:rsid w:val="007F663B"/>
    <w:rsid w:val="007F6D79"/>
    <w:rsid w:val="00800709"/>
    <w:rsid w:val="00802A16"/>
    <w:rsid w:val="00807504"/>
    <w:rsid w:val="00812E78"/>
    <w:rsid w:val="0081320A"/>
    <w:rsid w:val="00817213"/>
    <w:rsid w:val="008209FF"/>
    <w:rsid w:val="00830961"/>
    <w:rsid w:val="0083546A"/>
    <w:rsid w:val="00836E50"/>
    <w:rsid w:val="00837B9F"/>
    <w:rsid w:val="00840703"/>
    <w:rsid w:val="00846424"/>
    <w:rsid w:val="00851629"/>
    <w:rsid w:val="00853EB7"/>
    <w:rsid w:val="00855B02"/>
    <w:rsid w:val="008659D6"/>
    <w:rsid w:val="008662E2"/>
    <w:rsid w:val="00866AF6"/>
    <w:rsid w:val="00870FB0"/>
    <w:rsid w:val="008729F6"/>
    <w:rsid w:val="0087336D"/>
    <w:rsid w:val="00875EC5"/>
    <w:rsid w:val="008809FF"/>
    <w:rsid w:val="00881072"/>
    <w:rsid w:val="00882929"/>
    <w:rsid w:val="0088401B"/>
    <w:rsid w:val="008842ED"/>
    <w:rsid w:val="008874A6"/>
    <w:rsid w:val="008A2006"/>
    <w:rsid w:val="008A4226"/>
    <w:rsid w:val="008A537F"/>
    <w:rsid w:val="008A53FC"/>
    <w:rsid w:val="008A797A"/>
    <w:rsid w:val="008B6725"/>
    <w:rsid w:val="008B68F7"/>
    <w:rsid w:val="008C01AB"/>
    <w:rsid w:val="008C0CF4"/>
    <w:rsid w:val="008C6B77"/>
    <w:rsid w:val="008C79FE"/>
    <w:rsid w:val="008C7D03"/>
    <w:rsid w:val="008E409B"/>
    <w:rsid w:val="008E6561"/>
    <w:rsid w:val="008E7B0E"/>
    <w:rsid w:val="008F0349"/>
    <w:rsid w:val="008F45D6"/>
    <w:rsid w:val="009005BC"/>
    <w:rsid w:val="00903A5E"/>
    <w:rsid w:val="00903AF8"/>
    <w:rsid w:val="009044F7"/>
    <w:rsid w:val="00907E95"/>
    <w:rsid w:val="00913734"/>
    <w:rsid w:val="0091679D"/>
    <w:rsid w:val="00916BBA"/>
    <w:rsid w:val="00922307"/>
    <w:rsid w:val="0093275E"/>
    <w:rsid w:val="009331EB"/>
    <w:rsid w:val="00941116"/>
    <w:rsid w:val="00944A76"/>
    <w:rsid w:val="00947BBE"/>
    <w:rsid w:val="00952339"/>
    <w:rsid w:val="00967D02"/>
    <w:rsid w:val="00967F56"/>
    <w:rsid w:val="0097149E"/>
    <w:rsid w:val="009729FE"/>
    <w:rsid w:val="009754D0"/>
    <w:rsid w:val="00975D5E"/>
    <w:rsid w:val="00977592"/>
    <w:rsid w:val="0098506D"/>
    <w:rsid w:val="00993990"/>
    <w:rsid w:val="00997E42"/>
    <w:rsid w:val="009A10E5"/>
    <w:rsid w:val="009A331D"/>
    <w:rsid w:val="009B07A1"/>
    <w:rsid w:val="009B149C"/>
    <w:rsid w:val="009B6863"/>
    <w:rsid w:val="009C0912"/>
    <w:rsid w:val="009D1F0A"/>
    <w:rsid w:val="009D3C2E"/>
    <w:rsid w:val="009D4714"/>
    <w:rsid w:val="009D4CB1"/>
    <w:rsid w:val="009D58B7"/>
    <w:rsid w:val="009E0A84"/>
    <w:rsid w:val="009E7DA7"/>
    <w:rsid w:val="009F20E8"/>
    <w:rsid w:val="009F4641"/>
    <w:rsid w:val="009F51D4"/>
    <w:rsid w:val="00A01B71"/>
    <w:rsid w:val="00A027DD"/>
    <w:rsid w:val="00A03185"/>
    <w:rsid w:val="00A10F2F"/>
    <w:rsid w:val="00A10F93"/>
    <w:rsid w:val="00A158B9"/>
    <w:rsid w:val="00A20868"/>
    <w:rsid w:val="00A21780"/>
    <w:rsid w:val="00A233EA"/>
    <w:rsid w:val="00A238EF"/>
    <w:rsid w:val="00A24A99"/>
    <w:rsid w:val="00A269A5"/>
    <w:rsid w:val="00A40E96"/>
    <w:rsid w:val="00A42E60"/>
    <w:rsid w:val="00A45438"/>
    <w:rsid w:val="00A47EAC"/>
    <w:rsid w:val="00A53ACD"/>
    <w:rsid w:val="00A53D18"/>
    <w:rsid w:val="00A56037"/>
    <w:rsid w:val="00A61BF7"/>
    <w:rsid w:val="00A63BAB"/>
    <w:rsid w:val="00A744C5"/>
    <w:rsid w:val="00A74616"/>
    <w:rsid w:val="00A757D0"/>
    <w:rsid w:val="00A77BAA"/>
    <w:rsid w:val="00A802A6"/>
    <w:rsid w:val="00A86092"/>
    <w:rsid w:val="00A865BB"/>
    <w:rsid w:val="00A9302B"/>
    <w:rsid w:val="00A947A7"/>
    <w:rsid w:val="00A97EAA"/>
    <w:rsid w:val="00AA025C"/>
    <w:rsid w:val="00AA4505"/>
    <w:rsid w:val="00AA4B03"/>
    <w:rsid w:val="00AA5401"/>
    <w:rsid w:val="00AB0829"/>
    <w:rsid w:val="00AB4B69"/>
    <w:rsid w:val="00AB53C7"/>
    <w:rsid w:val="00AB6D32"/>
    <w:rsid w:val="00AB702C"/>
    <w:rsid w:val="00AC194F"/>
    <w:rsid w:val="00AC33EB"/>
    <w:rsid w:val="00AC5296"/>
    <w:rsid w:val="00AC5C0F"/>
    <w:rsid w:val="00AD04C3"/>
    <w:rsid w:val="00AD4AFD"/>
    <w:rsid w:val="00AD4CC3"/>
    <w:rsid w:val="00AD6F98"/>
    <w:rsid w:val="00AD7C48"/>
    <w:rsid w:val="00AE15C5"/>
    <w:rsid w:val="00AE2C14"/>
    <w:rsid w:val="00AE35B9"/>
    <w:rsid w:val="00AF1AEF"/>
    <w:rsid w:val="00AF37FF"/>
    <w:rsid w:val="00AF5856"/>
    <w:rsid w:val="00B01895"/>
    <w:rsid w:val="00B27160"/>
    <w:rsid w:val="00B3283B"/>
    <w:rsid w:val="00B34B72"/>
    <w:rsid w:val="00B34CE2"/>
    <w:rsid w:val="00B35A71"/>
    <w:rsid w:val="00B51291"/>
    <w:rsid w:val="00B61516"/>
    <w:rsid w:val="00B6190E"/>
    <w:rsid w:val="00B6240B"/>
    <w:rsid w:val="00B65010"/>
    <w:rsid w:val="00B734DD"/>
    <w:rsid w:val="00B74E97"/>
    <w:rsid w:val="00B809F1"/>
    <w:rsid w:val="00B9001B"/>
    <w:rsid w:val="00B91156"/>
    <w:rsid w:val="00B914BF"/>
    <w:rsid w:val="00B9632E"/>
    <w:rsid w:val="00B97711"/>
    <w:rsid w:val="00BA4D91"/>
    <w:rsid w:val="00BA53BB"/>
    <w:rsid w:val="00BA5794"/>
    <w:rsid w:val="00BA6D38"/>
    <w:rsid w:val="00BB163D"/>
    <w:rsid w:val="00BB1C9E"/>
    <w:rsid w:val="00BB2171"/>
    <w:rsid w:val="00BB2417"/>
    <w:rsid w:val="00BB45B8"/>
    <w:rsid w:val="00BB50B7"/>
    <w:rsid w:val="00BC163A"/>
    <w:rsid w:val="00BC177A"/>
    <w:rsid w:val="00BD7FDC"/>
    <w:rsid w:val="00BE0BFA"/>
    <w:rsid w:val="00BE1212"/>
    <w:rsid w:val="00BE2059"/>
    <w:rsid w:val="00BE6728"/>
    <w:rsid w:val="00BF3013"/>
    <w:rsid w:val="00BF4A79"/>
    <w:rsid w:val="00BF5957"/>
    <w:rsid w:val="00C01066"/>
    <w:rsid w:val="00C02269"/>
    <w:rsid w:val="00C02DB9"/>
    <w:rsid w:val="00C04953"/>
    <w:rsid w:val="00C07B5D"/>
    <w:rsid w:val="00C11800"/>
    <w:rsid w:val="00C11AF5"/>
    <w:rsid w:val="00C25131"/>
    <w:rsid w:val="00C254E3"/>
    <w:rsid w:val="00C259BA"/>
    <w:rsid w:val="00C30712"/>
    <w:rsid w:val="00C331A9"/>
    <w:rsid w:val="00C3602D"/>
    <w:rsid w:val="00C37510"/>
    <w:rsid w:val="00C42A49"/>
    <w:rsid w:val="00C42DCD"/>
    <w:rsid w:val="00C44404"/>
    <w:rsid w:val="00C45BA8"/>
    <w:rsid w:val="00C46CE1"/>
    <w:rsid w:val="00C57180"/>
    <w:rsid w:val="00C621CE"/>
    <w:rsid w:val="00C71921"/>
    <w:rsid w:val="00C72860"/>
    <w:rsid w:val="00C73229"/>
    <w:rsid w:val="00C73A4E"/>
    <w:rsid w:val="00C77A4B"/>
    <w:rsid w:val="00C77DED"/>
    <w:rsid w:val="00C8245E"/>
    <w:rsid w:val="00C96D34"/>
    <w:rsid w:val="00C97CD0"/>
    <w:rsid w:val="00CA0B5A"/>
    <w:rsid w:val="00CA3C5D"/>
    <w:rsid w:val="00CA3D49"/>
    <w:rsid w:val="00CA65ED"/>
    <w:rsid w:val="00CB4C5B"/>
    <w:rsid w:val="00CB60DD"/>
    <w:rsid w:val="00CB7D77"/>
    <w:rsid w:val="00CB7EC6"/>
    <w:rsid w:val="00CC2893"/>
    <w:rsid w:val="00CC3A88"/>
    <w:rsid w:val="00CC3FF6"/>
    <w:rsid w:val="00CC46D9"/>
    <w:rsid w:val="00CC59AA"/>
    <w:rsid w:val="00CD0327"/>
    <w:rsid w:val="00CD16DB"/>
    <w:rsid w:val="00CD1D5B"/>
    <w:rsid w:val="00CD3D1F"/>
    <w:rsid w:val="00CD5AD4"/>
    <w:rsid w:val="00CE0DC6"/>
    <w:rsid w:val="00CF5D6B"/>
    <w:rsid w:val="00D01B04"/>
    <w:rsid w:val="00D10565"/>
    <w:rsid w:val="00D2061A"/>
    <w:rsid w:val="00D21456"/>
    <w:rsid w:val="00D22F0B"/>
    <w:rsid w:val="00D24A67"/>
    <w:rsid w:val="00D2755C"/>
    <w:rsid w:val="00D27A2B"/>
    <w:rsid w:val="00D27DC2"/>
    <w:rsid w:val="00D3269E"/>
    <w:rsid w:val="00D3332B"/>
    <w:rsid w:val="00D342BF"/>
    <w:rsid w:val="00D41490"/>
    <w:rsid w:val="00D464A6"/>
    <w:rsid w:val="00D4692E"/>
    <w:rsid w:val="00D52635"/>
    <w:rsid w:val="00D64749"/>
    <w:rsid w:val="00D65C02"/>
    <w:rsid w:val="00D66C38"/>
    <w:rsid w:val="00D70454"/>
    <w:rsid w:val="00D712FB"/>
    <w:rsid w:val="00D74E76"/>
    <w:rsid w:val="00D77A2E"/>
    <w:rsid w:val="00D80D14"/>
    <w:rsid w:val="00D81CE7"/>
    <w:rsid w:val="00D83423"/>
    <w:rsid w:val="00D87CC6"/>
    <w:rsid w:val="00D92B40"/>
    <w:rsid w:val="00DA1DA3"/>
    <w:rsid w:val="00DB4BBD"/>
    <w:rsid w:val="00DB57D5"/>
    <w:rsid w:val="00DC681A"/>
    <w:rsid w:val="00DD5A73"/>
    <w:rsid w:val="00DE5306"/>
    <w:rsid w:val="00DF0645"/>
    <w:rsid w:val="00DF0E2B"/>
    <w:rsid w:val="00DF141F"/>
    <w:rsid w:val="00DF4DB2"/>
    <w:rsid w:val="00DF5CCD"/>
    <w:rsid w:val="00DF7148"/>
    <w:rsid w:val="00DF7634"/>
    <w:rsid w:val="00E0108B"/>
    <w:rsid w:val="00E04AEA"/>
    <w:rsid w:val="00E060BA"/>
    <w:rsid w:val="00E14FD4"/>
    <w:rsid w:val="00E24E3D"/>
    <w:rsid w:val="00E25DF4"/>
    <w:rsid w:val="00E271CE"/>
    <w:rsid w:val="00E275A0"/>
    <w:rsid w:val="00E37519"/>
    <w:rsid w:val="00E407A9"/>
    <w:rsid w:val="00E46249"/>
    <w:rsid w:val="00E51871"/>
    <w:rsid w:val="00E63098"/>
    <w:rsid w:val="00E71C70"/>
    <w:rsid w:val="00E800C8"/>
    <w:rsid w:val="00E847D0"/>
    <w:rsid w:val="00E9073F"/>
    <w:rsid w:val="00E90DF8"/>
    <w:rsid w:val="00E93117"/>
    <w:rsid w:val="00E9327C"/>
    <w:rsid w:val="00E97F91"/>
    <w:rsid w:val="00EA00B8"/>
    <w:rsid w:val="00EA02C0"/>
    <w:rsid w:val="00EA744C"/>
    <w:rsid w:val="00EB792C"/>
    <w:rsid w:val="00EC27F6"/>
    <w:rsid w:val="00EC7689"/>
    <w:rsid w:val="00ED5AB4"/>
    <w:rsid w:val="00ED62D6"/>
    <w:rsid w:val="00EE0BA0"/>
    <w:rsid w:val="00EE60EC"/>
    <w:rsid w:val="00F000C2"/>
    <w:rsid w:val="00F007FC"/>
    <w:rsid w:val="00F07CF3"/>
    <w:rsid w:val="00F11CF1"/>
    <w:rsid w:val="00F15466"/>
    <w:rsid w:val="00F2161B"/>
    <w:rsid w:val="00F228FB"/>
    <w:rsid w:val="00F23513"/>
    <w:rsid w:val="00F24457"/>
    <w:rsid w:val="00F252F8"/>
    <w:rsid w:val="00F27698"/>
    <w:rsid w:val="00F2784D"/>
    <w:rsid w:val="00F341F7"/>
    <w:rsid w:val="00F359C7"/>
    <w:rsid w:val="00F40DCB"/>
    <w:rsid w:val="00F43DE2"/>
    <w:rsid w:val="00F45492"/>
    <w:rsid w:val="00F50FF9"/>
    <w:rsid w:val="00F51EF3"/>
    <w:rsid w:val="00F55CFE"/>
    <w:rsid w:val="00F5767B"/>
    <w:rsid w:val="00F61A38"/>
    <w:rsid w:val="00F625B9"/>
    <w:rsid w:val="00F64334"/>
    <w:rsid w:val="00F723FD"/>
    <w:rsid w:val="00F8573C"/>
    <w:rsid w:val="00F86F51"/>
    <w:rsid w:val="00F9158F"/>
    <w:rsid w:val="00F92F26"/>
    <w:rsid w:val="00F95EDD"/>
    <w:rsid w:val="00FA1D66"/>
    <w:rsid w:val="00FA273D"/>
    <w:rsid w:val="00FA2DF6"/>
    <w:rsid w:val="00FA4913"/>
    <w:rsid w:val="00FA52B3"/>
    <w:rsid w:val="00FA79D6"/>
    <w:rsid w:val="00FB218D"/>
    <w:rsid w:val="00FB3804"/>
    <w:rsid w:val="00FB63C0"/>
    <w:rsid w:val="00FC383D"/>
    <w:rsid w:val="00FC76AF"/>
    <w:rsid w:val="00FD0823"/>
    <w:rsid w:val="00FE563F"/>
    <w:rsid w:val="00FF5CB3"/>
    <w:rsid w:val="00FF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65A1D0"/>
  <w14:defaultImageDpi w14:val="330"/>
  <w15:chartTrackingRefBased/>
  <w15:docId w15:val="{131796EB-F9D1-49D0-A8ED-10F9923B3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B4B69"/>
  </w:style>
  <w:style w:type="paragraph" w:styleId="ListParagraph">
    <w:name w:val="List Paragraph"/>
    <w:basedOn w:val="Normal"/>
    <w:uiPriority w:val="34"/>
    <w:qFormat/>
    <w:rsid w:val="003869DC"/>
    <w:pPr>
      <w:ind w:left="720"/>
      <w:contextualSpacing/>
    </w:pPr>
  </w:style>
  <w:style w:type="paragraph" w:styleId="FootnoteText">
    <w:name w:val="footnote text"/>
    <w:basedOn w:val="Normal"/>
    <w:link w:val="FootnoteTextChar"/>
    <w:uiPriority w:val="99"/>
    <w:semiHidden/>
    <w:unhideWhenUsed/>
    <w:rsid w:val="003869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69DC"/>
    <w:rPr>
      <w:sz w:val="20"/>
      <w:szCs w:val="20"/>
    </w:rPr>
  </w:style>
  <w:style w:type="character" w:styleId="FootnoteReference">
    <w:name w:val="footnote reference"/>
    <w:basedOn w:val="DefaultParagraphFont"/>
    <w:uiPriority w:val="99"/>
    <w:semiHidden/>
    <w:unhideWhenUsed/>
    <w:rsid w:val="003869DC"/>
    <w:rPr>
      <w:vertAlign w:val="superscript"/>
    </w:rPr>
  </w:style>
  <w:style w:type="character" w:styleId="Hyperlink">
    <w:name w:val="Hyperlink"/>
    <w:basedOn w:val="DefaultParagraphFont"/>
    <w:uiPriority w:val="99"/>
    <w:unhideWhenUsed/>
    <w:rsid w:val="003869DC"/>
    <w:rPr>
      <w:color w:val="0563C1" w:themeColor="hyperlink"/>
      <w:u w:val="single"/>
    </w:rPr>
  </w:style>
  <w:style w:type="character" w:styleId="EndnoteReference">
    <w:name w:val="endnote reference"/>
    <w:basedOn w:val="DefaultParagraphFont"/>
    <w:uiPriority w:val="99"/>
    <w:semiHidden/>
    <w:unhideWhenUsed/>
    <w:rsid w:val="001B49E5"/>
    <w:rPr>
      <w:vertAlign w:val="superscript"/>
    </w:rPr>
  </w:style>
  <w:style w:type="paragraph" w:styleId="EndnoteText">
    <w:name w:val="endnote text"/>
    <w:basedOn w:val="Normal"/>
    <w:link w:val="EndnoteTextChar"/>
    <w:uiPriority w:val="99"/>
    <w:semiHidden/>
    <w:unhideWhenUsed/>
    <w:rsid w:val="00873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336D"/>
    <w:rPr>
      <w:sz w:val="20"/>
      <w:szCs w:val="20"/>
    </w:rPr>
  </w:style>
  <w:style w:type="paragraph" w:styleId="Header">
    <w:name w:val="header"/>
    <w:basedOn w:val="Normal"/>
    <w:link w:val="HeaderChar"/>
    <w:uiPriority w:val="99"/>
    <w:unhideWhenUsed/>
    <w:rsid w:val="00D24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67"/>
  </w:style>
  <w:style w:type="paragraph" w:styleId="Footer">
    <w:name w:val="footer"/>
    <w:basedOn w:val="Normal"/>
    <w:link w:val="FooterChar"/>
    <w:uiPriority w:val="99"/>
    <w:unhideWhenUsed/>
    <w:rsid w:val="00D24A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67"/>
  </w:style>
  <w:style w:type="character" w:styleId="PlaceholderText">
    <w:name w:val="Placeholder Text"/>
    <w:basedOn w:val="DefaultParagraphFont"/>
    <w:uiPriority w:val="99"/>
    <w:semiHidden/>
    <w:rsid w:val="00C73229"/>
    <w:rPr>
      <w:color w:val="808080"/>
    </w:rPr>
  </w:style>
  <w:style w:type="paragraph" w:styleId="NormalWeb">
    <w:name w:val="Normal (Web)"/>
    <w:basedOn w:val="Normal"/>
    <w:uiPriority w:val="99"/>
    <w:semiHidden/>
    <w:unhideWhenUsed/>
    <w:rsid w:val="00866A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866AF6"/>
  </w:style>
  <w:style w:type="character" w:customStyle="1" w:styleId="mord">
    <w:name w:val="mord"/>
    <w:basedOn w:val="DefaultParagraphFont"/>
    <w:rsid w:val="00866AF6"/>
  </w:style>
  <w:style w:type="character" w:customStyle="1" w:styleId="vlist-s">
    <w:name w:val="vlist-s"/>
    <w:basedOn w:val="DefaultParagraphFont"/>
    <w:rsid w:val="00866AF6"/>
  </w:style>
  <w:style w:type="table" w:customStyle="1" w:styleId="TableGrid1">
    <w:name w:val="Table Grid1"/>
    <w:basedOn w:val="TableNormal"/>
    <w:next w:val="TableGrid"/>
    <w:uiPriority w:val="39"/>
    <w:rsid w:val="00BB4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B4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B45B8"/>
    <w:pPr>
      <w:spacing w:after="200" w:line="240" w:lineRule="auto"/>
    </w:pPr>
    <w:rPr>
      <w:i/>
      <w:iCs/>
      <w:color w:val="44546A" w:themeColor="text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09689">
      <w:bodyDiv w:val="1"/>
      <w:marLeft w:val="0"/>
      <w:marRight w:val="0"/>
      <w:marTop w:val="0"/>
      <w:marBottom w:val="0"/>
      <w:divBdr>
        <w:top w:val="none" w:sz="0" w:space="0" w:color="auto"/>
        <w:left w:val="none" w:sz="0" w:space="0" w:color="auto"/>
        <w:bottom w:val="none" w:sz="0" w:space="0" w:color="auto"/>
        <w:right w:val="none" w:sz="0" w:space="0" w:color="auto"/>
      </w:divBdr>
    </w:div>
    <w:div w:id="409616738">
      <w:bodyDiv w:val="1"/>
      <w:marLeft w:val="0"/>
      <w:marRight w:val="0"/>
      <w:marTop w:val="0"/>
      <w:marBottom w:val="0"/>
      <w:divBdr>
        <w:top w:val="none" w:sz="0" w:space="0" w:color="auto"/>
        <w:left w:val="none" w:sz="0" w:space="0" w:color="auto"/>
        <w:bottom w:val="none" w:sz="0" w:space="0" w:color="auto"/>
        <w:right w:val="none" w:sz="0" w:space="0" w:color="auto"/>
      </w:divBdr>
    </w:div>
    <w:div w:id="510146443">
      <w:bodyDiv w:val="1"/>
      <w:marLeft w:val="0"/>
      <w:marRight w:val="0"/>
      <w:marTop w:val="0"/>
      <w:marBottom w:val="0"/>
      <w:divBdr>
        <w:top w:val="none" w:sz="0" w:space="0" w:color="auto"/>
        <w:left w:val="none" w:sz="0" w:space="0" w:color="auto"/>
        <w:bottom w:val="none" w:sz="0" w:space="0" w:color="auto"/>
        <w:right w:val="none" w:sz="0" w:space="0" w:color="auto"/>
      </w:divBdr>
    </w:div>
    <w:div w:id="1190801420">
      <w:bodyDiv w:val="1"/>
      <w:marLeft w:val="0"/>
      <w:marRight w:val="0"/>
      <w:marTop w:val="0"/>
      <w:marBottom w:val="0"/>
      <w:divBdr>
        <w:top w:val="none" w:sz="0" w:space="0" w:color="auto"/>
        <w:left w:val="none" w:sz="0" w:space="0" w:color="auto"/>
        <w:bottom w:val="none" w:sz="0" w:space="0" w:color="auto"/>
        <w:right w:val="none" w:sz="0" w:space="0" w:color="auto"/>
      </w:divBdr>
    </w:div>
    <w:div w:id="1576279399">
      <w:bodyDiv w:val="1"/>
      <w:marLeft w:val="0"/>
      <w:marRight w:val="0"/>
      <w:marTop w:val="0"/>
      <w:marBottom w:val="0"/>
      <w:divBdr>
        <w:top w:val="none" w:sz="0" w:space="0" w:color="auto"/>
        <w:left w:val="none" w:sz="0" w:space="0" w:color="auto"/>
        <w:bottom w:val="none" w:sz="0" w:space="0" w:color="auto"/>
        <w:right w:val="none" w:sz="0" w:space="0" w:color="auto"/>
      </w:divBdr>
    </w:div>
    <w:div w:id="1697151707">
      <w:bodyDiv w:val="1"/>
      <w:marLeft w:val="0"/>
      <w:marRight w:val="0"/>
      <w:marTop w:val="0"/>
      <w:marBottom w:val="0"/>
      <w:divBdr>
        <w:top w:val="none" w:sz="0" w:space="0" w:color="auto"/>
        <w:left w:val="none" w:sz="0" w:space="0" w:color="auto"/>
        <w:bottom w:val="none" w:sz="0" w:space="0" w:color="auto"/>
        <w:right w:val="none" w:sz="0" w:space="0" w:color="auto"/>
      </w:divBdr>
    </w:div>
    <w:div w:id="1740207187">
      <w:bodyDiv w:val="1"/>
      <w:marLeft w:val="0"/>
      <w:marRight w:val="0"/>
      <w:marTop w:val="0"/>
      <w:marBottom w:val="0"/>
      <w:divBdr>
        <w:top w:val="none" w:sz="0" w:space="0" w:color="auto"/>
        <w:left w:val="none" w:sz="0" w:space="0" w:color="auto"/>
        <w:bottom w:val="none" w:sz="0" w:space="0" w:color="auto"/>
        <w:right w:val="none" w:sz="0" w:space="0" w:color="auto"/>
      </w:divBdr>
    </w:div>
    <w:div w:id="1854566045">
      <w:bodyDiv w:val="1"/>
      <w:marLeft w:val="0"/>
      <w:marRight w:val="0"/>
      <w:marTop w:val="0"/>
      <w:marBottom w:val="0"/>
      <w:divBdr>
        <w:top w:val="none" w:sz="0" w:space="0" w:color="auto"/>
        <w:left w:val="none" w:sz="0" w:space="0" w:color="auto"/>
        <w:bottom w:val="none" w:sz="0" w:space="0" w:color="auto"/>
        <w:right w:val="none" w:sz="0" w:space="0" w:color="auto"/>
      </w:divBdr>
    </w:div>
    <w:div w:id="211192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E6EED-726F-4A3A-83C0-9E5811A1B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25253</Words>
  <Characters>145460</Characters>
  <Application>Microsoft Office Word</Application>
  <DocSecurity>0</DocSecurity>
  <Lines>2171</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Chirag Manchanda</dc:creator>
  <cp:keywords/>
  <dc:description/>
  <cp:lastModifiedBy>Ajit Kumar</cp:lastModifiedBy>
  <cp:revision>3</cp:revision>
  <cp:lastPrinted>2020-07-25T19:35:00Z</cp:lastPrinted>
  <dcterms:created xsi:type="dcterms:W3CDTF">2025-12-15T11:22:00Z</dcterms:created>
  <dcterms:modified xsi:type="dcterms:W3CDTF">2026-01-01T10:53:00Z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http://www.zotero.org/styles/atmospheric-environment</vt:lpwstr>
  </property>
  <property fmtid="{D5CDD505-2E9C-101B-9397-08002B2CF9AE}" pid="7" name="Mendeley Recent Style Name 2_1">
    <vt:lpwstr>Atmospheric Environment</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http://www.zotero.org/styles/environmental-pollution</vt:lpwstr>
  </property>
  <property fmtid="{D5CDD505-2E9C-101B-9397-08002B2CF9AE}" pid="13" name="Mendeley Recent Style Name 5_1">
    <vt:lpwstr>Environmental Pollution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17922b76-7fa6-31a5-b868-3f553d732eaf</vt:lpwstr>
  </property>
  <property fmtid="{D5CDD505-2E9C-101B-9397-08002B2CF9AE}" pid="24" name="Mendeley Citation Style_1">
    <vt:lpwstr>http://www.zotero.org/styles/environmental-pollution</vt:lpwstr>
  </property>
  <property fmtid="{D5CDD505-2E9C-101B-9397-08002B2CF9AE}" pid="25" name="GrammarlyDocumentId">
    <vt:lpwstr>67ee503d9d9585b4be06ad48ae01d8e284006e814845f733f8053aa9ec057282</vt:lpwstr>
  </property>
</Properties>
</file>