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FE27" w14:textId="0F68D28B" w:rsidR="0075087C" w:rsidRDefault="0075087C" w:rsidP="0075087C">
      <w:pPr>
        <w:spacing w:after="160" w:line="360" w:lineRule="auto"/>
        <w:jc w:val="both"/>
        <w:rPr>
          <w:rFonts w:cstheme="minorHAnsi"/>
          <w:b/>
          <w:bCs/>
          <w:sz w:val="24"/>
          <w:szCs w:val="24"/>
        </w:rPr>
      </w:pPr>
      <w:r w:rsidRPr="00C92AA2">
        <w:rPr>
          <w:rFonts w:cstheme="minorHAnsi"/>
          <w:b/>
          <w:bCs/>
          <w:sz w:val="24"/>
          <w:szCs w:val="24"/>
        </w:rPr>
        <w:t>Supplementary file</w:t>
      </w:r>
    </w:p>
    <w:p w14:paraId="08C167D3" w14:textId="77777777" w:rsidR="000E1571" w:rsidRDefault="000E1571" w:rsidP="0075087C">
      <w:pPr>
        <w:spacing w:after="160" w:line="360" w:lineRule="auto"/>
        <w:jc w:val="both"/>
        <w:rPr>
          <w:rFonts w:cstheme="minorHAnsi"/>
          <w:b/>
          <w:bCs/>
          <w:sz w:val="24"/>
          <w:szCs w:val="24"/>
        </w:rPr>
      </w:pPr>
    </w:p>
    <w:p w14:paraId="4CE800CC" w14:textId="48089F5F" w:rsidR="000E1571" w:rsidRDefault="000E1571" w:rsidP="000E1571">
      <w:pPr>
        <w:spacing w:after="0" w:line="360" w:lineRule="auto"/>
        <w:rPr>
          <w:rFonts w:cstheme="minorHAnsi"/>
          <w:b/>
          <w:bCs/>
          <w:sz w:val="24"/>
          <w:szCs w:val="24"/>
        </w:rPr>
      </w:pPr>
      <w:r>
        <w:rPr>
          <w:rFonts w:cstheme="minorHAnsi"/>
          <w:b/>
          <w:bCs/>
          <w:sz w:val="24"/>
          <w:szCs w:val="24"/>
        </w:rPr>
        <w:t>Supplementary Figure 1</w:t>
      </w:r>
    </w:p>
    <w:p w14:paraId="157CE0E7" w14:textId="72CCAEB2" w:rsidR="000E1571" w:rsidRDefault="000E1571" w:rsidP="0075087C">
      <w:pPr>
        <w:spacing w:after="160" w:line="360" w:lineRule="auto"/>
        <w:jc w:val="both"/>
        <w:rPr>
          <w:rFonts w:cstheme="minorHAnsi"/>
          <w:b/>
          <w:bCs/>
          <w:sz w:val="24"/>
          <w:szCs w:val="24"/>
        </w:rPr>
      </w:pPr>
      <w:r>
        <w:rPr>
          <w:rFonts w:cstheme="minorHAnsi"/>
          <w:noProof/>
          <w:sz w:val="24"/>
          <w:szCs w:val="24"/>
        </w:rPr>
        <w:drawing>
          <wp:inline distT="0" distB="0" distL="0" distR="0" wp14:anchorId="3156C605" wp14:editId="029FAB4D">
            <wp:extent cx="5400000" cy="3898936"/>
            <wp:effectExtent l="0" t="0" r="0" b="6350"/>
            <wp:docPr id="23226285" name="Picture 5" descr="A graph of a patient's vision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6285" name="Picture 5" descr="A graph of a patient's vision los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400000" cy="3898936"/>
                    </a:xfrm>
                    <a:prstGeom prst="rect">
                      <a:avLst/>
                    </a:prstGeom>
                  </pic:spPr>
                </pic:pic>
              </a:graphicData>
            </a:graphic>
          </wp:inline>
        </w:drawing>
      </w:r>
    </w:p>
    <w:p w14:paraId="33950D23" w14:textId="77777777" w:rsidR="0075087C" w:rsidRDefault="0075087C" w:rsidP="0075087C">
      <w:pPr>
        <w:spacing w:after="160" w:line="360" w:lineRule="auto"/>
        <w:jc w:val="both"/>
        <w:rPr>
          <w:rFonts w:cstheme="minorHAnsi"/>
          <w:b/>
          <w:bCs/>
          <w:sz w:val="24"/>
          <w:szCs w:val="24"/>
        </w:rPr>
      </w:pPr>
    </w:p>
    <w:p w14:paraId="7825D200" w14:textId="77777777" w:rsidR="0075087C" w:rsidRDefault="0075087C" w:rsidP="0075087C">
      <w:pPr>
        <w:spacing w:line="360" w:lineRule="auto"/>
        <w:jc w:val="both"/>
        <w:rPr>
          <w:sz w:val="24"/>
          <w:szCs w:val="24"/>
        </w:rPr>
      </w:pPr>
      <w:r w:rsidRPr="16F3813C">
        <w:rPr>
          <w:rFonts w:eastAsia="Calibri"/>
          <w:sz w:val="24"/>
          <w:szCs w:val="24"/>
        </w:rPr>
        <w:t xml:space="preserve">The data were recorded on either the Medisoft EMR system (Medisoft Ophthalmology, Medisoft Limited, Leeds, UK, </w:t>
      </w:r>
      <w:hyperlink r:id="rId5">
        <w:r w:rsidRPr="16F3813C">
          <w:rPr>
            <w:rStyle w:val="Hyperlink"/>
            <w:rFonts w:eastAsia="Calibri"/>
            <w:sz w:val="24"/>
            <w:szCs w:val="24"/>
          </w:rPr>
          <w:t>www.medisoft.co.uk</w:t>
        </w:r>
      </w:hyperlink>
      <w:r w:rsidRPr="16F3813C">
        <w:rPr>
          <w:rFonts w:eastAsia="Calibri"/>
          <w:sz w:val="24"/>
          <w:szCs w:val="24"/>
        </w:rPr>
        <w:t>), the Open Eyes EMR system (</w:t>
      </w:r>
      <w:hyperlink r:id="rId6">
        <w:r w:rsidRPr="16F3813C">
          <w:rPr>
            <w:rStyle w:val="Hyperlink"/>
            <w:rFonts w:eastAsia="Calibri"/>
            <w:sz w:val="24"/>
            <w:szCs w:val="24"/>
          </w:rPr>
          <w:t>www.openeyes.org.uk</w:t>
        </w:r>
      </w:hyperlink>
      <w:r w:rsidRPr="16F3813C">
        <w:rPr>
          <w:rStyle w:val="Hyperlink"/>
          <w:rFonts w:eastAsia="Calibri"/>
          <w:sz w:val="24"/>
          <w:szCs w:val="24"/>
        </w:rPr>
        <w:t xml:space="preserve">), </w:t>
      </w:r>
      <w:r w:rsidRPr="16F3813C">
        <w:rPr>
          <w:rStyle w:val="Hyperlink"/>
          <w:rFonts w:eastAsia="Calibri"/>
          <w:color w:val="auto"/>
          <w:sz w:val="24"/>
          <w:szCs w:val="24"/>
        </w:rPr>
        <w:t xml:space="preserve">the EPIC patient medical record system </w:t>
      </w:r>
      <w:r w:rsidRPr="16F3813C">
        <w:rPr>
          <w:rStyle w:val="Hyperlink"/>
          <w:rFonts w:eastAsia="Calibri"/>
          <w:sz w:val="24"/>
          <w:szCs w:val="24"/>
        </w:rPr>
        <w:t>(</w:t>
      </w:r>
      <w:hyperlink r:id="rId7">
        <w:r w:rsidRPr="16F3813C">
          <w:rPr>
            <w:rStyle w:val="Hyperlink"/>
            <w:rFonts w:eastAsia="Calibri"/>
            <w:sz w:val="24"/>
            <w:szCs w:val="24"/>
          </w:rPr>
          <w:t>www.epic.com</w:t>
        </w:r>
      </w:hyperlink>
      <w:r w:rsidRPr="16F3813C">
        <w:rPr>
          <w:rStyle w:val="Hyperlink"/>
          <w:rFonts w:eastAsia="Calibri"/>
          <w:sz w:val="24"/>
          <w:szCs w:val="24"/>
        </w:rPr>
        <w:t xml:space="preserve">) </w:t>
      </w:r>
      <w:r w:rsidRPr="16F3813C">
        <w:rPr>
          <w:sz w:val="24"/>
          <w:szCs w:val="24"/>
        </w:rPr>
        <w:t>or ‘in-house’ data collection systems compliant with the National Cataract Dataset (</w:t>
      </w:r>
      <w:hyperlink r:id="rId8">
        <w:r w:rsidRPr="16F3813C">
          <w:rPr>
            <w:rStyle w:val="Hyperlink"/>
            <w:sz w:val="24"/>
            <w:szCs w:val="24"/>
          </w:rPr>
          <w:t>https://www.rcophth.ac.uk/standards-publications-research/audit-and-data/clinical-data-sets/cataract-national-data-set/</w:t>
        </w:r>
      </w:hyperlink>
      <w:r w:rsidRPr="16F3813C">
        <w:rPr>
          <w:sz w:val="24"/>
          <w:szCs w:val="24"/>
        </w:rPr>
        <w:t>).</w:t>
      </w:r>
    </w:p>
    <w:p w14:paraId="5DF6457B" w14:textId="77777777" w:rsidR="0075087C" w:rsidRPr="00C92AA2" w:rsidRDefault="0075087C" w:rsidP="0075087C">
      <w:pPr>
        <w:spacing w:after="160" w:line="360" w:lineRule="auto"/>
        <w:jc w:val="both"/>
        <w:rPr>
          <w:rFonts w:cstheme="minorHAnsi"/>
          <w:b/>
          <w:bCs/>
          <w:sz w:val="24"/>
          <w:szCs w:val="24"/>
        </w:rPr>
      </w:pPr>
    </w:p>
    <w:p w14:paraId="4BD466B6" w14:textId="77777777" w:rsidR="0075087C" w:rsidRPr="00C92AA2" w:rsidRDefault="0075087C" w:rsidP="0075087C">
      <w:pPr>
        <w:spacing w:after="160" w:line="360" w:lineRule="auto"/>
        <w:jc w:val="both"/>
        <w:rPr>
          <w:rFonts w:eastAsia="Calibri"/>
          <w:sz w:val="24"/>
          <w:szCs w:val="24"/>
        </w:rPr>
      </w:pPr>
      <w:bookmarkStart w:id="0" w:name="_Hlk206415497"/>
      <w:r w:rsidRPr="00C92AA2">
        <w:rPr>
          <w:rFonts w:eastAsia="Calibri"/>
          <w:sz w:val="24"/>
          <w:szCs w:val="24"/>
        </w:rPr>
        <w:t>The participating centres included in this study are listed in alphabetic order, separated into the 52 English NHS Trusts, one Welsh Health Board, 76 independent sector treatment centres, two private fee-paying provider and the one centre from Guernsey.</w:t>
      </w:r>
    </w:p>
    <w:bookmarkEnd w:id="0"/>
    <w:p w14:paraId="2E752497" w14:textId="77777777" w:rsidR="0075087C" w:rsidRPr="00C92AA2" w:rsidRDefault="0075087C" w:rsidP="0075087C">
      <w:pPr>
        <w:spacing w:after="160" w:line="360" w:lineRule="auto"/>
        <w:jc w:val="both"/>
        <w:rPr>
          <w:rFonts w:cstheme="minorHAnsi"/>
          <w:sz w:val="24"/>
          <w:szCs w:val="24"/>
        </w:rPr>
      </w:pPr>
    </w:p>
    <w:p w14:paraId="5F0991D7" w14:textId="77777777" w:rsidR="0075087C" w:rsidRPr="00C92AA2" w:rsidRDefault="0075087C" w:rsidP="0075087C">
      <w:pPr>
        <w:spacing w:after="160" w:line="360" w:lineRule="auto"/>
        <w:jc w:val="both"/>
        <w:rPr>
          <w:rFonts w:cstheme="minorHAnsi"/>
          <w:sz w:val="24"/>
          <w:szCs w:val="24"/>
        </w:rPr>
      </w:pPr>
    </w:p>
    <w:p w14:paraId="0D2CCEE8" w14:textId="77777777" w:rsidR="0075087C" w:rsidRPr="00C92AA2" w:rsidRDefault="0075087C" w:rsidP="0075087C">
      <w:pPr>
        <w:spacing w:after="160" w:line="360" w:lineRule="auto"/>
        <w:jc w:val="both"/>
        <w:rPr>
          <w:rFonts w:ascii="Calibri" w:eastAsia="Calibri" w:hAnsi="Calibri" w:cs="Calibri"/>
          <w:b/>
          <w:bCs/>
          <w:sz w:val="24"/>
          <w:szCs w:val="24"/>
        </w:rPr>
      </w:pPr>
      <w:r w:rsidRPr="00C92AA2">
        <w:rPr>
          <w:rFonts w:ascii="Calibri" w:eastAsia="Calibri" w:hAnsi="Calibri" w:cs="Calibri"/>
          <w:b/>
          <w:bCs/>
          <w:sz w:val="24"/>
          <w:szCs w:val="24"/>
        </w:rPr>
        <w:t>The following 52 NHS Trusts in England:</w:t>
      </w:r>
    </w:p>
    <w:p w14:paraId="0B0A600B" w14:textId="77777777" w:rsidR="0075087C" w:rsidRPr="00C92AA2" w:rsidRDefault="0075087C" w:rsidP="0075087C">
      <w:pPr>
        <w:spacing w:after="160" w:line="360" w:lineRule="auto"/>
        <w:jc w:val="both"/>
        <w:rPr>
          <w:rFonts w:ascii="Calibri" w:eastAsia="Calibri" w:hAnsi="Calibri" w:cs="Calibri"/>
          <w:sz w:val="24"/>
          <w:szCs w:val="24"/>
        </w:rPr>
      </w:pPr>
      <w:r w:rsidRPr="00C92AA2">
        <w:rPr>
          <w:rFonts w:ascii="Calibri" w:eastAsia="Calibri" w:hAnsi="Calibri" w:cs="Calibri"/>
          <w:sz w:val="24"/>
          <w:szCs w:val="24"/>
        </w:rPr>
        <w:t>Barts Health NHS Trust; Bolton NHS Foundation Trust; Calderdale and Huddersfield NHS Foundation Trust; Cambridge University Hospitals NHS Foundation Trust; Chesterfield Royal Hospital NHS Foundation Trust; County Durham and Darlington NHS Foundation Trust; East Sussex Healthcare NHS Trust; Epsom and St Helier University Hospitals NHS Trust; George Eliot Hospital NHS Trust; Gloucestershire Hospitals NHS Foundation Trust; Great Western Hospitals NHS Foundation Trust; Guy's and St Thomas' NHS Foundation Trust; Hampshire Hospitals NHS Foundation Trust; Harrogate and District NHS Foundation Trust; Imperial College Healthcare NHS Trust; Isle of Wight NHS Trust; James Paget University Hospitals NHS Foundation Trust; King's College Hospital NHS Foundation Trust; Leeds Teaching Hospitals NHS Trust; Liverpool University Hospitals NHS Foundation Trust; London North West University Healthcare NHS Trust; Manchester University NHS Foundation Trust; Mersey and West Lancashire Teaching Hospitals NHS Trust; Mid Cheshire Hospitals NHS Foundation Trust; Mid Yorkshire Teaching NHS Trust; Moorfields Eye Hospital NHS Foundation Trust</w:t>
      </w:r>
      <w:r>
        <w:rPr>
          <w:rFonts w:ascii="Calibri" w:eastAsia="Calibri" w:hAnsi="Calibri" w:cs="Calibri"/>
          <w:sz w:val="24"/>
          <w:szCs w:val="24"/>
        </w:rPr>
        <w:t>*</w:t>
      </w:r>
      <w:r w:rsidRPr="00C92AA2">
        <w:rPr>
          <w:rFonts w:ascii="Calibri" w:eastAsia="Calibri" w:hAnsi="Calibri" w:cs="Calibri"/>
          <w:sz w:val="24"/>
          <w:szCs w:val="24"/>
        </w:rPr>
        <w:t>; North West Anglia NHS Foundation Trust; Northern Lincolnshire and Goole NHS Foundation Trust; Nottingham University Hospitals NHS Trust; Portsmouth Hospitals University NHS Trust; Royal Berkshire NHS Foundation Trust; Royal Devon University Healthcare NHS Foundation Trust; Royal Free London NHS Foundation Trust; Royal Surrey County Hospital NHS Foundation Trust; Salisbury NHS Foundation Trust; Sandwell and West Birmingham Hospitals NHS Trust; Sheffield Teaching Hospitals NHS Foundation Trust; Somerset NHS Foundation Trust; South Warwickshire University NHS Foundation Trust; The Hillingdon Hospitals NHS Foundation Trust; The Newcastle upon Tyne Hospitals NHS Foundation Trust; The Princess Alexandra Hospital NHS Trust; The Shrewsbury and Telford Hospital NHS Trust; University Hospital Southampton NHS Foundation Trust; University Hospitals Birmingham NHS Foundation Trust; University Hospitals Bristol and Weston NHS Foundation Trust; University Hospitals Coventry and Warwickshire NHS Trust; University Hospitals Dorset NHS Foundation Trust; University Hospitals Plymouth NHS Trust; West Suffolk NHS Foundation Trust; Wirral University Teaching Hospital NHS Foundation Trust; Wrightington, Wigan and Leigh NHS Foundation Trust;</w:t>
      </w:r>
    </w:p>
    <w:p w14:paraId="28133D98" w14:textId="77777777" w:rsidR="0075087C" w:rsidRPr="00C92AA2" w:rsidRDefault="0075087C" w:rsidP="0075087C">
      <w:pPr>
        <w:spacing w:after="160" w:line="360" w:lineRule="auto"/>
        <w:jc w:val="both"/>
        <w:rPr>
          <w:rFonts w:ascii="Calibri" w:eastAsia="Calibri" w:hAnsi="Calibri" w:cs="Calibri"/>
          <w:sz w:val="24"/>
          <w:szCs w:val="24"/>
        </w:rPr>
      </w:pPr>
    </w:p>
    <w:p w14:paraId="052EC185" w14:textId="77777777" w:rsidR="0075087C" w:rsidRPr="00C92AA2" w:rsidRDefault="0075087C" w:rsidP="0075087C">
      <w:pPr>
        <w:spacing w:after="160" w:line="360" w:lineRule="auto"/>
        <w:jc w:val="both"/>
        <w:rPr>
          <w:rFonts w:ascii="Calibri" w:eastAsia="Calibri" w:hAnsi="Calibri" w:cs="Calibri"/>
          <w:b/>
          <w:bCs/>
          <w:sz w:val="24"/>
          <w:szCs w:val="24"/>
        </w:rPr>
      </w:pPr>
      <w:r w:rsidRPr="00C92AA2">
        <w:rPr>
          <w:rFonts w:ascii="Calibri" w:eastAsia="Calibri" w:hAnsi="Calibri" w:cs="Calibri"/>
          <w:b/>
          <w:bCs/>
          <w:sz w:val="24"/>
          <w:szCs w:val="24"/>
        </w:rPr>
        <w:lastRenderedPageBreak/>
        <w:t>The following one University Health Board in Wales:</w:t>
      </w:r>
    </w:p>
    <w:p w14:paraId="6DC2C1DD" w14:textId="77777777" w:rsidR="0075087C" w:rsidRPr="00C92AA2" w:rsidRDefault="0075087C" w:rsidP="0075087C">
      <w:pPr>
        <w:spacing w:after="160" w:line="360" w:lineRule="auto"/>
        <w:jc w:val="both"/>
        <w:rPr>
          <w:rFonts w:ascii="Calibri" w:eastAsia="Calibri" w:hAnsi="Calibri" w:cs="Calibri"/>
          <w:sz w:val="24"/>
          <w:szCs w:val="24"/>
        </w:rPr>
      </w:pPr>
      <w:r w:rsidRPr="00C92AA2">
        <w:rPr>
          <w:rFonts w:ascii="Calibri" w:eastAsia="Calibri" w:hAnsi="Calibri" w:cs="Calibri"/>
          <w:sz w:val="24"/>
          <w:szCs w:val="24"/>
        </w:rPr>
        <w:t xml:space="preserve">Cwm Taf Morgannwg University Local Health </w:t>
      </w:r>
      <w:proofErr w:type="gramStart"/>
      <w:r w:rsidRPr="00C92AA2">
        <w:rPr>
          <w:rFonts w:ascii="Calibri" w:eastAsia="Calibri" w:hAnsi="Calibri" w:cs="Calibri"/>
          <w:sz w:val="24"/>
          <w:szCs w:val="24"/>
        </w:rPr>
        <w:t>Board;</w:t>
      </w:r>
      <w:proofErr w:type="gramEnd"/>
    </w:p>
    <w:p w14:paraId="63941E1D" w14:textId="77777777" w:rsidR="0075087C" w:rsidRPr="00C92AA2" w:rsidRDefault="0075087C" w:rsidP="0075087C">
      <w:pPr>
        <w:spacing w:after="160" w:line="360" w:lineRule="auto"/>
        <w:jc w:val="both"/>
        <w:rPr>
          <w:rFonts w:ascii="Calibri" w:eastAsia="Calibri" w:hAnsi="Calibri" w:cs="Calibri"/>
          <w:sz w:val="24"/>
          <w:szCs w:val="24"/>
        </w:rPr>
      </w:pPr>
    </w:p>
    <w:p w14:paraId="44542EDA"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The following one centre from Guernsey:</w:t>
      </w:r>
    </w:p>
    <w:p w14:paraId="6C9645BF" w14:textId="77777777" w:rsidR="0075087C" w:rsidRPr="00231A2F" w:rsidRDefault="0075087C" w:rsidP="0075087C">
      <w:pPr>
        <w:spacing w:after="160" w:line="360" w:lineRule="auto"/>
        <w:jc w:val="both"/>
        <w:rPr>
          <w:rFonts w:ascii="Calibri" w:eastAsia="Calibri" w:hAnsi="Calibri" w:cs="Calibri"/>
          <w:sz w:val="24"/>
          <w:szCs w:val="24"/>
        </w:rPr>
      </w:pPr>
      <w:r w:rsidRPr="00231A2F">
        <w:rPr>
          <w:rFonts w:ascii="Calibri" w:eastAsia="Calibri" w:hAnsi="Calibri" w:cs="Calibri"/>
          <w:sz w:val="24"/>
          <w:szCs w:val="24"/>
        </w:rPr>
        <w:t>Medical specialists group Guernsey</w:t>
      </w:r>
    </w:p>
    <w:p w14:paraId="5BFEA772" w14:textId="77777777" w:rsidR="0075087C" w:rsidRPr="00231A2F" w:rsidRDefault="0075087C" w:rsidP="0075087C">
      <w:pPr>
        <w:spacing w:after="160" w:line="360" w:lineRule="auto"/>
        <w:jc w:val="both"/>
        <w:rPr>
          <w:rFonts w:ascii="Calibri" w:eastAsia="Calibri" w:hAnsi="Calibri" w:cs="Calibri"/>
          <w:sz w:val="24"/>
          <w:szCs w:val="24"/>
        </w:rPr>
      </w:pPr>
    </w:p>
    <w:p w14:paraId="536AB261"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Independent sector treatment centres:</w:t>
      </w:r>
    </w:p>
    <w:p w14:paraId="3F4A17A4" w14:textId="77777777" w:rsidR="0075087C" w:rsidRPr="00231A2F" w:rsidRDefault="0075087C" w:rsidP="0075087C">
      <w:pPr>
        <w:spacing w:after="160" w:line="360" w:lineRule="auto"/>
        <w:jc w:val="both"/>
        <w:rPr>
          <w:rFonts w:ascii="Calibri" w:eastAsia="Calibri" w:hAnsi="Calibri" w:cs="Calibri"/>
          <w:sz w:val="24"/>
          <w:szCs w:val="24"/>
        </w:rPr>
      </w:pPr>
      <w:r w:rsidRPr="00231A2F">
        <w:rPr>
          <w:rFonts w:ascii="Calibri" w:eastAsia="Calibri" w:hAnsi="Calibri" w:cs="Calibri"/>
          <w:sz w:val="24"/>
          <w:szCs w:val="24"/>
        </w:rPr>
        <w:t xml:space="preserve">The Stoneygate Eye </w:t>
      </w:r>
      <w:proofErr w:type="gramStart"/>
      <w:r w:rsidRPr="00231A2F">
        <w:rPr>
          <w:rFonts w:ascii="Calibri" w:eastAsia="Calibri" w:hAnsi="Calibri" w:cs="Calibri"/>
          <w:sz w:val="24"/>
          <w:szCs w:val="24"/>
        </w:rPr>
        <w:t>Hospital;</w:t>
      </w:r>
      <w:proofErr w:type="gramEnd"/>
    </w:p>
    <w:p w14:paraId="1879D7B5" w14:textId="77777777" w:rsidR="0075087C" w:rsidRPr="00231A2F" w:rsidRDefault="0075087C" w:rsidP="0075087C">
      <w:pPr>
        <w:spacing w:after="160" w:line="360" w:lineRule="auto"/>
        <w:jc w:val="both"/>
        <w:rPr>
          <w:rFonts w:ascii="Calibri" w:eastAsia="Calibri" w:hAnsi="Calibri" w:cs="Calibri"/>
          <w:sz w:val="24"/>
          <w:szCs w:val="24"/>
        </w:rPr>
      </w:pPr>
    </w:p>
    <w:p w14:paraId="1554E82A"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The following six sites from Community Health and Eyecare Limited:</w:t>
      </w:r>
    </w:p>
    <w:p w14:paraId="755B4994" w14:textId="77777777" w:rsidR="0075087C" w:rsidRPr="00C92AA2" w:rsidRDefault="0075087C" w:rsidP="0075087C">
      <w:pPr>
        <w:spacing w:after="160" w:line="360" w:lineRule="auto"/>
        <w:jc w:val="both"/>
        <w:rPr>
          <w:rFonts w:ascii="Calibri" w:eastAsia="Calibri" w:hAnsi="Calibri" w:cs="Calibri"/>
          <w:sz w:val="24"/>
          <w:szCs w:val="24"/>
        </w:rPr>
      </w:pPr>
      <w:r w:rsidRPr="00C92AA2">
        <w:rPr>
          <w:rFonts w:ascii="Calibri" w:eastAsia="Calibri" w:hAnsi="Calibri" w:cs="Calibri"/>
          <w:sz w:val="24"/>
          <w:szCs w:val="24"/>
        </w:rPr>
        <w:t xml:space="preserve">Accrington; Blackpool; Coventry; Leicester; Preston; </w:t>
      </w:r>
      <w:proofErr w:type="gramStart"/>
      <w:r w:rsidRPr="00C92AA2">
        <w:rPr>
          <w:rFonts w:ascii="Calibri" w:eastAsia="Calibri" w:hAnsi="Calibri" w:cs="Calibri"/>
          <w:sz w:val="24"/>
          <w:szCs w:val="24"/>
        </w:rPr>
        <w:t>Stevenage;</w:t>
      </w:r>
      <w:proofErr w:type="gramEnd"/>
    </w:p>
    <w:p w14:paraId="4A22A70E" w14:textId="77777777" w:rsidR="0075087C" w:rsidRPr="00C92AA2" w:rsidRDefault="0075087C" w:rsidP="0075087C">
      <w:pPr>
        <w:spacing w:after="160" w:line="360" w:lineRule="auto"/>
        <w:jc w:val="both"/>
        <w:rPr>
          <w:rFonts w:ascii="Calibri" w:eastAsia="Calibri" w:hAnsi="Calibri" w:cs="Calibri"/>
          <w:sz w:val="24"/>
          <w:szCs w:val="24"/>
        </w:rPr>
      </w:pPr>
    </w:p>
    <w:p w14:paraId="2E6F9A54"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 xml:space="preserve">The following one site from </w:t>
      </w:r>
      <w:proofErr w:type="spellStart"/>
      <w:r w:rsidRPr="00231A2F">
        <w:rPr>
          <w:rFonts w:ascii="Calibri" w:eastAsia="Calibri" w:hAnsi="Calibri" w:cs="Calibri"/>
          <w:b/>
          <w:bCs/>
          <w:sz w:val="24"/>
          <w:szCs w:val="24"/>
        </w:rPr>
        <w:t>Newmedica</w:t>
      </w:r>
      <w:proofErr w:type="spellEnd"/>
      <w:r w:rsidRPr="00231A2F">
        <w:rPr>
          <w:rFonts w:ascii="Calibri" w:eastAsia="Calibri" w:hAnsi="Calibri" w:cs="Calibri"/>
          <w:b/>
          <w:bCs/>
          <w:sz w:val="24"/>
          <w:szCs w:val="24"/>
        </w:rPr>
        <w:t>:</w:t>
      </w:r>
    </w:p>
    <w:p w14:paraId="0A8064FB" w14:textId="77777777" w:rsidR="0075087C" w:rsidRPr="00231A2F" w:rsidRDefault="0075087C" w:rsidP="0075087C">
      <w:pPr>
        <w:spacing w:after="160" w:line="360" w:lineRule="auto"/>
        <w:jc w:val="both"/>
        <w:rPr>
          <w:rFonts w:ascii="Calibri" w:eastAsia="Calibri" w:hAnsi="Calibri" w:cs="Calibri"/>
          <w:sz w:val="24"/>
          <w:szCs w:val="24"/>
        </w:rPr>
      </w:pPr>
      <w:proofErr w:type="gramStart"/>
      <w:r w:rsidRPr="00231A2F">
        <w:rPr>
          <w:rFonts w:ascii="Calibri" w:eastAsia="Calibri" w:hAnsi="Calibri" w:cs="Calibri"/>
          <w:sz w:val="24"/>
          <w:szCs w:val="24"/>
        </w:rPr>
        <w:t>Northampton;</w:t>
      </w:r>
      <w:proofErr w:type="gramEnd"/>
    </w:p>
    <w:p w14:paraId="7AAEAA33" w14:textId="77777777" w:rsidR="0075087C" w:rsidRPr="00231A2F" w:rsidRDefault="0075087C" w:rsidP="0075087C">
      <w:pPr>
        <w:spacing w:after="160" w:line="360" w:lineRule="auto"/>
        <w:jc w:val="both"/>
        <w:rPr>
          <w:rFonts w:ascii="Calibri" w:eastAsia="Calibri" w:hAnsi="Calibri" w:cs="Calibri"/>
          <w:sz w:val="24"/>
          <w:szCs w:val="24"/>
        </w:rPr>
      </w:pPr>
    </w:p>
    <w:p w14:paraId="19C46F80"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 xml:space="preserve">The following six sites from </w:t>
      </w:r>
      <w:proofErr w:type="spellStart"/>
      <w:r w:rsidRPr="00231A2F">
        <w:rPr>
          <w:rFonts w:ascii="Calibri" w:eastAsia="Calibri" w:hAnsi="Calibri" w:cs="Calibri"/>
          <w:b/>
          <w:bCs/>
          <w:sz w:val="24"/>
          <w:szCs w:val="24"/>
        </w:rPr>
        <w:t>Optegra</w:t>
      </w:r>
      <w:proofErr w:type="spellEnd"/>
      <w:r w:rsidRPr="00231A2F">
        <w:rPr>
          <w:rFonts w:ascii="Calibri" w:eastAsia="Calibri" w:hAnsi="Calibri" w:cs="Calibri"/>
          <w:b/>
          <w:bCs/>
          <w:sz w:val="24"/>
          <w:szCs w:val="24"/>
        </w:rPr>
        <w:t xml:space="preserve"> Eye Health Care:</w:t>
      </w:r>
    </w:p>
    <w:p w14:paraId="1FF6367A" w14:textId="77777777" w:rsidR="0075087C" w:rsidRPr="00C92AA2" w:rsidRDefault="0075087C" w:rsidP="0075087C">
      <w:pPr>
        <w:spacing w:after="160" w:line="360" w:lineRule="auto"/>
        <w:jc w:val="both"/>
        <w:rPr>
          <w:rFonts w:ascii="Calibri" w:eastAsia="Calibri" w:hAnsi="Calibri" w:cs="Calibri"/>
          <w:sz w:val="24"/>
          <w:szCs w:val="24"/>
        </w:rPr>
      </w:pPr>
      <w:r w:rsidRPr="00C92AA2">
        <w:rPr>
          <w:rFonts w:ascii="Calibri" w:eastAsia="Calibri" w:hAnsi="Calibri" w:cs="Calibri"/>
          <w:sz w:val="24"/>
          <w:szCs w:val="24"/>
        </w:rPr>
        <w:t xml:space="preserve">Birmingham Eye Hospital; Bradford Eye Hospital; Colchester Eye Clinic; Hampshire Eye Hospital; London Eye Hospital; North London Eye </w:t>
      </w:r>
      <w:proofErr w:type="gramStart"/>
      <w:r w:rsidRPr="00C92AA2">
        <w:rPr>
          <w:rFonts w:ascii="Calibri" w:eastAsia="Calibri" w:hAnsi="Calibri" w:cs="Calibri"/>
          <w:sz w:val="24"/>
          <w:szCs w:val="24"/>
        </w:rPr>
        <w:t>Hospital;</w:t>
      </w:r>
      <w:proofErr w:type="gramEnd"/>
    </w:p>
    <w:p w14:paraId="4394A9E8" w14:textId="77777777" w:rsidR="0075087C" w:rsidRPr="00231A2F" w:rsidRDefault="0075087C" w:rsidP="0075087C">
      <w:pPr>
        <w:spacing w:after="160" w:line="360" w:lineRule="auto"/>
        <w:jc w:val="both"/>
        <w:rPr>
          <w:rFonts w:ascii="Calibri" w:eastAsia="Calibri" w:hAnsi="Calibri" w:cs="Calibri"/>
          <w:sz w:val="24"/>
          <w:szCs w:val="24"/>
        </w:rPr>
      </w:pPr>
    </w:p>
    <w:p w14:paraId="3946FCFA"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 xml:space="preserve">The following two sites Optimax </w:t>
      </w:r>
      <w:r>
        <w:rPr>
          <w:rFonts w:ascii="Calibri" w:eastAsia="Calibri" w:hAnsi="Calibri" w:cs="Calibri"/>
          <w:b/>
          <w:bCs/>
          <w:sz w:val="24"/>
          <w:szCs w:val="24"/>
        </w:rPr>
        <w:t>clinics</w:t>
      </w:r>
      <w:r w:rsidRPr="00231A2F">
        <w:rPr>
          <w:rFonts w:ascii="Calibri" w:eastAsia="Calibri" w:hAnsi="Calibri" w:cs="Calibri"/>
          <w:b/>
          <w:bCs/>
          <w:sz w:val="24"/>
          <w:szCs w:val="24"/>
        </w:rPr>
        <w:t>:</w:t>
      </w:r>
    </w:p>
    <w:p w14:paraId="7363D889" w14:textId="77777777" w:rsidR="0075087C" w:rsidRPr="00231A2F" w:rsidRDefault="0075087C" w:rsidP="0075087C">
      <w:pPr>
        <w:spacing w:after="160" w:line="360" w:lineRule="auto"/>
        <w:jc w:val="both"/>
        <w:rPr>
          <w:rFonts w:ascii="Calibri" w:eastAsia="Calibri" w:hAnsi="Calibri" w:cs="Calibri"/>
          <w:sz w:val="24"/>
          <w:szCs w:val="24"/>
        </w:rPr>
      </w:pPr>
      <w:r w:rsidRPr="00231A2F">
        <w:rPr>
          <w:rFonts w:ascii="Calibri" w:eastAsia="Calibri" w:hAnsi="Calibri" w:cs="Calibri"/>
          <w:sz w:val="24"/>
          <w:szCs w:val="24"/>
        </w:rPr>
        <w:t xml:space="preserve">Leicester; Newton </w:t>
      </w:r>
      <w:proofErr w:type="gramStart"/>
      <w:r w:rsidRPr="00231A2F">
        <w:rPr>
          <w:rFonts w:ascii="Calibri" w:eastAsia="Calibri" w:hAnsi="Calibri" w:cs="Calibri"/>
          <w:sz w:val="24"/>
          <w:szCs w:val="24"/>
        </w:rPr>
        <w:t>Abbot;</w:t>
      </w:r>
      <w:proofErr w:type="gramEnd"/>
    </w:p>
    <w:p w14:paraId="5876F82E" w14:textId="77777777" w:rsidR="0075087C" w:rsidRPr="00231A2F" w:rsidRDefault="0075087C" w:rsidP="0075087C">
      <w:pPr>
        <w:spacing w:after="160" w:line="360" w:lineRule="auto"/>
        <w:jc w:val="both"/>
        <w:rPr>
          <w:rFonts w:ascii="Calibri" w:eastAsia="Calibri" w:hAnsi="Calibri" w:cs="Calibri"/>
          <w:sz w:val="24"/>
          <w:szCs w:val="24"/>
        </w:rPr>
      </w:pPr>
    </w:p>
    <w:p w14:paraId="671BD2A7"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The following eight sites from Practice Plus Group:</w:t>
      </w:r>
    </w:p>
    <w:p w14:paraId="316D379F" w14:textId="77777777" w:rsidR="0075087C" w:rsidRPr="00C92AA2" w:rsidRDefault="0075087C" w:rsidP="0075087C">
      <w:pPr>
        <w:spacing w:after="160" w:line="360" w:lineRule="auto"/>
        <w:jc w:val="both"/>
        <w:rPr>
          <w:rFonts w:ascii="Calibri" w:eastAsia="Calibri" w:hAnsi="Calibri" w:cs="Calibri"/>
          <w:sz w:val="24"/>
          <w:szCs w:val="24"/>
        </w:rPr>
      </w:pPr>
      <w:proofErr w:type="spellStart"/>
      <w:r w:rsidRPr="00C92AA2">
        <w:rPr>
          <w:rFonts w:ascii="Calibri" w:eastAsia="Calibri" w:hAnsi="Calibri" w:cs="Calibri"/>
          <w:sz w:val="24"/>
          <w:szCs w:val="24"/>
        </w:rPr>
        <w:lastRenderedPageBreak/>
        <w:t>Barlborough</w:t>
      </w:r>
      <w:proofErr w:type="spellEnd"/>
      <w:r w:rsidRPr="00C92AA2">
        <w:rPr>
          <w:rFonts w:ascii="Calibri" w:eastAsia="Calibri" w:hAnsi="Calibri" w:cs="Calibri"/>
          <w:sz w:val="24"/>
          <w:szCs w:val="24"/>
        </w:rPr>
        <w:t xml:space="preserve">; Devizes; Emersons Green; Gillingham; Ilford; Rochdale; Shepton Mallet; St. Mary's </w:t>
      </w:r>
      <w:proofErr w:type="gramStart"/>
      <w:r w:rsidRPr="00C92AA2">
        <w:rPr>
          <w:rFonts w:ascii="Calibri" w:eastAsia="Calibri" w:hAnsi="Calibri" w:cs="Calibri"/>
          <w:sz w:val="24"/>
          <w:szCs w:val="24"/>
        </w:rPr>
        <w:t>Portsmouth;</w:t>
      </w:r>
      <w:proofErr w:type="gramEnd"/>
    </w:p>
    <w:p w14:paraId="45FB9844" w14:textId="77777777" w:rsidR="0075087C" w:rsidRPr="00C92AA2" w:rsidRDefault="0075087C" w:rsidP="0075087C">
      <w:pPr>
        <w:spacing w:after="160" w:line="360" w:lineRule="auto"/>
        <w:jc w:val="both"/>
        <w:rPr>
          <w:rFonts w:ascii="Calibri" w:eastAsia="Calibri" w:hAnsi="Calibri" w:cs="Calibri"/>
          <w:sz w:val="24"/>
          <w:szCs w:val="24"/>
        </w:rPr>
      </w:pPr>
    </w:p>
    <w:p w14:paraId="600D49CF" w14:textId="77777777" w:rsidR="0075087C" w:rsidRPr="00C92AA2" w:rsidRDefault="0075087C" w:rsidP="0075087C">
      <w:pPr>
        <w:spacing w:after="160" w:line="360" w:lineRule="auto"/>
        <w:jc w:val="both"/>
        <w:rPr>
          <w:rFonts w:ascii="Calibri" w:eastAsia="Calibri" w:hAnsi="Calibri" w:cs="Calibri"/>
          <w:b/>
          <w:bCs/>
          <w:sz w:val="24"/>
          <w:szCs w:val="24"/>
        </w:rPr>
      </w:pPr>
      <w:r w:rsidRPr="00C92AA2">
        <w:rPr>
          <w:rFonts w:ascii="Calibri" w:eastAsia="Calibri" w:hAnsi="Calibri" w:cs="Calibri"/>
          <w:b/>
          <w:bCs/>
          <w:sz w:val="24"/>
          <w:szCs w:val="24"/>
        </w:rPr>
        <w:t xml:space="preserve">The following 52 sites from </w:t>
      </w:r>
      <w:proofErr w:type="spellStart"/>
      <w:r w:rsidRPr="00C92AA2">
        <w:rPr>
          <w:rFonts w:ascii="Calibri" w:eastAsia="Calibri" w:hAnsi="Calibri" w:cs="Calibri"/>
          <w:b/>
          <w:bCs/>
          <w:sz w:val="24"/>
          <w:szCs w:val="24"/>
        </w:rPr>
        <w:t>SpaMedica</w:t>
      </w:r>
      <w:proofErr w:type="spellEnd"/>
      <w:r w:rsidRPr="00C92AA2">
        <w:rPr>
          <w:rFonts w:ascii="Calibri" w:eastAsia="Calibri" w:hAnsi="Calibri" w:cs="Calibri"/>
          <w:b/>
          <w:bCs/>
          <w:sz w:val="24"/>
          <w:szCs w:val="24"/>
        </w:rPr>
        <w:t>:</w:t>
      </w:r>
    </w:p>
    <w:p w14:paraId="78D5739F" w14:textId="77777777" w:rsidR="0075087C" w:rsidRPr="00C92AA2" w:rsidRDefault="0075087C" w:rsidP="0075087C">
      <w:pPr>
        <w:spacing w:after="160" w:line="360" w:lineRule="auto"/>
        <w:jc w:val="both"/>
        <w:rPr>
          <w:rFonts w:ascii="Calibri" w:eastAsia="Calibri" w:hAnsi="Calibri" w:cs="Calibri"/>
          <w:sz w:val="24"/>
          <w:szCs w:val="24"/>
        </w:rPr>
      </w:pPr>
      <w:r w:rsidRPr="00C92AA2">
        <w:rPr>
          <w:rFonts w:ascii="Calibri" w:eastAsia="Calibri" w:hAnsi="Calibri" w:cs="Calibri"/>
          <w:sz w:val="24"/>
          <w:szCs w:val="24"/>
        </w:rPr>
        <w:t>Bedford; Bexhill; Birkenhead; Birmingham; Blackpool; Bolton; Bradford; Brighton; Bristol; Bromley; Carlisle; Chelmsford; Chester; Colchester; Coventry; Derby; Doncaster; Epsom; Exeter; Gateshead; Gloucester; Haydock; Hull; Kendal; Leeds; Leicester; Liverpool; Manchester; Newark; Newcastle Under Lyme; Newton le Willows; North Tyneside; Norwich; Oldham; Oxford; Peterborough; Poole; Preston; Romford; Sheffield; Sittingbourne; Solihull; Southampton; Stockton on Tees; Telford; Truro; Wakefield; Watford; West Lancashire; Widnes; Wokingham; Wolverhampton;</w:t>
      </w:r>
    </w:p>
    <w:p w14:paraId="2FC18A68" w14:textId="77777777" w:rsidR="0075087C" w:rsidRPr="00231A2F" w:rsidRDefault="0075087C" w:rsidP="0075087C">
      <w:pPr>
        <w:spacing w:after="160" w:line="360" w:lineRule="auto"/>
        <w:jc w:val="both"/>
        <w:rPr>
          <w:rFonts w:ascii="Calibri" w:eastAsia="Calibri" w:hAnsi="Calibri" w:cs="Calibri"/>
          <w:sz w:val="24"/>
          <w:szCs w:val="24"/>
        </w:rPr>
      </w:pPr>
    </w:p>
    <w:p w14:paraId="2EE78422" w14:textId="77777777" w:rsidR="0075087C" w:rsidRPr="00231A2F" w:rsidRDefault="0075087C" w:rsidP="0075087C">
      <w:pPr>
        <w:spacing w:after="160" w:line="360" w:lineRule="auto"/>
        <w:jc w:val="both"/>
        <w:rPr>
          <w:rFonts w:ascii="Calibri" w:eastAsia="Calibri" w:hAnsi="Calibri" w:cs="Calibri"/>
          <w:b/>
          <w:bCs/>
          <w:sz w:val="24"/>
          <w:szCs w:val="24"/>
        </w:rPr>
      </w:pPr>
      <w:r w:rsidRPr="00231A2F">
        <w:rPr>
          <w:rFonts w:ascii="Calibri" w:eastAsia="Calibri" w:hAnsi="Calibri" w:cs="Calibri"/>
          <w:b/>
          <w:bCs/>
          <w:sz w:val="24"/>
          <w:szCs w:val="24"/>
        </w:rPr>
        <w:t>The following two private fee -paying providers</w:t>
      </w:r>
    </w:p>
    <w:p w14:paraId="02C4E9B7" w14:textId="77777777" w:rsidR="0075087C" w:rsidRPr="00231A2F" w:rsidRDefault="0075087C" w:rsidP="0075087C">
      <w:pPr>
        <w:spacing w:after="120" w:line="360" w:lineRule="auto"/>
        <w:jc w:val="both"/>
        <w:rPr>
          <w:rFonts w:eastAsia="Calibri" w:cstheme="minorHAnsi"/>
          <w:sz w:val="24"/>
          <w:szCs w:val="24"/>
        </w:rPr>
      </w:pPr>
      <w:r w:rsidRPr="00231A2F">
        <w:rPr>
          <w:rFonts w:eastAsia="Calibri" w:cstheme="minorHAnsi"/>
          <w:sz w:val="24"/>
          <w:szCs w:val="24"/>
        </w:rPr>
        <w:t xml:space="preserve">Exeter Eye; SANA Private </w:t>
      </w:r>
      <w:proofErr w:type="gramStart"/>
      <w:r w:rsidRPr="00231A2F">
        <w:rPr>
          <w:rFonts w:eastAsia="Calibri" w:cstheme="minorHAnsi"/>
          <w:sz w:val="24"/>
          <w:szCs w:val="24"/>
        </w:rPr>
        <w:t>Health;</w:t>
      </w:r>
      <w:proofErr w:type="gramEnd"/>
    </w:p>
    <w:p w14:paraId="5746D165" w14:textId="77777777" w:rsidR="0075087C" w:rsidRDefault="0075087C" w:rsidP="0075087C">
      <w:pPr>
        <w:spacing w:after="0" w:line="360" w:lineRule="auto"/>
        <w:rPr>
          <w:rFonts w:cstheme="minorHAnsi"/>
          <w:sz w:val="24"/>
          <w:szCs w:val="24"/>
        </w:rPr>
      </w:pPr>
    </w:p>
    <w:p w14:paraId="52DBE736" w14:textId="77777777" w:rsidR="0075087C" w:rsidRDefault="0075087C" w:rsidP="0075087C">
      <w:pPr>
        <w:spacing w:after="0" w:line="360" w:lineRule="auto"/>
        <w:rPr>
          <w:rFonts w:cstheme="minorHAnsi"/>
          <w:sz w:val="24"/>
          <w:szCs w:val="24"/>
        </w:rPr>
      </w:pPr>
    </w:p>
    <w:p w14:paraId="5941D317" w14:textId="77777777" w:rsidR="0075087C" w:rsidRDefault="0075087C" w:rsidP="0075087C">
      <w:pPr>
        <w:spacing w:after="0" w:line="360" w:lineRule="auto"/>
        <w:rPr>
          <w:rFonts w:cstheme="minorHAnsi"/>
          <w:sz w:val="24"/>
          <w:szCs w:val="24"/>
        </w:rPr>
      </w:pPr>
    </w:p>
    <w:p w14:paraId="4D4BF657" w14:textId="77777777" w:rsidR="0075087C" w:rsidRPr="00852E8E" w:rsidRDefault="0075087C" w:rsidP="0075087C">
      <w:pPr>
        <w:spacing w:after="160" w:line="360" w:lineRule="auto"/>
        <w:jc w:val="both"/>
        <w:rPr>
          <w:rFonts w:eastAsia="Calibri" w:cstheme="minorHAnsi"/>
          <w:sz w:val="24"/>
          <w:szCs w:val="24"/>
        </w:rPr>
      </w:pPr>
      <w:r>
        <w:rPr>
          <w:rFonts w:ascii="Calibri" w:eastAsia="Calibri" w:hAnsi="Calibri" w:cs="Calibri"/>
          <w:sz w:val="24"/>
          <w:szCs w:val="24"/>
        </w:rPr>
        <w:t>*</w:t>
      </w:r>
      <w:r w:rsidRPr="00471166">
        <w:rPr>
          <w:rFonts w:eastAsia="Calibri" w:cstheme="minorHAnsi"/>
          <w:sz w:val="24"/>
          <w:szCs w:val="24"/>
        </w:rPr>
        <w:t>Including Bedford Hospital NHS Trust and Croydon Health Services NHS Trust as these are part of the same governing authority for ophthalmology.</w:t>
      </w:r>
    </w:p>
    <w:p w14:paraId="73E6F861" w14:textId="77777777" w:rsidR="00937BD8" w:rsidRDefault="00937BD8"/>
    <w:sectPr w:rsidR="00937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7C"/>
    <w:rsid w:val="00063AA4"/>
    <w:rsid w:val="000E1571"/>
    <w:rsid w:val="0075087C"/>
    <w:rsid w:val="007F709A"/>
    <w:rsid w:val="00937BD8"/>
    <w:rsid w:val="00B66FB5"/>
    <w:rsid w:val="00C5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2FBA6F"/>
  <w15:chartTrackingRefBased/>
  <w15:docId w15:val="{15B4EFB5-D1AD-474F-BCB9-73C3DB27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7C"/>
    <w:pPr>
      <w:spacing w:after="200" w:line="276" w:lineRule="auto"/>
    </w:pPr>
    <w:rPr>
      <w:sz w:val="22"/>
      <w:szCs w:val="22"/>
    </w:rPr>
  </w:style>
  <w:style w:type="paragraph" w:styleId="Heading1">
    <w:name w:val="heading 1"/>
    <w:basedOn w:val="Normal"/>
    <w:next w:val="Normal"/>
    <w:link w:val="Heading1Char"/>
    <w:uiPriority w:val="9"/>
    <w:qFormat/>
    <w:rsid w:val="0075087C"/>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87C"/>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87C"/>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87C"/>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5087C"/>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5087C"/>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5087C"/>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5087C"/>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5087C"/>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87C"/>
    <w:rPr>
      <w:rFonts w:eastAsiaTheme="majorEastAsia" w:cstheme="majorBidi"/>
      <w:color w:val="272727" w:themeColor="text1" w:themeTint="D8"/>
    </w:rPr>
  </w:style>
  <w:style w:type="paragraph" w:styleId="Title">
    <w:name w:val="Title"/>
    <w:basedOn w:val="Normal"/>
    <w:next w:val="Normal"/>
    <w:link w:val="TitleChar"/>
    <w:uiPriority w:val="10"/>
    <w:qFormat/>
    <w:rsid w:val="0075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87C"/>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87C"/>
    <w:pPr>
      <w:spacing w:before="160" w:after="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5087C"/>
    <w:rPr>
      <w:i/>
      <w:iCs/>
      <w:color w:val="404040" w:themeColor="text1" w:themeTint="BF"/>
    </w:rPr>
  </w:style>
  <w:style w:type="paragraph" w:styleId="ListParagraph">
    <w:name w:val="List Paragraph"/>
    <w:basedOn w:val="Normal"/>
    <w:uiPriority w:val="34"/>
    <w:qFormat/>
    <w:rsid w:val="0075087C"/>
    <w:pPr>
      <w:spacing w:after="0" w:line="240" w:lineRule="auto"/>
      <w:ind w:left="720"/>
      <w:contextualSpacing/>
    </w:pPr>
    <w:rPr>
      <w:sz w:val="24"/>
      <w:szCs w:val="24"/>
    </w:rPr>
  </w:style>
  <w:style w:type="character" w:styleId="IntenseEmphasis">
    <w:name w:val="Intense Emphasis"/>
    <w:basedOn w:val="DefaultParagraphFont"/>
    <w:uiPriority w:val="21"/>
    <w:qFormat/>
    <w:rsid w:val="0075087C"/>
    <w:rPr>
      <w:i/>
      <w:iCs/>
      <w:color w:val="0F4761" w:themeColor="accent1" w:themeShade="BF"/>
    </w:rPr>
  </w:style>
  <w:style w:type="paragraph" w:styleId="IntenseQuote">
    <w:name w:val="Intense Quote"/>
    <w:basedOn w:val="Normal"/>
    <w:next w:val="Normal"/>
    <w:link w:val="IntenseQuoteChar"/>
    <w:uiPriority w:val="30"/>
    <w:qFormat/>
    <w:rsid w:val="0075087C"/>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5087C"/>
    <w:rPr>
      <w:i/>
      <w:iCs/>
      <w:color w:val="0F4761" w:themeColor="accent1" w:themeShade="BF"/>
    </w:rPr>
  </w:style>
  <w:style w:type="character" w:styleId="IntenseReference">
    <w:name w:val="Intense Reference"/>
    <w:basedOn w:val="DefaultParagraphFont"/>
    <w:uiPriority w:val="32"/>
    <w:qFormat/>
    <w:rsid w:val="0075087C"/>
    <w:rPr>
      <w:b/>
      <w:bCs/>
      <w:smallCaps/>
      <w:color w:val="0F4761" w:themeColor="accent1" w:themeShade="BF"/>
      <w:spacing w:val="5"/>
    </w:rPr>
  </w:style>
  <w:style w:type="character" w:styleId="Hyperlink">
    <w:name w:val="Hyperlink"/>
    <w:basedOn w:val="DefaultParagraphFont"/>
    <w:uiPriority w:val="99"/>
    <w:unhideWhenUsed/>
    <w:rsid w:val="007508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ophth.ac.uk/standards-publications-research/audit-and-data/clinical-data-sets/cataract-national-data-set/" TargetMode="External"/><Relationship Id="rId3" Type="http://schemas.openxmlformats.org/officeDocument/2006/relationships/webSettings" Target="webSettings.xml"/><Relationship Id="rId7" Type="http://schemas.openxmlformats.org/officeDocument/2006/relationships/hyperlink" Target="http://www.ep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eneyes.org.uk" TargetMode="External"/><Relationship Id="rId5" Type="http://schemas.openxmlformats.org/officeDocument/2006/relationships/hyperlink" Target="http://www.medisoft.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Ramsden</dc:creator>
  <cp:keywords/>
  <dc:description/>
  <cp:lastModifiedBy>Conor Ramsden</cp:lastModifiedBy>
  <cp:revision>2</cp:revision>
  <dcterms:created xsi:type="dcterms:W3CDTF">2025-12-20T16:29:00Z</dcterms:created>
  <dcterms:modified xsi:type="dcterms:W3CDTF">2025-12-20T17:16:00Z</dcterms:modified>
</cp:coreProperties>
</file>