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shd w:val="clear" w:color="auto" w:fill="FFFFFF"/>
          <w:lang w:val="en-US" w:eastAsia="zh-CN"/>
        </w:rPr>
        <w:t>Supplementary material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shd w:val="clear" w:color="auto" w:fill="FFFFFF"/>
        </w:rPr>
        <w:t>Definition of underlying diseases</w:t>
      </w:r>
      <w:r>
        <w:rPr>
          <w:rFonts w:hint="default" w:ascii="Times New Roman" w:hAnsi="Times New Roman" w:cs="Times New Roman"/>
          <w:b/>
          <w:bCs/>
          <w:color w:val="auto"/>
          <w:sz w:val="20"/>
          <w:szCs w:val="20"/>
          <w:shd w:val="clear" w:color="auto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Smoking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history </w:t>
      </w:r>
      <w:r>
        <w:rPr>
          <w:rFonts w:hint="default" w:ascii="Times New Roman" w:hAnsi="Times New Roman" w:eastAsia="TimesNewRomanPSMT" w:cs="Times New Roman"/>
          <w:color w:val="auto"/>
          <w:kern w:val="0"/>
          <w:sz w:val="20"/>
          <w:szCs w:val="20"/>
          <w:lang w:val="en-US" w:eastAsia="zh-CN" w:bidi="ar"/>
        </w:rPr>
        <w:t xml:space="preserve">was defined as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cigarette smokers of ten cigarettes/d during at least the previous year；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Obesity was defined as body mass index (BMI) ≥ 30 kg/m</w:t>
      </w:r>
      <w:r>
        <w:rPr>
          <w:rFonts w:hint="default" w:ascii="Times New Roman" w:hAnsi="Times New Roman" w:cs="Times New Roman"/>
          <w:color w:val="auto"/>
          <w:sz w:val="20"/>
          <w:szCs w:val="20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0"/>
          <w:szCs w:val="20"/>
          <w:vertAlign w:val="baseline"/>
          <w:lang w:val="en-US" w:eastAsia="zh-CN"/>
        </w:rPr>
        <w:t>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Cardiovascular disease included coronary heart disease and chronic congestive heart failure;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Coronary heart disease included angina pectoris, myocardial infarction, ischemic cardiomyopathy;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Chronic congestive heart failure was defined as cardiomegaly and ejection fraction ≤40%;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Cerebrovascular diseases included transient ischemic attack, cerebral hemorrhage, subarachnoid hemorrhage, cerebral infarction, etc;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Diebetes mellitus: included diabetes mellitus type 1 and diabetes mellitus type 2, not included impaired glucose tolerance and impaired fasting glycaemia;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Chronic pulmonary disease was defined as: persistent airflow limitation, FEV</w:t>
      </w:r>
      <w:r>
        <w:rPr>
          <w:rFonts w:hint="default" w:ascii="Times New Roman" w:hAnsi="Times New Roman" w:cs="Times New Roman"/>
          <w:color w:val="auto"/>
          <w:sz w:val="20"/>
          <w:szCs w:val="20"/>
          <w:vertAlign w:val="subscript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/ FVC &lt; 70% post bronchodilator;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Asthma was defined by the history of respiratory symptoms such as wheeze, cough that varied over time and intensity, together with variable respiratory airway limitation;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cs="Times New Roman"/>
          <w:color w:val="auto"/>
          <w:sz w:val="20"/>
          <w:szCs w:val="20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</w:rPr>
        <w:t>Chronic kidney disease included diabetic nephropathy, hypertensive renal damage, chronic glomerulonephritis, chronic pyelonephritis, lupus nephritis, IgA nephropathy, nephrotic syndrome, hereditary kidney disease, etc;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outlineLvl w:val="0"/>
        <w:rPr>
          <w:rFonts w:hint="default"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</w:rPr>
        <w:t xml:space="preserve">Immunosuppressive therapy: was defined as systmatic glucocorticosteroid (such as prednisone </w:t>
      </w:r>
      <w:r>
        <w:rPr>
          <w:rFonts w:hint="default"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≥10mg/d for more than 3 weeks in the last month); cyclosporine or azathioprine use within 3 months, and methotrexate use ≥12.5mg/week within 3 months; biological modifiers such as etanercept and infiximab within 3 weeks.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</w:rPr>
        <w:t>Immunocompromised status included HIV(+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)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，chemotherapy/radiotherapy within 6 months, immunosuppressive therapy, organ/bone marrow transplantation, splenectomy, hematological neoplasms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.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New or worsening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heart failure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was considered in patients with worsening signs, symptoms, and supportive findings on ECG and/or chest radiograph consistent with this diagnosis (ie, new or worsening paroxysmal nocturnal dyspnea; neck vein distention on clinical examination; pulmonary rales; radiographic cardiomegaly; radiographic evidence of pulmonary edema; left ventricular ejection fraction &lt;40%; S3 gallop; hepatojugular reflux; bilateral ankle edema; initiation or increase in dosage of loop diuretics, angiotensin-converting enzyme inhibitor/angiotensin receptor blocker therapy, vasodilators, or evidence-based beta blocker therapy for heart failure; weight loss &gt;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4.5  kg in 5 days in response to treatment);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M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yocardial infarction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was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defined as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the detection of a rise of cardiac troponin with at least 1 value above the 99th percentile upper reference limit associated with at least 1 of the following: (a) chest pain; (b) detection of new or presumably new significant ST-segment–T wave changes or new left bundle branch block; (c) development of pathological Q waves in the ECG; (d) denovo imaging evidence of viable myocardium loss or regional wall motion abnormality; (e) identification of an intracoronary thrombus by angiography or autopsy; or (f) cardiac death with symptoms suggestive of myocardial ischemia and presumed new ischemic ECG changes or new left bundle branch block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AECOPD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was defined as acute worsening of respiratory symptoms that results in additional therapy;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Septic shock 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was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defined as hypotension requiring use of vasopressors to maintain mean blood pressure of 65 mmHg or greater and having a serum lactate level greater than 2 mmol/L persisting after adequate fluid resuscitation;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leftChars="0" w:hanging="425" w:firstLineChars="0"/>
        <w:jc w:val="both"/>
        <w:textAlignment w:val="auto"/>
        <w:rPr>
          <w:rFonts w:hint="default" w:ascii="Times New Roman" w:hAnsi="Times New Roman" w:eastAsia="华文琥珀" w:cs="Times New Roman"/>
          <w:bCs/>
          <w:i/>
          <w:color w:val="auto"/>
          <w:sz w:val="20"/>
          <w:szCs w:val="20"/>
        </w:rPr>
      </w:pP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Acute renal failure </w:t>
      </w:r>
      <w:r>
        <w:rPr>
          <w:rFonts w:hint="default" w:ascii="Times New Roman" w:hAnsi="Times New Roman" w:cs="Times New Roman"/>
          <w:color w:val="auto"/>
          <w:sz w:val="20"/>
          <w:szCs w:val="20"/>
        </w:rPr>
        <w:t>was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 xml:space="preserve"> defined as a more than threefold rise in serum creatinine concentration compared to baselinewith an increase of at least 4 mg/dL, accompanied by reduction of urine excretion to &lt;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0.3 mL/kg for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0"/>
          <w:szCs w:val="20"/>
          <w:lang w:val="en-US" w:eastAsia="zh-CN"/>
        </w:rPr>
        <w:t>≥ 24 h or anuria for ≥ 12 h</w:t>
      </w:r>
      <w:r>
        <w:rPr>
          <w:rFonts w:hint="eastAsia" w:ascii="Times New Roman" w:hAnsi="Times New Roman" w:cs="Times New Roman"/>
          <w:color w:val="auto"/>
          <w:sz w:val="20"/>
          <w:szCs w:val="20"/>
          <w:lang w:val="en-US" w:eastAsia="zh-CN"/>
        </w:rPr>
        <w:t>.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both"/>
        <w:textAlignment w:val="auto"/>
        <w:rPr>
          <w:rFonts w:hint="default" w:ascii="Times New Roman" w:hAnsi="Times New Roman" w:eastAsia="华文琥珀" w:cs="Times New Roman"/>
          <w:bCs/>
          <w:i/>
          <w:color w:val="auto"/>
          <w:sz w:val="20"/>
          <w:szCs w:val="20"/>
        </w:rPr>
      </w:pPr>
    </w:p>
    <w:p>
      <w:pPr>
        <w:rPr>
          <w:rFonts w:hint="default" w:ascii="Times New Roman" w:hAnsi="Times New Roman" w:cs="Times New Roman"/>
          <w:b/>
          <w:bCs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15"/>
          <w:szCs w:val="15"/>
          <w:lang w:val="en-US" w:eastAsia="zh-CN"/>
        </w:rPr>
        <w:t xml:space="preserve">Supplementary material </w:t>
      </w:r>
      <w:r>
        <w:rPr>
          <w:rFonts w:hint="eastAsia" w:ascii="Times New Roman" w:hAnsi="Times New Roman" w:cs="Times New Roman"/>
          <w:b/>
          <w:bCs/>
          <w:sz w:val="15"/>
          <w:szCs w:val="15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sz w:val="15"/>
          <w:szCs w:val="15"/>
          <w:lang w:val="en-US" w:eastAsia="zh-CN"/>
        </w:rPr>
        <w:t xml:space="preserve"> Coinfection with other community-acquired pathogens in patients with the three viruses infection</w:t>
      </w:r>
      <w:r>
        <w:rPr>
          <w:rFonts w:hint="eastAsia" w:ascii="Times New Roman" w:hAnsi="Times New Roman" w:cs="Times New Roman"/>
          <w:b/>
          <w:bCs/>
          <w:sz w:val="15"/>
          <w:szCs w:val="15"/>
          <w:lang w:val="en-US" w:eastAsia="zh-CN"/>
        </w:rPr>
        <w:t>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4"/>
        <w:gridCol w:w="1693"/>
        <w:gridCol w:w="1444"/>
        <w:gridCol w:w="1444"/>
        <w:gridCol w:w="144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Variable</w:t>
            </w:r>
          </w:p>
        </w:tc>
        <w:tc>
          <w:tcPr>
            <w:tcW w:w="1693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Total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(n = 594)</w:t>
            </w:r>
          </w:p>
        </w:tc>
        <w:tc>
          <w:tcPr>
            <w:tcW w:w="1444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Flu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(n = 421)</w:t>
            </w:r>
          </w:p>
        </w:tc>
        <w:tc>
          <w:tcPr>
            <w:tcW w:w="1444" w:type="dxa"/>
            <w:tcBorders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RSV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(n = 92)</w:t>
            </w:r>
          </w:p>
        </w:tc>
        <w:tc>
          <w:tcPr>
            <w:tcW w:w="1447" w:type="dxa"/>
            <w:tcBorders>
              <w:left w:val="nil"/>
              <w:bottom w:val="single" w:color="auto" w:sz="4" w:space="0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hMPV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(n = 81)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top w:val="single" w:color="auto" w:sz="4" w:space="0"/>
              <w:right w:val="nil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Coinfection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15"/>
                <w:szCs w:val="15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162 (27.3)</w:t>
            </w:r>
          </w:p>
        </w:tc>
        <w:tc>
          <w:tcPr>
            <w:tcW w:w="1444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107 (25.4)</w:t>
            </w:r>
          </w:p>
        </w:tc>
        <w:tc>
          <w:tcPr>
            <w:tcW w:w="1444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3"/>
                <w:szCs w:val="13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18 (19.6)</w:t>
            </w:r>
          </w:p>
        </w:tc>
        <w:tc>
          <w:tcPr>
            <w:tcW w:w="1447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13"/>
                <w:szCs w:val="13"/>
                <w:vertAlign w:val="baseline"/>
                <w:lang w:val="en-US" w:eastAsia="zh-CN"/>
              </w:rPr>
              <w:t>22 (27.2)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Pathogens</w:t>
            </w:r>
          </w:p>
        </w:tc>
        <w:tc>
          <w:tcPr>
            <w:tcW w:w="1693" w:type="dxa"/>
            <w:tcBorders>
              <w:lef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14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Klebsiella pneumoniae</w:t>
            </w:r>
          </w:p>
        </w:tc>
        <w:tc>
          <w:tcPr>
            <w:tcW w:w="1693" w:type="dxa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  <w:t>41 (25.3)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24 (22.4)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7 (38.9)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10 (45.5)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Streptococcus pneumoniae</w:t>
            </w:r>
          </w:p>
        </w:tc>
        <w:tc>
          <w:tcPr>
            <w:tcW w:w="1693" w:type="dxa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  <w:t>38 (23.5)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33 (30.8)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 (16.7)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(9.1)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Staphylococcus aureus</w:t>
            </w:r>
          </w:p>
        </w:tc>
        <w:tc>
          <w:tcPr>
            <w:tcW w:w="1693" w:type="dxa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  <w:t>29 (17.9)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19 (17.8)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 (27.8)</w:t>
            </w:r>
          </w:p>
        </w:tc>
        <w:tc>
          <w:tcPr>
            <w:tcW w:w="14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5 (22.7)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Haemophilus influenzae</w:t>
            </w:r>
          </w:p>
        </w:tc>
        <w:tc>
          <w:tcPr>
            <w:tcW w:w="1693" w:type="dxa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  <w:t>19 (11.7)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17 (15.9)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(5.6)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Other streptococcus spp.</w:t>
            </w:r>
          </w:p>
        </w:tc>
        <w:tc>
          <w:tcPr>
            <w:tcW w:w="1693" w:type="dxa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  <w:t>14 (8.6)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10 (9.3)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(11.1)</w:t>
            </w:r>
          </w:p>
        </w:tc>
        <w:tc>
          <w:tcPr>
            <w:tcW w:w="14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(9.1)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494" w:type="dxa"/>
            <w:tcBorders>
              <w:righ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Pseudomonas aeruginosa</w:t>
            </w:r>
          </w:p>
        </w:tc>
        <w:tc>
          <w:tcPr>
            <w:tcW w:w="1693" w:type="dxa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  <w:t>4 (2.5)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(0.9)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 (11.1)</w:t>
            </w:r>
          </w:p>
        </w:tc>
        <w:tc>
          <w:tcPr>
            <w:tcW w:w="14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Acinetobacter</w:t>
            </w:r>
          </w:p>
        </w:tc>
        <w:tc>
          <w:tcPr>
            <w:tcW w:w="1693" w:type="dxa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  <w:t>3 (1.9)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(0.9)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(5.6)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Citrobacter spp.</w:t>
            </w:r>
          </w:p>
        </w:tc>
        <w:tc>
          <w:tcPr>
            <w:tcW w:w="1693" w:type="dxa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  <w:t>2 (1.2)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(0.9)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</w:tcBorders>
            <w:vAlign w:val="top"/>
          </w:tcPr>
          <w:p>
            <w:pPr>
              <w:ind w:firstLine="160" w:firstLineChars="100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hlalmydia pneumoniae</w:t>
            </w:r>
          </w:p>
        </w:tc>
        <w:tc>
          <w:tcPr>
            <w:tcW w:w="1693" w:type="dxa"/>
            <w:tcBorders>
              <w:left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5"/>
                <w:szCs w:val="15"/>
                <w:vertAlign w:val="baseline"/>
                <w:lang w:val="en-US" w:eastAsia="zh-CN"/>
              </w:rPr>
              <w:t>2 (1.2)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(0.9)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(5.6)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Klebsiella acidogens</w:t>
            </w:r>
          </w:p>
        </w:tc>
        <w:tc>
          <w:tcPr>
            <w:tcW w:w="1693" w:type="dxa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jc w:val="center"/>
              <w:textAlignment w:val="auto"/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  <w:t>1 (0.6)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(0.9)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Proteus spp.</w:t>
            </w:r>
          </w:p>
        </w:tc>
        <w:tc>
          <w:tcPr>
            <w:tcW w:w="1693" w:type="dxa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  <w:t>1 (0.6)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(0.9)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4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Stenotrophomonas maltophilia</w:t>
            </w:r>
          </w:p>
        </w:tc>
        <w:tc>
          <w:tcPr>
            <w:tcW w:w="1693" w:type="dxa"/>
            <w:tcBorders>
              <w:lef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  <w:t>1 (0.6)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4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 xml:space="preserve">Escherichia coli </w:t>
            </w:r>
          </w:p>
        </w:tc>
        <w:tc>
          <w:tcPr>
            <w:tcW w:w="1693" w:type="dxa"/>
            <w:tcBorders>
              <w:lef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  <w:t>1 (0.6)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(0.9)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4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textAlignment w:val="auto"/>
              <w:rPr>
                <w:rFonts w:hint="eastAsia" w:ascii="Times New Roman" w:hAnsi="Times New Roman" w:cs="Times New Roman" w:eastAsiaTheme="minorEastAsia"/>
                <w:i/>
                <w:iCs/>
                <w:color w:val="auto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Chryseobacterium Indole</w:t>
            </w:r>
          </w:p>
        </w:tc>
        <w:tc>
          <w:tcPr>
            <w:tcW w:w="1693" w:type="dxa"/>
            <w:tcBorders>
              <w:left w:val="nil"/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0" w:leftChars="100"/>
              <w:jc w:val="center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  <w:t>1 (0.6)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444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44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</w:tcBorders>
            <w:vAlign w:val="top"/>
          </w:tcPr>
          <w:p>
            <w:pPr>
              <w:ind w:firstLine="160" w:firstLineChars="100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Flavobacterium</w:t>
            </w:r>
          </w:p>
        </w:tc>
        <w:tc>
          <w:tcPr>
            <w:tcW w:w="1693" w:type="dxa"/>
            <w:tcBorders>
              <w:left w:val="nil"/>
              <w:tl2br w:val="nil"/>
              <w:tr2bl w:val="nil"/>
            </w:tcBorders>
            <w:vAlign w:val="top"/>
          </w:tcPr>
          <w:p>
            <w:pPr>
              <w:ind w:firstLine="160" w:firstLineChars="10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  <w:t>1 (0.6)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(4.5)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tcBorders>
              <w:right w:val="nil"/>
            </w:tcBorders>
            <w:vAlign w:val="top"/>
          </w:tcPr>
          <w:p>
            <w:pPr>
              <w:ind w:firstLine="160" w:firstLineChars="100"/>
              <w:rPr>
                <w:rFonts w:hint="default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16"/>
                <w:szCs w:val="16"/>
                <w:vertAlign w:val="baseline"/>
                <w:lang w:val="en-US" w:eastAsia="zh-CN"/>
              </w:rPr>
              <w:t>ycoplasma pneumoniae</w:t>
            </w:r>
          </w:p>
        </w:tc>
        <w:tc>
          <w:tcPr>
            <w:tcW w:w="1693" w:type="dxa"/>
            <w:tcBorders>
              <w:left w:val="nil"/>
              <w:tl2br w:val="nil"/>
              <w:tr2bl w:val="nil"/>
            </w:tcBorders>
            <w:vAlign w:val="top"/>
          </w:tcPr>
          <w:p>
            <w:pPr>
              <w:ind w:firstLine="160" w:firstLineChars="100"/>
              <w:jc w:val="center"/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sz w:val="16"/>
                <w:szCs w:val="16"/>
                <w:vertAlign w:val="baseline"/>
                <w:lang w:val="en-US" w:eastAsia="zh-CN"/>
              </w:rPr>
              <w:t>1 (0.6)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 (0.9)</w:t>
            </w:r>
          </w:p>
        </w:tc>
        <w:tc>
          <w:tcPr>
            <w:tcW w:w="1444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  <w:tc>
          <w:tcPr>
            <w:tcW w:w="1447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 (0.0)</w:t>
            </w:r>
          </w:p>
        </w:tc>
      </w:tr>
    </w:tbl>
    <w:p>
      <w:pPr>
        <w:rPr>
          <w:rFonts w:hint="eastAsia" w:ascii="Times New Roman" w:hAnsi="Times New Roman" w:cs="Times New Roman"/>
          <w:sz w:val="15"/>
          <w:szCs w:val="15"/>
          <w:lang w:val="en-US" w:eastAsia="zh-CN"/>
        </w:rPr>
      </w:pPr>
      <w:r>
        <w:rPr>
          <w:rFonts w:hint="eastAsia" w:ascii="Times New Roman" w:hAnsi="Times New Roman" w:cs="Times New Roman"/>
          <w:sz w:val="15"/>
          <w:szCs w:val="15"/>
          <w:lang w:val="en-US" w:eastAsia="zh-CN"/>
        </w:rPr>
        <w:t>4 Flu patients, 4 RSV patients and 6 hMPV patients were coinfected with 2 or more pathogens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15"/>
          <w:szCs w:val="15"/>
          <w:lang w:val="en-US" w:eastAsia="zh-CN"/>
        </w:rPr>
        <w:t xml:space="preserve">Supplementary material </w:t>
      </w:r>
      <w:r>
        <w:rPr>
          <w:rFonts w:hint="eastAsia" w:ascii="Times New Roman" w:hAnsi="Times New Roman" w:cs="Times New Roman"/>
          <w:b/>
          <w:bCs/>
          <w:sz w:val="15"/>
          <w:szCs w:val="15"/>
          <w:lang w:val="en-US" w:eastAsia="zh-CN"/>
        </w:rPr>
        <w:t>3</w:t>
      </w:r>
      <w:r>
        <w:rPr>
          <w:rFonts w:hint="eastAsia" w:ascii="Times New Roman" w:hAnsi="Times New Roman" w:cs="Times New Roman"/>
          <w:sz w:val="15"/>
          <w:szCs w:val="15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15"/>
          <w:szCs w:val="15"/>
          <w:lang w:val="en-US" w:eastAsia="zh-CN"/>
        </w:rPr>
        <w:t>Impact of the three viruses on the clinical outcomes among the total patients</w:t>
      </w:r>
    </w:p>
    <w:tbl>
      <w:tblPr>
        <w:tblStyle w:val="3"/>
        <w:tblpPr w:leftFromText="180" w:rightFromText="180" w:vertAnchor="text" w:horzAnchor="page" w:tblpX="1756" w:tblpY="198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848"/>
        <w:gridCol w:w="1061"/>
        <w:gridCol w:w="1792"/>
        <w:gridCol w:w="831"/>
        <w:gridCol w:w="1753"/>
        <w:gridCol w:w="8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365" w:type="dxa"/>
            <w:vMerge w:val="restart"/>
            <w:vAlign w:val="center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Clinical outcome</w:t>
            </w:r>
          </w:p>
        </w:tc>
        <w:tc>
          <w:tcPr>
            <w:tcW w:w="848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Virus type</w:t>
            </w:r>
          </w:p>
        </w:tc>
        <w:tc>
          <w:tcPr>
            <w:tcW w:w="1061" w:type="dxa"/>
            <w:vMerge w:val="restart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Patients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n</w:t>
            </w:r>
            <w:r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, %)</w:t>
            </w:r>
          </w:p>
        </w:tc>
        <w:tc>
          <w:tcPr>
            <w:tcW w:w="2623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Univariate logistic analysis</w:t>
            </w:r>
          </w:p>
        </w:tc>
        <w:tc>
          <w:tcPr>
            <w:tcW w:w="2625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>Multivariate logistic analysis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136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84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061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179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OR (95% CI)</w:t>
            </w:r>
          </w:p>
        </w:tc>
        <w:tc>
          <w:tcPr>
            <w:tcW w:w="831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value</w:t>
            </w:r>
          </w:p>
        </w:tc>
        <w:tc>
          <w:tcPr>
            <w:tcW w:w="175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*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aOR (95% CI)</w:t>
            </w:r>
          </w:p>
        </w:tc>
        <w:tc>
          <w:tcPr>
            <w:tcW w:w="87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sz w:val="15"/>
                <w:szCs w:val="15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15"/>
                <w:szCs w:val="15"/>
                <w:vertAlign w:val="baseline"/>
                <w:lang w:val="en-US" w:eastAsia="zh-CN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restar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Invasive ventilation</w:t>
            </w:r>
          </w:p>
        </w:tc>
        <w:tc>
          <w:tcPr>
            <w:tcW w:w="848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Flu</w:t>
            </w:r>
          </w:p>
        </w:tc>
        <w:tc>
          <w:tcPr>
            <w:tcW w:w="1061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39/421</w:t>
            </w:r>
          </w:p>
        </w:tc>
        <w:tc>
          <w:tcPr>
            <w:tcW w:w="1792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831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753" w:type="dxa"/>
            <w:tcBorders>
              <w:top w:val="single" w:color="auto" w:sz="4" w:space="0"/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872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84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RSV</w:t>
            </w:r>
          </w:p>
        </w:tc>
        <w:tc>
          <w:tcPr>
            <w:tcW w:w="10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15/92</w:t>
            </w:r>
          </w:p>
        </w:tc>
        <w:tc>
          <w:tcPr>
            <w:tcW w:w="17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1.908 (1.002-3.633)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0.049</w:t>
            </w:r>
          </w:p>
        </w:tc>
        <w:tc>
          <w:tcPr>
            <w:tcW w:w="17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1.553 (0.702-3.436)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0.277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84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hMPV</w:t>
            </w:r>
          </w:p>
        </w:tc>
        <w:tc>
          <w:tcPr>
            <w:tcW w:w="10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17/81</w:t>
            </w:r>
          </w:p>
        </w:tc>
        <w:tc>
          <w:tcPr>
            <w:tcW w:w="17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2.602 (1.388-4.876)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0.003</w:t>
            </w:r>
          </w:p>
        </w:tc>
        <w:tc>
          <w:tcPr>
            <w:tcW w:w="17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1.616 (0.733-3.564)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0.234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ICU admission</w:t>
            </w:r>
          </w:p>
        </w:tc>
        <w:tc>
          <w:tcPr>
            <w:tcW w:w="84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Flu</w:t>
            </w:r>
          </w:p>
        </w:tc>
        <w:tc>
          <w:tcPr>
            <w:tcW w:w="10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45/421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84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RSV</w:t>
            </w:r>
          </w:p>
        </w:tc>
        <w:tc>
          <w:tcPr>
            <w:tcW w:w="10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19/92</w:t>
            </w:r>
          </w:p>
        </w:tc>
        <w:tc>
          <w:tcPr>
            <w:tcW w:w="17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2.175 (1.203-3.931)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0.010</w:t>
            </w:r>
          </w:p>
        </w:tc>
        <w:tc>
          <w:tcPr>
            <w:tcW w:w="17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1.951 (0.949-4.013)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84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hMPV</w:t>
            </w:r>
          </w:p>
        </w:tc>
        <w:tc>
          <w:tcPr>
            <w:tcW w:w="10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20/81</w:t>
            </w:r>
          </w:p>
        </w:tc>
        <w:tc>
          <w:tcPr>
            <w:tcW w:w="17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2.740 (1.515-4.953)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0.001</w:t>
            </w:r>
          </w:p>
        </w:tc>
        <w:tc>
          <w:tcPr>
            <w:tcW w:w="17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1.983 (0.953-4.129)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36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30-day mortality</w:t>
            </w:r>
          </w:p>
        </w:tc>
        <w:tc>
          <w:tcPr>
            <w:tcW w:w="84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Flu</w:t>
            </w:r>
          </w:p>
        </w:tc>
        <w:tc>
          <w:tcPr>
            <w:tcW w:w="10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26/421</w:t>
            </w:r>
          </w:p>
        </w:tc>
        <w:tc>
          <w:tcPr>
            <w:tcW w:w="1792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831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753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i w:val="0"/>
                <w:i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15"/>
                <w:szCs w:val="15"/>
                <w:vertAlign w:val="baseline"/>
                <w:lang w:val="en-US" w:eastAsia="zh-CN"/>
              </w:rPr>
              <w:t>ref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84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RSV</w:t>
            </w:r>
          </w:p>
        </w:tc>
        <w:tc>
          <w:tcPr>
            <w:tcW w:w="10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10/92</w:t>
            </w:r>
          </w:p>
        </w:tc>
        <w:tc>
          <w:tcPr>
            <w:tcW w:w="17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1.853 (0.806-3.990)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0.115</w:t>
            </w:r>
          </w:p>
        </w:tc>
        <w:tc>
          <w:tcPr>
            <w:tcW w:w="17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1.658 (0.665-4.132)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0.278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Merge w:val="continue"/>
            <w:tcBorders>
              <w:tl2br w:val="nil"/>
              <w:tr2bl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848" w:type="dxa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hMPV</w:t>
            </w:r>
          </w:p>
        </w:tc>
        <w:tc>
          <w:tcPr>
            <w:tcW w:w="106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14/81</w:t>
            </w:r>
          </w:p>
        </w:tc>
        <w:tc>
          <w:tcPr>
            <w:tcW w:w="17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3.175 (1.577-6.389)</w:t>
            </w:r>
          </w:p>
        </w:tc>
        <w:tc>
          <w:tcPr>
            <w:tcW w:w="831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0.001</w:t>
            </w:r>
          </w:p>
        </w:tc>
        <w:tc>
          <w:tcPr>
            <w:tcW w:w="175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2.193 (0.914-5.262)</w:t>
            </w:r>
          </w:p>
        </w:tc>
        <w:tc>
          <w:tcPr>
            <w:tcW w:w="87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5"/>
                <w:szCs w:val="15"/>
                <w:vertAlign w:val="baseline"/>
                <w:lang w:val="en-US" w:eastAsia="zh-CN"/>
              </w:rPr>
              <w:t>0.079</w:t>
            </w:r>
          </w:p>
        </w:tc>
      </w:tr>
    </w:tbl>
    <w:p>
      <w:pPr>
        <w:rPr>
          <w:rFonts w:hint="default" w:ascii="Times New Roman" w:hAnsi="Times New Roman" w:cs="Times New Roman"/>
          <w:color w:val="000000"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sz w:val="15"/>
          <w:szCs w:val="15"/>
          <w:lang w:val="en-US" w:eastAsia="zh-CN"/>
        </w:rPr>
        <w:t xml:space="preserve">*: adjusted for age, sex, comorbidities, </w:t>
      </w:r>
      <w:r>
        <w:rPr>
          <w:rFonts w:hint="eastAsia" w:ascii="Times New Roman" w:hAnsi="Times New Roman" w:cs="Times New Roman"/>
          <w:color w:val="000000"/>
          <w:sz w:val="15"/>
          <w:szCs w:val="15"/>
          <w:lang w:val="en-US" w:eastAsia="zh-CN"/>
        </w:rPr>
        <w:t>i</w:t>
      </w:r>
      <w:r>
        <w:rPr>
          <w:rFonts w:hint="default" w:ascii="Times New Roman" w:hAnsi="Times New Roman" w:cs="Times New Roman"/>
          <w:color w:val="000000"/>
          <w:sz w:val="15"/>
          <w:szCs w:val="15"/>
          <w:lang w:val="en-US" w:eastAsia="zh-CN"/>
        </w:rPr>
        <w:t>mmunocompromised status</w:t>
      </w:r>
      <w:r>
        <w:rPr>
          <w:rFonts w:hint="eastAsia" w:ascii="Times New Roman" w:hAnsi="Times New Roman" w:cs="Times New Roman"/>
          <w:color w:val="000000"/>
          <w:sz w:val="15"/>
          <w:szCs w:val="15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color w:val="000000"/>
          <w:sz w:val="15"/>
          <w:szCs w:val="15"/>
          <w:lang w:val="en-US" w:eastAsia="zh-CN"/>
        </w:rPr>
        <w:t>obesity, smoking history, influenza vaccination and early neuraminidase inhibitor therapy in patients with</w:t>
      </w:r>
      <w:r>
        <w:rPr>
          <w:rFonts w:hint="eastAsia" w:ascii="Times New Roman" w:hAnsi="Times New Roman" w:cs="Times New Roman"/>
          <w:color w:val="000000"/>
          <w:sz w:val="15"/>
          <w:szCs w:val="15"/>
          <w:lang w:val="en-US" w:eastAsia="zh-CN"/>
        </w:rPr>
        <w:t xml:space="preserve"> Flu</w:t>
      </w:r>
      <w:r>
        <w:rPr>
          <w:rFonts w:hint="default" w:ascii="Times New Roman" w:hAnsi="Times New Roman" w:cs="Times New Roman"/>
          <w:color w:val="000000"/>
          <w:sz w:val="15"/>
          <w:szCs w:val="15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color w:val="000000"/>
          <w:sz w:val="15"/>
          <w:szCs w:val="15"/>
          <w:lang w:val="en-US" w:eastAsia="zh-CN"/>
        </w:rPr>
        <w:t xml:space="preserve">antibiotics and </w:t>
      </w:r>
      <w:r>
        <w:rPr>
          <w:rFonts w:hint="default" w:ascii="Times New Roman" w:hAnsi="Times New Roman" w:cs="Times New Roman"/>
          <w:color w:val="000000"/>
          <w:sz w:val="15"/>
          <w:szCs w:val="15"/>
          <w:lang w:val="en-US" w:eastAsia="zh-CN"/>
        </w:rPr>
        <w:t>systemic corticosteroids use</w:t>
      </w:r>
      <w:r>
        <w:rPr>
          <w:rFonts w:hint="eastAsia" w:ascii="Times New Roman" w:hAnsi="Times New Roman" w:cs="Times New Roman"/>
          <w:color w:val="000000"/>
          <w:sz w:val="15"/>
          <w:szCs w:val="15"/>
          <w:lang w:val="en-US" w:eastAsia="zh-CN"/>
        </w:rPr>
        <w:t xml:space="preserve"> in hospitalzation</w:t>
      </w:r>
      <w:r>
        <w:rPr>
          <w:rFonts w:hint="default" w:ascii="Times New Roman" w:hAnsi="Times New Roman" w:cs="Times New Roman"/>
          <w:color w:val="000000"/>
          <w:sz w:val="15"/>
          <w:szCs w:val="15"/>
          <w:lang w:val="en-US" w:eastAsia="zh-CN"/>
        </w:rPr>
        <w:t xml:space="preserve"> and coinfections</w:t>
      </w:r>
      <w:r>
        <w:rPr>
          <w:rFonts w:hint="eastAsia" w:ascii="Times New Roman" w:hAnsi="Times New Roman" w:cs="Times New Roman"/>
          <w:color w:val="000000"/>
          <w:sz w:val="15"/>
          <w:szCs w:val="15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i/>
          <w:iCs/>
          <w:color w:val="000000"/>
          <w:sz w:val="15"/>
          <w:szCs w:val="15"/>
          <w:lang w:val="en-US" w:eastAsia="zh-CN"/>
        </w:rPr>
        <w:t>OR</w:t>
      </w:r>
      <w:r>
        <w:rPr>
          <w:rFonts w:hint="eastAsia" w:ascii="Times New Roman" w:hAnsi="Times New Roman" w:cs="Times New Roman"/>
          <w:color w:val="000000"/>
          <w:sz w:val="15"/>
          <w:szCs w:val="15"/>
          <w:lang w:val="en-US" w:eastAsia="zh-CN"/>
        </w:rPr>
        <w:t xml:space="preserve">: odd ratio; </w:t>
      </w:r>
      <w:r>
        <w:rPr>
          <w:rFonts w:hint="eastAsia" w:ascii="Times New Roman" w:hAnsi="Times New Roman" w:cs="Times New Roman"/>
          <w:i/>
          <w:iCs/>
          <w:color w:val="000000"/>
          <w:sz w:val="15"/>
          <w:szCs w:val="15"/>
          <w:lang w:val="en-US" w:eastAsia="zh-CN"/>
        </w:rPr>
        <w:t>CI</w:t>
      </w:r>
      <w:r>
        <w:rPr>
          <w:rFonts w:hint="eastAsia" w:ascii="Times New Roman" w:hAnsi="Times New Roman" w:cs="Times New Roman"/>
          <w:color w:val="000000"/>
          <w:sz w:val="15"/>
          <w:szCs w:val="15"/>
          <w:lang w:val="en-US" w:eastAsia="zh-CN"/>
        </w:rPr>
        <w:t>: confidence interval.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eastAsia" w:ascii="Times New Roman" w:hAnsi="Times New Roman" w:cs="Times New Roman"/>
          <w:sz w:val="15"/>
          <w:szCs w:val="15"/>
          <w:lang w:val="en-US" w:eastAsia="zh-CN"/>
        </w:rPr>
      </w:pPr>
      <w:r>
        <w:rPr>
          <w:rFonts w:hint="eastAsia" w:ascii="Times New Roman" w:hAnsi="Times New Roman" w:cs="Times New Roman"/>
          <w:sz w:val="15"/>
          <w:szCs w:val="15"/>
          <w:lang w:val="en-US" w:eastAsia="zh-CN"/>
        </w:rPr>
        <w:drawing>
          <wp:inline distT="0" distB="0" distL="114300" distR="114300">
            <wp:extent cx="3458845" cy="3409315"/>
            <wp:effectExtent l="0" t="0" r="8255" b="635"/>
            <wp:docPr id="10" name="图片 10" descr="总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总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58845" cy="340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Supplementary Fig 1 Survival curve of patients with the three viruses infection (censored at 30d after admission)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9B142C"/>
    <w:multiLevelType w:val="singleLevel"/>
    <w:tmpl w:val="959B142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629F0"/>
    <w:rsid w:val="045A7D79"/>
    <w:rsid w:val="06B07B0D"/>
    <w:rsid w:val="06E83692"/>
    <w:rsid w:val="081D2AAD"/>
    <w:rsid w:val="08C91D9F"/>
    <w:rsid w:val="1EB627CF"/>
    <w:rsid w:val="25EB60E0"/>
    <w:rsid w:val="31D62D96"/>
    <w:rsid w:val="33EF399F"/>
    <w:rsid w:val="3547408E"/>
    <w:rsid w:val="3C8043BE"/>
    <w:rsid w:val="42DA7EB7"/>
    <w:rsid w:val="4C012297"/>
    <w:rsid w:val="4C1971D4"/>
    <w:rsid w:val="4DF629F0"/>
    <w:rsid w:val="4E8C0845"/>
    <w:rsid w:val="4F7964B0"/>
    <w:rsid w:val="57D42774"/>
    <w:rsid w:val="5A2C5171"/>
    <w:rsid w:val="6CB50AF4"/>
    <w:rsid w:val="6D0B77EC"/>
    <w:rsid w:val="6E0332D2"/>
    <w:rsid w:val="741204DD"/>
    <w:rsid w:val="78C86E7D"/>
    <w:rsid w:val="79A6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2020-08-05T06:40:00Z</dcterms:created>
  <dc:creator>安</dc:creator>
  <cp:lastModifiedBy>安</cp:lastModifiedBy>
  <dcterms:modified xsi:type="dcterms:W3CDTF">2020-09-04T02:43:57Z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