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C6F7" w14:textId="3926E497" w:rsidR="00B752BF" w:rsidRPr="00D93D80" w:rsidRDefault="00FF44F8" w:rsidP="00FF44F8">
      <w:pPr>
        <w:adjustRightInd w:val="0"/>
        <w:snapToGrid w:val="0"/>
        <w:contextualSpacing/>
        <w:rPr>
          <w:rFonts w:ascii="Arial" w:hAnsi="Arial" w:cs="Arial"/>
          <w:b/>
          <w:bCs/>
          <w:color w:val="333333"/>
          <w:lang w:eastAsia="en-US"/>
        </w:rPr>
      </w:pPr>
      <w:r w:rsidRPr="00D93D80">
        <w:rPr>
          <w:rFonts w:ascii="Arial" w:hAnsi="Arial" w:cs="Arial"/>
          <w:b/>
          <w:bCs/>
          <w:color w:val="333333"/>
          <w:lang w:eastAsia="en-US"/>
        </w:rPr>
        <w:t>Supplementary Table</w:t>
      </w:r>
      <w:r w:rsidRPr="00D93D80">
        <w:rPr>
          <w:rFonts w:ascii="Arial" w:hAnsi="Arial" w:cs="Arial"/>
          <w:b/>
          <w:bCs/>
          <w:color w:val="333333"/>
          <w:lang w:eastAsia="en-US"/>
        </w:rPr>
        <w:t xml:space="preserve"> 2</w:t>
      </w:r>
      <w:r w:rsidR="00B752BF" w:rsidRPr="00D93D80">
        <w:rPr>
          <w:rFonts w:ascii="Arial" w:hAnsi="Arial" w:cs="Arial"/>
          <w:b/>
          <w:bCs/>
          <w:color w:val="333333"/>
          <w:lang w:eastAsia="en-US"/>
        </w:rPr>
        <w:t>: the distribution of geographical distribution, health profile, referral sources, and benefit status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6"/>
        <w:gridCol w:w="2684"/>
      </w:tblGrid>
      <w:tr w:rsidR="00B752BF" w:rsidRPr="00D93D80" w14:paraId="21F458BB" w14:textId="77777777" w:rsidTr="00C243D9">
        <w:trPr>
          <w:trHeight w:val="57"/>
        </w:trPr>
        <w:tc>
          <w:tcPr>
            <w:tcW w:w="3566" w:type="pct"/>
            <w:tcBorders>
              <w:bottom w:val="single" w:sz="4" w:space="0" w:color="auto"/>
            </w:tcBorders>
          </w:tcPr>
          <w:p w14:paraId="0134CB6C" w14:textId="77777777" w:rsidR="00B752BF" w:rsidRPr="00D93D80" w:rsidRDefault="00B752BF" w:rsidP="000E008C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rtl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Variable (N=2,517)</w:t>
            </w:r>
          </w:p>
        </w:tc>
        <w:tc>
          <w:tcPr>
            <w:tcW w:w="1434" w:type="pct"/>
            <w:tcBorders>
              <w:bottom w:val="single" w:sz="4" w:space="0" w:color="auto"/>
            </w:tcBorders>
          </w:tcPr>
          <w:p w14:paraId="616CB1F8" w14:textId="77777777" w:rsidR="00B752BF" w:rsidRPr="00D93D80" w:rsidRDefault="00B752BF" w:rsidP="000E008C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Frequency (Percentage)</w:t>
            </w:r>
          </w:p>
        </w:tc>
      </w:tr>
      <w:tr w:rsidR="00B752BF" w:rsidRPr="00D93D80" w14:paraId="3A0C5C5E" w14:textId="77777777" w:rsidTr="00C243D9">
        <w:trPr>
          <w:trHeight w:val="57"/>
        </w:trPr>
        <w:tc>
          <w:tcPr>
            <w:tcW w:w="5000" w:type="pct"/>
            <w:gridSpan w:val="2"/>
            <w:tcBorders>
              <w:bottom w:val="nil"/>
            </w:tcBorders>
            <w:hideMark/>
          </w:tcPr>
          <w:p w14:paraId="35FCB083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Office or Area</w:t>
            </w:r>
          </w:p>
        </w:tc>
      </w:tr>
      <w:tr w:rsidR="00B752BF" w:rsidRPr="00D93D80" w14:paraId="49184BFE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74066A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CADF838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990</w:t>
            </w:r>
          </w:p>
        </w:tc>
      </w:tr>
      <w:tr w:rsidR="00B752BF" w:rsidRPr="00D93D80" w14:paraId="432E06F1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4282C56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Barrow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5439A9A5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 (0.1%)</w:t>
            </w:r>
          </w:p>
        </w:tc>
      </w:tr>
      <w:tr w:rsidR="00B752BF" w:rsidRPr="00D93D80" w14:paraId="6C9E8DD4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57CD29E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Blackburn/Darwen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74CCB73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121 (7.9%)</w:t>
            </w:r>
          </w:p>
        </w:tc>
      </w:tr>
      <w:tr w:rsidR="00B752BF" w:rsidRPr="00D93D80" w14:paraId="01F5FABC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19B3E2CC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Croydon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25106B6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38 (2.5%)</w:t>
            </w:r>
          </w:p>
        </w:tc>
      </w:tr>
      <w:tr w:rsidR="00B752BF" w:rsidRPr="00D93D80" w14:paraId="5E2CB576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54A0B25F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East London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33E7C992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17 (1.1%)</w:t>
            </w:r>
          </w:p>
        </w:tc>
      </w:tr>
      <w:tr w:rsidR="00B752BF" w:rsidRPr="00D93D80" w14:paraId="0AF836F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743A5E6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Falkirk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7E43D2BA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7 (0.5%)</w:t>
            </w:r>
          </w:p>
        </w:tc>
      </w:tr>
      <w:tr w:rsidR="00B752BF" w:rsidRPr="00D93D80" w14:paraId="56984A32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F614BEA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Gosport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2AA33F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35 (2.3%)</w:t>
            </w:r>
          </w:p>
        </w:tc>
      </w:tr>
      <w:tr w:rsidR="00B752BF" w:rsidRPr="00D93D80" w14:paraId="4C937360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B63343D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Grimsby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17D7CB0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154 (10.1%)</w:t>
            </w:r>
          </w:p>
        </w:tc>
      </w:tr>
      <w:tr w:rsidR="00B752BF" w:rsidRPr="00D93D80" w14:paraId="409F8A6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FBE0271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Halifax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770775A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6 (0.4%)</w:t>
            </w:r>
          </w:p>
        </w:tc>
      </w:tr>
      <w:tr w:rsidR="00B752BF" w:rsidRPr="00D93D80" w14:paraId="69975803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38DF2BA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Huddersfield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37A5AAD4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8 (0.5%)</w:t>
            </w:r>
          </w:p>
        </w:tc>
      </w:tr>
      <w:tr w:rsidR="00B752BF" w:rsidRPr="00D93D80" w14:paraId="3D21400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E18527D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Hull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362178BA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10 (0.7%)</w:t>
            </w:r>
          </w:p>
        </w:tc>
      </w:tr>
      <w:tr w:rsidR="00B752BF" w:rsidRPr="00D93D80" w14:paraId="17D02B9D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3FA218D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Leeds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89F06AE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208 (13.6%)</w:t>
            </w:r>
          </w:p>
        </w:tc>
      </w:tr>
      <w:tr w:rsidR="00B752BF" w:rsidRPr="00D93D80" w14:paraId="22F827A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825D6D1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Newport, Gwent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EAECCEB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13 (0.9%)</w:t>
            </w:r>
          </w:p>
        </w:tc>
      </w:tr>
      <w:tr w:rsidR="00B752BF" w:rsidRPr="00D93D80" w14:paraId="3FCB1EA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5168BDC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Newport, </w:t>
            </w:r>
            <w:proofErr w:type="gramStart"/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South East</w:t>
            </w:r>
            <w:proofErr w:type="gramEnd"/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 Wales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D004E5C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 (0.1%)</w:t>
            </w:r>
          </w:p>
        </w:tc>
      </w:tr>
      <w:tr w:rsidR="00B752BF" w:rsidRPr="00D93D80" w14:paraId="08669B06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E63B0A0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Northumberland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17BE0AA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236 (15.5%)</w:t>
            </w:r>
          </w:p>
        </w:tc>
      </w:tr>
      <w:tr w:rsidR="00B752BF" w:rsidRPr="00D93D80" w14:paraId="378BBF45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355F0AC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Portsmouth / Havant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2FEE45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181 (11.9%)</w:t>
            </w:r>
          </w:p>
        </w:tc>
      </w:tr>
      <w:tr w:rsidR="00B752BF" w:rsidRPr="00D93D80" w14:paraId="32C4FAC5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7357ABC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Rawtenstall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29B22869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5 (0.3%)</w:t>
            </w:r>
          </w:p>
        </w:tc>
      </w:tr>
      <w:tr w:rsidR="00B752BF" w:rsidRPr="00D93D80" w14:paraId="4C0C7239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9D51B00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Rochdale &amp; Oldham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F79BB2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256 (16.8%)</w:t>
            </w:r>
          </w:p>
        </w:tc>
      </w:tr>
      <w:tr w:rsidR="00B752BF" w:rsidRPr="00D93D80" w14:paraId="3542ED43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1486C60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Slough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1166F14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25 (1.6%)</w:t>
            </w:r>
          </w:p>
        </w:tc>
      </w:tr>
      <w:tr w:rsidR="00B752BF" w:rsidRPr="00D93D80" w14:paraId="0F763148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394ED38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South London (ex. Croydon)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35D5AE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20 (1.3%)</w:t>
            </w:r>
          </w:p>
        </w:tc>
      </w:tr>
      <w:tr w:rsidR="00B752BF" w:rsidRPr="00D93D80" w14:paraId="7E667584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44D624F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Sunderland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7C151A8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5 (0.3%)</w:t>
            </w:r>
          </w:p>
        </w:tc>
      </w:tr>
      <w:tr w:rsidR="00B752BF" w:rsidRPr="00D93D80" w14:paraId="160F9B6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3BB740D7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Tameside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03F439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 (0.2%)</w:t>
            </w:r>
          </w:p>
        </w:tc>
      </w:tr>
      <w:tr w:rsidR="00B752BF" w:rsidRPr="00D93D80" w14:paraId="3EC43BB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FCA22E0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Trafford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38A8CCC4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48 (3.1%)</w:t>
            </w:r>
          </w:p>
        </w:tc>
      </w:tr>
      <w:tr w:rsidR="00B752BF" w:rsidRPr="00D93D80" w14:paraId="33C29848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933C462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West London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2201A278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79 (5.2%)</w:t>
            </w:r>
          </w:p>
        </w:tc>
      </w:tr>
      <w:tr w:rsidR="00B752BF" w:rsidRPr="00D93D80" w14:paraId="4369921D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B58CEF5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Wigan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29086DD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12 (0.8%)</w:t>
            </w:r>
          </w:p>
        </w:tc>
      </w:tr>
      <w:tr w:rsidR="00B752BF" w:rsidRPr="00D93D80" w14:paraId="70FF6A5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4173C4D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York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A7120A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37 (2.4%)</w:t>
            </w:r>
          </w:p>
        </w:tc>
      </w:tr>
      <w:tr w:rsidR="00B752BF" w:rsidRPr="00D93D80" w14:paraId="45F661C7" w14:textId="77777777" w:rsidTr="00C243D9">
        <w:trPr>
          <w:trHeight w:val="57"/>
        </w:trPr>
        <w:tc>
          <w:tcPr>
            <w:tcW w:w="5000" w:type="pct"/>
            <w:gridSpan w:val="2"/>
            <w:tcBorders>
              <w:top w:val="nil"/>
              <w:bottom w:val="nil"/>
            </w:tcBorders>
            <w:hideMark/>
          </w:tcPr>
          <w:p w14:paraId="11A0194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Patient's health condition</w:t>
            </w:r>
          </w:p>
        </w:tc>
      </w:tr>
      <w:tr w:rsidR="00B752BF" w:rsidRPr="00D93D80" w14:paraId="63B6648F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1811F6D9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437975C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863</w:t>
            </w:r>
          </w:p>
        </w:tc>
      </w:tr>
      <w:tr w:rsidR="00B752BF" w:rsidRPr="00D93D80" w14:paraId="255B955D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73CAE5E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Mental health condition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1DFA45FC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725 (43.8%)</w:t>
            </w:r>
          </w:p>
        </w:tc>
      </w:tr>
      <w:tr w:rsidR="00B752BF" w:rsidRPr="00D93D80" w14:paraId="433D57CF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57DC8D5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Physical health condition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58E682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346 (20.9%)</w:t>
            </w:r>
          </w:p>
        </w:tc>
      </w:tr>
      <w:tr w:rsidR="00B752BF" w:rsidRPr="00D93D80" w14:paraId="37D3CC53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35E8548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Both physical and mental health conditions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C2BCFE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541 (32.7%)</w:t>
            </w:r>
          </w:p>
        </w:tc>
      </w:tr>
      <w:tr w:rsidR="00B752BF" w:rsidRPr="00D93D80" w14:paraId="546FE61E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53526C49" w14:textId="77777777" w:rsidR="00B752BF" w:rsidRPr="00D93D80" w:rsidRDefault="00B752BF" w:rsidP="000E008C">
            <w:pPr>
              <w:adjustRightInd w:val="0"/>
              <w:snapToGrid w:val="0"/>
              <w:ind w:left="43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Prefer not to say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1C110816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42 (2.5%)</w:t>
            </w:r>
          </w:p>
        </w:tc>
      </w:tr>
      <w:tr w:rsidR="00B752BF" w:rsidRPr="00D93D80" w14:paraId="15BCDD4C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3DBFA9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Referral source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929701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</w:p>
        </w:tc>
      </w:tr>
      <w:tr w:rsidR="00B752BF" w:rsidRPr="00D93D80" w14:paraId="10B4A030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9826B07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B50AAC8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5</w:t>
            </w:r>
          </w:p>
        </w:tc>
      </w:tr>
      <w:tr w:rsidR="00B752BF" w:rsidRPr="00D93D80" w14:paraId="072BA3C2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7C7209B5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GP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3DEB4E67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1337 (53.2%)</w:t>
            </w:r>
          </w:p>
        </w:tc>
      </w:tr>
      <w:tr w:rsidR="00B752BF" w:rsidRPr="00D93D80" w14:paraId="2FBBB40E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3035F0E4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Hospital clinic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20672323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54 (2.1%)</w:t>
            </w:r>
          </w:p>
        </w:tc>
      </w:tr>
      <w:tr w:rsidR="00B752BF" w:rsidRPr="00D93D80" w14:paraId="7EA23EF4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EF75BB8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 xml:space="preserve">JCP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02868B7F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112 (4.5%)</w:t>
            </w:r>
          </w:p>
        </w:tc>
      </w:tr>
      <w:tr w:rsidR="00B752BF" w:rsidRPr="00D93D80" w14:paraId="7B498C9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31562336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Nurse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50918FE1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93 (3.7%)</w:t>
            </w:r>
          </w:p>
        </w:tc>
      </w:tr>
      <w:tr w:rsidR="00B752BF" w:rsidRPr="00D93D80" w14:paraId="4514D80F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FA38599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proofErr w:type="spellStart"/>
            <w:r w:rsidRPr="00D93D80">
              <w:rPr>
                <w:rFonts w:ascii="Arial" w:hAnsi="Arial" w:cs="Arial"/>
                <w:color w:val="000000" w:themeColor="text1"/>
              </w:rPr>
              <w:t>Self Referral</w:t>
            </w:r>
            <w:proofErr w:type="spellEnd"/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F492B74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200 (8.0%)</w:t>
            </w:r>
          </w:p>
        </w:tc>
      </w:tr>
      <w:tr w:rsidR="00B752BF" w:rsidRPr="00D93D80" w14:paraId="3AEA6298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4BB185E6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Social Prescriber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46AA936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408 (16.2%)</w:t>
            </w:r>
          </w:p>
        </w:tc>
      </w:tr>
      <w:tr w:rsidR="00B752BF" w:rsidRPr="00D93D80" w14:paraId="534C7EA0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</w:tcPr>
          <w:p w14:paraId="4CD5434D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Other practice staff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2C83B1E6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308 (12.3%)</w:t>
            </w:r>
          </w:p>
        </w:tc>
      </w:tr>
      <w:tr w:rsidR="00B752BF" w:rsidRPr="00D93D80" w14:paraId="4FA91988" w14:textId="77777777" w:rsidTr="00C243D9">
        <w:trPr>
          <w:trHeight w:val="57"/>
        </w:trPr>
        <w:tc>
          <w:tcPr>
            <w:tcW w:w="5000" w:type="pct"/>
            <w:gridSpan w:val="2"/>
            <w:tcBorders>
              <w:top w:val="nil"/>
              <w:bottom w:val="nil"/>
            </w:tcBorders>
            <w:hideMark/>
          </w:tcPr>
          <w:p w14:paraId="38A29133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UC customer category</w:t>
            </w:r>
          </w:p>
        </w:tc>
      </w:tr>
      <w:tr w:rsidR="00B752BF" w:rsidRPr="00D93D80" w14:paraId="23E3F42E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545659A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lastRenderedPageBreak/>
              <w:t xml:space="preserve">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2578DB3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1561</w:t>
            </w:r>
          </w:p>
        </w:tc>
      </w:tr>
      <w:tr w:rsidR="00B752BF" w:rsidRPr="00D93D80" w14:paraId="45ACD398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7B1B4EC4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LCW - Work Prep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1A9AF09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101 (10.6%)</w:t>
            </w:r>
          </w:p>
        </w:tc>
      </w:tr>
      <w:tr w:rsidR="00B752BF" w:rsidRPr="00D93D80" w14:paraId="180F5EA6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123E5A91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LCWRA - No work-related group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D25392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162 (16.9%)</w:t>
            </w:r>
          </w:p>
        </w:tc>
      </w:tr>
      <w:tr w:rsidR="00B752BF" w:rsidRPr="00D93D80" w14:paraId="21CC3CC9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20AEBDFB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Pre-Work Capability Assessment - IWS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ABAF815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406 (42.5%)</w:t>
            </w:r>
          </w:p>
        </w:tc>
      </w:tr>
      <w:tr w:rsidR="00B752BF" w:rsidRPr="00D93D80" w14:paraId="53DB75EC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</w:tcPr>
          <w:p w14:paraId="3344A7DD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None of the above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6BE88FA4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287 (30.0%)</w:t>
            </w:r>
          </w:p>
        </w:tc>
      </w:tr>
      <w:tr w:rsidR="00B752BF" w:rsidRPr="00D93D80" w14:paraId="4B0DB63F" w14:textId="77777777" w:rsidTr="00C243D9">
        <w:trPr>
          <w:trHeight w:val="57"/>
        </w:trPr>
        <w:tc>
          <w:tcPr>
            <w:tcW w:w="5000" w:type="pct"/>
            <w:gridSpan w:val="2"/>
            <w:tcBorders>
              <w:top w:val="nil"/>
              <w:bottom w:val="nil"/>
            </w:tcBorders>
            <w:hideMark/>
          </w:tcPr>
          <w:p w14:paraId="2547B594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highlight w:val="green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The patient receives personal independence payment or adult disability payment</w:t>
            </w:r>
          </w:p>
        </w:tc>
      </w:tr>
      <w:tr w:rsidR="00B752BF" w:rsidRPr="00D93D80" w14:paraId="05E37CF4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81573AA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1A03265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1,434</w:t>
            </w:r>
          </w:p>
        </w:tc>
      </w:tr>
      <w:tr w:rsidR="00B752BF" w:rsidRPr="00D93D80" w14:paraId="24D4A98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33D54D7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2EC786C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762 (70.4%)</w:t>
            </w:r>
          </w:p>
        </w:tc>
      </w:tr>
      <w:tr w:rsidR="00B752BF" w:rsidRPr="00D93D80" w14:paraId="05F49C52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D790FF7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Yes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786641BB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321 (29.6%)</w:t>
            </w:r>
          </w:p>
        </w:tc>
      </w:tr>
      <w:tr w:rsidR="00B752BF" w:rsidRPr="00D93D80" w14:paraId="526ED64E" w14:textId="77777777" w:rsidTr="00C243D9">
        <w:trPr>
          <w:trHeight w:val="57"/>
        </w:trPr>
        <w:tc>
          <w:tcPr>
            <w:tcW w:w="5000" w:type="pct"/>
            <w:gridSpan w:val="2"/>
            <w:tcBorders>
              <w:top w:val="nil"/>
              <w:bottom w:val="nil"/>
            </w:tcBorders>
            <w:hideMark/>
          </w:tcPr>
          <w:p w14:paraId="141DB329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Appropriateness of the referral to Occupational Health professionals</w:t>
            </w:r>
          </w:p>
        </w:tc>
      </w:tr>
      <w:tr w:rsidR="00B752BF" w:rsidRPr="00D93D80" w14:paraId="1114E7ED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12040D6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N-Miss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4D6404B1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1,877</w:t>
            </w:r>
          </w:p>
        </w:tc>
      </w:tr>
      <w:tr w:rsidR="00B752BF" w:rsidRPr="00D93D80" w14:paraId="49C57F1B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6A122412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No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54FEB07D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604 (94.4%)</w:t>
            </w:r>
          </w:p>
        </w:tc>
      </w:tr>
      <w:tr w:rsidR="00B752BF" w:rsidRPr="00D93D80" w14:paraId="5C712539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38AA0487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Yes </w:t>
            </w:r>
          </w:p>
        </w:tc>
        <w:tc>
          <w:tcPr>
            <w:tcW w:w="1434" w:type="pct"/>
            <w:tcBorders>
              <w:top w:val="nil"/>
              <w:bottom w:val="nil"/>
            </w:tcBorders>
            <w:hideMark/>
          </w:tcPr>
          <w:p w14:paraId="6D7C8116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</w:rPr>
              <w:t>36 (5.6%)</w:t>
            </w:r>
          </w:p>
        </w:tc>
      </w:tr>
      <w:tr w:rsidR="00B752BF" w:rsidRPr="00D93D80" w14:paraId="57D7A2AB" w14:textId="77777777" w:rsidTr="00C243D9">
        <w:trPr>
          <w:trHeight w:val="57"/>
        </w:trPr>
        <w:tc>
          <w:tcPr>
            <w:tcW w:w="5000" w:type="pct"/>
            <w:gridSpan w:val="2"/>
            <w:tcBorders>
              <w:top w:val="nil"/>
              <w:bottom w:val="nil"/>
            </w:tcBorders>
            <w:hideMark/>
          </w:tcPr>
          <w:p w14:paraId="7BADDBD6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 xml:space="preserve">Does the patient receive any of the following </w:t>
            </w:r>
            <w:proofErr w:type="gramStart"/>
            <w:r w:rsidRPr="00D93D80">
              <w:rPr>
                <w:rFonts w:ascii="Arial" w:hAnsi="Arial" w:cs="Arial"/>
                <w:b/>
                <w:bCs/>
                <w:color w:val="000000" w:themeColor="text1"/>
                <w:lang w:eastAsia="en-US"/>
              </w:rPr>
              <w:t>benefits?*</w:t>
            </w:r>
            <w:proofErr w:type="gramEnd"/>
          </w:p>
        </w:tc>
      </w:tr>
      <w:tr w:rsidR="00B752BF" w:rsidRPr="00D93D80" w14:paraId="2AFE78C6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68852C4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Employment and Support Allowance - including New Style 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36DBD81C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172 (6.8%)</w:t>
            </w:r>
          </w:p>
        </w:tc>
      </w:tr>
      <w:tr w:rsidR="00B752BF" w:rsidRPr="00D93D80" w14:paraId="080A2953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7F6C0C28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Income Support 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6F1B5EA1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14 (0.6%)</w:t>
            </w:r>
          </w:p>
        </w:tc>
      </w:tr>
      <w:tr w:rsidR="00B752BF" w:rsidRPr="00D93D80" w14:paraId="76E97F76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08DFF8BF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Job Seekers Allowance -including New Style 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13567595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14 (0.6%)</w:t>
            </w:r>
          </w:p>
        </w:tc>
      </w:tr>
      <w:tr w:rsidR="00B752BF" w:rsidRPr="00D93D80" w14:paraId="64D8C5F7" w14:textId="77777777" w:rsidTr="00C243D9">
        <w:trPr>
          <w:trHeight w:val="57"/>
        </w:trPr>
        <w:tc>
          <w:tcPr>
            <w:tcW w:w="3566" w:type="pct"/>
            <w:tcBorders>
              <w:top w:val="nil"/>
              <w:bottom w:val="nil"/>
            </w:tcBorders>
            <w:hideMark/>
          </w:tcPr>
          <w:p w14:paraId="76CBC3C1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 xml:space="preserve">   Universal Credit </w:t>
            </w:r>
          </w:p>
        </w:tc>
        <w:tc>
          <w:tcPr>
            <w:tcW w:w="1434" w:type="pct"/>
            <w:tcBorders>
              <w:top w:val="nil"/>
              <w:bottom w:val="nil"/>
            </w:tcBorders>
          </w:tcPr>
          <w:p w14:paraId="0221C6EB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1385 (55.0%)</w:t>
            </w:r>
          </w:p>
        </w:tc>
      </w:tr>
      <w:tr w:rsidR="00B752BF" w:rsidRPr="00D93D80" w14:paraId="63018509" w14:textId="77777777" w:rsidTr="00C243D9">
        <w:trPr>
          <w:trHeight w:val="57"/>
        </w:trPr>
        <w:tc>
          <w:tcPr>
            <w:tcW w:w="3566" w:type="pct"/>
            <w:tcBorders>
              <w:top w:val="nil"/>
            </w:tcBorders>
            <w:hideMark/>
          </w:tcPr>
          <w:p w14:paraId="6B2F6F18" w14:textId="77777777" w:rsidR="00B752BF" w:rsidRPr="00D93D80" w:rsidRDefault="00B752BF" w:rsidP="000E008C">
            <w:pPr>
              <w:adjustRightInd w:val="0"/>
              <w:snapToGrid w:val="0"/>
              <w:ind w:left="838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   Personal Independence Payment or Adult Disability Payment</w:t>
            </w:r>
          </w:p>
        </w:tc>
        <w:tc>
          <w:tcPr>
            <w:tcW w:w="1434" w:type="pct"/>
            <w:tcBorders>
              <w:top w:val="nil"/>
            </w:tcBorders>
          </w:tcPr>
          <w:p w14:paraId="15C5DED0" w14:textId="77777777" w:rsidR="00B752BF" w:rsidRPr="00D93D80" w:rsidRDefault="00B752BF" w:rsidP="000E008C">
            <w:pPr>
              <w:adjustRightInd w:val="0"/>
              <w:snapToGrid w:val="0"/>
              <w:contextualSpacing/>
              <w:rPr>
                <w:rFonts w:ascii="Arial" w:hAnsi="Arial" w:cs="Arial"/>
                <w:color w:val="000000" w:themeColor="text1"/>
                <w:lang w:eastAsia="en-US"/>
              </w:rPr>
            </w:pPr>
            <w:r w:rsidRPr="00D93D80">
              <w:rPr>
                <w:rFonts w:ascii="Arial" w:hAnsi="Arial" w:cs="Arial"/>
                <w:color w:val="000000" w:themeColor="text1"/>
                <w:lang w:eastAsia="en-US"/>
              </w:rPr>
              <w:t>112 (4.4%)</w:t>
            </w:r>
          </w:p>
        </w:tc>
      </w:tr>
    </w:tbl>
    <w:p w14:paraId="4C59A24E" w14:textId="77777777" w:rsidR="00B752BF" w:rsidRPr="00D93D80" w:rsidRDefault="00B752BF" w:rsidP="00B752BF">
      <w:pPr>
        <w:adjustRightInd w:val="0"/>
        <w:snapToGrid w:val="0"/>
        <w:contextualSpacing/>
        <w:jc w:val="both"/>
        <w:rPr>
          <w:rFonts w:ascii="Arial" w:hAnsi="Arial" w:cs="Arial"/>
        </w:rPr>
      </w:pPr>
    </w:p>
    <w:p w14:paraId="58C05C48" w14:textId="77777777" w:rsidR="009124CA" w:rsidRPr="00D93D80" w:rsidRDefault="009124CA"/>
    <w:sectPr w:rsidR="009124CA" w:rsidRPr="00D93D80" w:rsidSect="00D87B8B">
      <w:pgSz w:w="12240" w:h="15840"/>
      <w:pgMar w:top="1440" w:right="1440" w:bottom="119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E8F"/>
    <w:rsid w:val="001174E2"/>
    <w:rsid w:val="003B778A"/>
    <w:rsid w:val="003E0224"/>
    <w:rsid w:val="004A1F2D"/>
    <w:rsid w:val="009124CA"/>
    <w:rsid w:val="00A04E8F"/>
    <w:rsid w:val="00B752BF"/>
    <w:rsid w:val="00C243D9"/>
    <w:rsid w:val="00CF1DE8"/>
    <w:rsid w:val="00D87B8B"/>
    <w:rsid w:val="00D93D80"/>
    <w:rsid w:val="00FC5578"/>
    <w:rsid w:val="00FF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14E09"/>
  <w15:chartTrackingRefBased/>
  <w15:docId w15:val="{05E8CB53-2A8F-4506-8E22-0D2E6905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2B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4E8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E8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E8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E8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E8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E8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E8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E8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E8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E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E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E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E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E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E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E8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4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E8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4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E8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4E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E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E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E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52B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Altalib, Sami S A</dc:creator>
  <cp:keywords/>
  <dc:description/>
  <cp:lastModifiedBy>Altalib, Sami S A</cp:lastModifiedBy>
  <cp:revision>5</cp:revision>
  <dcterms:created xsi:type="dcterms:W3CDTF">2025-12-11T09:04:00Z</dcterms:created>
  <dcterms:modified xsi:type="dcterms:W3CDTF">2025-12-11T09:12:00Z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86559b0a-57ee-43fc-a173-2baea276a785</vt:lpwstr>
  </property>
</Properties>
</file>