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AD5DD" w14:textId="77777777" w:rsidR="007A1819" w:rsidRPr="00034171" w:rsidRDefault="007A1819" w:rsidP="007A1819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bCs/>
          <w:iCs/>
          <w:color w:val="000000" w:themeColor="text1"/>
          <w:sz w:val="28"/>
          <w:szCs w:val="28"/>
        </w:rPr>
        <w:t>Supplementary Information for:</w:t>
      </w:r>
    </w:p>
    <w:p w14:paraId="6C2B3AC7" w14:textId="77777777" w:rsidR="007A1819" w:rsidRPr="00034171" w:rsidRDefault="007A1819" w:rsidP="007A1819">
      <w:pPr>
        <w:spacing w:line="360" w:lineRule="auto"/>
        <w:rPr>
          <w:rFonts w:ascii="Arial" w:hAnsi="Arial" w:cs="Arial"/>
          <w:color w:val="000000" w:themeColor="text1"/>
        </w:rPr>
      </w:pPr>
    </w:p>
    <w:p w14:paraId="517AC6AD" w14:textId="77777777" w:rsidR="007A1819" w:rsidRPr="00034171" w:rsidRDefault="007A1819" w:rsidP="007A1819">
      <w:pPr>
        <w:spacing w:line="360" w:lineRule="auto"/>
        <w:rPr>
          <w:rFonts w:ascii="Arial" w:hAnsi="Arial" w:cs="Arial"/>
          <w:color w:val="000000" w:themeColor="text1"/>
        </w:rPr>
      </w:pPr>
    </w:p>
    <w:p w14:paraId="6E24AFBD" w14:textId="77777777" w:rsidR="007A1819" w:rsidRPr="00034171" w:rsidRDefault="007A1819" w:rsidP="007A1819">
      <w:pPr>
        <w:spacing w:line="360" w:lineRule="auto"/>
        <w:rPr>
          <w:rFonts w:ascii="Arial" w:hAnsi="Arial" w:cs="Arial"/>
          <w:color w:val="000000" w:themeColor="text1"/>
        </w:rPr>
      </w:pPr>
    </w:p>
    <w:p w14:paraId="1076DE26" w14:textId="77777777" w:rsidR="007A1819" w:rsidRPr="00034171" w:rsidRDefault="007A1819" w:rsidP="007A1819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lang w:eastAsia="ko-KR"/>
        </w:rPr>
      </w:pPr>
      <w:r w:rsidRPr="00034171">
        <w:rPr>
          <w:rFonts w:ascii="Arial" w:hAnsi="Arial" w:cs="Arial"/>
          <w:b/>
          <w:bCs/>
          <w:color w:val="000000" w:themeColor="text1"/>
          <w:sz w:val="32"/>
          <w:szCs w:val="32"/>
        </w:rPr>
        <w:t>The importance of dynamic cell-cell adhesions in the sorting of multicellular structures</w:t>
      </w:r>
    </w:p>
    <w:p w14:paraId="3B350E47" w14:textId="77777777" w:rsidR="007A1819" w:rsidRPr="00034171" w:rsidRDefault="007A1819" w:rsidP="007A1819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lang w:eastAsia="ko-KR"/>
        </w:rPr>
      </w:pPr>
    </w:p>
    <w:p w14:paraId="7D7195A7" w14:textId="77777777" w:rsidR="007A1819" w:rsidRPr="00034171" w:rsidRDefault="007A1819" w:rsidP="007A1819">
      <w:pPr>
        <w:spacing w:line="360" w:lineRule="auto"/>
        <w:rPr>
          <w:rFonts w:ascii="Arial" w:hAnsi="Arial" w:cs="Arial"/>
          <w:color w:val="000000" w:themeColor="text1"/>
        </w:rPr>
      </w:pPr>
    </w:p>
    <w:p w14:paraId="09871C09" w14:textId="77777777" w:rsidR="007A1819" w:rsidRPr="00034171" w:rsidRDefault="007A1819" w:rsidP="007A1819">
      <w:pPr>
        <w:spacing w:line="360" w:lineRule="auto"/>
        <w:rPr>
          <w:rFonts w:ascii="Arial" w:hAnsi="Arial" w:cs="Arial"/>
          <w:color w:val="000000" w:themeColor="text1"/>
        </w:rPr>
      </w:pPr>
    </w:p>
    <w:p w14:paraId="1F4B3C32" w14:textId="77777777" w:rsidR="007A1819" w:rsidRPr="00034171" w:rsidRDefault="007A1819" w:rsidP="007A1819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 w:rsidRPr="00034171">
        <w:rPr>
          <w:rFonts w:ascii="Arial" w:hAnsi="Arial" w:cs="Arial"/>
          <w:b/>
          <w:bCs/>
          <w:color w:val="000000" w:themeColor="text1"/>
        </w:rPr>
        <w:t>Description of additional supplementary data</w:t>
      </w:r>
    </w:p>
    <w:p w14:paraId="2451031D" w14:textId="77777777" w:rsidR="007A1819" w:rsidRPr="00034171" w:rsidRDefault="007A1819" w:rsidP="007A1819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color w:val="000000" w:themeColor="text1"/>
        </w:rPr>
      </w:pPr>
      <w:r w:rsidRPr="00034171">
        <w:rPr>
          <w:rFonts w:ascii="Arial" w:hAnsi="Arial" w:cs="Arial"/>
          <w:color w:val="000000" w:themeColor="text1"/>
        </w:rPr>
        <w:t>Supplementary Figure 1-6</w:t>
      </w:r>
    </w:p>
    <w:p w14:paraId="52F124CF" w14:textId="77777777" w:rsidR="007A1819" w:rsidRPr="00034171" w:rsidRDefault="007A1819" w:rsidP="007A1819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  <w:iCs/>
          <w:color w:val="000000" w:themeColor="text1"/>
          <w:sz w:val="28"/>
          <w:szCs w:val="28"/>
        </w:rPr>
      </w:pPr>
      <w:r w:rsidRPr="00034171">
        <w:rPr>
          <w:rFonts w:ascii="Arial" w:hAnsi="Arial" w:cs="Arial"/>
          <w:color w:val="000000" w:themeColor="text1"/>
        </w:rPr>
        <w:t>Supplementary Code 1-2</w:t>
      </w:r>
      <w:r w:rsidRPr="00034171">
        <w:rPr>
          <w:rFonts w:ascii="Arial" w:hAnsi="Arial" w:cs="Arial"/>
          <w:b/>
          <w:bCs/>
          <w:color w:val="000000" w:themeColor="text1"/>
        </w:rPr>
        <w:br w:type="page"/>
      </w:r>
      <w:r w:rsidRPr="00034171">
        <w:rPr>
          <w:rFonts w:ascii="Arial" w:hAnsi="Arial" w:cs="Arial"/>
          <w:b/>
          <w:bCs/>
          <w:iCs/>
          <w:color w:val="000000" w:themeColor="text1"/>
          <w:sz w:val="28"/>
          <w:szCs w:val="28"/>
        </w:rPr>
        <w:lastRenderedPageBreak/>
        <w:t>Supplementary Information for:</w:t>
      </w:r>
    </w:p>
    <w:p w14:paraId="081DF8A9" w14:textId="77777777" w:rsidR="007A1819" w:rsidRPr="00034171" w:rsidRDefault="007A1819" w:rsidP="007A1819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bCs/>
          <w:color w:val="000000" w:themeColor="text1"/>
          <w:lang w:val="en-GB" w:eastAsia="ko-KR"/>
        </w:rPr>
        <w:t>Supplementary figure</w:t>
      </w:r>
    </w:p>
    <w:p w14:paraId="00D92E9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noProof/>
          <w:color w:val="000000" w:themeColor="text1"/>
          <w:lang w:eastAsia="ko-KR"/>
        </w:rPr>
        <w:drawing>
          <wp:inline distT="0" distB="0" distL="0" distR="0" wp14:anchorId="396A7204" wp14:editId="43A4D81F">
            <wp:extent cx="5876925" cy="3048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0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DDC787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b/>
          <w:color w:val="000000" w:themeColor="text1"/>
          <w:lang w:eastAsia="ko-KR"/>
        </w:rPr>
        <w:t>Supplementary Figure 1.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 xml:space="preserve">Quantification of VVDHigh-PM expression on stable cell lines by using flow cytometry and immunostaining. 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Cells were stained with Mouse anti-Myc-tag monoclonal antibody (primary) and Goat Alexa Flour 488 anti-mouse antibody (secondary) to detect the Myc-tag fused to the VVDHigh-PM construct. The expression levels were analyzed by flow cytometry.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(a)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MDA-VVDHigh^High cells (blue curve) and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(b)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MDA-VVDHigh^Low cells (blue curve), compared to MDA cells (red curve).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(c)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The number of VVDHigh receptors was quantified using Quantum Alexa Fluor 488 MESF Standard Kit (Bang Laboratories) and converted into molecules of equivalent soluble fluorochrome (MESF).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(d)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Confocal fluorescence microscopy images of MDA and MDA-VVHigh^High cells, stained with anti-Myc-tag antibody (green) without permeabilization, and nuclear stain (</w:t>
      </w:r>
      <w:r w:rsidRPr="00034171">
        <w:rPr>
          <w:rFonts w:ascii="Arial" w:hAnsi="Arial" w:cs="Arial"/>
          <w:color w:val="000000" w:themeColor="text1"/>
          <w:lang w:val="en-GB" w:eastAsia="ko-KR"/>
        </w:rPr>
        <w:t xml:space="preserve">SYTO™ Deep Red Nucleic Acid Stain, </w:t>
      </w:r>
      <w:r w:rsidRPr="00034171">
        <w:rPr>
          <w:rFonts w:ascii="Arial" w:hAnsi="Arial" w:cs="Arial"/>
          <w:color w:val="000000" w:themeColor="text1"/>
          <w:lang w:eastAsia="ko-KR"/>
        </w:rPr>
        <w:t>magenta). Confocal z-stack images were rendered using maximum intensity projection. Scale bar</w:t>
      </w:r>
      <w:r w:rsidRPr="00650382">
        <w:rPr>
          <w:rFonts w:ascii="Arial" w:hAnsi="Arial" w:cs="Arial"/>
          <w:color w:val="000000" w:themeColor="text1"/>
          <w:lang w:eastAsia="ko-KR"/>
        </w:rPr>
        <w:t xml:space="preserve"> is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10 µm. </w:t>
      </w:r>
      <w:r w:rsidRPr="00034171">
        <w:rPr>
          <w:rFonts w:ascii="Arial" w:hAnsi="Arial" w:cs="Arial"/>
          <w:color w:val="000000" w:themeColor="text1"/>
          <w:lang w:eastAsia="ko-KR"/>
        </w:rPr>
        <w:br w:type="page"/>
      </w:r>
    </w:p>
    <w:p w14:paraId="253C4A02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noProof/>
          <w:color w:val="000000" w:themeColor="text1"/>
          <w:lang w:eastAsia="ko-KR"/>
        </w:rPr>
        <w:lastRenderedPageBreak/>
        <w:drawing>
          <wp:inline distT="0" distB="0" distL="0" distR="0" wp14:anchorId="260400D8" wp14:editId="02A1214F">
            <wp:extent cx="2164080" cy="1652270"/>
            <wp:effectExtent l="0" t="0" r="762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65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FE40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Supplementary Figure 2. Influence of blue light illumination on cell viability.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>Cell viability of MDA and MDA-VVDHigh^High cells after 16 h in the dark (grey) or under continuous blue-light illumination (blue) was assessed using the CellTiter-Glo 3D cell viability assay.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>A source data file is provided with raw data points and statistics.</w:t>
      </w:r>
      <w:r w:rsidRPr="00034171">
        <w:rPr>
          <w:rFonts w:ascii="Arial" w:hAnsi="Arial" w:cs="Arial"/>
          <w:color w:val="000000" w:themeColor="text1"/>
          <w:lang w:eastAsia="ko-KR"/>
        </w:rPr>
        <w:br w:type="page"/>
      </w:r>
    </w:p>
    <w:p w14:paraId="520C2365" w14:textId="77777777" w:rsidR="007A1819" w:rsidRPr="00034171" w:rsidRDefault="007A1819" w:rsidP="007A1819">
      <w:pPr>
        <w:spacing w:line="36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noProof/>
          <w:color w:val="000000" w:themeColor="text1"/>
          <w:lang w:eastAsia="ko-KR"/>
        </w:rPr>
        <w:lastRenderedPageBreak/>
        <w:drawing>
          <wp:inline distT="0" distB="0" distL="0" distR="0" wp14:anchorId="7A878812" wp14:editId="3C7C1978">
            <wp:extent cx="6273165" cy="6663690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165" cy="666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B6AE06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b/>
          <w:color w:val="000000" w:themeColor="text1"/>
          <w:lang w:eastAsia="ko-KR"/>
        </w:rPr>
        <w:t>Supplementary Figure 3.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Optimization of spheroid compaction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under different pulsed light conditions.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color w:val="000000" w:themeColor="text1"/>
          <w:lang w:eastAsia="ko-KR"/>
        </w:rPr>
        <w:t>Bright field images of spheroid of (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a</w:t>
      </w:r>
      <w:r w:rsidRPr="00034171">
        <w:rPr>
          <w:rFonts w:ascii="Arial" w:hAnsi="Arial" w:cs="Arial"/>
          <w:color w:val="000000" w:themeColor="text1"/>
          <w:lang w:eastAsia="ko-KR"/>
        </w:rPr>
        <w:t>) MDA-VVDHigh^High and (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b</w:t>
      </w:r>
      <w:r w:rsidRPr="00034171">
        <w:rPr>
          <w:rFonts w:ascii="Arial" w:hAnsi="Arial" w:cs="Arial"/>
          <w:color w:val="000000" w:themeColor="text1"/>
          <w:lang w:eastAsia="ko-KR"/>
        </w:rPr>
        <w:t>) MDA-VVDHigh^Low under different blue light illumination condition.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Pulsed condition indicated as x:y, where x is the on-time (in minutes) and y is the off-time (in minutes). Scale bars (a,b) are 200 µm. </w:t>
      </w:r>
    </w:p>
    <w:p w14:paraId="193EF38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color w:val="000000" w:themeColor="text1"/>
          <w:lang w:eastAsia="ko-KR"/>
        </w:rPr>
        <w:br w:type="page"/>
      </w:r>
    </w:p>
    <w:p w14:paraId="1F1213C2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noProof/>
          <w:color w:val="000000" w:themeColor="text1"/>
          <w:lang w:eastAsia="ko-KR"/>
        </w:rPr>
        <w:lastRenderedPageBreak/>
        <w:drawing>
          <wp:inline distT="0" distB="0" distL="0" distR="0" wp14:anchorId="7FE9F5F8" wp14:editId="4D8E2214">
            <wp:extent cx="5993130" cy="3731260"/>
            <wp:effectExtent l="0" t="0" r="762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130" cy="3731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8CC169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color w:val="000000" w:themeColor="text1"/>
          <w:lang w:eastAsia="ko-KR"/>
        </w:rPr>
        <w:t>Supplementary Figure 4.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Cell aggregation assay under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pulsed light.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(a)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</w:t>
      </w:r>
      <w:r w:rsidRPr="00650382">
        <w:rPr>
          <w:rFonts w:ascii="Arial" w:hAnsi="Arial" w:cs="Arial"/>
          <w:bCs/>
          <w:color w:val="000000" w:themeColor="text1"/>
          <w:lang w:val="en-GB" w:eastAsia="ko-KR"/>
        </w:rPr>
        <w:t>Bright-field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images of cell aggregates formed by MDA-VVDHigh^High and MDA-VVDHigh^Low cells under dark, blue, and pulsed blue in suspension culture. Scare bar is 200 </w:t>
      </w:r>
      <w:r w:rsidRPr="00034171">
        <w:rPr>
          <w:rFonts w:ascii="Arial" w:hAnsi="Arial" w:cs="Arial"/>
          <w:color w:val="000000" w:themeColor="text1"/>
          <w:lang w:eastAsia="ko-KR"/>
        </w:rPr>
        <w:t>µm.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 xml:space="preserve"> (b, c)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The average cluster size of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 xml:space="preserve">(b)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MDA-VVDHigh^High cells in the dark (n=868), under blue light (n=1281) and pulsed blue light (n=1107); and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 xml:space="preserve">(c)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MDA-VVDHigh^Low cells in the dark (n=653), under blue light (n=864) and pulsed blue light (n=563); (data from 3 biological replicates, one-way ANOVA with Tukey’s multiple comparisons test).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(d, e)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The fractal dimension of cell clusters formed by 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(d)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MDA-VVDHigh^High cells (n=868, n=1281, and n=1107 for dark, blue and pulsed blue light) and </w:t>
      </w:r>
      <w:r w:rsidRPr="00034171">
        <w:rPr>
          <w:rFonts w:ascii="Arial" w:hAnsi="Arial" w:cs="Arial"/>
          <w:b/>
          <w:bCs/>
          <w:color w:val="000000" w:themeColor="text1"/>
          <w:lang w:val="en-GB" w:eastAsia="ko-KR"/>
        </w:rPr>
        <w:t>(e)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MDA-VVDHigh^Low cells (n=653, n=864, and n=563 for dark, blue and pulsed blue light; data from 3 biological replicates). Box plots show median and 25</w:t>
      </w:r>
      <w:r w:rsidRPr="00034171">
        <w:rPr>
          <w:rFonts w:ascii="Arial" w:hAnsi="Arial" w:cs="Arial"/>
          <w:bCs/>
          <w:color w:val="000000" w:themeColor="text1"/>
          <w:vertAlign w:val="superscript"/>
          <w:lang w:val="en-GB" w:eastAsia="ko-KR"/>
        </w:rPr>
        <w:t>th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>/75</w:t>
      </w:r>
      <w:r w:rsidRPr="00034171">
        <w:rPr>
          <w:rFonts w:ascii="Arial" w:hAnsi="Arial" w:cs="Arial"/>
          <w:bCs/>
          <w:color w:val="000000" w:themeColor="text1"/>
          <w:vertAlign w:val="superscript"/>
          <w:lang w:val="en-GB" w:eastAsia="ko-KR"/>
        </w:rPr>
        <w:t>th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percentiles, whiskers denote 5</w:t>
      </w:r>
      <w:r w:rsidRPr="00034171">
        <w:rPr>
          <w:rFonts w:ascii="Arial" w:hAnsi="Arial" w:cs="Arial"/>
          <w:bCs/>
          <w:color w:val="000000" w:themeColor="text1"/>
          <w:vertAlign w:val="superscript"/>
          <w:lang w:val="en-GB" w:eastAsia="ko-KR"/>
        </w:rPr>
        <w:t>th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>/95</w:t>
      </w:r>
      <w:r w:rsidRPr="00034171">
        <w:rPr>
          <w:rFonts w:ascii="Arial" w:hAnsi="Arial" w:cs="Arial"/>
          <w:bCs/>
          <w:color w:val="000000" w:themeColor="text1"/>
          <w:vertAlign w:val="superscript"/>
          <w:lang w:val="en-GB" w:eastAsia="ko-KR"/>
        </w:rPr>
        <w:t>th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 xml:space="preserve"> percentiles. A source data file is provided with raw data points and statistics.</w:t>
      </w:r>
    </w:p>
    <w:p w14:paraId="19E49B02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lang w:val="en-GB" w:eastAsia="ko-KR"/>
        </w:rPr>
      </w:pPr>
      <w:r w:rsidRPr="00034171">
        <w:rPr>
          <w:rFonts w:ascii="Arial" w:hAnsi="Arial" w:cs="Arial"/>
          <w:bCs/>
          <w:color w:val="000000" w:themeColor="text1"/>
          <w:lang w:val="en-GB" w:eastAsia="ko-KR"/>
        </w:rPr>
        <w:br w:type="page"/>
      </w:r>
    </w:p>
    <w:p w14:paraId="721B689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lang w:val="en-GB" w:eastAsia="ko-KR"/>
        </w:rPr>
      </w:pPr>
    </w:p>
    <w:p w14:paraId="2088C3B9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noProof/>
          <w:color w:val="000000" w:themeColor="text1"/>
          <w:lang w:eastAsia="ko-KR"/>
        </w:rPr>
        <w:drawing>
          <wp:inline distT="0" distB="0" distL="0" distR="0" wp14:anchorId="60BE4430" wp14:editId="7E4AC6FE">
            <wp:extent cx="3688715" cy="1731645"/>
            <wp:effectExtent l="0" t="0" r="6985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715" cy="173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959B6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eastAsia="ko-KR"/>
        </w:rPr>
      </w:pPr>
      <w:r w:rsidRPr="00034171">
        <w:rPr>
          <w:rFonts w:ascii="Arial" w:hAnsi="Arial" w:cs="Arial"/>
          <w:b/>
          <w:color w:val="000000" w:themeColor="text1"/>
          <w:lang w:eastAsia="ko-KR"/>
        </w:rPr>
        <w:t>Supplementary Figure 5.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color w:val="000000" w:themeColor="text1"/>
          <w:lang w:eastAsia="ko-KR"/>
        </w:rPr>
        <w:t>Measurement of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cell-cell contact angles. (a) </w:t>
      </w:r>
      <w:r w:rsidRPr="00034171">
        <w:rPr>
          <w:rFonts w:ascii="Arial" w:hAnsi="Arial" w:cs="Arial"/>
          <w:color w:val="000000" w:themeColor="text1"/>
          <w:lang w:eastAsia="ko-KR"/>
        </w:rPr>
        <w:t>Exemplary bright-field image showing the measurement of cell-cell contact angles. The average of the four measured angels per cell-cell interface was used to generate a single data point.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(b)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Cell-cell contact angle of MDA cells in the dark (n=22), under blue light (n=26), and pulsed blue light (n=30). Data from 2 biological replicates.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Cs/>
          <w:color w:val="000000" w:themeColor="text1"/>
          <w:lang w:val="en-GB" w:eastAsia="ko-KR"/>
        </w:rPr>
        <w:t>A source data file is provided with raw data points and statistics.</w:t>
      </w:r>
      <w:r w:rsidRPr="00034171">
        <w:rPr>
          <w:rFonts w:ascii="Arial" w:hAnsi="Arial" w:cs="Arial"/>
          <w:color w:val="000000" w:themeColor="text1"/>
          <w:lang w:eastAsia="ko-KR"/>
        </w:rPr>
        <w:br w:type="page"/>
      </w:r>
    </w:p>
    <w:p w14:paraId="7C837C39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lang w:eastAsia="ko-KR"/>
        </w:rPr>
      </w:pPr>
      <w:r w:rsidRPr="00034171">
        <w:rPr>
          <w:rFonts w:ascii="Arial" w:hAnsi="Arial" w:cs="Arial"/>
          <w:b/>
          <w:noProof/>
          <w:color w:val="000000" w:themeColor="text1"/>
          <w:lang w:eastAsia="ko-KR"/>
        </w:rPr>
        <w:lastRenderedPageBreak/>
        <w:drawing>
          <wp:inline distT="0" distB="0" distL="0" distR="0" wp14:anchorId="15C0EB26" wp14:editId="2509C16F">
            <wp:extent cx="5681980" cy="238379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980" cy="2383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418021" w14:textId="77777777" w:rsidR="007A1819" w:rsidRPr="00034171" w:rsidRDefault="007A1819" w:rsidP="007A1819">
      <w:pPr>
        <w:spacing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Supplementary Figure 6. Quantification of cell sorting using fluorescence penetration. </w:t>
      </w:r>
      <w:r w:rsidRPr="00034171">
        <w:rPr>
          <w:rFonts w:ascii="Arial" w:hAnsi="Arial" w:cs="Arial"/>
          <w:bCs/>
          <w:color w:val="000000" w:themeColor="text1"/>
          <w:lang w:eastAsia="ko-KR"/>
        </w:rPr>
        <w:t>(a) Schematic of the radial segmentation used for analysis, in which each spheroid was divided into concentric rings from the center (0%) to the periphery (100%). The region of interest (ROI) in spheroids were generated by using bright field images with “Find edge” and “Threshold” plugin in ImageJ.</w:t>
      </w:r>
      <w:r w:rsidRPr="00034171">
        <w:rPr>
          <w:rFonts w:ascii="Arial" w:hAnsi="Arial" w:cs="Arial"/>
          <w:b/>
          <w:color w:val="000000" w:themeColor="text1"/>
          <w:lang w:eastAsia="ko-KR"/>
        </w:rPr>
        <w:t xml:space="preserve"> (b) </w:t>
      </w:r>
      <w:r w:rsidRPr="00034171">
        <w:rPr>
          <w:rFonts w:ascii="Arial" w:hAnsi="Arial" w:cs="Arial"/>
          <w:color w:val="000000" w:themeColor="text1"/>
          <w:lang w:val="en-GB" w:eastAsia="ko-KR"/>
        </w:rPr>
        <w:t>Example profiles showing normalized magenta (DiD) and cyan (DiI) fluorescence across the radial axis.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</w:t>
      </w:r>
      <w:r w:rsidRPr="00034171">
        <w:rPr>
          <w:rFonts w:ascii="Arial" w:hAnsi="Arial" w:cs="Arial"/>
          <w:b/>
          <w:bCs/>
          <w:color w:val="000000" w:themeColor="text1"/>
          <w:lang w:eastAsia="ko-KR"/>
        </w:rPr>
        <w:t>(c)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Difference between normalized magenta and cyan fluorescence (Δ value = magenta curve – cyan curve) at each radial position. The dashed line marks the 66% radius threshold used to separate the inner and outer regions. </w:t>
      </w:r>
      <w:r w:rsidRPr="00034171">
        <w:rPr>
          <w:rFonts w:ascii="Arial" w:hAnsi="Arial" w:cs="Arial"/>
          <w:b/>
          <w:color w:val="000000" w:themeColor="text1"/>
          <w:lang w:eastAsia="ko-KR"/>
        </w:rPr>
        <w:t>(</w: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d</w:t>
      </w:r>
      <w:r w:rsidRPr="00034171">
        <w:rPr>
          <w:rFonts w:ascii="Arial" w:hAnsi="Arial" w:cs="Arial"/>
          <w:b/>
          <w:color w:val="000000" w:themeColor="text1"/>
          <w:lang w:eastAsia="ko-KR"/>
        </w:rPr>
        <w:t>)</w:t>
      </w:r>
      <w:r w:rsidRPr="00034171">
        <w:rPr>
          <w:rFonts w:ascii="Arial" w:hAnsi="Arial" w:cs="Arial"/>
          <w:color w:val="000000" w:themeColor="text1"/>
          <w:lang w:eastAsia="ko-KR"/>
        </w:rPr>
        <w:t xml:space="preserve"> Cell sorting score calculation. The integral of Δ value from 0–66% (inner region) minus the integral from 66–100% (outer region) yields the final cell sorting score.</w:t>
      </w:r>
    </w:p>
    <w:p w14:paraId="7ADD61B4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br w:type="page"/>
      </w:r>
    </w:p>
    <w:p w14:paraId="19FA2FED" w14:textId="77777777" w:rsidR="007A1819" w:rsidRPr="00034171" w:rsidRDefault="007A1819" w:rsidP="007A1819">
      <w:pPr>
        <w:spacing w:line="240" w:lineRule="auto"/>
        <w:jc w:val="both"/>
        <w:rPr>
          <w:rFonts w:ascii="Arial" w:hAnsi="Arial" w:cs="Arial"/>
          <w:color w:val="000000" w:themeColor="text1"/>
          <w:lang w:eastAsia="ko-KR"/>
        </w:rPr>
      </w:pPr>
    </w:p>
    <w:p w14:paraId="2E0D628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noProof/>
          <w:color w:val="000000" w:themeColor="text1"/>
          <w:lang w:eastAsia="ko-K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E94BF" wp14:editId="1BAD1990">
                <wp:simplePos x="0" y="0"/>
                <wp:positionH relativeFrom="column">
                  <wp:posOffset>-85725</wp:posOffset>
                </wp:positionH>
                <wp:positionV relativeFrom="paragraph">
                  <wp:posOffset>0</wp:posOffset>
                </wp:positionV>
                <wp:extent cx="6029325" cy="7086600"/>
                <wp:effectExtent l="0" t="0" r="15875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7086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1B961E" w14:textId="77777777" w:rsidR="007A1819" w:rsidRDefault="007A1819" w:rsidP="007A1819">
                            <w:pPr>
                              <w:jc w:val="center"/>
                              <w:rPr>
                                <w:lang w:eastAsia="ko-K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E94BF" id="Rectangle 2" o:spid="_x0000_s1026" style="position:absolute;left:0;text-align:left;margin-left:-6.75pt;margin-top:0;width:474.75pt;height:5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YyhhgIAAGoFAAAOAAAAZHJzL2Uyb0RvYy54bWysVEtv2zAMvg/YfxB0X+1kbdYGdYqgRYcB&#10;RVusHXpWZKk2IIsapcTOfv0o+ZGgK3YY5oNMiuTHh0heXnWNYTuFvgZb8NlJzpmyEsravhb8x/Pt&#10;p3POfBC2FAasKvheeX61+vjhsnVLNYcKTKmQEYj1y9YVvArBLbPMy0o1wp+AU5aEGrARgVh8zUoU&#10;LaE3Jpvn+SJrAUuHIJX3dHvTC/kq4WutZHjQ2qvATMEptpBOTOcmntnqUixfUbiqlkMY4h+iaERt&#10;yekEdSOCYFus/4BqaongQYcTCU0GWtdSpRwom1n+JpunSjiVcqHieDeVyf8/WHm/e3KPSGVonV96&#10;ImMWncYm/ik+1qVi7adiqS4wSZeLfH7xeX7GmSTZl/x8schTObODuUMfvipoWCQKjvQaqUhid+cD&#10;uSTVUSV6s3BbG5NexNh44cHUZbxLTGwJdW2Q7QQ9Zuhm8fEI4kiLuGiZHXJJVNgbFSGM/a40q0uK&#10;fp4CSW12wBRSKhtmvagSpepdneX0jc7GKJLrBBiRNQU5YQ8Ao2YPMmL3MQ/60VSlLp2M878F1htP&#10;Fskz2DAZN7UFfA/AUFaD515/LFJfmlil0G06UonkBsr9IzKEfly8k7c1veCd8OFRIM0HTRLNfHig&#10;QxtoCw4DxVkF+Ou9+6hPbUtSzlqat4L7n1uBijPzzVJDX8xOT+OAJub07MucGDyWbI4ldttcA3XB&#10;jLaLk4mM+sGMpEZoXmg1rKNXEgkryXfBZcCRuQ79HqDlItV6ndRoKJ0Id/bJyQgeCxw79Ll7EeiG&#10;Ng40AfcwzqZYvunmXjdaWlhvA+g6tfqhrkPpaaBTDw3LJ26MYz5pHVbk6jcAAAD//wMAUEsDBBQA&#10;BgAIAAAAIQDBztA63wAAAAkBAAAPAAAAZHJzL2Rvd25yZXYueG1sTI9BS8NAEIXvgv9hGcFLaTex&#10;WDRmU0RRehDBqgdvk+yYjc3Ohuy2jf/e8aS3N7zHm++V68n36kBj7AIbyBcZKOIm2I5bA2+vD/Mr&#10;UDEhW+wDk4FvirCuTk9KLGw48gsdtqlVUsKxQAMupaHQOjaOPMZFGIjF+wyjxyTn2Go74lHKfa8v&#10;smylPXYsHxwOdOeo2W333sDHZkrtV/6YnnY4e59tXN0839fGnJ9NtzegEk3pLwy/+IIOlTDVYc82&#10;qt7APF9eStSALBL7erkSUUsuz0XpqtT/F1Q/AAAA//8DAFBLAQItABQABgAIAAAAIQC2gziS/gAA&#10;AOEBAAATAAAAAAAAAAAAAAAAAAAAAABbQ29udGVudF9UeXBlc10ueG1sUEsBAi0AFAAGAAgAAAAh&#10;ADj9If/WAAAAlAEAAAsAAAAAAAAAAAAAAAAALwEAAF9yZWxzLy5yZWxzUEsBAi0AFAAGAAgAAAAh&#10;AAt1jKGGAgAAagUAAA4AAAAAAAAAAAAAAAAALgIAAGRycy9lMm9Eb2MueG1sUEsBAi0AFAAGAAgA&#10;AAAhAMHO0DrfAAAACQEAAA8AAAAAAAAAAAAAAAAA4AQAAGRycy9kb3ducmV2LnhtbFBLBQYAAAAA&#10;BAAEAPMAAADsBQAAAAA=&#10;" filled="f" strokecolor="black [3213]" strokeweight="1pt">
                <v:textbox>
                  <w:txbxContent>
                    <w:p w14:paraId="191B961E" w14:textId="77777777" w:rsidR="007A1819" w:rsidRDefault="007A1819" w:rsidP="007A1819">
                      <w:pPr>
                        <w:jc w:val="center"/>
                        <w:rPr>
                          <w:lang w:eastAsia="ko-K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Supplementary Code 1</w:t>
      </w:r>
      <w:r w:rsidRPr="00034171">
        <w:rPr>
          <w:rFonts w:ascii="Arial" w:hAnsi="Arial" w:cs="Arial"/>
          <w:color w:val="000000" w:themeColor="text1"/>
          <w:lang w:val="en-GB" w:eastAsia="ko-KR"/>
        </w:rPr>
        <w:t>. Spheroid penetration</w:t>
      </w:r>
    </w:p>
    <w:p w14:paraId="528A91B0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</w:p>
    <w:p w14:paraId="2903FE4E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>function spheroids_penetration_profile () {</w:t>
      </w:r>
    </w:p>
    <w:p w14:paraId="193FC95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//getting the position of drawn ellipse</w:t>
      </w:r>
    </w:p>
    <w:p w14:paraId="3F1C8BC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roiManager("Add");</w:t>
      </w:r>
    </w:p>
    <w:p w14:paraId="452B9528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 xml:space="preserve">//calculating of the ellipse center </w:t>
      </w:r>
    </w:p>
    <w:p w14:paraId="3405F207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</w:p>
    <w:p w14:paraId="6322CFDB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//resolution of profile (the number of nested circles)</w:t>
      </w:r>
    </w:p>
    <w:p w14:paraId="498CF22E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n=201;</w:t>
      </w:r>
    </w:p>
    <w:p w14:paraId="3F339E96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//initialization of arrays, set-up suitable value</w:t>
      </w:r>
    </w:p>
    <w:p w14:paraId="3A57AC18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a=newArray(n);</w:t>
      </w:r>
    </w:p>
    <w:p w14:paraId="5071F91F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s=newArray(n);</w:t>
      </w:r>
    </w:p>
    <w:p w14:paraId="3F6F0363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s1=newArray(n);</w:t>
      </w:r>
    </w:p>
    <w:p w14:paraId="20E1C0B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a1=newArray(n);</w:t>
      </w:r>
    </w:p>
    <w:p w14:paraId="0FABC8F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ss=newArray(n);</w:t>
      </w:r>
    </w:p>
    <w:p w14:paraId="4C4A3979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//calculation of increments</w:t>
      </w:r>
    </w:p>
    <w:p w14:paraId="568BAD33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si=1/n;</w:t>
      </w:r>
    </w:p>
    <w:p w14:paraId="478059F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//calculation of total fluorescence signal and pixels area from each nested circle</w:t>
      </w:r>
    </w:p>
    <w:p w14:paraId="22091E4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 xml:space="preserve">for (i=n; i&gt;=1; i-=1){ </w:t>
      </w:r>
    </w:p>
    <w:p w14:paraId="52DC05D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scalefactor = si*(i-1);</w:t>
      </w:r>
    </w:p>
    <w:p w14:paraId="5DD95788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scaletext="x="+d2s(scalefactor, 3)+" y="+d2s(scalefactor, 3)+" centered";</w:t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</w:p>
    <w:p w14:paraId="75FFE65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run("Scale... ", scaletext);</w:t>
      </w:r>
    </w:p>
    <w:p w14:paraId="753504C0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getStatistics(area, mean);</w:t>
      </w:r>
    </w:p>
    <w:p w14:paraId="0E0435E9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roiManager("Select", 0);</w:t>
      </w:r>
    </w:p>
    <w:p w14:paraId="5294DE5F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s[i-1]=mean*area;</w:t>
      </w:r>
    </w:p>
    <w:p w14:paraId="3423BB3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a[i-1]=area;</w:t>
      </w:r>
    </w:p>
    <w:p w14:paraId="59D27C4E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}</w:t>
      </w:r>
    </w:p>
    <w:p w14:paraId="7AF7AD2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//calculation of total intensity and area of the rims (between circles)</w:t>
      </w:r>
    </w:p>
    <w:p w14:paraId="0ABB8652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 xml:space="preserve">for (i=n-1; i&gt;=1; i-=1){ </w:t>
      </w:r>
    </w:p>
    <w:p w14:paraId="571CABB7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s1[i]=s[i]-s[i-1];</w:t>
      </w:r>
    </w:p>
    <w:p w14:paraId="01F4609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a1[i]=a[i]-a[i-1];</w:t>
      </w:r>
    </w:p>
    <w:p w14:paraId="172AB49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}</w:t>
      </w:r>
    </w:p>
    <w:p w14:paraId="5C5F9525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//calculation of mean fluorescence intensity of the rims</w:t>
      </w:r>
    </w:p>
    <w:p w14:paraId="59E9A06E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s1[0]=s[0];</w:t>
      </w:r>
    </w:p>
    <w:p w14:paraId="72BC7CB1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>a1[0]=a[0];</w:t>
      </w:r>
    </w:p>
    <w:p w14:paraId="44087F3F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 xml:space="preserve"> for (i=n-1; i&gt;=0; i-=1){ </w:t>
      </w:r>
    </w:p>
    <w:p w14:paraId="150671ED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</w:r>
      <w:r w:rsidRPr="00034171">
        <w:rPr>
          <w:rFonts w:ascii="Arial" w:hAnsi="Arial" w:cs="Arial"/>
          <w:color w:val="000000" w:themeColor="text1"/>
          <w:lang w:val="en-GB" w:eastAsia="ko-KR"/>
        </w:rPr>
        <w:tab/>
        <w:t xml:space="preserve">ss[i]=s1[i]/a1[i]; </w:t>
      </w:r>
    </w:p>
    <w:p w14:paraId="334D4300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}</w:t>
      </w:r>
    </w:p>
    <w:p w14:paraId="36102FCA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//plotting of the result profile</w:t>
      </w:r>
    </w:p>
    <w:p w14:paraId="26063B97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Plot.create("","r","Int",ss);</w:t>
      </w:r>
    </w:p>
    <w:p w14:paraId="5828D636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//roiManager("Delete");</w:t>
      </w:r>
    </w:p>
    <w:p w14:paraId="31AEC4F6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>};</w:t>
      </w:r>
    </w:p>
    <w:p w14:paraId="18C6E810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run("8-bit"); //set 8-bit</w:t>
      </w:r>
    </w:p>
    <w:p w14:paraId="21C1675C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color w:val="000000" w:themeColor="text1"/>
          <w:lang w:val="en-GB" w:eastAsia="ko-KR"/>
        </w:rPr>
        <w:tab/>
        <w:t>spheroids_penetration_profile (); //perform spheroid penetration function</w:t>
      </w:r>
    </w:p>
    <w:p w14:paraId="13A6FB15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</w:p>
    <w:p w14:paraId="07FB131F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color w:val="000000" w:themeColor="text1"/>
          <w:lang w:val="en-GB" w:eastAsia="ko-KR"/>
        </w:rPr>
        <w:br w:type="page"/>
      </w:r>
    </w:p>
    <w:p w14:paraId="46195278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  <w:r w:rsidRPr="00034171">
        <w:rPr>
          <w:rFonts w:ascii="Arial" w:hAnsi="Arial" w:cs="Arial"/>
          <w:b/>
          <w:noProof/>
          <w:color w:val="000000" w:themeColor="text1"/>
          <w:lang w:eastAsia="ko-KR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BA694D" wp14:editId="3C66A476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029325" cy="7229475"/>
                <wp:effectExtent l="0" t="0" r="28575" b="28575"/>
                <wp:wrapNone/>
                <wp:docPr id="1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7229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1C381" id="Rectangle 6" o:spid="_x0000_s1026" style="position:absolute;margin-left:0;margin-top:0;width:474.75pt;height:569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G73fgIAAF8FAAAOAAAAZHJzL2Uyb0RvYy54bWysVE1v2zAMvQ/YfxB0X+14SbsGdYqgRYcB&#10;RVusHXpWZak2IIsapcTJfv0o+SNBV+wwzAdZEslH8onkxeWuNWyr0DdgSz47yTlTVkLV2NeS/3i6&#10;+fSFMx+ErYQBq0q+V55frj5+uOjcUhVQg6kUMgKxftm5ktchuGWWeVmrVvgTcMqSUAO2ItARX7MK&#10;RUforcmKPD/NOsDKIUjlPd1e90K+SvhaKxnutfYqMFNyii2kFdP6EtdsdSGWryhc3cghDPEPUbSi&#10;seR0groWQbANNn9AtY1E8KDDiYQ2A60bqVIOlM0sf5PNYy2cSrkQOd5NNPn/Byvvto/uAYmGzvml&#10;p23MYqexjX+Kj+0SWfuJLLULTNLlaV6cfy4WnEmSnRXF+fxsEenMDuYOffiqoGVxU3Kk10gkie2t&#10;D73qqBK9WbhpjEkvYmy88GCaKt6lQywJdWWQbQU9ZtjNBm9HWuQ7WmaHXNIu7I2KEMZ+V5o1FUVf&#10;pEBSmR0whZTKhlkvqkWleleLnL7R2RhFSjQBRmRNQU7YA8Co2YOM2H3ag340ValKJ+P8b4H1xpNF&#10;8gw2TMZtYwHfAzCU1eC51x9J6qmJLL1AtX9AhtD3iHfypqFnuxU+PAikpqD2oUYP97RoA13JYdhx&#10;VgP+eu8+6lOtkpSzjpqs5P7nRqDizHyzVMXns/k8dmU6zBdnBR3wWPJyLLGb9gro6Wc0UpxM26gf&#10;zLjVCO0zzYN19EoiYSX5LrkMOB6uQt/8NFGkWq+TGnWiE+HWPjoZwSOrsSyfds8C3VC7gcr+DsaG&#10;FMs3JdzrRksL600A3aT6PvA68E1dnApnmDhxTByfk9ZhLq5+AwAA//8DAFBLAwQUAAYACAAAACEA&#10;ukSUdN4AAAAGAQAADwAAAGRycy9kb3ducmV2LnhtbEyPQUvDQBCF74L/YRnBS7GbqJU2ZlNEUXoQ&#10;wbYevE2SNRubnQ3ZaRv/vaMXvTwY3uO9b/Ll6Dt1sENsAxlIpwkoS1WoW2oMbDePF3NQkZFq7AJZ&#10;A182wrI4Pckxq8ORXu1hzY2SEooZGnDMfaZ1rJz1GKehtyTeRxg8spxDo+sBj1LuO32ZJDfaY0uy&#10;4LC3985Wu/XeG3hfjdx8pk/8vMPJ22TlyurloTTm/Gy8uwXFduS/MPzgCzoUwlSGPdVRdQbkEf5V&#10;8RbXixmoUkLp1XwGusj1f/ziGwAA//8DAFBLAQItABQABgAIAAAAIQC2gziS/gAAAOEBAAATAAAA&#10;AAAAAAAAAAAAAAAAAABbQ29udGVudF9UeXBlc10ueG1sUEsBAi0AFAAGAAgAAAAhADj9If/WAAAA&#10;lAEAAAsAAAAAAAAAAAAAAAAALwEAAF9yZWxzLy5yZWxzUEsBAi0AFAAGAAgAAAAhAGMUbvd+AgAA&#10;XwUAAA4AAAAAAAAAAAAAAAAALgIAAGRycy9lMm9Eb2MueG1sUEsBAi0AFAAGAAgAAAAhALpElHTe&#10;AAAABgEAAA8AAAAAAAAAAAAAAAAA2AQAAGRycy9kb3ducmV2LnhtbFBLBQYAAAAABAAEAPMAAADj&#10;BQAAAAA=&#10;" filled="f" strokecolor="black [3213]" strokeweight="1pt">
                <w10:wrap anchorx="margin"/>
              </v:rect>
            </w:pict>
          </mc:Fallback>
        </mc:AlternateContent>
      </w:r>
      <w:r w:rsidRPr="00034171">
        <w:rPr>
          <w:rFonts w:ascii="Arial" w:hAnsi="Arial" w:cs="Arial"/>
          <w:b/>
          <w:color w:val="000000" w:themeColor="text1"/>
          <w:lang w:val="en-GB" w:eastAsia="ko-KR"/>
        </w:rPr>
        <w:t>Supplementary Code 2</w:t>
      </w:r>
      <w:r w:rsidRPr="00034171">
        <w:rPr>
          <w:rFonts w:ascii="Arial" w:hAnsi="Arial" w:cs="Arial"/>
          <w:color w:val="000000" w:themeColor="text1"/>
          <w:lang w:val="en-GB" w:eastAsia="ko-KR"/>
        </w:rPr>
        <w:t>. Spheroid vector plot for matlab</w:t>
      </w:r>
    </w:p>
    <w:p w14:paraId="547DA700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>function rho = ColoredVectorsHighRes(u, v)</w:t>
      </w:r>
    </w:p>
    <w:p w14:paraId="737C89EE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clc</w:t>
      </w:r>
    </w:p>
    <w:p w14:paraId="0BC474FD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[L, W] = size(u);</w:t>
      </w:r>
    </w:p>
    <w:p w14:paraId="0AC8B567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[~, rho] = cart2pol(u, v);</w:t>
      </w:r>
    </w:p>
    <w:p w14:paraId="50E3D954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50154C19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% Remove small vectors</w:t>
      </w:r>
    </w:p>
    <w:p w14:paraId="5C153A17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mask = rho &gt;= 3e-9;</w:t>
      </w:r>
    </w:p>
    <w:p w14:paraId="35626A7C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u(~mask) = 0;</w:t>
      </w:r>
    </w:p>
    <w:p w14:paraId="1B9BE0A1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v(~mask) = 0;</w:t>
      </w:r>
    </w:p>
    <w:p w14:paraId="46054233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rho(~mask) = 0;</w:t>
      </w:r>
    </w:p>
    <w:p w14:paraId="52C983D4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17D34C09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% Normalize</w:t>
      </w:r>
    </w:p>
    <w:p w14:paraId="2018BDF4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Rmax = max(rho(:));</w:t>
      </w:r>
    </w:p>
    <w:p w14:paraId="703BF475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norm_rho = rho / Rmax;</w:t>
      </w:r>
    </w:p>
    <w:p w14:paraId="471E1CE5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694768B6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% Create grid</w:t>
      </w:r>
    </w:p>
    <w:p w14:paraId="7389010E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[X, Y] = meshgrid(1:W, 1:L);</w:t>
      </w:r>
    </w:p>
    <w:p w14:paraId="69FA6859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46821EAF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08DFFF30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% Create figure with high-quality settings</w:t>
      </w:r>
    </w:p>
    <w:p w14:paraId="144D7F39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f = figure('Color', 'k', 'InvertHardcopy', 'off');</w:t>
      </w:r>
    </w:p>
    <w:p w14:paraId="7C167CAE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set(f, 'Position', [100 100 1000 1000]); </w:t>
      </w:r>
    </w:p>
    <w:p w14:paraId="05BA0A4A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4D295BB9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hold on</w:t>
      </w:r>
    </w:p>
    <w:p w14:paraId="46B0B3CE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</w:t>
      </w:r>
    </w:p>
    <w:p w14:paraId="03EEB963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% Color mapping similar to original style</w:t>
      </w:r>
    </w:p>
    <w:p w14:paraId="784AAC61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for i = 1:L</w:t>
      </w:r>
    </w:p>
    <w:p w14:paraId="63C405E3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for j = 1:W</w:t>
      </w:r>
    </w:p>
    <w:p w14:paraId="7222D105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if rho(i,j) &gt;= 3e-9</w:t>
      </w:r>
    </w:p>
    <w:p w14:paraId="3CB99AD0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    c = norm_rho(i,j);</w:t>
      </w:r>
    </w:p>
    <w:p w14:paraId="3774E9EA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de-DE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    </w:t>
      </w:r>
      <w:r w:rsidRPr="00034171">
        <w:rPr>
          <w:rFonts w:ascii="Arial" w:hAnsi="Arial" w:cs="Arial"/>
          <w:color w:val="000000" w:themeColor="text1"/>
          <w:lang w:val="de-DE" w:eastAsia="ko-KR"/>
          <w14:ligatures w14:val="standardContextual"/>
        </w:rPr>
        <w:t>R = (abs(1 - 2*(1 - c)) + (1 - 2*(1 - c))) / 2;</w:t>
      </w:r>
    </w:p>
    <w:p w14:paraId="1B3E935F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de-DE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de-DE" w:eastAsia="ko-KR"/>
          <w14:ligatures w14:val="standardContextual"/>
        </w:rPr>
        <w:t xml:space="preserve">                G = -abs(2 * c - 1) + 1;</w:t>
      </w:r>
    </w:p>
    <w:p w14:paraId="4AA8636D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de-DE" w:eastAsia="ko-KR"/>
          <w14:ligatures w14:val="standardContextual"/>
        </w:rPr>
        <w:t xml:space="preserve">                </w:t>
      </w: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>B = (abs(1 - 2 * c) + (1 - 2 * c)) / 2;</w:t>
      </w:r>
    </w:p>
    <w:p w14:paraId="38FB241D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    color = [R, G, B];</w:t>
      </w:r>
    </w:p>
    <w:p w14:paraId="15A54C5F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    q = quiver(j, i, u(i,j), v(i,j), 0, ...</w:t>
      </w:r>
    </w:p>
    <w:p w14:paraId="016F9834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        'Color', color, 'LineWidth', 4, 'MaxHeadSize', 7);</w:t>
      </w:r>
    </w:p>
    <w:p w14:paraId="312EC581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    end</w:t>
      </w:r>
    </w:p>
    <w:p w14:paraId="6A5BABB2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   end</w:t>
      </w:r>
    </w:p>
    <w:p w14:paraId="59D6BC18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end</w:t>
      </w:r>
    </w:p>
    <w:p w14:paraId="1DFAC095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 axis equal off</w:t>
      </w:r>
    </w:p>
    <w:p w14:paraId="37BAE221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   hold off</w:t>
      </w:r>
    </w:p>
    <w:p w14:paraId="1781E934" w14:textId="77777777" w:rsidR="007A1819" w:rsidRPr="00034171" w:rsidRDefault="007A1819" w:rsidP="007A18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SG" w:eastAsia="ko-KR"/>
          <w14:ligatures w14:val="standardContextual"/>
        </w:rPr>
      </w:pPr>
      <w:r w:rsidRPr="00034171">
        <w:rPr>
          <w:rFonts w:ascii="Arial" w:hAnsi="Arial" w:cs="Arial"/>
          <w:color w:val="000000" w:themeColor="text1"/>
          <w:lang w:val="en-SG" w:eastAsia="ko-KR"/>
          <w14:ligatures w14:val="standardContextual"/>
        </w:rPr>
        <w:t xml:space="preserve"> end</w:t>
      </w:r>
    </w:p>
    <w:p w14:paraId="6DDC21DE" w14:textId="77777777" w:rsidR="007A1819" w:rsidRPr="00034171" w:rsidRDefault="007A1819" w:rsidP="007A1819">
      <w:pPr>
        <w:spacing w:after="0" w:line="240" w:lineRule="auto"/>
        <w:jc w:val="both"/>
        <w:rPr>
          <w:rFonts w:ascii="Arial" w:hAnsi="Arial" w:cs="Arial"/>
          <w:color w:val="000000" w:themeColor="text1"/>
          <w:lang w:val="en-GB" w:eastAsia="ko-KR"/>
        </w:rPr>
      </w:pPr>
    </w:p>
    <w:p w14:paraId="310C2168" w14:textId="77777777" w:rsidR="007A1819" w:rsidRPr="00034171" w:rsidRDefault="007A1819" w:rsidP="007A1819">
      <w:pPr>
        <w:pStyle w:val="ListParagraph"/>
        <w:spacing w:line="360" w:lineRule="auto"/>
        <w:rPr>
          <w:rFonts w:ascii="Arial" w:hAnsi="Arial" w:cs="Arial"/>
          <w:color w:val="000000" w:themeColor="text1"/>
        </w:rPr>
      </w:pPr>
    </w:p>
    <w:p w14:paraId="2DDC0FB2" w14:textId="77777777" w:rsidR="00F553FF" w:rsidRDefault="00F553FF"/>
    <w:sectPr w:rsidR="00F553FF" w:rsidSect="007A1819">
      <w:footerReference w:type="even" r:id="rId11"/>
      <w:footerReference w:type="default" r:id="rId12"/>
      <w:pgSz w:w="11906" w:h="16838"/>
      <w:pgMar w:top="1440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65548179"/>
      <w:docPartObj>
        <w:docPartGallery w:val="Page Numbers (Bottom of Page)"/>
        <w:docPartUnique/>
      </w:docPartObj>
    </w:sdtPr>
    <w:sdtContent>
      <w:p w14:paraId="48C01583" w14:textId="77777777" w:rsidR="007A1819" w:rsidRDefault="007A1819" w:rsidP="00BF2A4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0629D8" w14:textId="77777777" w:rsidR="007A1819" w:rsidRDefault="007A18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24991251"/>
      <w:docPartObj>
        <w:docPartGallery w:val="Page Numbers (Bottom of Page)"/>
        <w:docPartUnique/>
      </w:docPartObj>
    </w:sdtPr>
    <w:sdtContent>
      <w:p w14:paraId="40EC1FAC" w14:textId="77777777" w:rsidR="007A1819" w:rsidRDefault="007A1819" w:rsidP="00BF2A4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3D87CE0B" w14:textId="77777777" w:rsidR="007A1819" w:rsidRDefault="007A181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8062F"/>
    <w:multiLevelType w:val="hybridMultilevel"/>
    <w:tmpl w:val="410CEEC2"/>
    <w:lvl w:ilvl="0" w:tplc="384043E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2"/>
        <w:szCs w:val="22"/>
      </w:rPr>
    </w:lvl>
    <w:lvl w:ilvl="1" w:tplc="4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966735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819"/>
    <w:rsid w:val="000C57F4"/>
    <w:rsid w:val="003C2EF4"/>
    <w:rsid w:val="00446799"/>
    <w:rsid w:val="006A7E07"/>
    <w:rsid w:val="00701021"/>
    <w:rsid w:val="007A1819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ABA16"/>
  <w15:chartTrackingRefBased/>
  <w15:docId w15:val="{BA048333-3A1C-42FF-AD67-E7192562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819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8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8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8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8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8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8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8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8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8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8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8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8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8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8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8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8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8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8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8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8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8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8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8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8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8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81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A181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A1819"/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A1819"/>
  </w:style>
  <w:style w:type="character" w:styleId="LineNumber">
    <w:name w:val="line number"/>
    <w:basedOn w:val="DefaultParagraphFont"/>
    <w:uiPriority w:val="99"/>
    <w:semiHidden/>
    <w:unhideWhenUsed/>
    <w:rsid w:val="007A1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968</Words>
  <Characters>5747</Characters>
  <Application>Microsoft Office Word</Application>
  <DocSecurity>0</DocSecurity>
  <Lines>99</Lines>
  <Paragraphs>27</Paragraphs>
  <ScaleCrop>false</ScaleCrop>
  <Company>Springer Nature</Company>
  <LinksUpToDate>false</LinksUpToDate>
  <CharactersWithSpaces>6688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2026-01-28T10:52:00Z</dcterms:created>
  <dcterms:modified xsi:type="dcterms:W3CDTF">2026-01-28T10:52:00Z</dcterms:modified>
</cp:coreProperties>
</file>