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8588" w14:textId="77777777" w:rsidR="008C10F5" w:rsidRDefault="008C10F5" w:rsidP="008C10F5">
      <w:pPr>
        <w:spacing w:line="360" w:lineRule="auto"/>
        <w:rPr>
          <w:rFonts w:ascii="Arial" w:hAnsi="Arial" w:cs="Arial"/>
          <w:b/>
        </w:rPr>
      </w:pPr>
      <w:r w:rsidRPr="00EF1CF2">
        <w:rPr>
          <w:rFonts w:ascii="Arial" w:hAnsi="Arial" w:cs="Arial"/>
          <w:b/>
        </w:rPr>
        <w:t xml:space="preserve">Title:  Sublethal Disulfide Stress Facilitates TLR2-Dependent NLRP3 Inflammasome Activation </w:t>
      </w:r>
      <w:r w:rsidRPr="00EF1CF2">
        <w:rPr>
          <w:rFonts w:ascii="Arial" w:hAnsi="Arial" w:cs="Arial"/>
          <w:b/>
          <w:lang w:val="en-US"/>
        </w:rPr>
        <w:t xml:space="preserve">and </w:t>
      </w:r>
      <w:proofErr w:type="spellStart"/>
      <w:r w:rsidRPr="00EF1CF2">
        <w:rPr>
          <w:rFonts w:ascii="Arial" w:hAnsi="Arial" w:cs="Arial"/>
          <w:b/>
          <w:lang w:val="en-US"/>
        </w:rPr>
        <w:t>Pyroptosis</w:t>
      </w:r>
      <w:proofErr w:type="spellEnd"/>
      <w:r w:rsidRPr="00EF1CF2">
        <w:rPr>
          <w:rFonts w:ascii="Arial" w:hAnsi="Arial" w:cs="Arial"/>
          <w:b/>
          <w:lang w:val="en-US"/>
        </w:rPr>
        <w:t xml:space="preserve"> </w:t>
      </w:r>
      <w:r w:rsidRPr="00EF1CF2">
        <w:rPr>
          <w:rFonts w:ascii="Arial" w:hAnsi="Arial" w:cs="Arial"/>
          <w:b/>
        </w:rPr>
        <w:t>in THP-1 Cells</w:t>
      </w:r>
    </w:p>
    <w:p w14:paraId="12D5BAE2" w14:textId="77777777" w:rsidR="001E4E7D" w:rsidRPr="00EF1CF2" w:rsidRDefault="001E4E7D" w:rsidP="008C10F5">
      <w:pPr>
        <w:spacing w:line="360" w:lineRule="auto"/>
        <w:rPr>
          <w:rFonts w:ascii="Arial" w:hAnsi="Arial" w:cs="Arial"/>
          <w:b/>
        </w:rPr>
      </w:pPr>
    </w:p>
    <w:p w14:paraId="5B997E9C" w14:textId="77777777" w:rsidR="008C10F5" w:rsidRPr="00EF1CF2" w:rsidRDefault="008C10F5" w:rsidP="008C10F5">
      <w:pPr>
        <w:spacing w:line="360" w:lineRule="auto"/>
        <w:rPr>
          <w:rFonts w:ascii="Arial" w:hAnsi="Arial" w:cs="Arial"/>
          <w:b/>
        </w:rPr>
      </w:pPr>
      <w:r w:rsidRPr="00EF1CF2">
        <w:rPr>
          <w:rFonts w:ascii="Arial" w:hAnsi="Arial" w:cs="Arial"/>
          <w:b/>
        </w:rPr>
        <w:t xml:space="preserve">Running title: </w:t>
      </w:r>
      <w:r w:rsidRPr="00EF1CF2">
        <w:rPr>
          <w:rFonts w:ascii="Arial" w:hAnsi="Arial" w:cs="Arial"/>
          <w:b/>
          <w:lang w:val="en-US"/>
        </w:rPr>
        <w:t>D</w:t>
      </w:r>
      <w:r w:rsidRPr="00EF1CF2">
        <w:rPr>
          <w:rFonts w:ascii="Arial" w:hAnsi="Arial" w:cs="Arial"/>
          <w:b/>
        </w:rPr>
        <w:t>isulfide stress in inflammasome activation</w:t>
      </w:r>
    </w:p>
    <w:p w14:paraId="2A9B047C" w14:textId="77777777" w:rsidR="008C10F5" w:rsidRPr="00EF1CF2" w:rsidRDefault="008C10F5" w:rsidP="008C10F5">
      <w:pPr>
        <w:spacing w:line="360" w:lineRule="auto"/>
        <w:rPr>
          <w:rFonts w:ascii="Arial" w:hAnsi="Arial" w:cs="Arial"/>
          <w:b/>
        </w:rPr>
      </w:pPr>
    </w:p>
    <w:p w14:paraId="1807CC69" w14:textId="77777777" w:rsidR="008C10F5" w:rsidRPr="00EF1CF2" w:rsidRDefault="008C10F5" w:rsidP="008C10F5">
      <w:pPr>
        <w:spacing w:line="360" w:lineRule="auto"/>
        <w:jc w:val="both"/>
        <w:rPr>
          <w:rFonts w:ascii="Arial" w:hAnsi="Arial" w:cs="Arial"/>
        </w:rPr>
      </w:pPr>
      <w:r w:rsidRPr="00EF1CF2">
        <w:rPr>
          <w:rFonts w:ascii="Arial" w:hAnsi="Arial" w:cs="Arial"/>
        </w:rPr>
        <w:t>Shoko Hosojima</w:t>
      </w:r>
      <w:r w:rsidRPr="00EF1CF2">
        <w:rPr>
          <w:rFonts w:ascii="Arial" w:hAnsi="Arial" w:cs="Arial"/>
          <w:vertAlign w:val="superscript"/>
        </w:rPr>
        <w:t>1</w:t>
      </w:r>
      <w:r w:rsidRPr="00EF1CF2">
        <w:rPr>
          <w:rFonts w:ascii="Arial" w:hAnsi="Arial" w:cs="Arial"/>
        </w:rPr>
        <w:t>, Shenghui Zhi</w:t>
      </w:r>
      <w:r w:rsidRPr="00EF1CF2">
        <w:rPr>
          <w:rFonts w:ascii="Arial" w:hAnsi="Arial" w:cs="Arial"/>
          <w:vertAlign w:val="superscript"/>
        </w:rPr>
        <w:t>1</w:t>
      </w:r>
      <w:r w:rsidRPr="00EF1CF2">
        <w:rPr>
          <w:rFonts w:ascii="Arial" w:hAnsi="Arial" w:cs="Arial"/>
        </w:rPr>
        <w:t>, Yamato Tanabe</w:t>
      </w:r>
      <w:r w:rsidRPr="00EF1CF2">
        <w:rPr>
          <w:rFonts w:ascii="Arial" w:hAnsi="Arial" w:cs="Arial"/>
          <w:vertAlign w:val="superscript"/>
        </w:rPr>
        <w:t>2,3,4</w:t>
      </w:r>
      <w:r w:rsidRPr="00EF1CF2">
        <w:rPr>
          <w:rFonts w:ascii="Arial" w:hAnsi="Arial" w:cs="Arial"/>
        </w:rPr>
        <w:t>, Takeshi Kinoshita</w:t>
      </w:r>
      <w:r w:rsidRPr="00EF1CF2">
        <w:rPr>
          <w:rFonts w:ascii="Arial" w:hAnsi="Arial" w:cs="Arial"/>
          <w:vertAlign w:val="superscript"/>
        </w:rPr>
        <w:t>1</w:t>
      </w:r>
      <w:r w:rsidRPr="00EF1CF2">
        <w:rPr>
          <w:rFonts w:ascii="Arial" w:hAnsi="Arial" w:cs="Arial"/>
        </w:rPr>
        <w:t>, Takashi Suda</w:t>
      </w:r>
      <w:r w:rsidRPr="00EF1CF2">
        <w:rPr>
          <w:rFonts w:ascii="Arial" w:hAnsi="Arial" w:cs="Arial"/>
          <w:vertAlign w:val="superscript"/>
        </w:rPr>
        <w:t>1</w:t>
      </w:r>
      <w:r w:rsidRPr="00EF1CF2">
        <w:rPr>
          <w:rFonts w:ascii="Arial" w:hAnsi="Arial" w:cs="Arial"/>
          <w:lang w:val="en-US"/>
        </w:rPr>
        <w:t xml:space="preserve">, </w:t>
      </w:r>
      <w:r w:rsidRPr="00EF1CF2">
        <w:rPr>
          <w:rFonts w:ascii="Arial" w:hAnsi="Arial" w:cs="Arial"/>
        </w:rPr>
        <w:t>Kohsuke Tsuchiya</w:t>
      </w:r>
      <w:r w:rsidRPr="00EF1CF2">
        <w:rPr>
          <w:rFonts w:ascii="Arial" w:hAnsi="Arial" w:cs="Arial"/>
          <w:vertAlign w:val="superscript"/>
        </w:rPr>
        <w:t>1,5,</w:t>
      </w:r>
      <w:r w:rsidRPr="00EF1CF2">
        <w:rPr>
          <w:rFonts w:ascii="Arial" w:hAnsi="Arial" w:cs="Arial"/>
        </w:rPr>
        <w:t>*</w:t>
      </w:r>
    </w:p>
    <w:p w14:paraId="7E3996EE" w14:textId="77777777" w:rsidR="008C10F5" w:rsidRPr="00EF1CF2" w:rsidRDefault="008C10F5" w:rsidP="008C10F5">
      <w:pPr>
        <w:spacing w:line="360" w:lineRule="auto"/>
        <w:jc w:val="both"/>
        <w:rPr>
          <w:rFonts w:ascii="Arial" w:hAnsi="Arial" w:cs="Arial"/>
        </w:rPr>
      </w:pPr>
    </w:p>
    <w:p w14:paraId="026030E9" w14:textId="77777777" w:rsidR="008C10F5" w:rsidRPr="00EF1CF2" w:rsidRDefault="008C10F5" w:rsidP="008C10F5">
      <w:pPr>
        <w:spacing w:line="360" w:lineRule="auto"/>
        <w:jc w:val="both"/>
        <w:rPr>
          <w:rFonts w:ascii="Arial" w:hAnsi="Arial" w:cs="Arial"/>
        </w:rPr>
      </w:pPr>
      <w:r w:rsidRPr="00EF1CF2">
        <w:rPr>
          <w:rFonts w:ascii="Arial" w:hAnsi="Arial" w:cs="Arial"/>
          <w:vertAlign w:val="superscript"/>
        </w:rPr>
        <w:t>1</w:t>
      </w:r>
      <w:r w:rsidRPr="00EF1CF2">
        <w:rPr>
          <w:rFonts w:ascii="Arial" w:hAnsi="Arial" w:cs="Arial"/>
        </w:rPr>
        <w:t>Division of Immunology and Molecular Biology, Cancer Research Institute, Kanazawa University, Kakuma-machi, Kanazawa, 920-1192, Japan.</w:t>
      </w:r>
    </w:p>
    <w:p w14:paraId="3F410547" w14:textId="77777777" w:rsidR="008C10F5" w:rsidRPr="00EF1CF2" w:rsidRDefault="008C10F5" w:rsidP="008C10F5">
      <w:pPr>
        <w:spacing w:line="360" w:lineRule="auto"/>
        <w:jc w:val="both"/>
        <w:rPr>
          <w:rFonts w:ascii="Arial" w:hAnsi="Arial" w:cs="Arial"/>
        </w:rPr>
      </w:pPr>
      <w:r w:rsidRPr="00EF1CF2">
        <w:rPr>
          <w:rFonts w:ascii="Arial" w:hAnsi="Arial" w:cs="Arial"/>
          <w:vertAlign w:val="superscript"/>
        </w:rPr>
        <w:t>2</w:t>
      </w:r>
      <w:r w:rsidRPr="00EF1CF2">
        <w:rPr>
          <w:rFonts w:ascii="Arial" w:hAnsi="Arial" w:cs="Arial"/>
        </w:rPr>
        <w:t>Molecular Genetics, Graduate School of Medical Sciences, Kanazawa University, Takara-machi, Kanazawa, 920-</w:t>
      </w:r>
      <w:r w:rsidRPr="00EF1CF2">
        <w:rPr>
          <w:rFonts w:ascii="Arial" w:hAnsi="Arial" w:cs="Arial"/>
          <w:lang w:val="en-US"/>
        </w:rPr>
        <w:t>8640</w:t>
      </w:r>
      <w:r w:rsidRPr="00EF1CF2">
        <w:rPr>
          <w:rFonts w:ascii="Arial" w:hAnsi="Arial" w:cs="Arial"/>
        </w:rPr>
        <w:t>, Japan.</w:t>
      </w:r>
    </w:p>
    <w:p w14:paraId="3C745C32" w14:textId="77777777" w:rsidR="008C10F5" w:rsidRPr="00EF1CF2" w:rsidRDefault="008C10F5" w:rsidP="008C10F5">
      <w:pPr>
        <w:spacing w:line="360" w:lineRule="auto"/>
        <w:jc w:val="both"/>
        <w:rPr>
          <w:rFonts w:ascii="Arial" w:hAnsi="Arial" w:cs="Arial"/>
        </w:rPr>
      </w:pPr>
      <w:r w:rsidRPr="00EF1CF2">
        <w:rPr>
          <w:rFonts w:ascii="Arial" w:hAnsi="Arial" w:cs="Arial"/>
          <w:vertAlign w:val="superscript"/>
        </w:rPr>
        <w:t>3</w:t>
      </w:r>
      <w:r w:rsidRPr="00EF1CF2">
        <w:rPr>
          <w:rFonts w:ascii="Arial" w:hAnsi="Arial" w:cs="Arial"/>
        </w:rPr>
        <w:t>Division of Immune Environment Dynamics, Cancer Research Institute, Kanazawa University, Kakuma-machi, Kanazawa, 920-1192, Japan.</w:t>
      </w:r>
    </w:p>
    <w:p w14:paraId="5701CE1E" w14:textId="77777777" w:rsidR="008C10F5" w:rsidRPr="00EF1CF2" w:rsidRDefault="008C10F5" w:rsidP="008C10F5">
      <w:pPr>
        <w:spacing w:line="360" w:lineRule="auto"/>
        <w:jc w:val="both"/>
        <w:rPr>
          <w:rFonts w:ascii="Arial" w:hAnsi="Arial" w:cs="Arial"/>
        </w:rPr>
      </w:pPr>
      <w:r w:rsidRPr="00EF1CF2">
        <w:rPr>
          <w:rFonts w:ascii="Arial" w:hAnsi="Arial" w:cs="Arial"/>
          <w:vertAlign w:val="superscript"/>
        </w:rPr>
        <w:t>4</w:t>
      </w:r>
      <w:r w:rsidRPr="00EF1CF2">
        <w:rPr>
          <w:rFonts w:ascii="Arial" w:hAnsi="Arial" w:cs="Arial"/>
        </w:rPr>
        <w:t>Immune Network Research Unit, Pursuit of Truth Research Core, Institute for Frontier Science Initiative, Kanazawa University, Kakuma-machi, Kanazawa, 920-1192, Japan.</w:t>
      </w:r>
    </w:p>
    <w:p w14:paraId="7B4D3A93" w14:textId="77777777" w:rsidR="008C10F5" w:rsidRPr="00EF1CF2" w:rsidRDefault="008C10F5" w:rsidP="008C10F5">
      <w:pPr>
        <w:spacing w:line="360" w:lineRule="auto"/>
        <w:jc w:val="both"/>
        <w:rPr>
          <w:rFonts w:ascii="Arial" w:hAnsi="Arial" w:cs="Arial"/>
          <w:lang w:val="en-US"/>
        </w:rPr>
      </w:pPr>
      <w:r w:rsidRPr="00EF1CF2">
        <w:rPr>
          <w:rFonts w:ascii="Arial" w:hAnsi="Arial" w:cs="Arial"/>
          <w:vertAlign w:val="superscript"/>
        </w:rPr>
        <w:t>5</w:t>
      </w:r>
      <w:r w:rsidRPr="00EF1CF2">
        <w:rPr>
          <w:rFonts w:ascii="Arial" w:hAnsi="Arial" w:cs="Arial"/>
          <w:lang w:val="en-US"/>
        </w:rPr>
        <w:t>Cancer–Immune System Interactions Unit, Cancer Research Institute, Kanazawa University, Kanazawa, Japan.</w:t>
      </w:r>
    </w:p>
    <w:p w14:paraId="5CCD05E6" w14:textId="77777777" w:rsidR="008C10F5" w:rsidRPr="00EF1CF2" w:rsidRDefault="008C10F5" w:rsidP="008C10F5">
      <w:pPr>
        <w:spacing w:line="360" w:lineRule="auto"/>
        <w:jc w:val="both"/>
        <w:rPr>
          <w:rFonts w:ascii="Arial" w:hAnsi="Arial" w:cs="Arial"/>
          <w:lang w:val="en-US"/>
        </w:rPr>
      </w:pPr>
    </w:p>
    <w:p w14:paraId="406822FE" w14:textId="77777777" w:rsidR="008C10F5" w:rsidRPr="00EF1CF2" w:rsidRDefault="008C10F5" w:rsidP="008C10F5">
      <w:pPr>
        <w:spacing w:line="360" w:lineRule="auto"/>
        <w:rPr>
          <w:rFonts w:ascii="Arial" w:hAnsi="Arial" w:cs="Arial"/>
        </w:rPr>
      </w:pPr>
      <w:r w:rsidRPr="00EF1CF2">
        <w:rPr>
          <w:rFonts w:ascii="Arial" w:hAnsi="Arial" w:cs="Arial"/>
        </w:rPr>
        <w:t>* Address correspondence to Kohsuke Tsuchiya.</w:t>
      </w:r>
    </w:p>
    <w:p w14:paraId="76134D53" w14:textId="77777777" w:rsidR="008C10F5" w:rsidRPr="00EF1CF2" w:rsidRDefault="008C10F5" w:rsidP="008C10F5">
      <w:pPr>
        <w:spacing w:line="360" w:lineRule="auto"/>
        <w:rPr>
          <w:rFonts w:ascii="Arial" w:hAnsi="Arial" w:cs="Arial"/>
          <w:lang w:val="en-US"/>
        </w:rPr>
      </w:pPr>
      <w:r w:rsidRPr="00EF1CF2">
        <w:rPr>
          <w:rFonts w:ascii="Arial" w:hAnsi="Arial" w:cs="Arial"/>
        </w:rPr>
        <w:t>E-mail address: ktsuchiya@staff.kanazawa-u.ac.jp</w:t>
      </w:r>
    </w:p>
    <w:p w14:paraId="5D8A6E4C" w14:textId="77777777" w:rsidR="008C10F5" w:rsidRPr="00EF1CF2" w:rsidRDefault="008C10F5" w:rsidP="008C10F5">
      <w:pPr>
        <w:spacing w:line="360" w:lineRule="auto"/>
        <w:rPr>
          <w:rFonts w:ascii="Arial" w:hAnsi="Arial" w:cs="Arial"/>
          <w:lang w:val="en-US"/>
        </w:rPr>
      </w:pPr>
      <w:r w:rsidRPr="00EF1CF2">
        <w:rPr>
          <w:rFonts w:ascii="Arial" w:hAnsi="Arial" w:cs="Arial"/>
        </w:rPr>
        <w:t>Phone: +81 76 264 6721.</w:t>
      </w:r>
    </w:p>
    <w:p w14:paraId="43A1BA3C" w14:textId="77777777" w:rsidR="008C10F5" w:rsidRPr="00EF1CF2" w:rsidRDefault="008C10F5">
      <w:pPr>
        <w:rPr>
          <w:rFonts w:ascii="Arial" w:hAnsi="Arial" w:cs="Arial"/>
          <w:b/>
          <w:bCs/>
          <w:lang w:val="en-US"/>
        </w:rPr>
      </w:pPr>
      <w:r w:rsidRPr="00EF1CF2">
        <w:rPr>
          <w:rFonts w:ascii="Arial" w:hAnsi="Arial" w:cs="Arial"/>
          <w:b/>
          <w:bCs/>
          <w:lang w:val="en-US"/>
        </w:rPr>
        <w:br w:type="page"/>
      </w:r>
    </w:p>
    <w:p w14:paraId="1878C22F" w14:textId="526D3BF3" w:rsidR="008C10F5" w:rsidRPr="00EF1CF2" w:rsidRDefault="008C10F5" w:rsidP="008C10F5">
      <w:pPr>
        <w:spacing w:line="360" w:lineRule="auto"/>
        <w:rPr>
          <w:rFonts w:ascii="Arial" w:hAnsi="Arial" w:cs="Arial"/>
          <w:b/>
          <w:bCs/>
          <w:lang w:val="en-US"/>
        </w:rPr>
      </w:pPr>
      <w:r w:rsidRPr="00EF1CF2">
        <w:rPr>
          <w:rFonts w:ascii="Arial" w:hAnsi="Arial" w:cs="Arial"/>
          <w:b/>
          <w:bCs/>
        </w:rPr>
        <w:lastRenderedPageBreak/>
        <w:t>Supplementary Material</w:t>
      </w:r>
      <w:r w:rsidRPr="00EF1CF2">
        <w:rPr>
          <w:rFonts w:ascii="Arial" w:hAnsi="Arial" w:cs="Arial"/>
          <w:b/>
          <w:bCs/>
          <w:lang w:val="en-US"/>
        </w:rPr>
        <w:t>s and Methods</w:t>
      </w:r>
    </w:p>
    <w:p w14:paraId="08A022B0" w14:textId="77777777" w:rsidR="008C10F5" w:rsidRPr="00EF1CF2" w:rsidRDefault="008C10F5" w:rsidP="008C10F5">
      <w:pPr>
        <w:spacing w:line="360" w:lineRule="auto"/>
        <w:jc w:val="both"/>
        <w:rPr>
          <w:rFonts w:ascii="Arial" w:hAnsi="Arial" w:cs="Arial"/>
          <w:b/>
          <w:color w:val="000000" w:themeColor="text1"/>
        </w:rPr>
      </w:pPr>
      <w:r w:rsidRPr="00EF1CF2">
        <w:rPr>
          <w:rFonts w:ascii="Arial" w:hAnsi="Arial" w:cs="Arial"/>
          <w:b/>
          <w:color w:val="000000" w:themeColor="text1"/>
        </w:rPr>
        <w:t>Plasmids</w:t>
      </w:r>
    </w:p>
    <w:p w14:paraId="025F7104" w14:textId="127ADEE0" w:rsidR="008C10F5" w:rsidRPr="00EF1CF2" w:rsidRDefault="008C10F5" w:rsidP="008C10F5">
      <w:pPr>
        <w:spacing w:line="360" w:lineRule="auto"/>
        <w:jc w:val="both"/>
        <w:rPr>
          <w:rFonts w:ascii="Arial" w:hAnsi="Arial" w:cs="Arial"/>
          <w:color w:val="000000" w:themeColor="text1"/>
        </w:rPr>
      </w:pPr>
      <w:r w:rsidRPr="00EF1CF2">
        <w:rPr>
          <w:rFonts w:ascii="Arial" w:hAnsi="Arial" w:cs="Arial"/>
          <w:color w:val="000000" w:themeColor="text1"/>
        </w:rPr>
        <w:t>To construct the gRNA-expressing lentiviral transfer vector, LentiGuide-Puro (Addgene #52963) was digested with FastDigest BsmBI and dephosphorylated using calf intestinal alkaline phosphatase (Takara, #2250). Oligo</w:t>
      </w:r>
      <w:r w:rsidR="00E5433D">
        <w:rPr>
          <w:rFonts w:ascii="Arial" w:hAnsi="Arial" w:cs="Arial"/>
          <w:color w:val="000000" w:themeColor="text1"/>
        </w:rPr>
        <w:t>nucleotide</w:t>
      </w:r>
      <w:r w:rsidRPr="00EF1CF2">
        <w:rPr>
          <w:rFonts w:ascii="Arial" w:hAnsi="Arial" w:cs="Arial"/>
          <w:color w:val="000000" w:themeColor="text1"/>
        </w:rPr>
        <w:t xml:space="preserve">s </w:t>
      </w:r>
      <w:r w:rsidR="00780C27" w:rsidRPr="00EF1CF2">
        <w:rPr>
          <w:rFonts w:ascii="Arial" w:hAnsi="Arial" w:cs="Arial"/>
          <w:color w:val="000000" w:themeColor="text1"/>
        </w:rPr>
        <w:t>(</w:t>
      </w:r>
      <w:r w:rsidR="00B76135" w:rsidRPr="00EF1CF2">
        <w:rPr>
          <w:rFonts w:ascii="Arial" w:hAnsi="Arial" w:cs="Arial"/>
          <w:color w:val="000000" w:themeColor="text1"/>
        </w:rPr>
        <w:t>Supplementary Table 1</w:t>
      </w:r>
      <w:r w:rsidR="00780C27" w:rsidRPr="00EF1CF2">
        <w:rPr>
          <w:rFonts w:ascii="Arial" w:hAnsi="Arial" w:cs="Arial"/>
          <w:color w:val="000000" w:themeColor="text1"/>
        </w:rPr>
        <w:t xml:space="preserve">) </w:t>
      </w:r>
      <w:r w:rsidRPr="00EF1CF2">
        <w:rPr>
          <w:rFonts w:ascii="Arial" w:hAnsi="Arial" w:cs="Arial"/>
          <w:color w:val="000000" w:themeColor="text1"/>
        </w:rPr>
        <w:t>were phosphorylated with T4 polynucleotide kinase (Takara, #2021) and ligated into the digested LentiGuide-Puro vector using T4 DNA ligase (Takara, #2011).</w:t>
      </w:r>
      <w:r w:rsidRPr="00EF1CF2">
        <w:rPr>
          <w:rFonts w:ascii="Arial" w:hAnsi="Arial" w:cs="Arial"/>
          <w:color w:val="000000" w:themeColor="text1"/>
          <w:lang w:val="en-US"/>
        </w:rPr>
        <w:t xml:space="preserve"> </w:t>
      </w:r>
      <w:r w:rsidRPr="00EF1CF2">
        <w:rPr>
          <w:rFonts w:ascii="Arial" w:hAnsi="Arial" w:cs="Arial"/>
          <w:color w:val="000000" w:themeColor="text1"/>
        </w:rPr>
        <w:t>For the construction of inducible NLRP7 expression vectors, pCW-Tet-Cas9-BFP-PGK-Blast (Addgene #196720) was digested with NheI and PacI, and NLRP7 isoform 2 cDNA (NP_996611.2), NLRP7 isoform 3 cDNA (NP_001120727.1), or BFP (control) cDNA was inserted using the In-Fusion HD Cloning Kit (Takara #</w:t>
      </w:r>
      <w:r w:rsidRPr="00EF1CF2">
        <w:rPr>
          <w:rFonts w:ascii="Arial" w:hAnsi="Arial" w:cs="Arial"/>
          <w:color w:val="000000" w:themeColor="text1"/>
          <w:lang w:val="en-US"/>
        </w:rPr>
        <w:t>639650</w:t>
      </w:r>
      <w:r w:rsidRPr="00EF1CF2">
        <w:rPr>
          <w:rFonts w:ascii="Arial" w:hAnsi="Arial" w:cs="Arial"/>
          <w:color w:val="000000" w:themeColor="text1"/>
        </w:rPr>
        <w:t>).</w:t>
      </w:r>
    </w:p>
    <w:p w14:paraId="3CBF56A4" w14:textId="77777777" w:rsidR="003971B7" w:rsidRPr="00EF1CF2" w:rsidRDefault="003971B7" w:rsidP="008C10F5">
      <w:pPr>
        <w:spacing w:line="360" w:lineRule="auto"/>
        <w:jc w:val="both"/>
        <w:rPr>
          <w:rFonts w:ascii="Arial" w:hAnsi="Arial" w:cs="Arial"/>
          <w:color w:val="000000" w:themeColor="text1"/>
        </w:rPr>
      </w:pPr>
    </w:p>
    <w:p w14:paraId="227F46F9" w14:textId="77777777" w:rsidR="008C10F5" w:rsidRPr="00EF1CF2" w:rsidRDefault="008C10F5" w:rsidP="008C10F5">
      <w:pPr>
        <w:spacing w:line="360" w:lineRule="auto"/>
        <w:jc w:val="both"/>
        <w:rPr>
          <w:rFonts w:ascii="Arial" w:hAnsi="Arial" w:cs="Arial"/>
          <w:b/>
          <w:bCs/>
          <w:color w:val="000000" w:themeColor="text1"/>
        </w:rPr>
      </w:pPr>
      <w:r w:rsidRPr="00EF1CF2">
        <w:rPr>
          <w:rFonts w:ascii="Arial" w:hAnsi="Arial" w:cs="Arial"/>
          <w:b/>
          <w:bCs/>
          <w:color w:val="000000" w:themeColor="text1"/>
        </w:rPr>
        <w:t>Cell culture</w:t>
      </w:r>
    </w:p>
    <w:p w14:paraId="07D291DC" w14:textId="77777777" w:rsidR="008C10F5" w:rsidRPr="00EF1CF2" w:rsidRDefault="008C10F5" w:rsidP="008C10F5">
      <w:pPr>
        <w:spacing w:line="360" w:lineRule="auto"/>
        <w:jc w:val="both"/>
        <w:rPr>
          <w:rFonts w:ascii="Arial" w:hAnsi="Arial" w:cs="Arial"/>
        </w:rPr>
      </w:pPr>
      <w:r w:rsidRPr="00EF1CF2">
        <w:rPr>
          <w:rFonts w:ascii="Arial" w:hAnsi="Arial" w:cs="Arial"/>
          <w:bCs/>
          <w:color w:val="000000" w:themeColor="text1"/>
        </w:rPr>
        <w:t xml:space="preserve">THP-1 cells (ATCC TIB-202) were </w:t>
      </w:r>
      <w:r w:rsidRPr="00EF1CF2">
        <w:rPr>
          <w:rFonts w:ascii="Arial" w:hAnsi="Arial" w:cs="Arial"/>
          <w:color w:val="000000" w:themeColor="text1"/>
        </w:rPr>
        <w:t>grown in RPMI 1640 supplemented with 10% fetal bovine serum (FBS),</w:t>
      </w:r>
      <w:r w:rsidRPr="00EF1CF2">
        <w:rPr>
          <w:rFonts w:ascii="Arial" w:hAnsi="Arial" w:cs="Arial"/>
          <w:bCs/>
          <w:color w:val="000000" w:themeColor="text1"/>
        </w:rPr>
        <w:t xml:space="preserve"> 100 U/ml </w:t>
      </w:r>
      <w:r w:rsidRPr="00EF1CF2">
        <w:rPr>
          <w:rFonts w:ascii="Arial" w:hAnsi="Arial" w:cs="Arial"/>
          <w:color w:val="000000" w:themeColor="text1"/>
        </w:rPr>
        <w:t xml:space="preserve">penicillin, and 100 </w:t>
      </w:r>
      <w:r w:rsidRPr="00EF1CF2">
        <w:rPr>
          <w:rFonts w:ascii="Arial" w:hAnsi="Arial" w:cs="Arial"/>
          <w:bCs/>
          <w:color w:val="000000" w:themeColor="text1"/>
        </w:rPr>
        <w:t>μ</w:t>
      </w:r>
      <w:r w:rsidRPr="00EF1CF2">
        <w:rPr>
          <w:rFonts w:ascii="Arial" w:hAnsi="Arial" w:cs="Arial"/>
          <w:color w:val="000000" w:themeColor="text1"/>
        </w:rPr>
        <w:t>g/ml streptomycin under a humidified atmosphere with 5% CO</w:t>
      </w:r>
      <w:r w:rsidRPr="00EF1CF2">
        <w:rPr>
          <w:rFonts w:ascii="Arial" w:hAnsi="Arial" w:cs="Arial"/>
          <w:color w:val="000000" w:themeColor="text1"/>
          <w:vertAlign w:val="subscript"/>
        </w:rPr>
        <w:t>2</w:t>
      </w:r>
      <w:r w:rsidRPr="00EF1CF2">
        <w:rPr>
          <w:rFonts w:ascii="Arial" w:hAnsi="Arial" w:cs="Arial"/>
          <w:color w:val="000000" w:themeColor="text1"/>
        </w:rPr>
        <w:t xml:space="preserve"> at 37°C. We confirmed that the cell line was free of mycoplasma contamination. THP-1 cells at high density </w:t>
      </w:r>
      <w:r w:rsidRPr="00EF1CF2">
        <w:rPr>
          <w:rFonts w:ascii="Arial" w:hAnsi="Arial" w:cs="Arial"/>
          <w:color w:val="000000" w:themeColor="text1"/>
          <w:lang w:val="en-US"/>
        </w:rPr>
        <w:t xml:space="preserve">were </w:t>
      </w:r>
      <w:r w:rsidRPr="00EF1CF2">
        <w:rPr>
          <w:rFonts w:ascii="Arial" w:hAnsi="Arial" w:cs="Arial"/>
          <w:color w:val="000000" w:themeColor="text1"/>
        </w:rPr>
        <w:t>diluted into a tenfold volume of fresh RPMI 1640 medium, followed by incubation for 7 days to allow them to reach a near-confluent state. Before stimulation, the cells were washed with either fresh RPMI 1640 or Opti-MEM and immediately subjected to experiments.</w:t>
      </w:r>
      <w:r w:rsidRPr="00EF1CF2">
        <w:rPr>
          <w:rFonts w:ascii="Arial" w:hAnsi="Arial" w:cs="Arial"/>
          <w:color w:val="000000" w:themeColor="text1"/>
          <w:lang w:val="en-US"/>
        </w:rPr>
        <w:t xml:space="preserve"> </w:t>
      </w:r>
      <w:r w:rsidRPr="00EF1CF2">
        <w:rPr>
          <w:rFonts w:ascii="Arial" w:hAnsi="Arial" w:cs="Arial"/>
        </w:rPr>
        <w:t>For selected experiments (Fig. 1E), THP-1 cells prepared as described above and cultured for 6 days were refreshed with new RPMI 1640 medium and incubated for an additional 24 hours prior to use. For PMA-induced differentiation, THP-1 cells were stimulated with 100 nM PMA for 2 hours, washed, and then cultured for 24 hours. The adherent cells were subsequently used for experiments.</w:t>
      </w:r>
    </w:p>
    <w:p w14:paraId="225D1369" w14:textId="77777777" w:rsidR="003971B7" w:rsidRPr="00EF1CF2" w:rsidRDefault="003971B7" w:rsidP="008C10F5">
      <w:pPr>
        <w:spacing w:line="360" w:lineRule="auto"/>
        <w:jc w:val="both"/>
        <w:rPr>
          <w:rFonts w:ascii="Arial" w:hAnsi="Arial" w:cs="Arial"/>
        </w:rPr>
      </w:pPr>
    </w:p>
    <w:p w14:paraId="34324F68" w14:textId="77777777" w:rsidR="008C10F5" w:rsidRPr="00EF1CF2" w:rsidRDefault="008C10F5" w:rsidP="008C10F5">
      <w:pPr>
        <w:spacing w:line="360" w:lineRule="auto"/>
        <w:jc w:val="both"/>
        <w:rPr>
          <w:rFonts w:ascii="Arial" w:hAnsi="Arial" w:cs="Arial"/>
          <w:b/>
          <w:color w:val="000000" w:themeColor="text1"/>
        </w:rPr>
      </w:pPr>
      <w:r w:rsidRPr="00EF1CF2">
        <w:rPr>
          <w:rFonts w:ascii="Arial" w:hAnsi="Arial" w:cs="Arial"/>
          <w:b/>
          <w:color w:val="000000" w:themeColor="text1"/>
          <w:lang w:val="en-US"/>
        </w:rPr>
        <w:t>Lentiviral manipulation of THP-1 cells</w:t>
      </w:r>
    </w:p>
    <w:p w14:paraId="091D2240" w14:textId="085E3E37" w:rsidR="008C10F5" w:rsidRPr="00EF1CF2" w:rsidRDefault="008C10F5" w:rsidP="008C10F5">
      <w:pPr>
        <w:spacing w:line="360" w:lineRule="auto"/>
        <w:jc w:val="both"/>
        <w:rPr>
          <w:rFonts w:ascii="Arial" w:hAnsi="Arial" w:cs="Arial"/>
          <w:bCs/>
          <w:color w:val="000000" w:themeColor="text1"/>
        </w:rPr>
      </w:pPr>
      <w:r w:rsidRPr="00EF1CF2">
        <w:rPr>
          <w:rFonts w:ascii="Arial" w:hAnsi="Arial" w:cs="Arial"/>
          <w:bCs/>
          <w:color w:val="000000" w:themeColor="text1"/>
        </w:rPr>
        <w:t>Cas9-expressing THP-1 cells were generated as follows. Lentiviruses were produced in 293FT cells co-transfected with the lentiviral packaging vectors pMD2.G and psPAX2 (Addgene #12259 and #12260) together with pLentiCas9-T2A-BFP (Addgene #78547) using Lipofectamine 2000</w:t>
      </w:r>
      <w:r w:rsidRPr="00EF1CF2">
        <w:rPr>
          <w:rFonts w:ascii="Arial" w:hAnsi="Arial" w:cs="Arial"/>
          <w:bCs/>
          <w:color w:val="000000" w:themeColor="text1"/>
          <w:lang w:val="en-US"/>
        </w:rPr>
        <w:t xml:space="preserve"> (</w:t>
      </w:r>
      <w:r w:rsidRPr="00EF1CF2">
        <w:rPr>
          <w:rFonts w:ascii="Arial" w:hAnsi="Arial" w:cs="Arial"/>
        </w:rPr>
        <w:t>Thermo Fisher Scientific,</w:t>
      </w:r>
      <w:r w:rsidRPr="00EF1CF2">
        <w:rPr>
          <w:rFonts w:ascii="Arial" w:hAnsi="Arial" w:cs="Arial"/>
          <w:bCs/>
          <w:color w:val="000000" w:themeColor="text1"/>
          <w:lang w:val="en-US"/>
        </w:rPr>
        <w:t xml:space="preserve"> 11668019)</w:t>
      </w:r>
      <w:r w:rsidRPr="00EF1CF2">
        <w:rPr>
          <w:rFonts w:ascii="Arial" w:hAnsi="Arial" w:cs="Arial"/>
          <w:bCs/>
          <w:color w:val="000000" w:themeColor="text1"/>
        </w:rPr>
        <w:t xml:space="preserve">. Viral supernatants were </w:t>
      </w:r>
      <w:r w:rsidRPr="00EF1CF2">
        <w:rPr>
          <w:rFonts w:ascii="Arial" w:hAnsi="Arial" w:cs="Arial"/>
          <w:bCs/>
          <w:color w:val="000000" w:themeColor="text1"/>
        </w:rPr>
        <w:lastRenderedPageBreak/>
        <w:t>collected, passed through a 0.45-μm filter, and stored at −80 °C. THP-1 cells were transduced with the lentiviral particles and maintained under selection with 10 µg/m</w:t>
      </w:r>
      <w:r w:rsidR="004B36B9">
        <w:rPr>
          <w:rFonts w:ascii="Arial" w:hAnsi="Arial" w:cs="Arial"/>
          <w:bCs/>
          <w:color w:val="000000" w:themeColor="text1"/>
        </w:rPr>
        <w:t>l</w:t>
      </w:r>
      <w:r w:rsidRPr="00EF1CF2">
        <w:rPr>
          <w:rFonts w:ascii="Arial" w:hAnsi="Arial" w:cs="Arial"/>
          <w:bCs/>
          <w:color w:val="000000" w:themeColor="text1"/>
        </w:rPr>
        <w:t xml:space="preserve"> blasticidin for 1 week. BFP-positive cells were isolated by cell sorting three times using a FACSAria Fusion cell sorter (BD Biosciences) and used as Cas9-expressing THP-1 cells. Using the same procedure, lentiviruses carrying LentiGuide-Puro encoding individual gRNAs or gRNA pools were introduced into the Cas9-expressing THP-1 cells. Transduced cells were selected with puromycin (1 µg/m</w:t>
      </w:r>
      <w:r w:rsidR="004B36B9">
        <w:rPr>
          <w:rFonts w:ascii="Arial" w:hAnsi="Arial" w:cs="Arial"/>
          <w:bCs/>
          <w:color w:val="000000" w:themeColor="text1"/>
        </w:rPr>
        <w:t>l</w:t>
      </w:r>
      <w:r w:rsidRPr="00EF1CF2">
        <w:rPr>
          <w:rFonts w:ascii="Arial" w:hAnsi="Arial" w:cs="Arial"/>
          <w:bCs/>
          <w:color w:val="000000" w:themeColor="text1"/>
        </w:rPr>
        <w:t>) for more than one week. Gene-knockout clones were obtained by single-cell cloning, and successful knockout was confirmed either by Nanopore sequencing of the targeted genomic locus or by assessing protein expression via Western blotting. Inducible NLRP7 expression vectors were likewise introduced into THP-1 cells via lentiviral transduction.</w:t>
      </w:r>
    </w:p>
    <w:p w14:paraId="0EC58424" w14:textId="77777777" w:rsidR="003971B7" w:rsidRPr="00EF1CF2" w:rsidRDefault="003971B7" w:rsidP="008C10F5">
      <w:pPr>
        <w:spacing w:line="360" w:lineRule="auto"/>
        <w:jc w:val="both"/>
        <w:rPr>
          <w:rFonts w:ascii="Arial" w:hAnsi="Arial" w:cs="Arial"/>
          <w:bCs/>
          <w:color w:val="000000" w:themeColor="text1"/>
        </w:rPr>
      </w:pPr>
    </w:p>
    <w:p w14:paraId="3DB7A015" w14:textId="77777777" w:rsidR="008C10F5" w:rsidRPr="00EF1CF2" w:rsidRDefault="008C10F5" w:rsidP="008C10F5">
      <w:pPr>
        <w:spacing w:line="360" w:lineRule="auto"/>
        <w:jc w:val="both"/>
        <w:rPr>
          <w:rFonts w:ascii="Arial" w:hAnsi="Arial" w:cs="Arial"/>
          <w:b/>
          <w:color w:val="000000" w:themeColor="text1"/>
        </w:rPr>
      </w:pPr>
      <w:r w:rsidRPr="00EF1CF2">
        <w:rPr>
          <w:rFonts w:ascii="Arial" w:hAnsi="Arial" w:cs="Arial"/>
          <w:b/>
          <w:color w:val="000000" w:themeColor="text1"/>
        </w:rPr>
        <w:t>Stimulation of cells</w:t>
      </w:r>
    </w:p>
    <w:p w14:paraId="48850D43" w14:textId="72A6D34E" w:rsidR="008C10F5" w:rsidRPr="00EF1CF2" w:rsidRDefault="008C10F5" w:rsidP="008C10F5">
      <w:pPr>
        <w:spacing w:line="360" w:lineRule="auto"/>
        <w:jc w:val="both"/>
        <w:rPr>
          <w:rFonts w:ascii="Arial" w:hAnsi="Arial" w:cs="Arial"/>
        </w:rPr>
      </w:pPr>
      <w:r w:rsidRPr="00EF1CF2">
        <w:rPr>
          <w:rFonts w:ascii="Arial" w:hAnsi="Arial" w:cs="Arial"/>
        </w:rPr>
        <w:t>Undifferentiated and PMA-differentiated THP-1 cells were stimulated with lipopeptides or nigericin for the indicated durations to induce inflammasome activation. DTT was added immediately before stimulation, diamide was added 30 minutes after stimulation, and all other inhibitors were added 30 minutes prior to stimulation. Cystine overloading was performed by incubating cells with 1 mM cystine for 20 h. For the induction of necroptosis, THP-1 cells were treated with LPS (100 ng/m</w:t>
      </w:r>
      <w:r w:rsidR="004B36B9">
        <w:rPr>
          <w:rFonts w:ascii="Arial" w:hAnsi="Arial" w:cs="Arial"/>
        </w:rPr>
        <w:t>l</w:t>
      </w:r>
      <w:r w:rsidRPr="00EF1CF2">
        <w:rPr>
          <w:rFonts w:ascii="Arial" w:hAnsi="Arial" w:cs="Arial"/>
        </w:rPr>
        <w:t>) plus z-VAD-fmk (30 µM) for 24 h. Ferroptosis was induced by incubating THP-1 cells with RSL3 (20 µM) for 24 h.</w:t>
      </w:r>
    </w:p>
    <w:p w14:paraId="07C1F5C7" w14:textId="77777777" w:rsidR="003971B7" w:rsidRPr="00EF1CF2" w:rsidRDefault="003971B7" w:rsidP="008C10F5">
      <w:pPr>
        <w:spacing w:line="360" w:lineRule="auto"/>
        <w:jc w:val="both"/>
        <w:rPr>
          <w:rFonts w:ascii="Arial" w:hAnsi="Arial" w:cs="Arial"/>
        </w:rPr>
      </w:pPr>
    </w:p>
    <w:p w14:paraId="335A8FB1" w14:textId="77777777" w:rsidR="008C10F5" w:rsidRPr="00EF1CF2" w:rsidRDefault="008C10F5" w:rsidP="008C10F5">
      <w:pPr>
        <w:spacing w:line="360" w:lineRule="auto"/>
        <w:jc w:val="both"/>
        <w:rPr>
          <w:rFonts w:ascii="Arial" w:hAnsi="Arial" w:cs="Arial"/>
          <w:b/>
          <w:bCs/>
          <w:color w:val="000000" w:themeColor="text1"/>
        </w:rPr>
      </w:pPr>
      <w:r w:rsidRPr="00EF1CF2">
        <w:rPr>
          <w:rFonts w:ascii="Arial" w:hAnsi="Arial" w:cs="Arial"/>
          <w:b/>
          <w:bCs/>
          <w:color w:val="000000" w:themeColor="text1"/>
        </w:rPr>
        <w:t>LDH release assay</w:t>
      </w:r>
    </w:p>
    <w:p w14:paraId="344756AA" w14:textId="77777777" w:rsidR="008C10F5" w:rsidRPr="00EF1CF2" w:rsidRDefault="008C10F5" w:rsidP="008C10F5">
      <w:pPr>
        <w:spacing w:line="360" w:lineRule="auto"/>
        <w:jc w:val="both"/>
        <w:rPr>
          <w:rFonts w:ascii="Arial" w:hAnsi="Arial" w:cs="Arial"/>
          <w:bCs/>
          <w:color w:val="000000" w:themeColor="text1"/>
        </w:rPr>
      </w:pPr>
      <w:r w:rsidRPr="00EF1CF2">
        <w:rPr>
          <w:rFonts w:ascii="Arial" w:hAnsi="Arial" w:cs="Arial"/>
          <w:bCs/>
          <w:color w:val="000000" w:themeColor="text1"/>
        </w:rPr>
        <w:t>The LDH released from cells into culture supernatants was measured using the Cytotoxicity LDH Assay Kit-WST (DOJINDO, CK12) according to the manufacturer’s protocol. The percentage of LDH release was calculated as follows: % LDH release = (sample LDH activity-background LDH)/(total LDH activity-background LDH)×100.</w:t>
      </w:r>
    </w:p>
    <w:p w14:paraId="5FEC2990" w14:textId="77777777" w:rsidR="003971B7" w:rsidRPr="00EF1CF2" w:rsidRDefault="003971B7" w:rsidP="008C10F5">
      <w:pPr>
        <w:spacing w:line="360" w:lineRule="auto"/>
        <w:jc w:val="both"/>
        <w:rPr>
          <w:rFonts w:ascii="Arial" w:hAnsi="Arial" w:cs="Arial"/>
          <w:bCs/>
          <w:color w:val="000000" w:themeColor="text1"/>
        </w:rPr>
      </w:pPr>
    </w:p>
    <w:p w14:paraId="2FD477AC" w14:textId="77777777" w:rsidR="008C10F5" w:rsidRPr="00EF1CF2" w:rsidRDefault="008C10F5" w:rsidP="008C10F5">
      <w:pPr>
        <w:spacing w:line="360" w:lineRule="auto"/>
        <w:jc w:val="both"/>
        <w:rPr>
          <w:rFonts w:ascii="Arial" w:hAnsi="Arial" w:cs="Arial"/>
          <w:color w:val="000000" w:themeColor="text1"/>
        </w:rPr>
      </w:pPr>
      <w:r w:rsidRPr="00EF1CF2">
        <w:rPr>
          <w:rFonts w:ascii="Arial" w:hAnsi="Arial" w:cs="Arial"/>
          <w:b/>
          <w:bCs/>
          <w:color w:val="000000" w:themeColor="text1"/>
        </w:rPr>
        <w:t>ELISA</w:t>
      </w:r>
      <w:r w:rsidRPr="00EF1CF2">
        <w:rPr>
          <w:rFonts w:ascii="Arial" w:hAnsi="Arial" w:cs="Arial"/>
          <w:color w:val="000000" w:themeColor="text1"/>
        </w:rPr>
        <w:t xml:space="preserve"> </w:t>
      </w:r>
    </w:p>
    <w:p w14:paraId="04FFD901" w14:textId="6DC5F19D" w:rsidR="008C10F5" w:rsidRPr="00EF1CF2" w:rsidRDefault="008C10F5" w:rsidP="008C10F5">
      <w:pPr>
        <w:spacing w:line="360" w:lineRule="auto"/>
        <w:jc w:val="both"/>
        <w:rPr>
          <w:rFonts w:ascii="Arial" w:hAnsi="Arial" w:cs="Arial"/>
          <w:bCs/>
          <w:color w:val="000000" w:themeColor="text1"/>
        </w:rPr>
      </w:pPr>
      <w:r w:rsidRPr="00EF1CF2">
        <w:rPr>
          <w:rFonts w:ascii="Arial" w:hAnsi="Arial" w:cs="Arial"/>
          <w:color w:val="000000" w:themeColor="text1"/>
        </w:rPr>
        <w:t>Culture supernatants were centrifuged at 1500 × </w:t>
      </w:r>
      <w:r w:rsidRPr="00EF1CF2">
        <w:rPr>
          <w:rFonts w:ascii="Arial" w:hAnsi="Arial" w:cs="Arial"/>
          <w:i/>
          <w:iCs/>
          <w:color w:val="000000" w:themeColor="text1"/>
        </w:rPr>
        <w:t>g</w:t>
      </w:r>
      <w:r w:rsidRPr="00EF1CF2">
        <w:rPr>
          <w:rFonts w:ascii="Arial" w:hAnsi="Arial" w:cs="Arial"/>
          <w:color w:val="000000" w:themeColor="text1"/>
        </w:rPr>
        <w:t xml:space="preserve"> for 5 min at 4 °C to remove cells and debris. The supernatants were stored at -80°C until use. Levels of IL-1β</w:t>
      </w:r>
      <w:r w:rsidRPr="00EF1CF2">
        <w:rPr>
          <w:rFonts w:ascii="Arial" w:hAnsi="Arial" w:cs="Arial"/>
          <w:color w:val="000000" w:themeColor="text1"/>
          <w:lang w:val="en-US"/>
        </w:rPr>
        <w:t xml:space="preserve"> and TNF-α</w:t>
      </w:r>
      <w:r w:rsidRPr="00EF1CF2">
        <w:rPr>
          <w:rFonts w:ascii="Arial" w:hAnsi="Arial" w:cs="Arial"/>
          <w:color w:val="000000" w:themeColor="text1"/>
        </w:rPr>
        <w:t xml:space="preserve"> in the specimens were assessed by sandwich ELISAs using ELISA MAX Deluxe Set Human IL-</w:t>
      </w:r>
      <w:r w:rsidRPr="00EF1CF2">
        <w:rPr>
          <w:rFonts w:ascii="Arial" w:hAnsi="Arial" w:cs="Arial"/>
          <w:color w:val="000000" w:themeColor="text1"/>
        </w:rPr>
        <w:lastRenderedPageBreak/>
        <w:t xml:space="preserve">1β (BioLegend, 437004) and </w:t>
      </w:r>
      <w:r w:rsidRPr="00EF1CF2">
        <w:rPr>
          <w:rFonts w:ascii="Arial" w:hAnsi="Arial" w:cs="Arial"/>
          <w:bCs/>
          <w:color w:val="000000" w:themeColor="text1"/>
        </w:rPr>
        <w:t>ELISA MAX Standard Set Human TNF-α (</w:t>
      </w:r>
      <w:r w:rsidRPr="00EF1CF2">
        <w:rPr>
          <w:rFonts w:ascii="Arial" w:hAnsi="Arial" w:cs="Arial"/>
          <w:color w:val="000000" w:themeColor="text1"/>
        </w:rPr>
        <w:t>BioLegend</w:t>
      </w:r>
      <w:r w:rsidRPr="00EF1CF2">
        <w:rPr>
          <w:rFonts w:ascii="Arial" w:hAnsi="Arial" w:cs="Arial"/>
          <w:bCs/>
          <w:color w:val="000000" w:themeColor="text1"/>
        </w:rPr>
        <w:t>, 430201) according to the kit instructions.</w:t>
      </w:r>
    </w:p>
    <w:p w14:paraId="5499D0D7" w14:textId="77777777" w:rsidR="003971B7" w:rsidRPr="00EF1CF2" w:rsidRDefault="003971B7" w:rsidP="008C10F5">
      <w:pPr>
        <w:spacing w:line="360" w:lineRule="auto"/>
        <w:jc w:val="both"/>
        <w:rPr>
          <w:rFonts w:ascii="Arial" w:hAnsi="Arial" w:cs="Arial"/>
          <w:color w:val="000000" w:themeColor="text1"/>
        </w:rPr>
      </w:pPr>
    </w:p>
    <w:p w14:paraId="6634B4D5" w14:textId="77777777" w:rsidR="008C10F5" w:rsidRPr="00EF1CF2" w:rsidRDefault="008C10F5" w:rsidP="008C10F5">
      <w:pPr>
        <w:spacing w:line="360" w:lineRule="auto"/>
        <w:jc w:val="both"/>
        <w:rPr>
          <w:rFonts w:ascii="Arial" w:hAnsi="Arial" w:cs="Arial"/>
          <w:color w:val="000000" w:themeColor="text1"/>
        </w:rPr>
      </w:pPr>
      <w:r w:rsidRPr="00EF1CF2">
        <w:rPr>
          <w:rFonts w:ascii="Arial" w:hAnsi="Arial" w:cs="Arial"/>
          <w:b/>
          <w:color w:val="000000" w:themeColor="text1"/>
        </w:rPr>
        <w:t>Western blotting</w:t>
      </w:r>
    </w:p>
    <w:p w14:paraId="0F0A356F" w14:textId="77777777" w:rsidR="008C10F5" w:rsidRPr="00EF1CF2" w:rsidRDefault="008C10F5" w:rsidP="008C10F5">
      <w:pPr>
        <w:spacing w:line="360" w:lineRule="auto"/>
        <w:jc w:val="both"/>
        <w:rPr>
          <w:rFonts w:ascii="Arial" w:hAnsi="Arial" w:cs="Arial"/>
          <w:color w:val="000000" w:themeColor="text1"/>
        </w:rPr>
      </w:pPr>
      <w:r w:rsidRPr="00EF1CF2">
        <w:rPr>
          <w:rFonts w:ascii="Arial" w:hAnsi="Arial" w:cs="Arial"/>
          <w:color w:val="000000" w:themeColor="text1"/>
        </w:rPr>
        <w:t xml:space="preserve">Proteins in culture supernatants were precipitated with 20% trichloroacetic acid, and the pellets were washed twice with 1 ml of 80% acetone, dried, and boiled in SDS-Sample Buffer containing 20 mM DTT for 5 min. Cells were solubilized in SDS-Sample Buffer with or without DTT and boiled at 95 </w:t>
      </w:r>
      <w:r w:rsidRPr="00EF1CF2">
        <w:rPr>
          <w:rFonts w:ascii="Arial" w:hAnsi="Arial" w:cs="Arial"/>
          <w:bCs/>
          <w:color w:val="000000" w:themeColor="text1"/>
        </w:rPr>
        <w:t>°C</w:t>
      </w:r>
      <w:r w:rsidRPr="00EF1CF2">
        <w:rPr>
          <w:rFonts w:ascii="Arial" w:hAnsi="Arial" w:cs="Arial"/>
          <w:color w:val="000000" w:themeColor="text1"/>
        </w:rPr>
        <w:t xml:space="preserve"> for 20 min. The samples were subjected to SDS–PAGE and transferred to PVDF membranes (Merck). Membranes were blocked with nonfat dry milk or Blocking One (Nacalai Tesque) for 1 h at room temperature and incubated overnight at 4 °C with primary antibodies diluted in Immuno-Enhancer Reagent A (Wako, 295-68614). The following primary antibodies were used: NLRP3 (Proteintech, 68102-1-Ig), NLRP7 (Proteintech, 27897-1-AP; GeneTex, GTX85156), GSDMD (Sigma-Aldrich, HPA044487), Caspase-1 (AdipoGen, AG-20B-0048-C100), ASC (Santa Cruz Biotechnology, sc-22514-R), IL-1β (R&amp;D Systems, MAB201), NEK7 (Bethyl Laboratories, A302-684), IKKα (Selleck, F0995), IKKβ (Selleck, F0333), β-actin–HRP (MBL, PM053-7), GAPDH–HRP (MBL, M171-7), and the following antibodies from Cell Signaling Technology: Caspase-8 (4790), NLRC5 (72379), Pannexin-1 (91137), NEMO (2685), phospho-IKKα/β (2697), and TLR2 (12276).</w:t>
      </w:r>
      <w:r w:rsidRPr="00EF1CF2">
        <w:rPr>
          <w:rFonts w:ascii="Arial" w:hAnsi="Arial" w:cs="Arial"/>
          <w:color w:val="000000" w:themeColor="text1"/>
          <w:lang w:val="en-US"/>
        </w:rPr>
        <w:t xml:space="preserve"> </w:t>
      </w:r>
      <w:r w:rsidRPr="00EF1CF2">
        <w:rPr>
          <w:rFonts w:ascii="Arial" w:hAnsi="Arial" w:cs="Arial"/>
          <w:color w:val="000000" w:themeColor="text1"/>
        </w:rPr>
        <w:t>Secondary antibodies diluted in Immuno-Enhancer Reagent B (Wako, 292-68624) were anti-rabbit IgG HRP-linked antibody (CST, 7074; 1:1000) and anti-mouse IgG HRP-linked antibody (CST, 7076; 1:1000).</w:t>
      </w:r>
    </w:p>
    <w:p w14:paraId="56596A5D" w14:textId="77777777" w:rsidR="003971B7" w:rsidRPr="00EF1CF2" w:rsidRDefault="003971B7" w:rsidP="008C10F5">
      <w:pPr>
        <w:spacing w:line="360" w:lineRule="auto"/>
        <w:jc w:val="both"/>
        <w:rPr>
          <w:rFonts w:ascii="Arial" w:hAnsi="Arial" w:cs="Arial"/>
          <w:color w:val="000000" w:themeColor="text1"/>
        </w:rPr>
      </w:pPr>
    </w:p>
    <w:p w14:paraId="15B0A5F0" w14:textId="0E0BA2E1" w:rsidR="008C10F5" w:rsidRPr="00EF1CF2" w:rsidRDefault="008C10F5" w:rsidP="008C10F5">
      <w:pPr>
        <w:spacing w:line="360" w:lineRule="auto"/>
        <w:rPr>
          <w:rFonts w:ascii="Arial" w:hAnsi="Arial" w:cs="Arial"/>
          <w:color w:val="000000" w:themeColor="text1"/>
        </w:rPr>
      </w:pPr>
      <w:r w:rsidRPr="00EF1CF2">
        <w:rPr>
          <w:rStyle w:val="Strong"/>
          <w:rFonts w:ascii="Arial" w:hAnsi="Arial" w:cs="Arial"/>
        </w:rPr>
        <w:t>NADPH</w:t>
      </w:r>
      <w:r w:rsidR="00272AD0">
        <w:rPr>
          <w:rStyle w:val="Strong"/>
          <w:rFonts w:ascii="Arial" w:hAnsi="Arial" w:cs="Arial"/>
        </w:rPr>
        <w:t xml:space="preserve"> </w:t>
      </w:r>
      <w:r w:rsidRPr="00EF1CF2">
        <w:rPr>
          <w:rStyle w:val="Strong"/>
          <w:rFonts w:ascii="Arial" w:hAnsi="Arial" w:cs="Arial"/>
        </w:rPr>
        <w:t>/</w:t>
      </w:r>
      <w:r w:rsidR="00272AD0">
        <w:rPr>
          <w:rStyle w:val="Strong"/>
          <w:rFonts w:ascii="Arial" w:hAnsi="Arial" w:cs="Arial"/>
        </w:rPr>
        <w:t xml:space="preserve"> </w:t>
      </w:r>
      <w:r w:rsidRPr="00EF1CF2">
        <w:rPr>
          <w:rStyle w:val="Strong"/>
          <w:rFonts w:ascii="Arial" w:hAnsi="Arial" w:cs="Arial"/>
        </w:rPr>
        <w:t>NADP</w:t>
      </w:r>
      <w:r w:rsidRPr="00EF1CF2">
        <w:rPr>
          <w:rStyle w:val="Strong"/>
          <w:rFonts w:ascii="Cambria Math" w:hAnsi="Cambria Math" w:cs="Cambria Math"/>
        </w:rPr>
        <w:t>⁺</w:t>
      </w:r>
      <w:r w:rsidRPr="00EF1CF2">
        <w:rPr>
          <w:rStyle w:val="Strong"/>
          <w:rFonts w:ascii="Arial" w:hAnsi="Arial" w:cs="Arial"/>
        </w:rPr>
        <w:t xml:space="preserve"> assay</w:t>
      </w:r>
      <w:r w:rsidRPr="00EF1CF2">
        <w:rPr>
          <w:rFonts w:ascii="Arial" w:hAnsi="Arial" w:cs="Arial"/>
        </w:rPr>
        <w:br/>
        <w:t>NADPH and NADP</w:t>
      </w:r>
      <w:r w:rsidRPr="00EF1CF2">
        <w:rPr>
          <w:rFonts w:ascii="Cambria Math" w:hAnsi="Cambria Math" w:cs="Cambria Math"/>
        </w:rPr>
        <w:t>⁺</w:t>
      </w:r>
      <w:r w:rsidRPr="00EF1CF2">
        <w:rPr>
          <w:rFonts w:ascii="Arial" w:hAnsi="Arial" w:cs="Arial"/>
        </w:rPr>
        <w:t xml:space="preserve"> levels were measured using the NADP/NADPH Assay Kit-WST (DOJINDO, N510) according to the manufacturer’s instructions. Briefly, GSDMD-deficient THP-1 cells (2 × 10⁶) were stimulated with Pam</w:t>
      </w:r>
      <w:r w:rsidRPr="00EF1CF2">
        <w:rPr>
          <w:rFonts w:ascii="Arial" w:hAnsi="Arial" w:cs="Arial"/>
          <w:vertAlign w:val="subscript"/>
        </w:rPr>
        <w:t>3</w:t>
      </w:r>
      <w:r w:rsidRPr="00EF1CF2">
        <w:rPr>
          <w:rFonts w:ascii="Arial" w:hAnsi="Arial" w:cs="Arial"/>
        </w:rPr>
        <w:t>CSK</w:t>
      </w:r>
      <w:r w:rsidRPr="00EF1CF2">
        <w:rPr>
          <w:rFonts w:ascii="Arial" w:hAnsi="Arial" w:cs="Arial"/>
          <w:vertAlign w:val="subscript"/>
        </w:rPr>
        <w:t>4</w:t>
      </w:r>
      <w:r w:rsidRPr="00EF1CF2">
        <w:rPr>
          <w:rFonts w:ascii="Arial" w:hAnsi="Arial" w:cs="Arial"/>
        </w:rPr>
        <w:t xml:space="preserve"> (500 ng/ml) and washed once with PBS. The cells were then lysed in 0.3 ml of NADP/NADPH Extraction Buffer. The lysates were centrifuged at 12,000 × g for 5 min, passed through a 10 kDa MWCO filtration tube, and divided into two microtubes. One aliquot was incubated at 60°C for 1 h to degrade NADP</w:t>
      </w:r>
      <w:r w:rsidRPr="00EF1CF2">
        <w:rPr>
          <w:rFonts w:ascii="Cambria Math" w:hAnsi="Cambria Math" w:cs="Cambria Math"/>
        </w:rPr>
        <w:t>⁺</w:t>
      </w:r>
      <w:r w:rsidRPr="00EF1CF2">
        <w:rPr>
          <w:rFonts w:ascii="Arial" w:hAnsi="Arial" w:cs="Arial"/>
        </w:rPr>
        <w:t xml:space="preserve"> and subsequently cooled to room temperature. Samples and standards (50 µl each) were mixed with an equal volume of Assay Working Solution in a </w:t>
      </w:r>
      <w:r w:rsidRPr="00EF1CF2">
        <w:rPr>
          <w:rFonts w:ascii="Arial" w:hAnsi="Arial" w:cs="Arial"/>
        </w:rPr>
        <w:lastRenderedPageBreak/>
        <w:t xml:space="preserve">96-well plate and </w:t>
      </w:r>
      <w:r w:rsidRPr="00EF1CF2">
        <w:rPr>
          <w:rFonts w:ascii="Arial" w:hAnsi="Arial" w:cs="Arial"/>
          <w:color w:val="000000" w:themeColor="text1"/>
        </w:rPr>
        <w:t>incubated at 37°C for 1 h. Optical density at 450 nm was measured using a microplate reader, and total NADP</w:t>
      </w:r>
      <w:r w:rsidRPr="00EF1CF2">
        <w:rPr>
          <w:rFonts w:ascii="Cambria Math" w:hAnsi="Cambria Math" w:cs="Cambria Math"/>
          <w:color w:val="000000" w:themeColor="text1"/>
        </w:rPr>
        <w:t>⁺</w:t>
      </w:r>
      <w:r w:rsidRPr="00EF1CF2">
        <w:rPr>
          <w:rFonts w:ascii="Arial" w:hAnsi="Arial" w:cs="Arial"/>
          <w:color w:val="000000" w:themeColor="text1"/>
        </w:rPr>
        <w:t>/NADPH and NADPH levels were quantified based on the standard curve. The NADP</w:t>
      </w:r>
      <w:r w:rsidRPr="00EF1CF2">
        <w:rPr>
          <w:rFonts w:ascii="Cambria Math" w:hAnsi="Cambria Math" w:cs="Cambria Math"/>
          <w:color w:val="000000" w:themeColor="text1"/>
        </w:rPr>
        <w:t>⁺</w:t>
      </w:r>
      <w:r w:rsidRPr="00EF1CF2">
        <w:rPr>
          <w:rFonts w:ascii="Arial" w:hAnsi="Arial" w:cs="Arial"/>
          <w:color w:val="000000" w:themeColor="text1"/>
        </w:rPr>
        <w:t xml:space="preserve"> concentration was calculated by subtracting the NADPH level from the total NADP</w:t>
      </w:r>
      <w:r w:rsidRPr="00EF1CF2">
        <w:rPr>
          <w:rFonts w:ascii="Cambria Math" w:hAnsi="Cambria Math" w:cs="Cambria Math"/>
          <w:color w:val="000000" w:themeColor="text1"/>
        </w:rPr>
        <w:t>⁺</w:t>
      </w:r>
      <w:r w:rsidRPr="00EF1CF2">
        <w:rPr>
          <w:rFonts w:ascii="Arial" w:hAnsi="Arial" w:cs="Arial"/>
          <w:color w:val="000000" w:themeColor="text1"/>
        </w:rPr>
        <w:t>/NADPH level.</w:t>
      </w:r>
    </w:p>
    <w:p w14:paraId="5573908B" w14:textId="77777777" w:rsidR="003971B7" w:rsidRPr="00EF1CF2" w:rsidRDefault="003971B7" w:rsidP="008C10F5">
      <w:pPr>
        <w:spacing w:line="360" w:lineRule="auto"/>
        <w:rPr>
          <w:rFonts w:ascii="Arial" w:hAnsi="Arial" w:cs="Arial"/>
          <w:color w:val="000000" w:themeColor="text1"/>
          <w:lang w:val="en-US"/>
        </w:rPr>
      </w:pPr>
    </w:p>
    <w:p w14:paraId="34DAAE06" w14:textId="77777777" w:rsidR="008C10F5" w:rsidRPr="00EF1CF2" w:rsidRDefault="008C10F5" w:rsidP="008C10F5">
      <w:pPr>
        <w:spacing w:line="360" w:lineRule="auto"/>
        <w:jc w:val="both"/>
        <w:rPr>
          <w:rFonts w:ascii="Arial" w:hAnsi="Arial" w:cs="Arial"/>
          <w:b/>
          <w:color w:val="000000" w:themeColor="text1"/>
          <w:lang w:val="en-US"/>
        </w:rPr>
      </w:pPr>
      <w:r w:rsidRPr="00EF1CF2">
        <w:rPr>
          <w:rFonts w:ascii="Arial" w:hAnsi="Arial" w:cs="Arial"/>
          <w:b/>
          <w:color w:val="000000" w:themeColor="text1"/>
          <w:lang w:val="en-US"/>
        </w:rPr>
        <w:t>Quantitative RT-PCR</w:t>
      </w:r>
    </w:p>
    <w:p w14:paraId="4452DABF" w14:textId="77777777" w:rsidR="008C10F5" w:rsidRPr="00EF1CF2" w:rsidRDefault="008C10F5" w:rsidP="008C10F5">
      <w:pPr>
        <w:spacing w:line="360" w:lineRule="auto"/>
        <w:jc w:val="both"/>
        <w:rPr>
          <w:rFonts w:ascii="Arial" w:hAnsi="Arial" w:cs="Arial"/>
        </w:rPr>
      </w:pPr>
      <w:r w:rsidRPr="00EF1CF2">
        <w:rPr>
          <w:rFonts w:ascii="Arial" w:hAnsi="Arial" w:cs="Arial"/>
          <w:color w:val="000000" w:themeColor="text1"/>
          <w:lang w:val="en-US"/>
        </w:rPr>
        <w:t xml:space="preserve">Total RNA was isolated from THP-1 </w:t>
      </w:r>
      <w:r w:rsidRPr="00EF1CF2">
        <w:rPr>
          <w:rFonts w:ascii="Arial" w:hAnsi="Arial" w:cs="Arial"/>
          <w:bCs/>
          <w:color w:val="000000" w:themeColor="text1"/>
          <w:lang w:val="en-US"/>
        </w:rPr>
        <w:t>cells</w:t>
      </w:r>
      <w:r w:rsidRPr="00EF1CF2">
        <w:rPr>
          <w:rFonts w:ascii="Arial" w:hAnsi="Arial" w:cs="Arial"/>
          <w:color w:val="000000" w:themeColor="text1"/>
          <w:lang w:val="en-US"/>
        </w:rPr>
        <w:t xml:space="preserve"> using </w:t>
      </w:r>
      <w:proofErr w:type="spellStart"/>
      <w:r w:rsidRPr="00EF1CF2">
        <w:rPr>
          <w:rFonts w:ascii="Arial" w:hAnsi="Arial" w:cs="Arial"/>
          <w:color w:val="000000" w:themeColor="text1"/>
          <w:lang w:val="en-US"/>
        </w:rPr>
        <w:t>NucleoSpin</w:t>
      </w:r>
      <w:proofErr w:type="spellEnd"/>
      <w:r w:rsidRPr="00EF1CF2">
        <w:rPr>
          <w:rFonts w:ascii="Arial" w:hAnsi="Arial" w:cs="Arial"/>
          <w:color w:val="000000" w:themeColor="text1"/>
          <w:lang w:val="en-US"/>
        </w:rPr>
        <w:t xml:space="preserve"> RNA (MACHEREY-NAGEL, 740955) and reverse transcribed to produce cDNA with the </w:t>
      </w:r>
      <w:proofErr w:type="spellStart"/>
      <w:r w:rsidRPr="00EF1CF2">
        <w:rPr>
          <w:rFonts w:ascii="Arial" w:hAnsi="Arial" w:cs="Arial"/>
          <w:color w:val="000000" w:themeColor="text1"/>
          <w:lang w:val="en-US"/>
        </w:rPr>
        <w:t>SuperScript</w:t>
      </w:r>
      <w:proofErr w:type="spellEnd"/>
      <w:r w:rsidRPr="00EF1CF2">
        <w:rPr>
          <w:rFonts w:ascii="Arial" w:hAnsi="Arial" w:cs="Arial"/>
          <w:color w:val="000000" w:themeColor="text1"/>
          <w:lang w:val="en-US"/>
        </w:rPr>
        <w:t xml:space="preserve"> VILO cDNA Synthesis Kit (</w:t>
      </w:r>
      <w:proofErr w:type="spellStart"/>
      <w:r w:rsidRPr="00EF1CF2">
        <w:rPr>
          <w:rFonts w:ascii="Arial" w:hAnsi="Arial" w:cs="Arial"/>
          <w:color w:val="000000" w:themeColor="text1"/>
          <w:lang w:val="en-US"/>
        </w:rPr>
        <w:t>Thermo</w:t>
      </w:r>
      <w:proofErr w:type="spellEnd"/>
      <w:r w:rsidRPr="00EF1CF2">
        <w:rPr>
          <w:rFonts w:ascii="Arial" w:hAnsi="Arial" w:cs="Arial"/>
          <w:color w:val="000000" w:themeColor="text1"/>
          <w:lang w:val="en-US"/>
        </w:rPr>
        <w:t xml:space="preserve"> Fisher Scientific, 11754050)</w:t>
      </w:r>
      <w:r w:rsidRPr="00EF1CF2">
        <w:rPr>
          <w:rFonts w:ascii="Arial" w:hAnsi="Arial" w:cs="Arial"/>
          <w:bCs/>
          <w:color w:val="000000" w:themeColor="text1"/>
          <w:lang w:val="en-US"/>
        </w:rPr>
        <w:t xml:space="preserve"> according to the manufacturer's instructions</w:t>
      </w:r>
      <w:r w:rsidRPr="00EF1CF2">
        <w:rPr>
          <w:rFonts w:ascii="Arial" w:hAnsi="Arial" w:cs="Arial"/>
          <w:color w:val="000000" w:themeColor="text1"/>
          <w:lang w:val="en-US"/>
        </w:rPr>
        <w:t>. Quantitative RT-PCR reactions were performed using Luna Universal qPCR Master Mix (NEB, M3003) and ViiA7 Real-Time PCR System (</w:t>
      </w:r>
      <w:proofErr w:type="spellStart"/>
      <w:r w:rsidRPr="00EF1CF2">
        <w:rPr>
          <w:rFonts w:ascii="Arial" w:hAnsi="Arial" w:cs="Arial"/>
          <w:color w:val="000000" w:themeColor="text1"/>
          <w:lang w:val="en-US"/>
        </w:rPr>
        <w:t>Thermo</w:t>
      </w:r>
      <w:proofErr w:type="spellEnd"/>
      <w:r w:rsidRPr="00EF1CF2">
        <w:rPr>
          <w:rFonts w:ascii="Arial" w:hAnsi="Arial" w:cs="Arial"/>
          <w:color w:val="000000" w:themeColor="text1"/>
          <w:lang w:val="en-US"/>
        </w:rPr>
        <w:t xml:space="preserve"> Fisher Scientific). The primers used for quantitative RT-PCR are as listed in Supplementary Table 1. </w:t>
      </w:r>
      <w:r w:rsidRPr="00EF1CF2">
        <w:rPr>
          <w:rFonts w:ascii="Arial" w:hAnsi="Arial" w:cs="Arial"/>
        </w:rPr>
        <w:t>Relative expression levels of each target gene to the internal control (GAPDH) were calculated as 2^ΔCt.</w:t>
      </w:r>
    </w:p>
    <w:p w14:paraId="6677C0CA" w14:textId="77777777" w:rsidR="003971B7" w:rsidRPr="00EF1CF2" w:rsidRDefault="003971B7" w:rsidP="008C10F5">
      <w:pPr>
        <w:spacing w:line="360" w:lineRule="auto"/>
        <w:jc w:val="both"/>
        <w:rPr>
          <w:rFonts w:ascii="Arial" w:hAnsi="Arial" w:cs="Arial"/>
          <w:bCs/>
          <w:color w:val="000000" w:themeColor="text1"/>
          <w:lang w:val="en-US"/>
        </w:rPr>
      </w:pPr>
    </w:p>
    <w:p w14:paraId="399E9E90" w14:textId="77777777" w:rsidR="008C10F5" w:rsidRPr="00EF1CF2" w:rsidRDefault="008C10F5" w:rsidP="008C10F5">
      <w:pPr>
        <w:spacing w:line="360" w:lineRule="auto"/>
        <w:jc w:val="both"/>
        <w:rPr>
          <w:rFonts w:ascii="Arial" w:hAnsi="Arial" w:cs="Arial"/>
          <w:b/>
          <w:bCs/>
          <w:color w:val="FF0000"/>
          <w:lang w:val="en-US"/>
        </w:rPr>
      </w:pPr>
      <w:r w:rsidRPr="00EF1CF2">
        <w:rPr>
          <w:rFonts w:ascii="Arial" w:hAnsi="Arial" w:cs="Arial"/>
          <w:b/>
          <w:bCs/>
        </w:rPr>
        <w:t>CRISPR/Cas9-based screen of TLR signaling components</w:t>
      </w:r>
    </w:p>
    <w:p w14:paraId="1535D79A" w14:textId="77777777" w:rsidR="008C10F5" w:rsidRPr="00EF1CF2" w:rsidRDefault="008C10F5" w:rsidP="008C10F5">
      <w:pPr>
        <w:spacing w:line="360" w:lineRule="auto"/>
        <w:jc w:val="both"/>
        <w:rPr>
          <w:rFonts w:ascii="Arial" w:hAnsi="Arial" w:cs="Arial"/>
        </w:rPr>
      </w:pPr>
      <w:r w:rsidRPr="00EF1CF2">
        <w:rPr>
          <w:rFonts w:ascii="Arial" w:hAnsi="Arial" w:cs="Arial"/>
        </w:rPr>
        <w:t>Cas9-expressing THP-1 cells lentivirally transduced with a panel of gRNAs targeting TLR signaling molecules were stimulated with 500 ng/ml Pam</w:t>
      </w:r>
      <w:r w:rsidRPr="00EF1CF2">
        <w:rPr>
          <w:rFonts w:ascii="Arial" w:hAnsi="Arial" w:cs="Arial"/>
          <w:vertAlign w:val="subscript"/>
        </w:rPr>
        <w:t>3</w:t>
      </w:r>
      <w:r w:rsidRPr="00EF1CF2">
        <w:rPr>
          <w:rFonts w:ascii="Arial" w:hAnsi="Arial" w:cs="Arial"/>
        </w:rPr>
        <w:t>CSK</w:t>
      </w:r>
      <w:r w:rsidRPr="00EF1CF2">
        <w:rPr>
          <w:rFonts w:ascii="Arial" w:hAnsi="Arial" w:cs="Arial"/>
          <w:vertAlign w:val="subscript"/>
        </w:rPr>
        <w:t>4</w:t>
      </w:r>
      <w:r w:rsidRPr="00EF1CF2">
        <w:rPr>
          <w:rFonts w:ascii="Arial" w:hAnsi="Arial" w:cs="Arial"/>
        </w:rPr>
        <w:t xml:space="preserve"> for 2 h. The cells were stained with propidium iodide (PI; 1 µg/ml; Nacalai, 19174-31), and PI-negative (live) cells were isolated by sorting on a FACSAria Fusion cell sorter. The sorted cells were grown for 1 week and then lysed in 100 mM Tris (pH 8.0) containing 0.2% SDS, 5 mM EDTA, 200 mM NaCl, and 0.1 mg/ml proteinase K, followed by overnight incubation at 50°C. Debris were removed by centrifugation at 10,000 × g for 5 min, and genomic DNA was purified using the NucleoSpin gDNA Clean-up Mini kit (MACHEREY-NAGEL, 740230).</w:t>
      </w:r>
      <w:r w:rsidRPr="00EF1CF2">
        <w:rPr>
          <w:rFonts w:ascii="Arial" w:hAnsi="Arial" w:cs="Arial"/>
          <w:lang w:val="en-US"/>
        </w:rPr>
        <w:t xml:space="preserve"> </w:t>
      </w:r>
      <w:r w:rsidRPr="00EF1CF2">
        <w:rPr>
          <w:rFonts w:ascii="Arial" w:hAnsi="Arial" w:cs="Arial"/>
        </w:rPr>
        <w:t>Using 60 ng of the purified genomic DNA as a template, a 843-bp region of the LentiGuide-Puro vector containing the integrated gRNA sequences was amplified by PCR (TOYOBO, KOD-201). Purified PCR products were then used as templates for qPCR to determine the relative abundance of each gRNA</w:t>
      </w:r>
      <w:r w:rsidRPr="00EF1CF2">
        <w:rPr>
          <w:rFonts w:ascii="Arial" w:hAnsi="Arial" w:cs="Arial"/>
          <w:lang w:val="en-US"/>
        </w:rPr>
        <w:t xml:space="preserve"> using primers (LentiGuide_gRNAs2 and the antisense oligonucleotide of each gRNA) and </w:t>
      </w:r>
      <w:r w:rsidRPr="00EF1CF2">
        <w:rPr>
          <w:rFonts w:ascii="Arial" w:hAnsi="Arial" w:cs="Arial"/>
        </w:rPr>
        <w:t xml:space="preserve">Luna Universal qPCR Master Mix (10 pg DNA per reaction). The abundance of each gRNA was calculated as the ratio of its gRNA-specific amplicon to the total gRNA pool (2^ΔCt), where the total gRNA pool was </w:t>
      </w:r>
      <w:r w:rsidRPr="00EF1CF2">
        <w:rPr>
          <w:rFonts w:ascii="Arial" w:hAnsi="Arial" w:cs="Arial"/>
        </w:rPr>
        <w:lastRenderedPageBreak/>
        <w:t>quantified by amplification of a size-matched universal region (LentiGuide_gRNAs4 and LentiGuide_gRNAa3).</w:t>
      </w:r>
      <w:r w:rsidRPr="00EF1CF2">
        <w:rPr>
          <w:rFonts w:ascii="Arial" w:hAnsi="Arial" w:cs="Arial"/>
          <w:lang w:val="en-US"/>
        </w:rPr>
        <w:t xml:space="preserve"> </w:t>
      </w:r>
      <w:r w:rsidRPr="00EF1CF2">
        <w:rPr>
          <w:rFonts w:ascii="Arial" w:hAnsi="Arial" w:cs="Arial"/>
        </w:rPr>
        <w:t>To assess changes after Pam</w:t>
      </w:r>
      <w:r w:rsidRPr="00EF1CF2">
        <w:rPr>
          <w:rFonts w:ascii="Arial" w:hAnsi="Arial" w:cs="Arial"/>
          <w:vertAlign w:val="subscript"/>
        </w:rPr>
        <w:t>3</w:t>
      </w:r>
      <w:r w:rsidRPr="00EF1CF2">
        <w:rPr>
          <w:rFonts w:ascii="Arial" w:hAnsi="Arial" w:cs="Arial"/>
        </w:rPr>
        <w:t>CSK</w:t>
      </w:r>
      <w:r w:rsidRPr="00EF1CF2">
        <w:rPr>
          <w:rFonts w:ascii="Arial" w:hAnsi="Arial" w:cs="Arial"/>
          <w:vertAlign w:val="subscript"/>
        </w:rPr>
        <w:t>4</w:t>
      </w:r>
      <w:r w:rsidRPr="00EF1CF2">
        <w:rPr>
          <w:rFonts w:ascii="Arial" w:hAnsi="Arial" w:cs="Arial"/>
        </w:rPr>
        <w:t xml:space="preserve"> stimulation, the abundance of each gRNA was normalized to its corresponding pre-stimulation level.</w:t>
      </w:r>
    </w:p>
    <w:p w14:paraId="00ABB684" w14:textId="77777777" w:rsidR="003971B7" w:rsidRPr="00EF1CF2" w:rsidRDefault="003971B7" w:rsidP="008C10F5">
      <w:pPr>
        <w:spacing w:line="360" w:lineRule="auto"/>
        <w:jc w:val="both"/>
        <w:rPr>
          <w:rFonts w:ascii="Arial" w:hAnsi="Arial" w:cs="Arial"/>
          <w:lang w:val="en-US"/>
        </w:rPr>
      </w:pPr>
    </w:p>
    <w:p w14:paraId="4D9CE7E4" w14:textId="77777777" w:rsidR="008C10F5" w:rsidRPr="00EF1CF2" w:rsidRDefault="008C10F5" w:rsidP="008C10F5">
      <w:pPr>
        <w:spacing w:line="360" w:lineRule="auto"/>
        <w:rPr>
          <w:rFonts w:ascii="Arial" w:hAnsi="Arial" w:cs="Arial"/>
          <w:b/>
          <w:bCs/>
        </w:rPr>
      </w:pPr>
      <w:r w:rsidRPr="00EF1CF2">
        <w:rPr>
          <w:rFonts w:ascii="Arial" w:hAnsi="Arial" w:cs="Arial"/>
          <w:b/>
          <w:bCs/>
        </w:rPr>
        <w:t>PCR amplicon nanopore sequencing</w:t>
      </w:r>
    </w:p>
    <w:p w14:paraId="1778F178" w14:textId="33C883AF" w:rsidR="008C10F5" w:rsidRPr="00EF1CF2" w:rsidRDefault="008C10F5" w:rsidP="008C10F5">
      <w:pPr>
        <w:spacing w:line="360" w:lineRule="auto"/>
        <w:ind w:firstLineChars="150" w:firstLine="360"/>
        <w:rPr>
          <w:rFonts w:ascii="Arial" w:hAnsi="Arial" w:cs="Arial"/>
        </w:rPr>
      </w:pPr>
      <w:r w:rsidRPr="00EF1CF2">
        <w:rPr>
          <w:rFonts w:ascii="Arial" w:hAnsi="Arial" w:cs="Arial"/>
        </w:rPr>
        <w:t>Genomic DNA was purified as described above. A 3,280-bp genomic region spanning exon 2 to exon 4 of the NLRP7 gene was amplified by PCR, and the resulting PCR products were purified using the QuickStep2 PCR Purification Kit</w:t>
      </w:r>
      <w:r w:rsidRPr="00EF1CF2">
        <w:rPr>
          <w:rFonts w:ascii="Arial" w:hAnsi="Arial" w:cs="Arial"/>
          <w:lang w:val="en-US"/>
        </w:rPr>
        <w:t xml:space="preserve"> (</w:t>
      </w:r>
      <w:proofErr w:type="spellStart"/>
      <w:r w:rsidRPr="00EF1CF2">
        <w:rPr>
          <w:rFonts w:ascii="Arial" w:hAnsi="Arial" w:cs="Arial"/>
          <w:lang w:val="en-US"/>
        </w:rPr>
        <w:t>EdgeBio</w:t>
      </w:r>
      <w:proofErr w:type="spellEnd"/>
      <w:r w:rsidRPr="00EF1CF2">
        <w:rPr>
          <w:rFonts w:ascii="Arial" w:hAnsi="Arial" w:cs="Arial"/>
          <w:lang w:val="en-US"/>
        </w:rPr>
        <w:t>, 92159)</w:t>
      </w:r>
      <w:r w:rsidRPr="00EF1CF2">
        <w:rPr>
          <w:rFonts w:ascii="Arial" w:hAnsi="Arial" w:cs="Arial"/>
        </w:rPr>
        <w:t>. The PCR products were end-prepared according to protocols of native barcoding kits (SQK-NBD-114 from Oxford Nanopore Technologies, UK, https://nanoporetech.com/ja/document/ligation-sequencing-amplicons-native-barcoding-v14-sqk-nbd114-24). The amplicons were purified using AMPure XP beads (Beckman Coulter, A63881). The purified amplicons were barcoded using the native ONT barcoding kits SQK-NBD114, according to manufacturer’s instructions. The barcoded amplicon DNAs were pooled in equal concentrations and purified using AMPure XP beads. In the final step, adapter ligation was carried out according to SQK-NBD114 kit. PCR amplicon libraries were sequenced in a run of the PromethION 2 Solo device with MinKNOW software v.24.11.10 (Oxford Nanopore Technologies). ONT pod5 files were first converted to unaligned bam using dorado v.0.9.5 (</w:t>
      </w:r>
      <w:r w:rsidRPr="00257E99">
        <w:rPr>
          <w:rFonts w:ascii="Arial" w:hAnsi="Arial" w:cs="Arial"/>
        </w:rPr>
        <w:t>https://github.com/nanoporetech/dorado</w:t>
      </w:r>
      <w:r w:rsidRPr="00EF1CF2">
        <w:rPr>
          <w:rFonts w:ascii="Arial" w:hAnsi="Arial" w:cs="Arial"/>
        </w:rPr>
        <w:t xml:space="preserve">) setting with </w:t>
      </w:r>
      <w:r w:rsidRPr="00257E99">
        <w:rPr>
          <w:rFonts w:ascii="Arial" w:hAnsi="Arial" w:cs="Arial"/>
        </w:rPr>
        <w:t>sup@v5.0.0</w:t>
      </w:r>
      <w:r w:rsidRPr="00EF1CF2">
        <w:rPr>
          <w:rFonts w:ascii="Arial" w:hAnsi="Arial" w:cs="Arial"/>
        </w:rPr>
        <w:t xml:space="preserve"> --kit-name SQK-NBD114-24. Sequencing data were evaluated using NanoPlot (</w:t>
      </w:r>
      <w:r w:rsidRPr="00257E99">
        <w:rPr>
          <w:rFonts w:ascii="Arial" w:hAnsi="Arial" w:cs="Arial"/>
        </w:rPr>
        <w:t>https://github.com/wdecoster/NanoPlot</w:t>
      </w:r>
      <w:r w:rsidRPr="00EF1CF2">
        <w:rPr>
          <w:rFonts w:ascii="Arial" w:hAnsi="Arial" w:cs="Arial"/>
        </w:rPr>
        <w:t>) and then trimmed for adapter using Porechop (https://github.com/rrwick/Porechop). Low-quality reads were removed using chopper (https://github.com/wdecoster/chopper) setting with -q 10 -l 100. To obtain consensus sequences, reads were assembled using Flye v2.9.5 (</w:t>
      </w:r>
      <w:r w:rsidRPr="00257E99">
        <w:rPr>
          <w:rFonts w:ascii="Arial" w:hAnsi="Arial" w:cs="Arial"/>
        </w:rPr>
        <w:t>https://github.com/mikolmogorov/Flye/tree/flye</w:t>
      </w:r>
      <w:r w:rsidRPr="00EF1CF2">
        <w:rPr>
          <w:rFonts w:ascii="Arial" w:hAnsi="Arial" w:cs="Arial"/>
        </w:rPr>
        <w:t>), with following settings: --nano-hq -g 3000.</w:t>
      </w:r>
    </w:p>
    <w:p w14:paraId="5E9B1FCA" w14:textId="77777777" w:rsidR="003971B7" w:rsidRPr="00EF1CF2" w:rsidRDefault="003971B7" w:rsidP="008C10F5">
      <w:pPr>
        <w:spacing w:line="360" w:lineRule="auto"/>
        <w:ind w:firstLineChars="150" w:firstLine="360"/>
        <w:rPr>
          <w:rFonts w:ascii="Arial" w:hAnsi="Arial" w:cs="Arial"/>
        </w:rPr>
      </w:pPr>
    </w:p>
    <w:p w14:paraId="15D441B1" w14:textId="77777777" w:rsidR="008C10F5" w:rsidRPr="00EF1CF2" w:rsidRDefault="008C10F5" w:rsidP="008C10F5">
      <w:pPr>
        <w:spacing w:line="360" w:lineRule="auto"/>
        <w:jc w:val="both"/>
        <w:rPr>
          <w:rFonts w:ascii="Arial" w:hAnsi="Arial" w:cs="Arial"/>
          <w:b/>
          <w:color w:val="000000" w:themeColor="text1"/>
        </w:rPr>
      </w:pPr>
      <w:r w:rsidRPr="00EF1CF2">
        <w:rPr>
          <w:rFonts w:ascii="Arial" w:hAnsi="Arial" w:cs="Arial"/>
          <w:b/>
          <w:color w:val="000000" w:themeColor="text1"/>
        </w:rPr>
        <w:t>Statistics</w:t>
      </w:r>
    </w:p>
    <w:p w14:paraId="0AE8E684" w14:textId="77777777" w:rsidR="008C10F5" w:rsidRPr="00EF1CF2" w:rsidRDefault="008C10F5" w:rsidP="008C10F5">
      <w:pPr>
        <w:spacing w:line="360" w:lineRule="auto"/>
        <w:jc w:val="both"/>
        <w:rPr>
          <w:rFonts w:ascii="Arial" w:hAnsi="Arial" w:cs="Arial"/>
          <w:color w:val="000000" w:themeColor="text1"/>
        </w:rPr>
      </w:pPr>
      <w:r w:rsidRPr="00EF1CF2">
        <w:rPr>
          <w:rFonts w:ascii="Arial" w:hAnsi="Arial" w:cs="Arial"/>
          <w:color w:val="000000" w:themeColor="text1"/>
        </w:rPr>
        <w:t xml:space="preserve">Sample size was determined according to our experience and literature reporting similar experiments. Normality and variance were not formally tested due to the limited sample </w:t>
      </w:r>
      <w:r w:rsidRPr="00EF1CF2">
        <w:rPr>
          <w:rFonts w:ascii="Arial" w:hAnsi="Arial" w:cs="Arial"/>
          <w:color w:val="000000" w:themeColor="text1"/>
        </w:rPr>
        <w:lastRenderedPageBreak/>
        <w:t xml:space="preserve">size. Statistical analyses were performed using an unpaired two-tailed t-test with Welch’s correction or one-way or two-way ANOVA with Dunnett’s multiple comparisons test, depending on the number of groups being compared. GraphPad Prism software ver. 9 was used for the statistical analyses. A </w:t>
      </w:r>
      <w:r w:rsidRPr="00EF1CF2">
        <w:rPr>
          <w:rFonts w:ascii="Arial" w:hAnsi="Arial" w:cs="Arial"/>
          <w:i/>
          <w:color w:val="000000" w:themeColor="text1"/>
        </w:rPr>
        <w:t>p</w:t>
      </w:r>
      <w:r w:rsidRPr="00EF1CF2">
        <w:rPr>
          <w:rFonts w:ascii="Arial" w:hAnsi="Arial" w:cs="Arial"/>
          <w:color w:val="000000" w:themeColor="text1"/>
        </w:rPr>
        <w:t>-value less than 0.05 was considered to be statistically significant.</w:t>
      </w:r>
    </w:p>
    <w:p w14:paraId="60037D7A" w14:textId="77777777" w:rsidR="00615290" w:rsidRPr="00EF1CF2" w:rsidRDefault="00615290" w:rsidP="008C10F5">
      <w:pPr>
        <w:spacing w:line="360" w:lineRule="auto"/>
        <w:jc w:val="both"/>
        <w:rPr>
          <w:rFonts w:ascii="Arial" w:hAnsi="Arial" w:cs="Arial"/>
          <w:color w:val="000000" w:themeColor="text1"/>
        </w:rPr>
      </w:pPr>
    </w:p>
    <w:p w14:paraId="6DAD48E0" w14:textId="77777777" w:rsidR="00EF1CF2" w:rsidRDefault="00EF1CF2">
      <w:pPr>
        <w:spacing w:after="160" w:line="278" w:lineRule="auto"/>
        <w:rPr>
          <w:rFonts w:ascii="Arial" w:hAnsi="Arial" w:cs="Arial"/>
          <w:b/>
          <w:bCs/>
          <w:lang w:val="en-IN"/>
        </w:rPr>
      </w:pPr>
      <w:r>
        <w:rPr>
          <w:rFonts w:ascii="Arial" w:hAnsi="Arial" w:cs="Arial"/>
          <w:b/>
          <w:bCs/>
          <w:lang w:val="en-IN"/>
        </w:rPr>
        <w:br w:type="page"/>
      </w:r>
    </w:p>
    <w:p w14:paraId="6B9A8032" w14:textId="41C640B5" w:rsidR="00B22728" w:rsidRDefault="00615290" w:rsidP="00EF1CF2">
      <w:pPr>
        <w:rPr>
          <w:rFonts w:ascii="Arial" w:hAnsi="Arial" w:cs="Arial"/>
          <w:b/>
          <w:bCs/>
          <w:lang w:val="en-IN"/>
        </w:rPr>
      </w:pPr>
      <w:r w:rsidRPr="00471E35">
        <w:rPr>
          <w:rFonts w:ascii="Arial" w:hAnsi="Arial" w:cs="Arial"/>
          <w:b/>
          <w:bCs/>
          <w:lang w:val="en-IN"/>
        </w:rPr>
        <w:lastRenderedPageBreak/>
        <w:t>Supplementary Figures</w:t>
      </w:r>
    </w:p>
    <w:p w14:paraId="2B69FCE7" w14:textId="77777777" w:rsidR="00674BA5" w:rsidRPr="00471E35" w:rsidRDefault="00674BA5" w:rsidP="00EF1CF2">
      <w:pPr>
        <w:rPr>
          <w:rFonts w:ascii="Arial" w:hAnsi="Arial" w:cs="Arial"/>
          <w:b/>
          <w:bCs/>
          <w:lang w:val="en-IN"/>
        </w:rPr>
      </w:pPr>
    </w:p>
    <w:p w14:paraId="566B6D1A" w14:textId="77777777" w:rsidR="00B22728" w:rsidRPr="00EF1CF2" w:rsidRDefault="00B22728" w:rsidP="00D940A3">
      <w:pPr>
        <w:spacing w:line="360" w:lineRule="auto"/>
        <w:jc w:val="center"/>
        <w:rPr>
          <w:rFonts w:ascii="Arial" w:hAnsi="Arial" w:cs="Arial"/>
          <w:b/>
          <w:bCs/>
          <w:lang w:val="en-IN"/>
        </w:rPr>
      </w:pPr>
      <w:r w:rsidRPr="00EF1CF2">
        <w:rPr>
          <w:rFonts w:ascii="Arial" w:hAnsi="Arial" w:cs="Arial"/>
          <w:noProof/>
        </w:rPr>
        <w:drawing>
          <wp:inline distT="0" distB="0" distL="0" distR="0" wp14:anchorId="60E3320C" wp14:editId="2E5B8894">
            <wp:extent cx="4979604" cy="5492578"/>
            <wp:effectExtent l="0" t="0" r="0" b="0"/>
            <wp:docPr id="142" name="Picture 141">
              <a:extLst xmlns:a="http://schemas.openxmlformats.org/drawingml/2006/main">
                <a:ext uri="{FF2B5EF4-FFF2-40B4-BE49-F238E27FC236}">
                  <a16:creationId xmlns:a16="http://schemas.microsoft.com/office/drawing/2014/main" id="{24B857A7-43AD-5F82-EAA5-D712A02971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1">
                      <a:extLst>
                        <a:ext uri="{FF2B5EF4-FFF2-40B4-BE49-F238E27FC236}">
                          <a16:creationId xmlns:a16="http://schemas.microsoft.com/office/drawing/2014/main" id="{24B857A7-43AD-5F82-EAA5-D712A02971DD}"/>
                        </a:ext>
                      </a:extLst>
                    </pic:cNvPr>
                    <pic:cNvPicPr>
                      <a:picLocks noChangeAspect="1"/>
                    </pic:cNvPicPr>
                  </pic:nvPicPr>
                  <pic:blipFill>
                    <a:blip r:embed="rId4"/>
                    <a:stretch>
                      <a:fillRect/>
                    </a:stretch>
                  </pic:blipFill>
                  <pic:spPr>
                    <a:xfrm>
                      <a:off x="0" y="0"/>
                      <a:ext cx="4989403" cy="5503387"/>
                    </a:xfrm>
                    <a:prstGeom prst="rect">
                      <a:avLst/>
                    </a:prstGeom>
                  </pic:spPr>
                </pic:pic>
              </a:graphicData>
            </a:graphic>
          </wp:inline>
        </w:drawing>
      </w:r>
    </w:p>
    <w:p w14:paraId="3AF90FC5" w14:textId="703B8E64" w:rsidR="00615290" w:rsidRPr="00EF1CF2" w:rsidRDefault="00615290" w:rsidP="00615290">
      <w:pPr>
        <w:spacing w:line="360" w:lineRule="auto"/>
        <w:rPr>
          <w:rFonts w:ascii="Arial" w:hAnsi="Arial" w:cs="Arial"/>
          <w:lang w:val="en-US"/>
        </w:rPr>
      </w:pPr>
      <w:r w:rsidRPr="00EF1CF2">
        <w:rPr>
          <w:rFonts w:ascii="Arial" w:hAnsi="Arial" w:cs="Arial"/>
          <w:b/>
          <w:bCs/>
          <w:lang w:val="en-IN"/>
        </w:rPr>
        <w:t xml:space="preserve">Supplementary Fig. 1. THP-1 cells do not express NLRP7 at substantial levels. A </w:t>
      </w:r>
      <w:r w:rsidRPr="00EF1CF2">
        <w:rPr>
          <w:rFonts w:ascii="Arial" w:hAnsi="Arial" w:cs="Arial"/>
        </w:rPr>
        <w:t xml:space="preserve">Genomic sequences within the </w:t>
      </w:r>
      <w:r w:rsidRPr="00EF1CF2">
        <w:rPr>
          <w:rStyle w:val="Emphasis"/>
          <w:rFonts w:ascii="Arial" w:eastAsiaTheme="majorEastAsia" w:hAnsi="Arial" w:cs="Arial"/>
        </w:rPr>
        <w:t>NLRP7</w:t>
      </w:r>
      <w:r w:rsidRPr="00EF1CF2">
        <w:rPr>
          <w:rFonts w:ascii="Arial" w:hAnsi="Arial" w:cs="Arial"/>
        </w:rPr>
        <w:t xml:space="preserve"> locus of each NLRP7 KO THP-1 clone (NLRP7 KO</w:t>
      </w:r>
      <w:r w:rsidRPr="00EF1CF2">
        <w:rPr>
          <w:rFonts w:ascii="Arial" w:hAnsi="Arial" w:cs="Arial"/>
          <w:vertAlign w:val="superscript"/>
        </w:rPr>
        <w:t>1</w:t>
      </w:r>
      <w:r w:rsidRPr="00EF1CF2">
        <w:rPr>
          <w:rFonts w:ascii="Arial" w:hAnsi="Arial" w:cs="Arial"/>
        </w:rPr>
        <w:t>, KO</w:t>
      </w:r>
      <w:r w:rsidRPr="00EF1CF2">
        <w:rPr>
          <w:rFonts w:ascii="Arial" w:hAnsi="Arial" w:cs="Arial"/>
          <w:vertAlign w:val="superscript"/>
        </w:rPr>
        <w:t>2</w:t>
      </w:r>
      <w:r w:rsidRPr="00EF1CF2">
        <w:rPr>
          <w:rFonts w:ascii="Arial" w:hAnsi="Arial" w:cs="Arial"/>
        </w:rPr>
        <w:t>, and KO</w:t>
      </w:r>
      <w:r w:rsidRPr="00EF1CF2">
        <w:rPr>
          <w:rFonts w:ascii="Arial" w:hAnsi="Arial" w:cs="Arial"/>
          <w:vertAlign w:val="superscript"/>
        </w:rPr>
        <w:t>3</w:t>
      </w:r>
      <w:r w:rsidRPr="00EF1CF2">
        <w:rPr>
          <w:rFonts w:ascii="Arial" w:hAnsi="Arial" w:cs="Arial"/>
        </w:rPr>
        <w:t xml:space="preserve">). The gRNA target sequences are highlighted in red. Dashes indicate deletions, and nucleotide substitutions are shown in blue. </w:t>
      </w:r>
      <w:r w:rsidRPr="00EF1CF2">
        <w:rPr>
          <w:rFonts w:ascii="Arial" w:hAnsi="Arial" w:cs="Arial"/>
          <w:b/>
          <w:bCs/>
        </w:rPr>
        <w:t>B</w:t>
      </w:r>
      <w:r w:rsidRPr="00EF1CF2">
        <w:rPr>
          <w:rFonts w:ascii="Arial" w:hAnsi="Arial" w:cs="Arial"/>
          <w:lang w:val="en-US"/>
        </w:rPr>
        <w:t xml:space="preserve"> Quantitative RT-PCR analysis of NLRP3 mRNA expression in WT THP-1 cells stimulated with or without LPS (100 ng/m</w:t>
      </w:r>
      <w:r w:rsidR="004B36B9">
        <w:rPr>
          <w:rFonts w:ascii="Arial" w:hAnsi="Arial" w:cs="Arial"/>
          <w:lang w:val="en-US"/>
        </w:rPr>
        <w:t>l</w:t>
      </w:r>
      <w:r w:rsidRPr="00EF1CF2">
        <w:rPr>
          <w:rFonts w:ascii="Arial" w:hAnsi="Arial" w:cs="Arial"/>
          <w:lang w:val="en-US"/>
        </w:rPr>
        <w:t>) for 24 h or in THP-1 cells transduced with DOX-inducible NLRP7 isoform 2 and treated with or without DOX (100 ng/m</w:t>
      </w:r>
      <w:r w:rsidR="004B36B9">
        <w:rPr>
          <w:rFonts w:ascii="Arial" w:hAnsi="Arial" w:cs="Arial"/>
          <w:lang w:val="en-US"/>
        </w:rPr>
        <w:t>l</w:t>
      </w:r>
      <w:r w:rsidRPr="00EF1CF2">
        <w:rPr>
          <w:rFonts w:ascii="Arial" w:hAnsi="Arial" w:cs="Arial"/>
          <w:lang w:val="en-US"/>
        </w:rPr>
        <w:t>) for 24 h.</w:t>
      </w:r>
      <w:r w:rsidRPr="00EF1CF2">
        <w:rPr>
          <w:rFonts w:ascii="Arial" w:hAnsi="Arial" w:cs="Arial"/>
        </w:rPr>
        <w:t xml:space="preserve"> </w:t>
      </w:r>
      <w:r w:rsidRPr="00EF1CF2">
        <w:rPr>
          <w:rFonts w:ascii="Arial" w:hAnsi="Arial" w:cs="Arial"/>
          <w:b/>
          <w:bCs/>
          <w:lang w:val="en-US"/>
        </w:rPr>
        <w:t>C</w:t>
      </w:r>
      <w:r w:rsidRPr="00EF1CF2">
        <w:rPr>
          <w:rFonts w:ascii="Arial" w:hAnsi="Arial" w:cs="Arial"/>
        </w:rPr>
        <w:t xml:space="preserve"> Immunoblot detection of NLRP7 protein in cell lysates from WT THP-1 cells and control and NLRP7 KO THP-1 clones. Cell lysates from THP-1 cells expressing DOX-inducible NLRP7 (isoforms 2 </w:t>
      </w:r>
      <w:r w:rsidRPr="00EF1CF2">
        <w:rPr>
          <w:rFonts w:ascii="Arial" w:hAnsi="Arial" w:cs="Arial"/>
        </w:rPr>
        <w:lastRenderedPageBreak/>
        <w:t xml:space="preserve">and 3) were used as positive controls. The asterisks (*) indicate nonspecific bands. These bands were detected at comparable levels in control and </w:t>
      </w:r>
      <w:r w:rsidRPr="00EF1CF2">
        <w:rPr>
          <w:rFonts w:ascii="Arial" w:hAnsi="Arial" w:cs="Arial"/>
          <w:i/>
          <w:iCs/>
        </w:rPr>
        <w:t>NLRP7</w:t>
      </w:r>
      <w:r w:rsidRPr="00EF1CF2">
        <w:rPr>
          <w:rFonts w:ascii="Arial" w:hAnsi="Arial" w:cs="Arial"/>
        </w:rPr>
        <w:t xml:space="preserve">-disrupted cells, suggesting that they represent nonspecific signals rather than endogenous NLRP7. </w:t>
      </w:r>
      <w:r w:rsidRPr="00EF1CF2">
        <w:rPr>
          <w:rFonts w:ascii="Arial" w:hAnsi="Arial" w:cs="Arial"/>
          <w:lang w:val="en-US"/>
        </w:rPr>
        <w:t>The graphs depict the mean ± SD of triplicate cultures (B). Data are from one representative of (B) or from (C) three biologically independent experiments with similar results.</w:t>
      </w:r>
    </w:p>
    <w:p w14:paraId="7FDEC49D" w14:textId="6943A2CC" w:rsidR="00615290" w:rsidRDefault="00615290" w:rsidP="00615290">
      <w:pPr>
        <w:spacing w:line="360" w:lineRule="auto"/>
        <w:rPr>
          <w:rFonts w:ascii="Arial" w:hAnsi="Arial" w:cs="Arial"/>
          <w:lang w:val="en-US"/>
        </w:rPr>
      </w:pPr>
    </w:p>
    <w:p w14:paraId="18F71876" w14:textId="77777777" w:rsidR="00DD6FBE" w:rsidRPr="00EF1CF2" w:rsidRDefault="00DD6FBE" w:rsidP="00615290">
      <w:pPr>
        <w:spacing w:line="360" w:lineRule="auto"/>
        <w:rPr>
          <w:rFonts w:ascii="Arial" w:hAnsi="Arial" w:cs="Arial"/>
          <w:lang w:val="en-US"/>
        </w:rPr>
      </w:pPr>
    </w:p>
    <w:p w14:paraId="5998181A" w14:textId="5D9BA40F" w:rsidR="00B22728" w:rsidRPr="00EF1CF2" w:rsidRDefault="00DD6FBE" w:rsidP="00D940A3">
      <w:pPr>
        <w:spacing w:line="360" w:lineRule="auto"/>
        <w:jc w:val="center"/>
        <w:rPr>
          <w:rFonts w:ascii="Arial" w:hAnsi="Arial" w:cs="Arial"/>
          <w:lang w:val="en-US"/>
        </w:rPr>
      </w:pPr>
      <w:r w:rsidRPr="00DD6FBE">
        <w:rPr>
          <w:rFonts w:ascii="Arial" w:hAnsi="Arial" w:cs="Arial"/>
        </w:rPr>
        <w:drawing>
          <wp:inline distT="0" distB="0" distL="0" distR="0" wp14:anchorId="36F1BC6D" wp14:editId="72D6676E">
            <wp:extent cx="4864100" cy="6388100"/>
            <wp:effectExtent l="0" t="0" r="0" b="0"/>
            <wp:docPr id="418" name="Picture 417">
              <a:extLst xmlns:a="http://schemas.openxmlformats.org/drawingml/2006/main">
                <a:ext uri="{FF2B5EF4-FFF2-40B4-BE49-F238E27FC236}">
                  <a16:creationId xmlns:a16="http://schemas.microsoft.com/office/drawing/2014/main" id="{D332C9B6-CA3F-AB02-B8C7-06FFF691A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417">
                      <a:extLst>
                        <a:ext uri="{FF2B5EF4-FFF2-40B4-BE49-F238E27FC236}">
                          <a16:creationId xmlns:a16="http://schemas.microsoft.com/office/drawing/2014/main" id="{D332C9B6-CA3F-AB02-B8C7-06FFF691AC24}"/>
                        </a:ext>
                      </a:extLst>
                    </pic:cNvPr>
                    <pic:cNvPicPr>
                      <a:picLocks noChangeAspect="1"/>
                    </pic:cNvPicPr>
                  </pic:nvPicPr>
                  <pic:blipFill>
                    <a:blip r:embed="rId5"/>
                    <a:stretch>
                      <a:fillRect/>
                    </a:stretch>
                  </pic:blipFill>
                  <pic:spPr>
                    <a:xfrm>
                      <a:off x="0" y="0"/>
                      <a:ext cx="4864100" cy="6388100"/>
                    </a:xfrm>
                    <a:prstGeom prst="rect">
                      <a:avLst/>
                    </a:prstGeom>
                  </pic:spPr>
                </pic:pic>
              </a:graphicData>
            </a:graphic>
          </wp:inline>
        </w:drawing>
      </w:r>
    </w:p>
    <w:p w14:paraId="0BA6DE69" w14:textId="50DF0FDE" w:rsidR="00D940A3" w:rsidRDefault="00615290" w:rsidP="00615290">
      <w:pPr>
        <w:spacing w:line="360" w:lineRule="auto"/>
        <w:rPr>
          <w:rFonts w:ascii="Arial" w:hAnsi="Arial" w:cs="Arial"/>
          <w:lang w:val="en-US"/>
        </w:rPr>
      </w:pPr>
      <w:r w:rsidRPr="00EF1CF2">
        <w:rPr>
          <w:rFonts w:ascii="Arial" w:hAnsi="Arial" w:cs="Arial"/>
          <w:b/>
          <w:bCs/>
          <w:lang w:val="en-IN"/>
        </w:rPr>
        <w:lastRenderedPageBreak/>
        <w:t xml:space="preserve">Supplementary Fig. 2. Overexpression of NLRP7 does not enhance BLP-induced inflammasome activation. </w:t>
      </w:r>
      <w:r w:rsidRPr="00EF1CF2">
        <w:rPr>
          <w:rFonts w:ascii="Arial" w:hAnsi="Arial" w:cs="Arial"/>
          <w:b/>
          <w:bCs/>
          <w:lang w:val="en-US"/>
        </w:rPr>
        <w:t>A-D</w:t>
      </w:r>
      <w:r w:rsidRPr="00EF1CF2">
        <w:rPr>
          <w:rFonts w:ascii="Arial" w:hAnsi="Arial" w:cs="Arial"/>
          <w:lang w:val="en-US"/>
        </w:rPr>
        <w:t xml:space="preserve"> Control (DOX-inducible BFP) and DOX-inducible NLRP7 isoform 2-transduced THP-1 cells were treated with DOX for 24 h (A-D) and then stimulated with FSL-1 or Pam3 (500 ng/m</w:t>
      </w:r>
      <w:r w:rsidR="004B36B9">
        <w:rPr>
          <w:rFonts w:ascii="Arial" w:hAnsi="Arial" w:cs="Arial"/>
          <w:lang w:val="en-US"/>
        </w:rPr>
        <w:t>l</w:t>
      </w:r>
      <w:r w:rsidRPr="00EF1CF2">
        <w:rPr>
          <w:rFonts w:ascii="Arial" w:hAnsi="Arial" w:cs="Arial"/>
          <w:lang w:val="en-US"/>
        </w:rPr>
        <w:t>) for 6 h (B-D). Immunoblot analysis of NLRP7 (A, D), caspase-1, and IL-1β (D) in cell lysates (A) or S+L (D). LDH release (B) and IL-1β levels in culture supernatants (C)</w:t>
      </w:r>
      <w:r w:rsidRPr="00EF1CF2">
        <w:rPr>
          <w:rFonts w:ascii="Arial" w:hAnsi="Arial" w:cs="Arial"/>
        </w:rPr>
        <w:t xml:space="preserve"> </w:t>
      </w:r>
      <w:r w:rsidRPr="00EF1CF2">
        <w:rPr>
          <w:rFonts w:ascii="Arial" w:hAnsi="Arial" w:cs="Arial"/>
          <w:lang w:val="en-US"/>
        </w:rPr>
        <w:t xml:space="preserve">were measured. </w:t>
      </w:r>
      <w:r w:rsidRPr="00EF1CF2">
        <w:rPr>
          <w:rFonts w:ascii="Arial" w:hAnsi="Arial" w:cs="Arial"/>
          <w:b/>
          <w:bCs/>
          <w:lang w:val="en-US"/>
        </w:rPr>
        <w:t>E</w:t>
      </w:r>
      <w:r w:rsidRPr="00EF1CF2">
        <w:rPr>
          <w:rFonts w:ascii="Arial" w:hAnsi="Arial" w:cs="Arial"/>
          <w:lang w:val="en-US"/>
        </w:rPr>
        <w:t xml:space="preserve"> PMA-differentiated THP-1 cells harboring DOX-inducible NLRP7 isoform 2 or control were treated with DOX (1</w:t>
      </w:r>
      <w:r w:rsidRPr="00EF1CF2">
        <w:rPr>
          <w:rFonts w:ascii="Arial" w:hAnsi="Arial" w:cs="Arial"/>
        </w:rPr>
        <w:t xml:space="preserve"> </w:t>
      </w:r>
      <w:proofErr w:type="spellStart"/>
      <w:r w:rsidRPr="00EF1CF2">
        <w:rPr>
          <w:rFonts w:ascii="Arial" w:hAnsi="Arial" w:cs="Arial"/>
          <w:lang w:val="en-US"/>
        </w:rPr>
        <w:t>μg</w:t>
      </w:r>
      <w:proofErr w:type="spellEnd"/>
      <w:r w:rsidRPr="00EF1CF2">
        <w:rPr>
          <w:rFonts w:ascii="Arial" w:hAnsi="Arial" w:cs="Arial"/>
          <w:lang w:val="en-US"/>
        </w:rPr>
        <w:t>/m</w:t>
      </w:r>
      <w:r w:rsidR="004B36B9">
        <w:rPr>
          <w:rFonts w:ascii="Arial" w:hAnsi="Arial" w:cs="Arial"/>
          <w:lang w:val="en-US"/>
        </w:rPr>
        <w:t>l</w:t>
      </w:r>
      <w:r w:rsidRPr="00EF1CF2">
        <w:rPr>
          <w:rFonts w:ascii="Arial" w:hAnsi="Arial" w:cs="Arial"/>
          <w:lang w:val="en-US"/>
        </w:rPr>
        <w:t xml:space="preserve">) for 24 h and then stimulated as in A. Immunoblot analysis in S+L. </w:t>
      </w:r>
      <w:r w:rsidR="00444C05" w:rsidRPr="00EF1CF2">
        <w:rPr>
          <w:rFonts w:ascii="Arial" w:hAnsi="Arial" w:cs="Arial"/>
        </w:rPr>
        <w:t xml:space="preserve">The asterisks (*) indicate nonspecific bands. </w:t>
      </w:r>
      <w:r w:rsidRPr="00EF1CF2">
        <w:rPr>
          <w:rFonts w:ascii="Arial" w:hAnsi="Arial" w:cs="Arial"/>
          <w:lang w:val="en-US"/>
        </w:rPr>
        <w:t>The graphs depict the mean ± SD of triplicate cultures (B, C). Data are from one representative of three biologically independent experiments with similar results.</w:t>
      </w:r>
    </w:p>
    <w:p w14:paraId="71123E0D" w14:textId="77777777" w:rsidR="0027372A" w:rsidRDefault="0027372A" w:rsidP="00615290">
      <w:pPr>
        <w:spacing w:line="360" w:lineRule="auto"/>
        <w:rPr>
          <w:rFonts w:ascii="Arial" w:hAnsi="Arial" w:cs="Arial"/>
          <w:lang w:val="en-US"/>
        </w:rPr>
      </w:pPr>
    </w:p>
    <w:p w14:paraId="3E1EEC2E" w14:textId="77777777" w:rsidR="00F36E36" w:rsidRPr="00EF1CF2" w:rsidRDefault="00F36E36" w:rsidP="00615290">
      <w:pPr>
        <w:spacing w:line="360" w:lineRule="auto"/>
        <w:rPr>
          <w:rFonts w:ascii="Arial" w:hAnsi="Arial" w:cs="Arial"/>
          <w:lang w:val="en-US"/>
        </w:rPr>
      </w:pPr>
    </w:p>
    <w:p w14:paraId="318EBE4C" w14:textId="77777777" w:rsidR="00197F78" w:rsidRPr="00EF1CF2" w:rsidRDefault="00197F78" w:rsidP="00615290">
      <w:pPr>
        <w:spacing w:line="360" w:lineRule="auto"/>
        <w:rPr>
          <w:rFonts w:ascii="Arial" w:hAnsi="Arial" w:cs="Arial"/>
          <w:lang w:val="en-US"/>
        </w:rPr>
      </w:pPr>
    </w:p>
    <w:p w14:paraId="32C81237" w14:textId="01E77D96" w:rsidR="00D940A3" w:rsidRPr="00EF1CF2" w:rsidRDefault="00D940A3" w:rsidP="00D940A3">
      <w:pPr>
        <w:spacing w:line="360" w:lineRule="auto"/>
        <w:jc w:val="center"/>
        <w:rPr>
          <w:rFonts w:ascii="Arial" w:hAnsi="Arial" w:cs="Arial"/>
          <w:lang w:val="en-US"/>
        </w:rPr>
      </w:pPr>
      <w:r w:rsidRPr="00EF1CF2">
        <w:rPr>
          <w:rFonts w:ascii="Arial" w:hAnsi="Arial" w:cs="Arial"/>
          <w:noProof/>
        </w:rPr>
        <w:drawing>
          <wp:inline distT="0" distB="0" distL="0" distR="0" wp14:anchorId="28C997B8" wp14:editId="6A9A464E">
            <wp:extent cx="3030519" cy="1821815"/>
            <wp:effectExtent l="0" t="0" r="0" b="0"/>
            <wp:docPr id="42" name="Picture 41">
              <a:extLst xmlns:a="http://schemas.openxmlformats.org/drawingml/2006/main">
                <a:ext uri="{FF2B5EF4-FFF2-40B4-BE49-F238E27FC236}">
                  <a16:creationId xmlns:a16="http://schemas.microsoft.com/office/drawing/2014/main" id="{13470F96-8D76-4304-38E8-950DCAB647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a:extLst>
                        <a:ext uri="{FF2B5EF4-FFF2-40B4-BE49-F238E27FC236}">
                          <a16:creationId xmlns:a16="http://schemas.microsoft.com/office/drawing/2014/main" id="{13470F96-8D76-4304-38E8-950DCAB64720}"/>
                        </a:ext>
                      </a:extLst>
                    </pic:cNvPr>
                    <pic:cNvPicPr>
                      <a:picLocks noChangeAspect="1"/>
                    </pic:cNvPicPr>
                  </pic:nvPicPr>
                  <pic:blipFill>
                    <a:blip r:embed="rId6"/>
                    <a:stretch>
                      <a:fillRect/>
                    </a:stretch>
                  </pic:blipFill>
                  <pic:spPr>
                    <a:xfrm>
                      <a:off x="0" y="0"/>
                      <a:ext cx="3044527" cy="1830236"/>
                    </a:xfrm>
                    <a:prstGeom prst="rect">
                      <a:avLst/>
                    </a:prstGeom>
                  </pic:spPr>
                </pic:pic>
              </a:graphicData>
            </a:graphic>
          </wp:inline>
        </w:drawing>
      </w:r>
    </w:p>
    <w:p w14:paraId="56CCB210" w14:textId="1923FD5D" w:rsidR="00615290" w:rsidRDefault="00615290" w:rsidP="00615290">
      <w:pPr>
        <w:spacing w:line="360" w:lineRule="auto"/>
        <w:rPr>
          <w:rFonts w:ascii="Arial" w:hAnsi="Arial" w:cs="Arial"/>
          <w:lang w:val="en-US"/>
        </w:rPr>
      </w:pPr>
      <w:r w:rsidRPr="00EF1CF2">
        <w:rPr>
          <w:rFonts w:ascii="Arial" w:hAnsi="Arial" w:cs="Arial"/>
          <w:b/>
          <w:bCs/>
          <w:lang w:val="en-IN"/>
        </w:rPr>
        <w:t xml:space="preserve">Supplementary Fig. 3. BLP-induced </w:t>
      </w:r>
      <w:proofErr w:type="spellStart"/>
      <w:r w:rsidRPr="00EF1CF2">
        <w:rPr>
          <w:rFonts w:ascii="Arial" w:hAnsi="Arial" w:cs="Arial"/>
          <w:b/>
          <w:bCs/>
          <w:lang w:val="en-IN"/>
        </w:rPr>
        <w:t>pyroptosis</w:t>
      </w:r>
      <w:proofErr w:type="spellEnd"/>
      <w:r w:rsidRPr="00EF1CF2">
        <w:rPr>
          <w:rFonts w:ascii="Arial" w:hAnsi="Arial" w:cs="Arial"/>
          <w:b/>
          <w:bCs/>
          <w:lang w:val="en-IN"/>
        </w:rPr>
        <w:t xml:space="preserve"> depends on NLRP3. </w:t>
      </w:r>
      <w:r w:rsidRPr="00EF1CF2">
        <w:rPr>
          <w:rFonts w:ascii="Arial" w:hAnsi="Arial" w:cs="Arial"/>
          <w:lang w:val="en-US"/>
        </w:rPr>
        <w:t>Control and NLRP3 KO THP-1 cells (undifferentiated, near-confluent) were stimulated with FSL-1 or Pam3 (500 ng/m</w:t>
      </w:r>
      <w:r w:rsidR="004B36B9">
        <w:rPr>
          <w:rFonts w:ascii="Arial" w:hAnsi="Arial" w:cs="Arial"/>
          <w:lang w:val="en-US"/>
        </w:rPr>
        <w:t>l</w:t>
      </w:r>
      <w:r w:rsidRPr="00EF1CF2">
        <w:rPr>
          <w:rFonts w:ascii="Arial" w:hAnsi="Arial" w:cs="Arial"/>
          <w:lang w:val="en-US"/>
        </w:rPr>
        <w:t>) for 24 h. LDH release assay was performed. The graph depicts the mean ± SD of triplicate cultures. Data are from one representative of three biologically independent experiments with similar results.</w:t>
      </w:r>
    </w:p>
    <w:p w14:paraId="27191FA4" w14:textId="77777777" w:rsidR="0027372A" w:rsidRPr="00EF1CF2" w:rsidRDefault="0027372A" w:rsidP="00615290">
      <w:pPr>
        <w:spacing w:line="360" w:lineRule="auto"/>
        <w:rPr>
          <w:rFonts w:ascii="Arial" w:hAnsi="Arial" w:cs="Arial"/>
          <w:lang w:val="en-US"/>
        </w:rPr>
      </w:pPr>
    </w:p>
    <w:p w14:paraId="1316B468" w14:textId="77777777" w:rsidR="00197F78" w:rsidRPr="00EF1CF2" w:rsidRDefault="00197F78" w:rsidP="00615290">
      <w:pPr>
        <w:spacing w:line="360" w:lineRule="auto"/>
        <w:rPr>
          <w:rFonts w:ascii="Arial" w:hAnsi="Arial" w:cs="Arial"/>
          <w:lang w:val="en-US"/>
        </w:rPr>
      </w:pPr>
    </w:p>
    <w:p w14:paraId="2A136CF3" w14:textId="54474437" w:rsidR="00D940A3" w:rsidRPr="00EF1CF2" w:rsidRDefault="00D940A3" w:rsidP="00D940A3">
      <w:pPr>
        <w:spacing w:line="360" w:lineRule="auto"/>
        <w:jc w:val="center"/>
        <w:rPr>
          <w:rFonts w:ascii="Arial" w:hAnsi="Arial" w:cs="Arial"/>
          <w:lang w:val="en-US"/>
        </w:rPr>
      </w:pPr>
      <w:r w:rsidRPr="00EF1CF2">
        <w:rPr>
          <w:rFonts w:ascii="Arial" w:hAnsi="Arial" w:cs="Arial"/>
          <w:noProof/>
        </w:rPr>
        <w:lastRenderedPageBreak/>
        <w:drawing>
          <wp:inline distT="0" distB="0" distL="0" distR="0" wp14:anchorId="4D10C35A" wp14:editId="7CDDA37C">
            <wp:extent cx="3610187" cy="2374485"/>
            <wp:effectExtent l="0" t="0" r="0" b="0"/>
            <wp:docPr id="64" name="Picture 63">
              <a:extLst xmlns:a="http://schemas.openxmlformats.org/drawingml/2006/main">
                <a:ext uri="{FF2B5EF4-FFF2-40B4-BE49-F238E27FC236}">
                  <a16:creationId xmlns:a16="http://schemas.microsoft.com/office/drawing/2014/main" id="{3409D5F1-1433-3B7C-330E-3B8CE61D29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a:extLst>
                        <a:ext uri="{FF2B5EF4-FFF2-40B4-BE49-F238E27FC236}">
                          <a16:creationId xmlns:a16="http://schemas.microsoft.com/office/drawing/2014/main" id="{3409D5F1-1433-3B7C-330E-3B8CE61D294E}"/>
                        </a:ext>
                      </a:extLst>
                    </pic:cNvPr>
                    <pic:cNvPicPr>
                      <a:picLocks noChangeAspect="1"/>
                    </pic:cNvPicPr>
                  </pic:nvPicPr>
                  <pic:blipFill>
                    <a:blip r:embed="rId7"/>
                    <a:stretch>
                      <a:fillRect/>
                    </a:stretch>
                  </pic:blipFill>
                  <pic:spPr>
                    <a:xfrm>
                      <a:off x="0" y="0"/>
                      <a:ext cx="3633430" cy="2389772"/>
                    </a:xfrm>
                    <a:prstGeom prst="rect">
                      <a:avLst/>
                    </a:prstGeom>
                  </pic:spPr>
                </pic:pic>
              </a:graphicData>
            </a:graphic>
          </wp:inline>
        </w:drawing>
      </w:r>
    </w:p>
    <w:p w14:paraId="48F768A6" w14:textId="7C1776F5" w:rsidR="00615290" w:rsidRDefault="00615290" w:rsidP="00615290">
      <w:pPr>
        <w:spacing w:line="360" w:lineRule="auto"/>
        <w:rPr>
          <w:rFonts w:ascii="Arial" w:hAnsi="Arial" w:cs="Arial"/>
        </w:rPr>
      </w:pPr>
      <w:r w:rsidRPr="00EF1CF2">
        <w:rPr>
          <w:rFonts w:ascii="Arial" w:hAnsi="Arial" w:cs="Arial"/>
          <w:b/>
          <w:bCs/>
          <w:lang w:val="en-IN"/>
        </w:rPr>
        <w:t xml:space="preserve">Supplementary Fig. 4. </w:t>
      </w:r>
      <w:r w:rsidRPr="00EF1CF2">
        <w:rPr>
          <w:rFonts w:ascii="Arial" w:hAnsi="Arial" w:cs="Arial"/>
          <w:b/>
          <w:bCs/>
        </w:rPr>
        <w:t>Screening for TLR2 signaling components involved in pyroptosis</w:t>
      </w:r>
      <w:r w:rsidRPr="00EF1CF2">
        <w:rPr>
          <w:rFonts w:ascii="Arial" w:hAnsi="Arial" w:cs="Arial"/>
          <w:b/>
          <w:bCs/>
          <w:lang w:val="en-US"/>
        </w:rPr>
        <w:t xml:space="preserve"> induction by Pam</w:t>
      </w:r>
      <w:r w:rsidRPr="00EF1CF2">
        <w:rPr>
          <w:rFonts w:ascii="Arial" w:hAnsi="Arial" w:cs="Arial"/>
          <w:b/>
          <w:bCs/>
          <w:vertAlign w:val="subscript"/>
          <w:lang w:val="en-US"/>
        </w:rPr>
        <w:t>3</w:t>
      </w:r>
      <w:r w:rsidRPr="00EF1CF2">
        <w:rPr>
          <w:rFonts w:ascii="Arial" w:hAnsi="Arial" w:cs="Arial"/>
          <w:b/>
          <w:bCs/>
          <w:lang w:val="en-US"/>
        </w:rPr>
        <w:t>CSK</w:t>
      </w:r>
      <w:r w:rsidRPr="00EF1CF2">
        <w:rPr>
          <w:rFonts w:ascii="Arial" w:hAnsi="Arial" w:cs="Arial"/>
          <w:b/>
          <w:bCs/>
          <w:vertAlign w:val="subscript"/>
          <w:lang w:val="en-US"/>
        </w:rPr>
        <w:t>4</w:t>
      </w:r>
      <w:r w:rsidRPr="00EF1CF2">
        <w:rPr>
          <w:rFonts w:ascii="Arial" w:hAnsi="Arial" w:cs="Arial"/>
          <w:b/>
          <w:bCs/>
          <w:lang w:val="en-US"/>
        </w:rPr>
        <w:t xml:space="preserve">. </w:t>
      </w:r>
      <w:r w:rsidRPr="00EF1CF2">
        <w:rPr>
          <w:rFonts w:ascii="Arial" w:hAnsi="Arial" w:cs="Arial"/>
        </w:rPr>
        <w:t>A gene-edited THP-1 cell population was generated by introducing a panel of gRNAs targeting TLR signaling components into Cas9-expressing THP-1 cells. The cells were stimulated with Pam3 (500 ng/m</w:t>
      </w:r>
      <w:r w:rsidR="004B36B9">
        <w:rPr>
          <w:rFonts w:ascii="Arial" w:hAnsi="Arial" w:cs="Arial"/>
        </w:rPr>
        <w:t>l</w:t>
      </w:r>
      <w:r w:rsidRPr="00EF1CF2">
        <w:rPr>
          <w:rFonts w:ascii="Arial" w:hAnsi="Arial" w:cs="Arial"/>
        </w:rPr>
        <w:t>) for 6 h, and surviving cells were isolated. Changes in the relative abundance of each gRNA before and after stimulation were quantified and expressed as fold changes (post-/pre-stimulation)</w:t>
      </w:r>
      <w:r w:rsidRPr="00EF1CF2">
        <w:rPr>
          <w:rFonts w:ascii="Arial" w:hAnsi="Arial" w:cs="Arial"/>
          <w:lang w:val="en-US"/>
        </w:rPr>
        <w:t xml:space="preserve">. </w:t>
      </w:r>
      <w:r w:rsidRPr="00EF1CF2">
        <w:rPr>
          <w:rFonts w:ascii="Arial" w:hAnsi="Arial" w:cs="Arial"/>
        </w:rPr>
        <w:t>The data correspond to those shown in the heat map in Fig. 4F and are presented here as a floating bar chart. The line within each bar indicates the median. Data are pooled from three biologically independent experiments.</w:t>
      </w:r>
    </w:p>
    <w:p w14:paraId="6024A83B" w14:textId="77777777" w:rsidR="0027372A" w:rsidRPr="00EF1CF2" w:rsidRDefault="0027372A" w:rsidP="00615290">
      <w:pPr>
        <w:spacing w:line="360" w:lineRule="auto"/>
        <w:rPr>
          <w:rFonts w:ascii="Arial" w:hAnsi="Arial" w:cs="Arial"/>
          <w:b/>
          <w:bCs/>
          <w:lang w:val="en-US"/>
        </w:rPr>
      </w:pPr>
    </w:p>
    <w:p w14:paraId="56767A80" w14:textId="77777777" w:rsidR="00615290" w:rsidRPr="00EF1CF2" w:rsidRDefault="00615290" w:rsidP="00615290">
      <w:pPr>
        <w:spacing w:line="360" w:lineRule="auto"/>
        <w:rPr>
          <w:rFonts w:ascii="Arial" w:hAnsi="Arial" w:cs="Arial"/>
          <w:lang w:val="en-US"/>
        </w:rPr>
      </w:pPr>
    </w:p>
    <w:p w14:paraId="4587A646" w14:textId="77777777" w:rsidR="00A66C1A" w:rsidRPr="00EF1CF2" w:rsidRDefault="00A66C1A" w:rsidP="00615290">
      <w:pPr>
        <w:spacing w:line="360" w:lineRule="auto"/>
        <w:rPr>
          <w:rFonts w:ascii="Arial" w:hAnsi="Arial" w:cs="Arial"/>
          <w:lang w:val="en-US"/>
        </w:rPr>
      </w:pPr>
    </w:p>
    <w:p w14:paraId="709F6672" w14:textId="20F9B0B4" w:rsidR="00A66C1A" w:rsidRPr="00EF1CF2" w:rsidRDefault="00A66C1A" w:rsidP="00F35108">
      <w:pPr>
        <w:spacing w:line="360" w:lineRule="auto"/>
        <w:jc w:val="center"/>
        <w:rPr>
          <w:rFonts w:ascii="Arial" w:hAnsi="Arial" w:cs="Arial"/>
          <w:lang w:val="en-US"/>
        </w:rPr>
      </w:pPr>
      <w:r w:rsidRPr="00EF1CF2">
        <w:rPr>
          <w:rFonts w:ascii="Arial" w:hAnsi="Arial" w:cs="Arial"/>
          <w:noProof/>
        </w:rPr>
        <w:lastRenderedPageBreak/>
        <w:drawing>
          <wp:inline distT="0" distB="0" distL="0" distR="0" wp14:anchorId="25FC9D51" wp14:editId="16913141">
            <wp:extent cx="4628721" cy="2759710"/>
            <wp:effectExtent l="0" t="0" r="0" b="0"/>
            <wp:docPr id="118" name="Picture 117">
              <a:extLst xmlns:a="http://schemas.openxmlformats.org/drawingml/2006/main">
                <a:ext uri="{FF2B5EF4-FFF2-40B4-BE49-F238E27FC236}">
                  <a16:creationId xmlns:a16="http://schemas.microsoft.com/office/drawing/2014/main" id="{D5C9CC45-2244-3ACD-694B-496C592FF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7">
                      <a:extLst>
                        <a:ext uri="{FF2B5EF4-FFF2-40B4-BE49-F238E27FC236}">
                          <a16:creationId xmlns:a16="http://schemas.microsoft.com/office/drawing/2014/main" id="{D5C9CC45-2244-3ACD-694B-496C592FF034}"/>
                        </a:ext>
                      </a:extLst>
                    </pic:cNvPr>
                    <pic:cNvPicPr>
                      <a:picLocks noChangeAspect="1"/>
                    </pic:cNvPicPr>
                  </pic:nvPicPr>
                  <pic:blipFill>
                    <a:blip r:embed="rId8"/>
                    <a:stretch>
                      <a:fillRect/>
                    </a:stretch>
                  </pic:blipFill>
                  <pic:spPr>
                    <a:xfrm>
                      <a:off x="0" y="0"/>
                      <a:ext cx="4647794" cy="2771082"/>
                    </a:xfrm>
                    <a:prstGeom prst="rect">
                      <a:avLst/>
                    </a:prstGeom>
                  </pic:spPr>
                </pic:pic>
              </a:graphicData>
            </a:graphic>
          </wp:inline>
        </w:drawing>
      </w:r>
    </w:p>
    <w:p w14:paraId="1A46644F" w14:textId="26879335" w:rsidR="00615290" w:rsidRPr="00EF1CF2" w:rsidRDefault="00615290" w:rsidP="00615290">
      <w:pPr>
        <w:spacing w:line="360" w:lineRule="auto"/>
        <w:rPr>
          <w:rFonts w:ascii="Arial" w:hAnsi="Arial" w:cs="Arial"/>
          <w:lang w:val="en-US"/>
        </w:rPr>
      </w:pPr>
      <w:r w:rsidRPr="00EF1CF2">
        <w:rPr>
          <w:rFonts w:ascii="Arial" w:hAnsi="Arial" w:cs="Arial"/>
          <w:b/>
          <w:bCs/>
          <w:lang w:val="en-IN"/>
        </w:rPr>
        <w:t xml:space="preserve">Supplementary Fig. 5. </w:t>
      </w:r>
      <w:r w:rsidRPr="00EF1CF2">
        <w:rPr>
          <w:rFonts w:ascii="Arial" w:eastAsiaTheme="majorEastAsia" w:hAnsi="Arial" w:cs="Arial"/>
          <w:b/>
          <w:bCs/>
        </w:rPr>
        <w:t>Validation of necroptosis and ferroptosis inhibitors used in this study.</w:t>
      </w:r>
      <w:r w:rsidRPr="00EF1CF2">
        <w:rPr>
          <w:rFonts w:ascii="Arial" w:hAnsi="Arial" w:cs="Arial"/>
          <w:b/>
          <w:bCs/>
        </w:rPr>
        <w:t xml:space="preserve"> A</w:t>
      </w:r>
      <w:r w:rsidRPr="00EF1CF2">
        <w:rPr>
          <w:rFonts w:ascii="Arial" w:hAnsi="Arial" w:cs="Arial"/>
        </w:rPr>
        <w:t xml:space="preserve"> THP-1 cells were pretreated with the necroptosis inhibitors GSK872 (40 </w:t>
      </w:r>
      <w:proofErr w:type="spellStart"/>
      <w:r w:rsidRPr="00EF1CF2">
        <w:rPr>
          <w:rFonts w:ascii="Arial" w:hAnsi="Arial" w:cs="Arial"/>
          <w:lang w:val="en-US"/>
        </w:rPr>
        <w:t>μM</w:t>
      </w:r>
      <w:proofErr w:type="spellEnd"/>
      <w:r w:rsidRPr="00EF1CF2">
        <w:rPr>
          <w:rFonts w:ascii="Arial" w:hAnsi="Arial" w:cs="Arial"/>
        </w:rPr>
        <w:t xml:space="preserve">) or necrostatin-1 (Nec-1, 40 </w:t>
      </w:r>
      <w:proofErr w:type="spellStart"/>
      <w:r w:rsidRPr="00EF1CF2">
        <w:rPr>
          <w:rFonts w:ascii="Arial" w:hAnsi="Arial" w:cs="Arial"/>
          <w:lang w:val="en-US"/>
        </w:rPr>
        <w:t>μM</w:t>
      </w:r>
      <w:proofErr w:type="spellEnd"/>
      <w:r w:rsidRPr="00EF1CF2">
        <w:rPr>
          <w:rFonts w:ascii="Arial" w:hAnsi="Arial" w:cs="Arial"/>
        </w:rPr>
        <w:t>), or with DMSO as a control, for 30 min, and then treated with LPS (100 ng/m</w:t>
      </w:r>
      <w:r w:rsidR="004B36B9">
        <w:rPr>
          <w:rFonts w:ascii="Arial" w:hAnsi="Arial" w:cs="Arial"/>
        </w:rPr>
        <w:t>l</w:t>
      </w:r>
      <w:r w:rsidRPr="00EF1CF2">
        <w:rPr>
          <w:rFonts w:ascii="Arial" w:hAnsi="Arial" w:cs="Arial"/>
        </w:rPr>
        <w:t xml:space="preserve">) plus z-VAD-fmk (30 </w:t>
      </w:r>
      <w:proofErr w:type="spellStart"/>
      <w:r w:rsidRPr="00EF1CF2">
        <w:rPr>
          <w:rFonts w:ascii="Arial" w:hAnsi="Arial" w:cs="Arial"/>
          <w:lang w:val="en-US"/>
        </w:rPr>
        <w:t>μM</w:t>
      </w:r>
      <w:proofErr w:type="spellEnd"/>
      <w:r w:rsidRPr="00EF1CF2">
        <w:rPr>
          <w:rFonts w:ascii="Arial" w:hAnsi="Arial" w:cs="Arial"/>
        </w:rPr>
        <w:t xml:space="preserve">) for 24 h to induce necroptosis. </w:t>
      </w:r>
      <w:r w:rsidRPr="00EF1CF2">
        <w:rPr>
          <w:rFonts w:ascii="Arial" w:hAnsi="Arial" w:cs="Arial"/>
          <w:b/>
          <w:bCs/>
          <w:lang w:val="en-US"/>
        </w:rPr>
        <w:t>B</w:t>
      </w:r>
      <w:r w:rsidRPr="00EF1CF2">
        <w:rPr>
          <w:rFonts w:ascii="Arial" w:hAnsi="Arial" w:cs="Arial"/>
          <w:lang w:val="en-US"/>
        </w:rPr>
        <w:t xml:space="preserve"> </w:t>
      </w:r>
      <w:r w:rsidRPr="00EF1CF2">
        <w:rPr>
          <w:rFonts w:ascii="Arial" w:hAnsi="Arial" w:cs="Arial"/>
        </w:rPr>
        <w:t xml:space="preserve">THP-1 cells were pretreated with the ferroptosis inhibitors DFO </w:t>
      </w:r>
      <w:r w:rsidRPr="00EF1CF2">
        <w:rPr>
          <w:rFonts w:ascii="Arial" w:hAnsi="Arial" w:cs="Arial"/>
          <w:lang w:val="en-US"/>
        </w:rPr>
        <w:t xml:space="preserve">(100 </w:t>
      </w:r>
      <w:proofErr w:type="spellStart"/>
      <w:r w:rsidRPr="00EF1CF2">
        <w:rPr>
          <w:rFonts w:ascii="Arial" w:hAnsi="Arial" w:cs="Arial"/>
          <w:lang w:val="en-US"/>
        </w:rPr>
        <w:t>μM</w:t>
      </w:r>
      <w:proofErr w:type="spellEnd"/>
      <w:r w:rsidRPr="00EF1CF2">
        <w:rPr>
          <w:rFonts w:ascii="Arial" w:hAnsi="Arial" w:cs="Arial"/>
          <w:lang w:val="en-US"/>
        </w:rPr>
        <w:t xml:space="preserve">) </w:t>
      </w:r>
      <w:r w:rsidRPr="00EF1CF2">
        <w:rPr>
          <w:rFonts w:ascii="Arial" w:hAnsi="Arial" w:cs="Arial"/>
        </w:rPr>
        <w:t xml:space="preserve">or ferrostatin-1 (Ferr-1, </w:t>
      </w:r>
      <w:r w:rsidRPr="00EF1CF2">
        <w:rPr>
          <w:rFonts w:ascii="Arial" w:hAnsi="Arial" w:cs="Arial"/>
          <w:lang w:val="en-US"/>
        </w:rPr>
        <w:t xml:space="preserve">20 </w:t>
      </w:r>
      <w:proofErr w:type="spellStart"/>
      <w:r w:rsidRPr="00EF1CF2">
        <w:rPr>
          <w:rFonts w:ascii="Arial" w:hAnsi="Arial" w:cs="Arial"/>
          <w:lang w:val="en-US"/>
        </w:rPr>
        <w:t>μM</w:t>
      </w:r>
      <w:proofErr w:type="spellEnd"/>
      <w:r w:rsidRPr="00EF1CF2">
        <w:rPr>
          <w:rFonts w:ascii="Arial" w:hAnsi="Arial" w:cs="Arial"/>
        </w:rPr>
        <w:t>), or with DMSO as a control, for 30 min, and then treated with RSL3</w:t>
      </w:r>
      <w:r w:rsidRPr="00EF1CF2">
        <w:rPr>
          <w:rFonts w:ascii="Arial" w:hAnsi="Arial" w:cs="Arial"/>
          <w:lang w:val="en-US"/>
        </w:rPr>
        <w:t xml:space="preserve"> (20 </w:t>
      </w:r>
      <w:proofErr w:type="spellStart"/>
      <w:r w:rsidRPr="00EF1CF2">
        <w:rPr>
          <w:rFonts w:ascii="Arial" w:hAnsi="Arial" w:cs="Arial"/>
          <w:lang w:val="en-US"/>
        </w:rPr>
        <w:t>μM</w:t>
      </w:r>
      <w:proofErr w:type="spellEnd"/>
      <w:r w:rsidRPr="00EF1CF2">
        <w:rPr>
          <w:rFonts w:ascii="Arial" w:hAnsi="Arial" w:cs="Arial"/>
          <w:lang w:val="en-US"/>
        </w:rPr>
        <w:t>)</w:t>
      </w:r>
      <w:r w:rsidRPr="00EF1CF2">
        <w:rPr>
          <w:rFonts w:ascii="Arial" w:hAnsi="Arial" w:cs="Arial"/>
        </w:rPr>
        <w:t xml:space="preserve"> for 24 h to induce ferroptosis. </w:t>
      </w:r>
      <w:r w:rsidRPr="00EF1CF2">
        <w:rPr>
          <w:rFonts w:ascii="Arial" w:hAnsi="Arial" w:cs="Arial"/>
          <w:lang w:val="en-US"/>
        </w:rPr>
        <w:t>Cell lysis was monitored by LDH release assay (A, B). The graphs depict the mean ± SD of duplicate (B) or triplicate (A) cultures. Data are from one representative of two biologically independent experiments with similar results. P values were determined using one-way (A) or two-way (B) ANOVA followed by Dunnett's multiple comparisons test. ***P &lt; 0.001.</w:t>
      </w:r>
    </w:p>
    <w:p w14:paraId="4984F480" w14:textId="77777777" w:rsidR="00A34E0A" w:rsidRPr="00EF1CF2" w:rsidRDefault="00A34E0A" w:rsidP="00615290">
      <w:pPr>
        <w:spacing w:line="360" w:lineRule="auto"/>
        <w:rPr>
          <w:rFonts w:ascii="Arial" w:hAnsi="Arial" w:cs="Arial"/>
          <w:lang w:val="en-US"/>
        </w:rPr>
      </w:pPr>
    </w:p>
    <w:p w14:paraId="4DD3C5AD" w14:textId="77777777" w:rsidR="00A34E0A" w:rsidRPr="00EF1CF2" w:rsidRDefault="00A34E0A" w:rsidP="00615290">
      <w:pPr>
        <w:spacing w:line="360" w:lineRule="auto"/>
        <w:rPr>
          <w:rFonts w:ascii="Arial" w:hAnsi="Arial" w:cs="Arial"/>
          <w:lang w:val="en-US"/>
        </w:rPr>
      </w:pPr>
    </w:p>
    <w:p w14:paraId="24D8F2C1" w14:textId="1248ADBA" w:rsidR="00A34E0A" w:rsidRPr="00EF1CF2" w:rsidRDefault="00A34E0A" w:rsidP="00F35108">
      <w:pPr>
        <w:spacing w:line="360" w:lineRule="auto"/>
        <w:jc w:val="center"/>
        <w:rPr>
          <w:rFonts w:ascii="Arial" w:hAnsi="Arial" w:cs="Arial"/>
          <w:lang w:val="en-US"/>
        </w:rPr>
      </w:pPr>
      <w:r w:rsidRPr="00EF1CF2">
        <w:rPr>
          <w:rFonts w:ascii="Arial" w:hAnsi="Arial" w:cs="Arial"/>
          <w:noProof/>
        </w:rPr>
        <w:drawing>
          <wp:inline distT="0" distB="0" distL="0" distR="0" wp14:anchorId="093D63F5" wp14:editId="11E94CF2">
            <wp:extent cx="2998570" cy="1835573"/>
            <wp:effectExtent l="0" t="0" r="0" b="0"/>
            <wp:docPr id="68" name="Picture 67">
              <a:extLst xmlns:a="http://schemas.openxmlformats.org/drawingml/2006/main">
                <a:ext uri="{FF2B5EF4-FFF2-40B4-BE49-F238E27FC236}">
                  <a16:creationId xmlns:a16="http://schemas.microsoft.com/office/drawing/2014/main" id="{2144BCF4-12F7-E252-640D-F13D5C6902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7">
                      <a:extLst>
                        <a:ext uri="{FF2B5EF4-FFF2-40B4-BE49-F238E27FC236}">
                          <a16:creationId xmlns:a16="http://schemas.microsoft.com/office/drawing/2014/main" id="{2144BCF4-12F7-E252-640D-F13D5C690285}"/>
                        </a:ext>
                      </a:extLst>
                    </pic:cNvPr>
                    <pic:cNvPicPr>
                      <a:picLocks noChangeAspect="1"/>
                    </pic:cNvPicPr>
                  </pic:nvPicPr>
                  <pic:blipFill>
                    <a:blip r:embed="rId9"/>
                    <a:stretch>
                      <a:fillRect/>
                    </a:stretch>
                  </pic:blipFill>
                  <pic:spPr>
                    <a:xfrm>
                      <a:off x="0" y="0"/>
                      <a:ext cx="3019926" cy="1848646"/>
                    </a:xfrm>
                    <a:prstGeom prst="rect">
                      <a:avLst/>
                    </a:prstGeom>
                  </pic:spPr>
                </pic:pic>
              </a:graphicData>
            </a:graphic>
          </wp:inline>
        </w:drawing>
      </w:r>
    </w:p>
    <w:p w14:paraId="4C41B9A4" w14:textId="0C43B9B2" w:rsidR="00615290" w:rsidRPr="00EF1CF2" w:rsidRDefault="00615290" w:rsidP="00615290">
      <w:pPr>
        <w:spacing w:line="360" w:lineRule="auto"/>
        <w:rPr>
          <w:rFonts w:ascii="Arial" w:hAnsi="Arial" w:cs="Arial"/>
          <w:lang w:val="en-US"/>
        </w:rPr>
      </w:pPr>
      <w:r w:rsidRPr="00EF1CF2">
        <w:rPr>
          <w:rFonts w:ascii="Arial" w:hAnsi="Arial" w:cs="Arial"/>
          <w:b/>
          <w:bCs/>
          <w:lang w:val="en-IN"/>
        </w:rPr>
        <w:lastRenderedPageBreak/>
        <w:t>Supplementary Fig. 6. NLRP3 is essentially required for the enhancement of Pam</w:t>
      </w:r>
      <w:r w:rsidRPr="00EF1CF2">
        <w:rPr>
          <w:rFonts w:ascii="Arial" w:hAnsi="Arial" w:cs="Arial"/>
          <w:b/>
          <w:bCs/>
          <w:vertAlign w:val="subscript"/>
          <w:lang w:val="en-IN"/>
        </w:rPr>
        <w:t>3</w:t>
      </w:r>
      <w:r w:rsidRPr="00EF1CF2">
        <w:rPr>
          <w:rFonts w:ascii="Arial" w:hAnsi="Arial" w:cs="Arial"/>
          <w:b/>
          <w:bCs/>
          <w:lang w:val="en-IN"/>
        </w:rPr>
        <w:t>CSK</w:t>
      </w:r>
      <w:r w:rsidRPr="00EF1CF2">
        <w:rPr>
          <w:rFonts w:ascii="Arial" w:hAnsi="Arial" w:cs="Arial"/>
          <w:b/>
          <w:bCs/>
          <w:vertAlign w:val="subscript"/>
          <w:lang w:val="en-IN"/>
        </w:rPr>
        <w:t>4</w:t>
      </w:r>
      <w:r w:rsidRPr="00EF1CF2">
        <w:rPr>
          <w:rFonts w:ascii="Arial" w:hAnsi="Arial" w:cs="Arial"/>
          <w:b/>
          <w:bCs/>
          <w:lang w:val="en-IN"/>
        </w:rPr>
        <w:t xml:space="preserve">-induced </w:t>
      </w:r>
      <w:proofErr w:type="spellStart"/>
      <w:r w:rsidRPr="00EF1CF2">
        <w:rPr>
          <w:rFonts w:ascii="Arial" w:hAnsi="Arial" w:cs="Arial"/>
          <w:b/>
          <w:bCs/>
          <w:lang w:val="en-IN"/>
        </w:rPr>
        <w:t>pyroptosis</w:t>
      </w:r>
      <w:proofErr w:type="spellEnd"/>
      <w:r w:rsidRPr="00EF1CF2">
        <w:rPr>
          <w:rFonts w:ascii="Arial" w:hAnsi="Arial" w:cs="Arial"/>
          <w:b/>
          <w:bCs/>
          <w:lang w:val="en-IN"/>
        </w:rPr>
        <w:t xml:space="preserve"> by diamide</w:t>
      </w:r>
      <w:r w:rsidRPr="00EF1CF2">
        <w:rPr>
          <w:rFonts w:ascii="Arial" w:eastAsiaTheme="majorEastAsia" w:hAnsi="Arial" w:cs="Arial"/>
          <w:b/>
          <w:bCs/>
        </w:rPr>
        <w:t>.</w:t>
      </w:r>
      <w:r w:rsidRPr="00EF1CF2">
        <w:rPr>
          <w:rFonts w:ascii="Arial" w:hAnsi="Arial" w:cs="Arial"/>
        </w:rPr>
        <w:t xml:space="preserve"> Control and NLRP3 KO</w:t>
      </w:r>
      <w:r w:rsidRPr="00EF1CF2">
        <w:rPr>
          <w:rFonts w:ascii="Arial" w:hAnsi="Arial" w:cs="Arial"/>
          <w:b/>
          <w:bCs/>
        </w:rPr>
        <w:t xml:space="preserve"> </w:t>
      </w:r>
      <w:r w:rsidRPr="00EF1CF2">
        <w:rPr>
          <w:rFonts w:ascii="Arial" w:hAnsi="Arial" w:cs="Arial"/>
        </w:rPr>
        <w:t>THP-1 cells were stimulated with Pam3 (500 ng/m</w:t>
      </w:r>
      <w:r w:rsidR="004B36B9">
        <w:rPr>
          <w:rFonts w:ascii="Arial" w:hAnsi="Arial" w:cs="Arial"/>
        </w:rPr>
        <w:t>l</w:t>
      </w:r>
      <w:r w:rsidRPr="00EF1CF2">
        <w:rPr>
          <w:rFonts w:ascii="Arial" w:hAnsi="Arial" w:cs="Arial"/>
        </w:rPr>
        <w:t xml:space="preserve">) for 3 h. </w:t>
      </w:r>
      <w:r w:rsidRPr="00EF1CF2">
        <w:rPr>
          <w:rFonts w:ascii="Arial" w:hAnsi="Arial" w:cs="Arial"/>
          <w:lang w:val="en-US"/>
        </w:rPr>
        <w:t>Diamide was added to the cultures 30 min after stimulation. LDH release assay was performed. The graph depicts the mean ± SD of triplicate cultures. Data are from one representative of three biologically independent experiments with similar results.</w:t>
      </w:r>
    </w:p>
    <w:p w14:paraId="107BA245" w14:textId="77777777" w:rsidR="00615290" w:rsidRPr="00EF1CF2" w:rsidRDefault="00615290" w:rsidP="00615290">
      <w:pPr>
        <w:spacing w:line="360" w:lineRule="auto"/>
        <w:rPr>
          <w:rFonts w:ascii="Arial" w:hAnsi="Arial" w:cs="Arial"/>
          <w:lang w:val="en-US"/>
        </w:rPr>
      </w:pPr>
    </w:p>
    <w:p w14:paraId="068186B1" w14:textId="77777777" w:rsidR="00957E90" w:rsidRPr="00EF1CF2" w:rsidRDefault="00957E90">
      <w:pPr>
        <w:rPr>
          <w:rFonts w:ascii="Arial" w:hAnsi="Arial" w:cs="Arial"/>
          <w:b/>
          <w:bCs/>
          <w:color w:val="000000" w:themeColor="text1"/>
        </w:rPr>
      </w:pPr>
      <w:r w:rsidRPr="00EF1CF2">
        <w:rPr>
          <w:rFonts w:ascii="Arial" w:hAnsi="Arial" w:cs="Arial"/>
          <w:b/>
          <w:bCs/>
          <w:color w:val="000000" w:themeColor="text1"/>
        </w:rPr>
        <w:br w:type="page"/>
      </w:r>
    </w:p>
    <w:p w14:paraId="4D0FDA18" w14:textId="26F45585" w:rsidR="00615290" w:rsidRPr="00EF1CF2" w:rsidRDefault="00126AC2" w:rsidP="008C10F5">
      <w:pPr>
        <w:spacing w:line="360" w:lineRule="auto"/>
        <w:jc w:val="both"/>
        <w:rPr>
          <w:rFonts w:ascii="Arial" w:hAnsi="Arial" w:cs="Arial"/>
          <w:b/>
          <w:bCs/>
          <w:color w:val="000000" w:themeColor="text1"/>
          <w:lang w:val="en-US"/>
        </w:rPr>
      </w:pPr>
      <w:r w:rsidRPr="00EF1CF2">
        <w:rPr>
          <w:rFonts w:ascii="Arial" w:hAnsi="Arial" w:cs="Arial"/>
          <w:b/>
          <w:bCs/>
          <w:color w:val="000000" w:themeColor="text1"/>
        </w:rPr>
        <w:lastRenderedPageBreak/>
        <w:t>Supplementary Table 1</w:t>
      </w:r>
      <w:r w:rsidR="004A4789" w:rsidRPr="00EF1CF2">
        <w:rPr>
          <w:rFonts w:ascii="Arial" w:hAnsi="Arial" w:cs="Arial"/>
          <w:b/>
          <w:bCs/>
          <w:color w:val="000000" w:themeColor="text1"/>
        </w:rPr>
        <w:t>:</w:t>
      </w:r>
      <w:r w:rsidR="00E76F6A" w:rsidRPr="00EF1CF2">
        <w:rPr>
          <w:rFonts w:ascii="Arial" w:hAnsi="Arial" w:cs="Arial"/>
          <w:b/>
          <w:bCs/>
          <w:color w:val="000000" w:themeColor="text1"/>
        </w:rPr>
        <w:t xml:space="preserve"> Oligo</w:t>
      </w:r>
      <w:r w:rsidR="00846E0D" w:rsidRPr="00EF1CF2">
        <w:rPr>
          <w:rFonts w:ascii="Arial" w:hAnsi="Arial" w:cs="Arial"/>
          <w:b/>
          <w:bCs/>
          <w:color w:val="000000" w:themeColor="text1"/>
        </w:rPr>
        <w:t>nucleotides used in this study</w:t>
      </w:r>
    </w:p>
    <w:tbl>
      <w:tblPr>
        <w:tblW w:w="8926" w:type="dxa"/>
        <w:tblLook w:val="04A0" w:firstRow="1" w:lastRow="0" w:firstColumn="1" w:lastColumn="0" w:noHBand="0" w:noVBand="1"/>
      </w:tblPr>
      <w:tblGrid>
        <w:gridCol w:w="1980"/>
        <w:gridCol w:w="2268"/>
        <w:gridCol w:w="4678"/>
      </w:tblGrid>
      <w:tr w:rsidR="000C40CE" w:rsidRPr="00EF1CF2" w14:paraId="5BE16C66" w14:textId="77777777" w:rsidTr="0027372A">
        <w:trPr>
          <w:trHeight w:val="320"/>
        </w:trPr>
        <w:tc>
          <w:tcPr>
            <w:tcW w:w="19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0015D0F" w14:textId="77777777" w:rsidR="000C40CE" w:rsidRPr="00EF1CF2" w:rsidRDefault="000C40CE">
            <w:pPr>
              <w:rPr>
                <w:rFonts w:ascii="Arial" w:hAnsi="Arial" w:cs="Arial"/>
                <w:b/>
                <w:bCs/>
                <w:color w:val="000000"/>
                <w:sz w:val="16"/>
                <w:szCs w:val="16"/>
              </w:rPr>
            </w:pPr>
            <w:r w:rsidRPr="00EF1CF2">
              <w:rPr>
                <w:rFonts w:ascii="Arial" w:hAnsi="Arial" w:cs="Arial"/>
                <w:b/>
                <w:bCs/>
                <w:color w:val="000000"/>
                <w:sz w:val="16"/>
                <w:szCs w:val="16"/>
              </w:rPr>
              <w:t>Application</w:t>
            </w:r>
          </w:p>
        </w:tc>
        <w:tc>
          <w:tcPr>
            <w:tcW w:w="2268" w:type="dxa"/>
            <w:tcBorders>
              <w:top w:val="single" w:sz="4" w:space="0" w:color="auto"/>
              <w:left w:val="nil"/>
              <w:bottom w:val="single" w:sz="4" w:space="0" w:color="auto"/>
              <w:right w:val="single" w:sz="4" w:space="0" w:color="auto"/>
            </w:tcBorders>
            <w:shd w:val="clear" w:color="000000" w:fill="F2F2F2"/>
            <w:noWrap/>
            <w:vAlign w:val="bottom"/>
            <w:hideMark/>
          </w:tcPr>
          <w:p w14:paraId="5F5BEAE7" w14:textId="77777777" w:rsidR="000C40CE" w:rsidRPr="00EF1CF2" w:rsidRDefault="000C40CE">
            <w:pPr>
              <w:rPr>
                <w:rFonts w:ascii="Arial" w:hAnsi="Arial" w:cs="Arial"/>
                <w:b/>
                <w:bCs/>
                <w:color w:val="000000"/>
                <w:sz w:val="16"/>
                <w:szCs w:val="16"/>
              </w:rPr>
            </w:pPr>
            <w:r w:rsidRPr="00EF1CF2">
              <w:rPr>
                <w:rFonts w:ascii="Arial" w:hAnsi="Arial" w:cs="Arial"/>
                <w:b/>
                <w:bCs/>
                <w:color w:val="000000"/>
                <w:sz w:val="16"/>
                <w:szCs w:val="16"/>
              </w:rPr>
              <w:t>Oligo names</w:t>
            </w:r>
          </w:p>
        </w:tc>
        <w:tc>
          <w:tcPr>
            <w:tcW w:w="4678" w:type="dxa"/>
            <w:tcBorders>
              <w:top w:val="single" w:sz="4" w:space="0" w:color="auto"/>
              <w:left w:val="nil"/>
              <w:bottom w:val="single" w:sz="4" w:space="0" w:color="auto"/>
              <w:right w:val="single" w:sz="4" w:space="0" w:color="auto"/>
            </w:tcBorders>
            <w:shd w:val="clear" w:color="000000" w:fill="F2F2F2"/>
            <w:noWrap/>
            <w:vAlign w:val="bottom"/>
            <w:hideMark/>
          </w:tcPr>
          <w:p w14:paraId="644F93AE" w14:textId="77777777" w:rsidR="000C40CE" w:rsidRPr="00EF1CF2" w:rsidRDefault="000C40CE">
            <w:pPr>
              <w:rPr>
                <w:rFonts w:ascii="Arial" w:hAnsi="Arial" w:cs="Arial"/>
                <w:b/>
                <w:bCs/>
                <w:color w:val="000000"/>
                <w:sz w:val="16"/>
                <w:szCs w:val="16"/>
              </w:rPr>
            </w:pPr>
            <w:r w:rsidRPr="00EF1CF2">
              <w:rPr>
                <w:rFonts w:ascii="Arial" w:hAnsi="Arial" w:cs="Arial"/>
                <w:b/>
                <w:bCs/>
                <w:color w:val="000000"/>
                <w:sz w:val="16"/>
                <w:szCs w:val="16"/>
              </w:rPr>
              <w:t>Sequences</w:t>
            </w:r>
          </w:p>
        </w:tc>
      </w:tr>
      <w:tr w:rsidR="000C40CE" w:rsidRPr="00EF1CF2" w14:paraId="767252F9"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2087E5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4AE4928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hASC_CRISPR_3S</w:t>
            </w:r>
          </w:p>
        </w:tc>
        <w:tc>
          <w:tcPr>
            <w:tcW w:w="4678" w:type="dxa"/>
            <w:tcBorders>
              <w:top w:val="nil"/>
              <w:left w:val="nil"/>
              <w:bottom w:val="single" w:sz="4" w:space="0" w:color="auto"/>
              <w:right w:val="single" w:sz="4" w:space="0" w:color="auto"/>
            </w:tcBorders>
            <w:noWrap/>
            <w:vAlign w:val="bottom"/>
            <w:hideMark/>
          </w:tcPr>
          <w:p w14:paraId="3DD6D9E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CGG TGA GGT CCA AGG CGT CCA</w:t>
            </w:r>
          </w:p>
        </w:tc>
      </w:tr>
      <w:tr w:rsidR="000C40CE" w:rsidRPr="00EF1CF2" w14:paraId="0E33449A"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1AE6156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07D0603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hASC_CRISPR_3A</w:t>
            </w:r>
          </w:p>
        </w:tc>
        <w:tc>
          <w:tcPr>
            <w:tcW w:w="4678" w:type="dxa"/>
            <w:tcBorders>
              <w:top w:val="nil"/>
              <w:left w:val="nil"/>
              <w:bottom w:val="single" w:sz="4" w:space="0" w:color="auto"/>
              <w:right w:val="single" w:sz="4" w:space="0" w:color="auto"/>
            </w:tcBorders>
            <w:noWrap/>
            <w:vAlign w:val="bottom"/>
            <w:hideMark/>
          </w:tcPr>
          <w:p w14:paraId="60072C1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CTG GAC GCC TTG GAC CTC ACC</w:t>
            </w:r>
          </w:p>
        </w:tc>
      </w:tr>
      <w:tr w:rsidR="000C40CE" w:rsidRPr="00EF1CF2" w14:paraId="6B55FBCE"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FDB7E0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027F4B6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hCASP1_CRISPR_4S</w:t>
            </w:r>
          </w:p>
        </w:tc>
        <w:tc>
          <w:tcPr>
            <w:tcW w:w="4678" w:type="dxa"/>
            <w:tcBorders>
              <w:top w:val="nil"/>
              <w:left w:val="nil"/>
              <w:bottom w:val="single" w:sz="4" w:space="0" w:color="auto"/>
              <w:right w:val="single" w:sz="4" w:space="0" w:color="auto"/>
            </w:tcBorders>
            <w:noWrap/>
            <w:vAlign w:val="bottom"/>
            <w:hideMark/>
          </w:tcPr>
          <w:p w14:paraId="687BAAD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CACCGCATTGAGTTGTAGTATATC</w:t>
            </w:r>
          </w:p>
        </w:tc>
      </w:tr>
      <w:tr w:rsidR="000C40CE" w:rsidRPr="00EF1CF2" w14:paraId="19F6DDB8"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CAA0EC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0306261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hCASP1_CRISPR_4A</w:t>
            </w:r>
          </w:p>
        </w:tc>
        <w:tc>
          <w:tcPr>
            <w:tcW w:w="4678" w:type="dxa"/>
            <w:tcBorders>
              <w:top w:val="nil"/>
              <w:left w:val="nil"/>
              <w:bottom w:val="single" w:sz="4" w:space="0" w:color="auto"/>
              <w:right w:val="single" w:sz="4" w:space="0" w:color="auto"/>
            </w:tcBorders>
            <w:noWrap/>
            <w:vAlign w:val="bottom"/>
            <w:hideMark/>
          </w:tcPr>
          <w:p w14:paraId="1DEFF78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AAACGATATACTACAACTCAATGC</w:t>
            </w:r>
          </w:p>
        </w:tc>
      </w:tr>
      <w:tr w:rsidR="000C40CE" w:rsidRPr="00EF1CF2" w14:paraId="6B6E19EF"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2EA49BC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7BF838F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hGSDMD_CRISPR_1S</w:t>
            </w:r>
          </w:p>
        </w:tc>
        <w:tc>
          <w:tcPr>
            <w:tcW w:w="4678" w:type="dxa"/>
            <w:tcBorders>
              <w:top w:val="nil"/>
              <w:left w:val="nil"/>
              <w:bottom w:val="single" w:sz="4" w:space="0" w:color="auto"/>
              <w:right w:val="single" w:sz="4" w:space="0" w:color="auto"/>
            </w:tcBorders>
            <w:noWrap/>
            <w:vAlign w:val="bottom"/>
            <w:hideMark/>
          </w:tcPr>
          <w:p w14:paraId="7CAF481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CACCGCTTCCACTTCTACGATGCCA</w:t>
            </w:r>
          </w:p>
        </w:tc>
      </w:tr>
      <w:tr w:rsidR="000C40CE" w:rsidRPr="00EF1CF2" w14:paraId="650ACFB3"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9E5D5D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0149883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hGSDMD_CRISPR_1A</w:t>
            </w:r>
          </w:p>
        </w:tc>
        <w:tc>
          <w:tcPr>
            <w:tcW w:w="4678" w:type="dxa"/>
            <w:tcBorders>
              <w:top w:val="nil"/>
              <w:left w:val="nil"/>
              <w:bottom w:val="single" w:sz="4" w:space="0" w:color="auto"/>
              <w:right w:val="single" w:sz="4" w:space="0" w:color="auto"/>
            </w:tcBorders>
            <w:noWrap/>
            <w:vAlign w:val="bottom"/>
            <w:hideMark/>
          </w:tcPr>
          <w:p w14:paraId="7CFBDAEE"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AAACTGGCATCGTAGAAGTGGAAGC</w:t>
            </w:r>
          </w:p>
        </w:tc>
      </w:tr>
      <w:tr w:rsidR="000C40CE" w:rsidRPr="00EF1CF2" w14:paraId="58774F9E"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6ACEF95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21406D5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hNLRP7_CRISPR_1S</w:t>
            </w:r>
          </w:p>
        </w:tc>
        <w:tc>
          <w:tcPr>
            <w:tcW w:w="4678" w:type="dxa"/>
            <w:tcBorders>
              <w:top w:val="nil"/>
              <w:left w:val="nil"/>
              <w:bottom w:val="single" w:sz="4" w:space="0" w:color="auto"/>
              <w:right w:val="single" w:sz="4" w:space="0" w:color="auto"/>
            </w:tcBorders>
            <w:noWrap/>
            <w:vAlign w:val="bottom"/>
            <w:hideMark/>
          </w:tcPr>
          <w:p w14:paraId="3FAFDB2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CGA AGA CCC CAT GGT CTG AGG</w:t>
            </w:r>
          </w:p>
        </w:tc>
      </w:tr>
      <w:tr w:rsidR="000C40CE" w:rsidRPr="00EF1CF2" w14:paraId="329C3C49"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436422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6095BA1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hNLRP7_CRISPR_1A</w:t>
            </w:r>
          </w:p>
        </w:tc>
        <w:tc>
          <w:tcPr>
            <w:tcW w:w="4678" w:type="dxa"/>
            <w:tcBorders>
              <w:top w:val="nil"/>
              <w:left w:val="nil"/>
              <w:bottom w:val="single" w:sz="4" w:space="0" w:color="auto"/>
              <w:right w:val="single" w:sz="4" w:space="0" w:color="auto"/>
            </w:tcBorders>
            <w:noWrap/>
            <w:vAlign w:val="bottom"/>
            <w:hideMark/>
          </w:tcPr>
          <w:p w14:paraId="6B12282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CCC TCA GAC CAT GGG GTC TTC</w:t>
            </w:r>
          </w:p>
        </w:tc>
      </w:tr>
      <w:tr w:rsidR="000C40CE" w:rsidRPr="00EF1CF2" w14:paraId="1CF201AB"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2EC192C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53281F4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hNLRP7_CRISPR_4S</w:t>
            </w:r>
          </w:p>
        </w:tc>
        <w:tc>
          <w:tcPr>
            <w:tcW w:w="4678" w:type="dxa"/>
            <w:tcBorders>
              <w:top w:val="nil"/>
              <w:left w:val="nil"/>
              <w:bottom w:val="single" w:sz="4" w:space="0" w:color="auto"/>
              <w:right w:val="single" w:sz="4" w:space="0" w:color="auto"/>
            </w:tcBorders>
            <w:noWrap/>
            <w:vAlign w:val="bottom"/>
            <w:hideMark/>
          </w:tcPr>
          <w:p w14:paraId="4545AC5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CGT CAA TGT CTC CTT GCC AAA</w:t>
            </w:r>
          </w:p>
        </w:tc>
      </w:tr>
      <w:tr w:rsidR="000C40CE" w:rsidRPr="00EF1CF2" w14:paraId="44477AA5"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B36B21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4C5B2CA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hNLRP7_CRISPR_4A</w:t>
            </w:r>
          </w:p>
        </w:tc>
        <w:tc>
          <w:tcPr>
            <w:tcW w:w="4678" w:type="dxa"/>
            <w:tcBorders>
              <w:top w:val="nil"/>
              <w:left w:val="nil"/>
              <w:bottom w:val="single" w:sz="4" w:space="0" w:color="auto"/>
              <w:right w:val="single" w:sz="4" w:space="0" w:color="auto"/>
            </w:tcBorders>
            <w:noWrap/>
            <w:vAlign w:val="bottom"/>
            <w:hideMark/>
          </w:tcPr>
          <w:p w14:paraId="60CD6FD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CTT TGG CAA GGA GAC ATT GAC</w:t>
            </w:r>
          </w:p>
        </w:tc>
      </w:tr>
      <w:tr w:rsidR="000C40CE" w:rsidRPr="00EF1CF2" w14:paraId="50A5637E"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538DDFE"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71A908C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hCASP8_CRISPR_1S</w:t>
            </w:r>
          </w:p>
        </w:tc>
        <w:tc>
          <w:tcPr>
            <w:tcW w:w="4678" w:type="dxa"/>
            <w:tcBorders>
              <w:top w:val="nil"/>
              <w:left w:val="nil"/>
              <w:bottom w:val="single" w:sz="4" w:space="0" w:color="auto"/>
              <w:right w:val="single" w:sz="4" w:space="0" w:color="auto"/>
            </w:tcBorders>
            <w:noWrap/>
            <w:vAlign w:val="bottom"/>
            <w:hideMark/>
          </w:tcPr>
          <w:p w14:paraId="7CC29A4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CGC TCT TCC GAA TTA ATA GAC</w:t>
            </w:r>
          </w:p>
        </w:tc>
      </w:tr>
      <w:tr w:rsidR="000C40CE" w:rsidRPr="00EF1CF2" w14:paraId="4E12A675"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3E6C08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7675AAA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hCASP8_CRISPR_1A</w:t>
            </w:r>
          </w:p>
        </w:tc>
        <w:tc>
          <w:tcPr>
            <w:tcW w:w="4678" w:type="dxa"/>
            <w:tcBorders>
              <w:top w:val="nil"/>
              <w:left w:val="nil"/>
              <w:bottom w:val="single" w:sz="4" w:space="0" w:color="auto"/>
              <w:right w:val="single" w:sz="4" w:space="0" w:color="auto"/>
            </w:tcBorders>
            <w:noWrap/>
            <w:vAlign w:val="bottom"/>
            <w:hideMark/>
          </w:tcPr>
          <w:p w14:paraId="1B20A2C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CGT CTA TTA ATT CGG AAG AGC</w:t>
            </w:r>
          </w:p>
        </w:tc>
      </w:tr>
      <w:tr w:rsidR="000C40CE" w:rsidRPr="00EF1CF2" w14:paraId="107FC25B"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C88A66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6163A2D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hNLRC5_CRISPR_1S</w:t>
            </w:r>
          </w:p>
        </w:tc>
        <w:tc>
          <w:tcPr>
            <w:tcW w:w="4678" w:type="dxa"/>
            <w:tcBorders>
              <w:top w:val="nil"/>
              <w:left w:val="nil"/>
              <w:bottom w:val="single" w:sz="4" w:space="0" w:color="auto"/>
              <w:right w:val="single" w:sz="4" w:space="0" w:color="auto"/>
            </w:tcBorders>
            <w:noWrap/>
            <w:vAlign w:val="bottom"/>
            <w:hideMark/>
          </w:tcPr>
          <w:p w14:paraId="466AF68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CGG CCC CCT CCG GAG TGT CTA</w:t>
            </w:r>
          </w:p>
        </w:tc>
      </w:tr>
      <w:tr w:rsidR="000C40CE" w:rsidRPr="00EF1CF2" w14:paraId="446CF5DA"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104FCA7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601713E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hNLRC5_CRISPR_1A</w:t>
            </w:r>
          </w:p>
        </w:tc>
        <w:tc>
          <w:tcPr>
            <w:tcW w:w="4678" w:type="dxa"/>
            <w:tcBorders>
              <w:top w:val="nil"/>
              <w:left w:val="nil"/>
              <w:bottom w:val="single" w:sz="4" w:space="0" w:color="auto"/>
              <w:right w:val="single" w:sz="4" w:space="0" w:color="auto"/>
            </w:tcBorders>
            <w:noWrap/>
            <w:vAlign w:val="bottom"/>
            <w:hideMark/>
          </w:tcPr>
          <w:p w14:paraId="7063EC4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CTA GAC ACT CCG GAG GGG GCC</w:t>
            </w:r>
          </w:p>
        </w:tc>
      </w:tr>
      <w:tr w:rsidR="000C40CE" w:rsidRPr="00EF1CF2" w14:paraId="4AAD2913"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232088B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322A544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hNLRP3_CRISPR_1S</w:t>
            </w:r>
          </w:p>
        </w:tc>
        <w:tc>
          <w:tcPr>
            <w:tcW w:w="4678" w:type="dxa"/>
            <w:tcBorders>
              <w:top w:val="nil"/>
              <w:left w:val="nil"/>
              <w:bottom w:val="single" w:sz="4" w:space="0" w:color="auto"/>
              <w:right w:val="single" w:sz="4" w:space="0" w:color="auto"/>
            </w:tcBorders>
            <w:noWrap/>
            <w:vAlign w:val="bottom"/>
            <w:hideMark/>
          </w:tcPr>
          <w:p w14:paraId="1CF0530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CGG CTG CAT CCC CCT CCC GAG</w:t>
            </w:r>
          </w:p>
        </w:tc>
      </w:tr>
      <w:tr w:rsidR="000C40CE" w:rsidRPr="00EF1CF2" w14:paraId="48B2041E"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00DA45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56660FF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hNLRP3_CRISPR_1A</w:t>
            </w:r>
          </w:p>
        </w:tc>
        <w:tc>
          <w:tcPr>
            <w:tcW w:w="4678" w:type="dxa"/>
            <w:tcBorders>
              <w:top w:val="nil"/>
              <w:left w:val="nil"/>
              <w:bottom w:val="single" w:sz="4" w:space="0" w:color="auto"/>
              <w:right w:val="single" w:sz="4" w:space="0" w:color="auto"/>
            </w:tcBorders>
            <w:noWrap/>
            <w:vAlign w:val="bottom"/>
            <w:hideMark/>
          </w:tcPr>
          <w:p w14:paraId="247F74D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CCT CGG GAG GGG GAT GCA GCC</w:t>
            </w:r>
          </w:p>
        </w:tc>
      </w:tr>
      <w:tr w:rsidR="000C40CE" w:rsidRPr="00EF1CF2" w14:paraId="5CF742E3"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054CC9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0039809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hNLRP3_CRISPR_2S</w:t>
            </w:r>
          </w:p>
        </w:tc>
        <w:tc>
          <w:tcPr>
            <w:tcW w:w="4678" w:type="dxa"/>
            <w:tcBorders>
              <w:top w:val="nil"/>
              <w:left w:val="nil"/>
              <w:bottom w:val="single" w:sz="4" w:space="0" w:color="auto"/>
              <w:right w:val="single" w:sz="4" w:space="0" w:color="auto"/>
            </w:tcBorders>
            <w:noWrap/>
            <w:vAlign w:val="bottom"/>
            <w:hideMark/>
          </w:tcPr>
          <w:p w14:paraId="3907027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CGG ATC TTC GCT GCG ATC AAC</w:t>
            </w:r>
          </w:p>
        </w:tc>
      </w:tr>
      <w:tr w:rsidR="000C40CE" w:rsidRPr="00EF1CF2" w14:paraId="42B018FF"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14CDDFA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3909AD5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hNLRP3_CRISPR_2A</w:t>
            </w:r>
          </w:p>
        </w:tc>
        <w:tc>
          <w:tcPr>
            <w:tcW w:w="4678" w:type="dxa"/>
            <w:tcBorders>
              <w:top w:val="nil"/>
              <w:left w:val="nil"/>
              <w:bottom w:val="single" w:sz="4" w:space="0" w:color="auto"/>
              <w:right w:val="single" w:sz="4" w:space="0" w:color="auto"/>
            </w:tcBorders>
            <w:noWrap/>
            <w:vAlign w:val="bottom"/>
            <w:hideMark/>
          </w:tcPr>
          <w:p w14:paraId="434B816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CGT TGA TCG CAG CGA AGA TCC</w:t>
            </w:r>
          </w:p>
        </w:tc>
      </w:tr>
      <w:tr w:rsidR="000C40CE" w:rsidRPr="00EF1CF2" w14:paraId="75933044"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8BBBA8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54F01A0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hNEK7_CRISPR_1S</w:t>
            </w:r>
          </w:p>
        </w:tc>
        <w:tc>
          <w:tcPr>
            <w:tcW w:w="4678" w:type="dxa"/>
            <w:tcBorders>
              <w:top w:val="nil"/>
              <w:left w:val="nil"/>
              <w:bottom w:val="single" w:sz="4" w:space="0" w:color="auto"/>
              <w:right w:val="single" w:sz="4" w:space="0" w:color="auto"/>
            </w:tcBorders>
            <w:noWrap/>
            <w:vAlign w:val="bottom"/>
            <w:hideMark/>
          </w:tcPr>
          <w:p w14:paraId="1A24170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CGA AGG CCT TAC GAC CGG ATA</w:t>
            </w:r>
          </w:p>
        </w:tc>
      </w:tr>
      <w:tr w:rsidR="000C40CE" w:rsidRPr="00EF1CF2" w14:paraId="60180B9B"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2AAF95A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2D0D896E"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hNEK7_CRISPR_1A</w:t>
            </w:r>
          </w:p>
        </w:tc>
        <w:tc>
          <w:tcPr>
            <w:tcW w:w="4678" w:type="dxa"/>
            <w:tcBorders>
              <w:top w:val="nil"/>
              <w:left w:val="nil"/>
              <w:bottom w:val="single" w:sz="4" w:space="0" w:color="auto"/>
              <w:right w:val="single" w:sz="4" w:space="0" w:color="auto"/>
            </w:tcBorders>
            <w:noWrap/>
            <w:vAlign w:val="bottom"/>
            <w:hideMark/>
          </w:tcPr>
          <w:p w14:paraId="7B5DFF4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CTA TCC GGT CGT AAG GCC TTC</w:t>
            </w:r>
          </w:p>
        </w:tc>
      </w:tr>
      <w:tr w:rsidR="000C40CE" w:rsidRPr="00EF1CF2" w14:paraId="2C31B655"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1582230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3C86CF0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hPANX1_CRISPR_1S</w:t>
            </w:r>
          </w:p>
        </w:tc>
        <w:tc>
          <w:tcPr>
            <w:tcW w:w="4678" w:type="dxa"/>
            <w:tcBorders>
              <w:top w:val="nil"/>
              <w:left w:val="nil"/>
              <w:bottom w:val="single" w:sz="4" w:space="0" w:color="auto"/>
              <w:right w:val="single" w:sz="4" w:space="0" w:color="auto"/>
            </w:tcBorders>
            <w:noWrap/>
            <w:vAlign w:val="bottom"/>
            <w:hideMark/>
          </w:tcPr>
          <w:p w14:paraId="1AC2548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CGC TGC GAA ACG CCA GAA CAG</w:t>
            </w:r>
          </w:p>
        </w:tc>
      </w:tr>
      <w:tr w:rsidR="000C40CE" w:rsidRPr="00EF1CF2" w14:paraId="137FAD4D"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A2C94F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6B5AFF5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hPANX1_CRISPR_1A</w:t>
            </w:r>
          </w:p>
        </w:tc>
        <w:tc>
          <w:tcPr>
            <w:tcW w:w="4678" w:type="dxa"/>
            <w:tcBorders>
              <w:top w:val="nil"/>
              <w:left w:val="nil"/>
              <w:bottom w:val="single" w:sz="4" w:space="0" w:color="auto"/>
              <w:right w:val="single" w:sz="4" w:space="0" w:color="auto"/>
            </w:tcBorders>
            <w:noWrap/>
            <w:vAlign w:val="bottom"/>
            <w:hideMark/>
          </w:tcPr>
          <w:p w14:paraId="1D02E7B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CCT GTT CTG GCG TTT CGC AGC</w:t>
            </w:r>
          </w:p>
        </w:tc>
      </w:tr>
      <w:tr w:rsidR="000C40CE" w:rsidRPr="00EF1CF2" w14:paraId="040A387A"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24280C5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2F6DFCE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hTLR2_CRISPR_1S</w:t>
            </w:r>
          </w:p>
        </w:tc>
        <w:tc>
          <w:tcPr>
            <w:tcW w:w="4678" w:type="dxa"/>
            <w:tcBorders>
              <w:top w:val="nil"/>
              <w:left w:val="nil"/>
              <w:bottom w:val="single" w:sz="4" w:space="0" w:color="auto"/>
              <w:right w:val="single" w:sz="4" w:space="0" w:color="auto"/>
            </w:tcBorders>
            <w:noWrap/>
            <w:vAlign w:val="bottom"/>
            <w:hideMark/>
          </w:tcPr>
          <w:p w14:paraId="298C3CEE"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CGC CTT GAC CTG TCC AAC AAC</w:t>
            </w:r>
          </w:p>
        </w:tc>
      </w:tr>
      <w:tr w:rsidR="000C40CE" w:rsidRPr="00EF1CF2" w14:paraId="3F635139"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172554C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0E31E91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hTLR2_CRISPR_1A</w:t>
            </w:r>
          </w:p>
        </w:tc>
        <w:tc>
          <w:tcPr>
            <w:tcW w:w="4678" w:type="dxa"/>
            <w:tcBorders>
              <w:top w:val="nil"/>
              <w:left w:val="nil"/>
              <w:bottom w:val="single" w:sz="4" w:space="0" w:color="auto"/>
              <w:right w:val="single" w:sz="4" w:space="0" w:color="auto"/>
            </w:tcBorders>
            <w:noWrap/>
            <w:vAlign w:val="bottom"/>
            <w:hideMark/>
          </w:tcPr>
          <w:p w14:paraId="2BC854A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CGT TGT TGG ACA GGT CAA GGC</w:t>
            </w:r>
          </w:p>
        </w:tc>
      </w:tr>
      <w:tr w:rsidR="000C40CE" w:rsidRPr="00EF1CF2" w14:paraId="26A7C924"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602FBC0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224DBEA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hTLR2_CRISPR_2S</w:t>
            </w:r>
          </w:p>
        </w:tc>
        <w:tc>
          <w:tcPr>
            <w:tcW w:w="4678" w:type="dxa"/>
            <w:tcBorders>
              <w:top w:val="nil"/>
              <w:left w:val="nil"/>
              <w:bottom w:val="single" w:sz="4" w:space="0" w:color="auto"/>
              <w:right w:val="single" w:sz="4" w:space="0" w:color="auto"/>
            </w:tcBorders>
            <w:noWrap/>
            <w:vAlign w:val="bottom"/>
            <w:hideMark/>
          </w:tcPr>
          <w:p w14:paraId="1B97B92E"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CGT GGA AAC GTT AAC AAT CCG G</w:t>
            </w:r>
          </w:p>
        </w:tc>
      </w:tr>
      <w:tr w:rsidR="000C40CE" w:rsidRPr="00EF1CF2" w14:paraId="0AF3B4F7"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DDC431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5606C17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hTLR2_CRISPR_2A</w:t>
            </w:r>
          </w:p>
        </w:tc>
        <w:tc>
          <w:tcPr>
            <w:tcW w:w="4678" w:type="dxa"/>
            <w:tcBorders>
              <w:top w:val="nil"/>
              <w:left w:val="nil"/>
              <w:bottom w:val="single" w:sz="4" w:space="0" w:color="auto"/>
              <w:right w:val="single" w:sz="4" w:space="0" w:color="auto"/>
            </w:tcBorders>
            <w:noWrap/>
            <w:vAlign w:val="bottom"/>
            <w:hideMark/>
          </w:tcPr>
          <w:p w14:paraId="5C38D29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CCC GGA TTG TTA ACG TTT CCA C</w:t>
            </w:r>
          </w:p>
        </w:tc>
      </w:tr>
      <w:tr w:rsidR="000C40CE" w:rsidRPr="00EF1CF2" w14:paraId="54CAD687"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42720D7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2C7C899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hMyD88_CRISPR_1S</w:t>
            </w:r>
          </w:p>
        </w:tc>
        <w:tc>
          <w:tcPr>
            <w:tcW w:w="4678" w:type="dxa"/>
            <w:tcBorders>
              <w:top w:val="nil"/>
              <w:left w:val="nil"/>
              <w:bottom w:val="single" w:sz="4" w:space="0" w:color="auto"/>
              <w:right w:val="single" w:sz="4" w:space="0" w:color="auto"/>
            </w:tcBorders>
            <w:noWrap/>
            <w:vAlign w:val="bottom"/>
            <w:hideMark/>
          </w:tcPr>
          <w:p w14:paraId="40B7587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CGT ACT TGG AGA TCC GGC AAC</w:t>
            </w:r>
          </w:p>
        </w:tc>
      </w:tr>
      <w:tr w:rsidR="000C40CE" w:rsidRPr="00EF1CF2" w14:paraId="72FD26D3"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494E37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5EE63D3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hMyD88_CRISPR_1A</w:t>
            </w:r>
          </w:p>
        </w:tc>
        <w:tc>
          <w:tcPr>
            <w:tcW w:w="4678" w:type="dxa"/>
            <w:tcBorders>
              <w:top w:val="nil"/>
              <w:left w:val="nil"/>
              <w:bottom w:val="single" w:sz="4" w:space="0" w:color="auto"/>
              <w:right w:val="single" w:sz="4" w:space="0" w:color="auto"/>
            </w:tcBorders>
            <w:noWrap/>
            <w:vAlign w:val="bottom"/>
            <w:hideMark/>
          </w:tcPr>
          <w:p w14:paraId="41C6642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CGT TGC CGG ATC TCC AAG TAC</w:t>
            </w:r>
          </w:p>
        </w:tc>
      </w:tr>
      <w:tr w:rsidR="000C40CE" w:rsidRPr="00EF1CF2" w14:paraId="16C45FD3"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4C753C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1DE4EA8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hMyD88_CRISPR_2S</w:t>
            </w:r>
          </w:p>
        </w:tc>
        <w:tc>
          <w:tcPr>
            <w:tcW w:w="4678" w:type="dxa"/>
            <w:tcBorders>
              <w:top w:val="nil"/>
              <w:left w:val="nil"/>
              <w:bottom w:val="single" w:sz="4" w:space="0" w:color="auto"/>
              <w:right w:val="single" w:sz="4" w:space="0" w:color="auto"/>
            </w:tcBorders>
            <w:noWrap/>
            <w:vAlign w:val="bottom"/>
            <w:hideMark/>
          </w:tcPr>
          <w:p w14:paraId="7207228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CGG ACA CAG GTG GCG GCC GAC</w:t>
            </w:r>
          </w:p>
        </w:tc>
      </w:tr>
      <w:tr w:rsidR="000C40CE" w:rsidRPr="00EF1CF2" w14:paraId="0EDF4A72"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69CDFE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4B47120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hMyD88_CRISPR_2A</w:t>
            </w:r>
          </w:p>
        </w:tc>
        <w:tc>
          <w:tcPr>
            <w:tcW w:w="4678" w:type="dxa"/>
            <w:tcBorders>
              <w:top w:val="nil"/>
              <w:left w:val="nil"/>
              <w:bottom w:val="single" w:sz="4" w:space="0" w:color="auto"/>
              <w:right w:val="single" w:sz="4" w:space="0" w:color="auto"/>
            </w:tcBorders>
            <w:noWrap/>
            <w:vAlign w:val="bottom"/>
            <w:hideMark/>
          </w:tcPr>
          <w:p w14:paraId="008BD10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CGT CGG CCG CCA CCT GTG TCC</w:t>
            </w:r>
          </w:p>
        </w:tc>
      </w:tr>
      <w:tr w:rsidR="000C40CE" w:rsidRPr="00EF1CF2" w14:paraId="7C1C9B41"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2737BAC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20052E9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hTIRAP_CRISPR_1S</w:t>
            </w:r>
          </w:p>
        </w:tc>
        <w:tc>
          <w:tcPr>
            <w:tcW w:w="4678" w:type="dxa"/>
            <w:tcBorders>
              <w:top w:val="nil"/>
              <w:left w:val="nil"/>
              <w:bottom w:val="single" w:sz="4" w:space="0" w:color="auto"/>
              <w:right w:val="single" w:sz="4" w:space="0" w:color="auto"/>
            </w:tcBorders>
            <w:noWrap/>
            <w:vAlign w:val="bottom"/>
            <w:hideMark/>
          </w:tcPr>
          <w:p w14:paraId="01D8FAD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CGG AGG TGC TTT CTG GGG AGT</w:t>
            </w:r>
          </w:p>
        </w:tc>
      </w:tr>
      <w:tr w:rsidR="000C40CE" w:rsidRPr="00EF1CF2" w14:paraId="20C10AC5"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07D003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067D3C6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hTIRAP_CRISPR_1A</w:t>
            </w:r>
          </w:p>
        </w:tc>
        <w:tc>
          <w:tcPr>
            <w:tcW w:w="4678" w:type="dxa"/>
            <w:tcBorders>
              <w:top w:val="nil"/>
              <w:left w:val="nil"/>
              <w:bottom w:val="single" w:sz="4" w:space="0" w:color="auto"/>
              <w:right w:val="single" w:sz="4" w:space="0" w:color="auto"/>
            </w:tcBorders>
            <w:noWrap/>
            <w:vAlign w:val="bottom"/>
            <w:hideMark/>
          </w:tcPr>
          <w:p w14:paraId="0D841FB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CAC TCC CCA GAA AGC ACC TCC</w:t>
            </w:r>
          </w:p>
        </w:tc>
      </w:tr>
      <w:tr w:rsidR="000C40CE" w:rsidRPr="00EF1CF2" w14:paraId="04A87A7D"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28C6DAE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6FC846E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hTIRAP_CRISPR_2S</w:t>
            </w:r>
          </w:p>
        </w:tc>
        <w:tc>
          <w:tcPr>
            <w:tcW w:w="4678" w:type="dxa"/>
            <w:tcBorders>
              <w:top w:val="nil"/>
              <w:left w:val="nil"/>
              <w:bottom w:val="single" w:sz="4" w:space="0" w:color="auto"/>
              <w:right w:val="single" w:sz="4" w:space="0" w:color="auto"/>
            </w:tcBorders>
            <w:noWrap/>
            <w:vAlign w:val="bottom"/>
            <w:hideMark/>
          </w:tcPr>
          <w:p w14:paraId="7155D3B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CGG GTA GTG GGC TGT CCT GTG</w:t>
            </w:r>
          </w:p>
        </w:tc>
      </w:tr>
      <w:tr w:rsidR="000C40CE" w:rsidRPr="00EF1CF2" w14:paraId="4C265809"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4E6FC0E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3047962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hTIRAP_CRISPR_2A</w:t>
            </w:r>
          </w:p>
        </w:tc>
        <w:tc>
          <w:tcPr>
            <w:tcW w:w="4678" w:type="dxa"/>
            <w:tcBorders>
              <w:top w:val="nil"/>
              <w:left w:val="nil"/>
              <w:bottom w:val="single" w:sz="4" w:space="0" w:color="auto"/>
              <w:right w:val="single" w:sz="4" w:space="0" w:color="auto"/>
            </w:tcBorders>
            <w:noWrap/>
            <w:vAlign w:val="bottom"/>
            <w:hideMark/>
          </w:tcPr>
          <w:p w14:paraId="4557961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CCA CAG GAC AGC CCA CTA CCC</w:t>
            </w:r>
          </w:p>
        </w:tc>
      </w:tr>
      <w:tr w:rsidR="000C40CE" w:rsidRPr="00EF1CF2" w14:paraId="1226CCC5"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60C1D0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49C23B2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hIRAK1_CRISPR_1S</w:t>
            </w:r>
          </w:p>
        </w:tc>
        <w:tc>
          <w:tcPr>
            <w:tcW w:w="4678" w:type="dxa"/>
            <w:tcBorders>
              <w:top w:val="nil"/>
              <w:left w:val="nil"/>
              <w:bottom w:val="single" w:sz="4" w:space="0" w:color="auto"/>
              <w:right w:val="single" w:sz="4" w:space="0" w:color="auto"/>
            </w:tcBorders>
            <w:noWrap/>
            <w:vAlign w:val="bottom"/>
            <w:hideMark/>
          </w:tcPr>
          <w:p w14:paraId="3B644E9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CGC GGG CGT TGC GGT TGA TCC A</w:t>
            </w:r>
          </w:p>
        </w:tc>
      </w:tr>
      <w:tr w:rsidR="000C40CE" w:rsidRPr="00EF1CF2" w14:paraId="4586E2F9"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58A6EF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5ACFEBE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hIRAK1_CRISPR_1A</w:t>
            </w:r>
          </w:p>
        </w:tc>
        <w:tc>
          <w:tcPr>
            <w:tcW w:w="4678" w:type="dxa"/>
            <w:tcBorders>
              <w:top w:val="nil"/>
              <w:left w:val="nil"/>
              <w:bottom w:val="single" w:sz="4" w:space="0" w:color="auto"/>
              <w:right w:val="single" w:sz="4" w:space="0" w:color="auto"/>
            </w:tcBorders>
            <w:noWrap/>
            <w:vAlign w:val="bottom"/>
            <w:hideMark/>
          </w:tcPr>
          <w:p w14:paraId="759A8FA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CTG GAT CAA CCG CAA CGC CCG C</w:t>
            </w:r>
          </w:p>
        </w:tc>
      </w:tr>
      <w:tr w:rsidR="000C40CE" w:rsidRPr="00EF1CF2" w14:paraId="70CFE41B"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62BE3F8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lastRenderedPageBreak/>
              <w:t>gRNA</w:t>
            </w:r>
          </w:p>
        </w:tc>
        <w:tc>
          <w:tcPr>
            <w:tcW w:w="2268" w:type="dxa"/>
            <w:tcBorders>
              <w:top w:val="nil"/>
              <w:left w:val="nil"/>
              <w:bottom w:val="single" w:sz="4" w:space="0" w:color="auto"/>
              <w:right w:val="single" w:sz="4" w:space="0" w:color="auto"/>
            </w:tcBorders>
            <w:noWrap/>
            <w:vAlign w:val="bottom"/>
            <w:hideMark/>
          </w:tcPr>
          <w:p w14:paraId="3796F18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hIRAK1_CRISPR_2S</w:t>
            </w:r>
          </w:p>
        </w:tc>
        <w:tc>
          <w:tcPr>
            <w:tcW w:w="4678" w:type="dxa"/>
            <w:tcBorders>
              <w:top w:val="nil"/>
              <w:left w:val="nil"/>
              <w:bottom w:val="single" w:sz="4" w:space="0" w:color="auto"/>
              <w:right w:val="single" w:sz="4" w:space="0" w:color="auto"/>
            </w:tcBorders>
            <w:noWrap/>
            <w:vAlign w:val="bottom"/>
            <w:hideMark/>
          </w:tcPr>
          <w:p w14:paraId="34BDCF8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CGT ACA AGA AGT GCT GGG CGC</w:t>
            </w:r>
          </w:p>
        </w:tc>
      </w:tr>
      <w:tr w:rsidR="000C40CE" w:rsidRPr="00EF1CF2" w14:paraId="26FD4A53"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26ECD2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1FC0456E"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hIRAK1_CRISPR_2A</w:t>
            </w:r>
          </w:p>
        </w:tc>
        <w:tc>
          <w:tcPr>
            <w:tcW w:w="4678" w:type="dxa"/>
            <w:tcBorders>
              <w:top w:val="nil"/>
              <w:left w:val="nil"/>
              <w:bottom w:val="single" w:sz="4" w:space="0" w:color="auto"/>
              <w:right w:val="single" w:sz="4" w:space="0" w:color="auto"/>
            </w:tcBorders>
            <w:noWrap/>
            <w:vAlign w:val="bottom"/>
            <w:hideMark/>
          </w:tcPr>
          <w:p w14:paraId="2E3449B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CGC GCC CAG CAC TTC TTG TAC</w:t>
            </w:r>
          </w:p>
        </w:tc>
      </w:tr>
      <w:tr w:rsidR="000C40CE" w:rsidRPr="00EF1CF2" w14:paraId="50B64517"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E191F4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04D0D6E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hIRAK2_CRISPR_1S</w:t>
            </w:r>
          </w:p>
        </w:tc>
        <w:tc>
          <w:tcPr>
            <w:tcW w:w="4678" w:type="dxa"/>
            <w:tcBorders>
              <w:top w:val="nil"/>
              <w:left w:val="nil"/>
              <w:bottom w:val="single" w:sz="4" w:space="0" w:color="auto"/>
              <w:right w:val="single" w:sz="4" w:space="0" w:color="auto"/>
            </w:tcBorders>
            <w:noWrap/>
            <w:vAlign w:val="bottom"/>
            <w:hideMark/>
          </w:tcPr>
          <w:p w14:paraId="5AD24BE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CGT CCA CAA GTT GCT GGA CGG</w:t>
            </w:r>
          </w:p>
        </w:tc>
      </w:tr>
      <w:tr w:rsidR="000C40CE" w:rsidRPr="00EF1CF2" w14:paraId="2B2B5651"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B85665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47B3C90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hIRAK2_CRISPR_1A</w:t>
            </w:r>
          </w:p>
        </w:tc>
        <w:tc>
          <w:tcPr>
            <w:tcW w:w="4678" w:type="dxa"/>
            <w:tcBorders>
              <w:top w:val="nil"/>
              <w:left w:val="nil"/>
              <w:bottom w:val="single" w:sz="4" w:space="0" w:color="auto"/>
              <w:right w:val="single" w:sz="4" w:space="0" w:color="auto"/>
            </w:tcBorders>
            <w:noWrap/>
            <w:vAlign w:val="bottom"/>
            <w:hideMark/>
          </w:tcPr>
          <w:p w14:paraId="573519C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CCC GTC CAG CAA CTT GTG GAC</w:t>
            </w:r>
          </w:p>
        </w:tc>
      </w:tr>
      <w:tr w:rsidR="000C40CE" w:rsidRPr="00EF1CF2" w14:paraId="041BA921"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89B258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32FBD6E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hIRAK2_CRISPR_2S</w:t>
            </w:r>
          </w:p>
        </w:tc>
        <w:tc>
          <w:tcPr>
            <w:tcW w:w="4678" w:type="dxa"/>
            <w:tcBorders>
              <w:top w:val="nil"/>
              <w:left w:val="nil"/>
              <w:bottom w:val="single" w:sz="4" w:space="0" w:color="auto"/>
              <w:right w:val="single" w:sz="4" w:space="0" w:color="auto"/>
            </w:tcBorders>
            <w:noWrap/>
            <w:vAlign w:val="bottom"/>
            <w:hideMark/>
          </w:tcPr>
          <w:p w14:paraId="026F54F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CGG TCA GGT CTG TGA TCA CGT</w:t>
            </w:r>
          </w:p>
        </w:tc>
      </w:tr>
      <w:tr w:rsidR="000C40CE" w:rsidRPr="00EF1CF2" w14:paraId="14DCAD81"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434143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4CF80F1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hIRAK2_CRISPR_2A</w:t>
            </w:r>
          </w:p>
        </w:tc>
        <w:tc>
          <w:tcPr>
            <w:tcW w:w="4678" w:type="dxa"/>
            <w:tcBorders>
              <w:top w:val="nil"/>
              <w:left w:val="nil"/>
              <w:bottom w:val="single" w:sz="4" w:space="0" w:color="auto"/>
              <w:right w:val="single" w:sz="4" w:space="0" w:color="auto"/>
            </w:tcBorders>
            <w:noWrap/>
            <w:vAlign w:val="bottom"/>
            <w:hideMark/>
          </w:tcPr>
          <w:p w14:paraId="6367816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CAC GTG ATC ACA GAC CTG ACC</w:t>
            </w:r>
          </w:p>
        </w:tc>
      </w:tr>
      <w:tr w:rsidR="000C40CE" w:rsidRPr="00EF1CF2" w14:paraId="10C85D5D"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0F8FA3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1AA3ED5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hIRAK4_CRISPR_1S</w:t>
            </w:r>
          </w:p>
        </w:tc>
        <w:tc>
          <w:tcPr>
            <w:tcW w:w="4678" w:type="dxa"/>
            <w:tcBorders>
              <w:top w:val="nil"/>
              <w:left w:val="nil"/>
              <w:bottom w:val="single" w:sz="4" w:space="0" w:color="auto"/>
              <w:right w:val="single" w:sz="4" w:space="0" w:color="auto"/>
            </w:tcBorders>
            <w:noWrap/>
            <w:vAlign w:val="bottom"/>
            <w:hideMark/>
          </w:tcPr>
          <w:p w14:paraId="1DD5090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CGG CAC CAC AAA TTG CAC AGT</w:t>
            </w:r>
          </w:p>
        </w:tc>
      </w:tr>
      <w:tr w:rsidR="000C40CE" w:rsidRPr="00EF1CF2" w14:paraId="6F854AD3"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1B26A0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6499DBE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hIRAK4_CRISPR_1A</w:t>
            </w:r>
          </w:p>
        </w:tc>
        <w:tc>
          <w:tcPr>
            <w:tcW w:w="4678" w:type="dxa"/>
            <w:tcBorders>
              <w:top w:val="nil"/>
              <w:left w:val="nil"/>
              <w:bottom w:val="single" w:sz="4" w:space="0" w:color="auto"/>
              <w:right w:val="single" w:sz="4" w:space="0" w:color="auto"/>
            </w:tcBorders>
            <w:noWrap/>
            <w:vAlign w:val="bottom"/>
            <w:hideMark/>
          </w:tcPr>
          <w:p w14:paraId="7D959BC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CAC TGT GCA ATT TGT GGT GCC</w:t>
            </w:r>
          </w:p>
        </w:tc>
      </w:tr>
      <w:tr w:rsidR="000C40CE" w:rsidRPr="00EF1CF2" w14:paraId="42848281"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6794697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439F4BA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hIRAK4_CRISPR_2S</w:t>
            </w:r>
          </w:p>
        </w:tc>
        <w:tc>
          <w:tcPr>
            <w:tcW w:w="4678" w:type="dxa"/>
            <w:tcBorders>
              <w:top w:val="nil"/>
              <w:left w:val="nil"/>
              <w:bottom w:val="single" w:sz="4" w:space="0" w:color="auto"/>
              <w:right w:val="single" w:sz="4" w:space="0" w:color="auto"/>
            </w:tcBorders>
            <w:noWrap/>
            <w:vAlign w:val="bottom"/>
            <w:hideMark/>
          </w:tcPr>
          <w:p w14:paraId="512639CE"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CGT CAA ACA GTA ATT CAG AAG</w:t>
            </w:r>
          </w:p>
        </w:tc>
      </w:tr>
      <w:tr w:rsidR="000C40CE" w:rsidRPr="00EF1CF2" w14:paraId="2D5F3464"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08F739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4A51604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hIRAK4_CRISPR_2A</w:t>
            </w:r>
          </w:p>
        </w:tc>
        <w:tc>
          <w:tcPr>
            <w:tcW w:w="4678" w:type="dxa"/>
            <w:tcBorders>
              <w:top w:val="nil"/>
              <w:left w:val="nil"/>
              <w:bottom w:val="single" w:sz="4" w:space="0" w:color="auto"/>
              <w:right w:val="single" w:sz="4" w:space="0" w:color="auto"/>
            </w:tcBorders>
            <w:noWrap/>
            <w:vAlign w:val="bottom"/>
            <w:hideMark/>
          </w:tcPr>
          <w:p w14:paraId="2EE8A06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CCT TCT GAA TTA CTG TTT GAC</w:t>
            </w:r>
          </w:p>
        </w:tc>
      </w:tr>
      <w:tr w:rsidR="000C40CE" w:rsidRPr="00EF1CF2" w14:paraId="514A84ED"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8699C0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4694494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hIRAKM_CRISPR_1S</w:t>
            </w:r>
          </w:p>
        </w:tc>
        <w:tc>
          <w:tcPr>
            <w:tcW w:w="4678" w:type="dxa"/>
            <w:tcBorders>
              <w:top w:val="nil"/>
              <w:left w:val="nil"/>
              <w:bottom w:val="single" w:sz="4" w:space="0" w:color="auto"/>
              <w:right w:val="single" w:sz="4" w:space="0" w:color="auto"/>
            </w:tcBorders>
            <w:noWrap/>
            <w:vAlign w:val="bottom"/>
            <w:hideMark/>
          </w:tcPr>
          <w:p w14:paraId="41CC2F9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CGA CCT GTA AAA GGT CAC CGA</w:t>
            </w:r>
          </w:p>
        </w:tc>
      </w:tr>
      <w:tr w:rsidR="000C40CE" w:rsidRPr="00EF1CF2" w14:paraId="34F22CEC"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2DA667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7F99D26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hIRAKM_CRISPR_1A</w:t>
            </w:r>
          </w:p>
        </w:tc>
        <w:tc>
          <w:tcPr>
            <w:tcW w:w="4678" w:type="dxa"/>
            <w:tcBorders>
              <w:top w:val="nil"/>
              <w:left w:val="nil"/>
              <w:bottom w:val="single" w:sz="4" w:space="0" w:color="auto"/>
              <w:right w:val="single" w:sz="4" w:space="0" w:color="auto"/>
            </w:tcBorders>
            <w:noWrap/>
            <w:vAlign w:val="bottom"/>
            <w:hideMark/>
          </w:tcPr>
          <w:p w14:paraId="4B2A685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CTC GGT GAC CTT TTA CAG GTC</w:t>
            </w:r>
          </w:p>
        </w:tc>
      </w:tr>
      <w:tr w:rsidR="000C40CE" w:rsidRPr="00EF1CF2" w14:paraId="2A89E265"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49B2269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5280167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hIRAKM_CRISPR_2S</w:t>
            </w:r>
          </w:p>
        </w:tc>
        <w:tc>
          <w:tcPr>
            <w:tcW w:w="4678" w:type="dxa"/>
            <w:tcBorders>
              <w:top w:val="nil"/>
              <w:left w:val="nil"/>
              <w:bottom w:val="single" w:sz="4" w:space="0" w:color="auto"/>
              <w:right w:val="single" w:sz="4" w:space="0" w:color="auto"/>
            </w:tcBorders>
            <w:noWrap/>
            <w:vAlign w:val="bottom"/>
            <w:hideMark/>
          </w:tcPr>
          <w:p w14:paraId="16EA033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CGC ACA GAA AAA CAA GAC CAT</w:t>
            </w:r>
          </w:p>
        </w:tc>
      </w:tr>
      <w:tr w:rsidR="000C40CE" w:rsidRPr="00EF1CF2" w14:paraId="7E60E9C4"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6BF03E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6904714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hIRAKM_CRISPR_2A</w:t>
            </w:r>
          </w:p>
        </w:tc>
        <w:tc>
          <w:tcPr>
            <w:tcW w:w="4678" w:type="dxa"/>
            <w:tcBorders>
              <w:top w:val="nil"/>
              <w:left w:val="nil"/>
              <w:bottom w:val="single" w:sz="4" w:space="0" w:color="auto"/>
              <w:right w:val="single" w:sz="4" w:space="0" w:color="auto"/>
            </w:tcBorders>
            <w:noWrap/>
            <w:vAlign w:val="bottom"/>
            <w:hideMark/>
          </w:tcPr>
          <w:p w14:paraId="6A7AA6E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CAT GGT CTT GTT TTT CTG TGC</w:t>
            </w:r>
          </w:p>
        </w:tc>
      </w:tr>
      <w:tr w:rsidR="000C40CE" w:rsidRPr="00EF1CF2" w14:paraId="45DEA07E"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66F4F0D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5DC89D5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hTRAF6_CRISPR_1S</w:t>
            </w:r>
          </w:p>
        </w:tc>
        <w:tc>
          <w:tcPr>
            <w:tcW w:w="4678" w:type="dxa"/>
            <w:tcBorders>
              <w:top w:val="nil"/>
              <w:left w:val="nil"/>
              <w:bottom w:val="single" w:sz="4" w:space="0" w:color="auto"/>
              <w:right w:val="single" w:sz="4" w:space="0" w:color="auto"/>
            </w:tcBorders>
            <w:noWrap/>
            <w:vAlign w:val="bottom"/>
            <w:hideMark/>
          </w:tcPr>
          <w:p w14:paraId="744994CE"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CGA AGC AGT GCA AAC GCC ATG</w:t>
            </w:r>
          </w:p>
        </w:tc>
      </w:tr>
      <w:tr w:rsidR="000C40CE" w:rsidRPr="00EF1CF2" w14:paraId="36E02585"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8BFCCC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411FC15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hTRAF6_CRISPR_1A</w:t>
            </w:r>
          </w:p>
        </w:tc>
        <w:tc>
          <w:tcPr>
            <w:tcW w:w="4678" w:type="dxa"/>
            <w:tcBorders>
              <w:top w:val="nil"/>
              <w:left w:val="nil"/>
              <w:bottom w:val="single" w:sz="4" w:space="0" w:color="auto"/>
              <w:right w:val="single" w:sz="4" w:space="0" w:color="auto"/>
            </w:tcBorders>
            <w:noWrap/>
            <w:vAlign w:val="bottom"/>
            <w:hideMark/>
          </w:tcPr>
          <w:p w14:paraId="7A47FDC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CCA TGG CGT TTG CAC TGC TTC</w:t>
            </w:r>
          </w:p>
        </w:tc>
      </w:tr>
      <w:tr w:rsidR="000C40CE" w:rsidRPr="00EF1CF2" w14:paraId="326B85FE"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00C31F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7EE5919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hTRAF6_CRISPR_2S</w:t>
            </w:r>
          </w:p>
        </w:tc>
        <w:tc>
          <w:tcPr>
            <w:tcW w:w="4678" w:type="dxa"/>
            <w:tcBorders>
              <w:top w:val="nil"/>
              <w:left w:val="nil"/>
              <w:bottom w:val="single" w:sz="4" w:space="0" w:color="auto"/>
              <w:right w:val="single" w:sz="4" w:space="0" w:color="auto"/>
            </w:tcBorders>
            <w:noWrap/>
            <w:vAlign w:val="bottom"/>
            <w:hideMark/>
          </w:tcPr>
          <w:p w14:paraId="48103FC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CGC AGT CTA GAT CAT AAT GAT T</w:t>
            </w:r>
          </w:p>
        </w:tc>
      </w:tr>
      <w:tr w:rsidR="000C40CE" w:rsidRPr="00EF1CF2" w14:paraId="0D543471"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62002CC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3BC391E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hTRAF6_CRISPR_2A</w:t>
            </w:r>
          </w:p>
        </w:tc>
        <w:tc>
          <w:tcPr>
            <w:tcW w:w="4678" w:type="dxa"/>
            <w:tcBorders>
              <w:top w:val="nil"/>
              <w:left w:val="nil"/>
              <w:bottom w:val="single" w:sz="4" w:space="0" w:color="auto"/>
              <w:right w:val="single" w:sz="4" w:space="0" w:color="auto"/>
            </w:tcBorders>
            <w:noWrap/>
            <w:vAlign w:val="bottom"/>
            <w:hideMark/>
          </w:tcPr>
          <w:p w14:paraId="58C15E8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CAA TCA TTA TGA TCT AGA CTG C</w:t>
            </w:r>
          </w:p>
        </w:tc>
      </w:tr>
      <w:tr w:rsidR="000C40CE" w:rsidRPr="00EF1CF2" w14:paraId="2903D558"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26C8CE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49660FB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hNEMO_CRISPR_1S</w:t>
            </w:r>
          </w:p>
        </w:tc>
        <w:tc>
          <w:tcPr>
            <w:tcW w:w="4678" w:type="dxa"/>
            <w:tcBorders>
              <w:top w:val="nil"/>
              <w:left w:val="nil"/>
              <w:bottom w:val="single" w:sz="4" w:space="0" w:color="auto"/>
              <w:right w:val="single" w:sz="4" w:space="0" w:color="auto"/>
            </w:tcBorders>
            <w:noWrap/>
            <w:vAlign w:val="bottom"/>
            <w:hideMark/>
          </w:tcPr>
          <w:p w14:paraId="6B7600A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CGA GCG CCC TGT TCT GAA GGC</w:t>
            </w:r>
          </w:p>
        </w:tc>
      </w:tr>
      <w:tr w:rsidR="000C40CE" w:rsidRPr="00EF1CF2" w14:paraId="580E2D41"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131C605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42A7EAF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hNEMO_CRISPR_1A</w:t>
            </w:r>
          </w:p>
        </w:tc>
        <w:tc>
          <w:tcPr>
            <w:tcW w:w="4678" w:type="dxa"/>
            <w:tcBorders>
              <w:top w:val="nil"/>
              <w:left w:val="nil"/>
              <w:bottom w:val="single" w:sz="4" w:space="0" w:color="auto"/>
              <w:right w:val="single" w:sz="4" w:space="0" w:color="auto"/>
            </w:tcBorders>
            <w:noWrap/>
            <w:vAlign w:val="bottom"/>
            <w:hideMark/>
          </w:tcPr>
          <w:p w14:paraId="3EEE53B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CGC CTT CAG AAC AGG GCG CTC</w:t>
            </w:r>
          </w:p>
        </w:tc>
      </w:tr>
      <w:tr w:rsidR="000C40CE" w:rsidRPr="00EF1CF2" w14:paraId="3228403A"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2EB030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7CE043B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hNEMO_CRISPR_2S</w:t>
            </w:r>
          </w:p>
        </w:tc>
        <w:tc>
          <w:tcPr>
            <w:tcW w:w="4678" w:type="dxa"/>
            <w:tcBorders>
              <w:top w:val="nil"/>
              <w:left w:val="nil"/>
              <w:bottom w:val="single" w:sz="4" w:space="0" w:color="auto"/>
              <w:right w:val="single" w:sz="4" w:space="0" w:color="auto"/>
            </w:tcBorders>
            <w:noWrap/>
            <w:vAlign w:val="bottom"/>
            <w:hideMark/>
          </w:tcPr>
          <w:p w14:paraId="429390D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CGT CTG CTG CCG GGC CAC CAC T</w:t>
            </w:r>
          </w:p>
        </w:tc>
      </w:tr>
      <w:tr w:rsidR="000C40CE" w:rsidRPr="00EF1CF2" w14:paraId="133A0F5F"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4D34CCC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7DA0FB1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hNEMO_CRISPR_2A</w:t>
            </w:r>
          </w:p>
        </w:tc>
        <w:tc>
          <w:tcPr>
            <w:tcW w:w="4678" w:type="dxa"/>
            <w:tcBorders>
              <w:top w:val="nil"/>
              <w:left w:val="nil"/>
              <w:bottom w:val="single" w:sz="4" w:space="0" w:color="auto"/>
              <w:right w:val="single" w:sz="4" w:space="0" w:color="auto"/>
            </w:tcBorders>
            <w:noWrap/>
            <w:vAlign w:val="bottom"/>
            <w:hideMark/>
          </w:tcPr>
          <w:p w14:paraId="23CD3A1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CAG TGG TGG CCC GGC AGC AGA C</w:t>
            </w:r>
          </w:p>
        </w:tc>
      </w:tr>
      <w:tr w:rsidR="000C40CE" w:rsidRPr="00EF1CF2" w14:paraId="212C4B56"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56C7DE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1E26472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hSTAMBP_CRISPR_1S</w:t>
            </w:r>
          </w:p>
        </w:tc>
        <w:tc>
          <w:tcPr>
            <w:tcW w:w="4678" w:type="dxa"/>
            <w:tcBorders>
              <w:top w:val="nil"/>
              <w:left w:val="nil"/>
              <w:bottom w:val="single" w:sz="4" w:space="0" w:color="auto"/>
              <w:right w:val="single" w:sz="4" w:space="0" w:color="auto"/>
            </w:tcBorders>
            <w:noWrap/>
            <w:vAlign w:val="bottom"/>
            <w:hideMark/>
          </w:tcPr>
          <w:p w14:paraId="3D848D4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CGA GCG GAA GTA CCG ACG GGG</w:t>
            </w:r>
          </w:p>
        </w:tc>
      </w:tr>
      <w:tr w:rsidR="000C40CE" w:rsidRPr="00EF1CF2" w14:paraId="74DBDE8D"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B52EFB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77C338A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hSTAMBP_CRISPR_1A</w:t>
            </w:r>
          </w:p>
        </w:tc>
        <w:tc>
          <w:tcPr>
            <w:tcW w:w="4678" w:type="dxa"/>
            <w:tcBorders>
              <w:top w:val="nil"/>
              <w:left w:val="nil"/>
              <w:bottom w:val="single" w:sz="4" w:space="0" w:color="auto"/>
              <w:right w:val="single" w:sz="4" w:space="0" w:color="auto"/>
            </w:tcBorders>
            <w:noWrap/>
            <w:vAlign w:val="bottom"/>
            <w:hideMark/>
          </w:tcPr>
          <w:p w14:paraId="1760BA6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CCC CCG TCG GTA CTT CCG CTC</w:t>
            </w:r>
          </w:p>
        </w:tc>
      </w:tr>
      <w:tr w:rsidR="000C40CE" w:rsidRPr="00EF1CF2" w14:paraId="367BB599"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1F5BEF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3BABA10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hSTAMBP_CRISPR_2S</w:t>
            </w:r>
          </w:p>
        </w:tc>
        <w:tc>
          <w:tcPr>
            <w:tcW w:w="4678" w:type="dxa"/>
            <w:tcBorders>
              <w:top w:val="nil"/>
              <w:left w:val="nil"/>
              <w:bottom w:val="single" w:sz="4" w:space="0" w:color="auto"/>
              <w:right w:val="single" w:sz="4" w:space="0" w:color="auto"/>
            </w:tcBorders>
            <w:noWrap/>
            <w:vAlign w:val="bottom"/>
            <w:hideMark/>
          </w:tcPr>
          <w:p w14:paraId="424D9C8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CGC CCT CAC CCG GTC TTC GGG</w:t>
            </w:r>
          </w:p>
        </w:tc>
      </w:tr>
      <w:tr w:rsidR="000C40CE" w:rsidRPr="00EF1CF2" w14:paraId="4B62587F"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42F2896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 &amp; qPCR</w:t>
            </w:r>
          </w:p>
        </w:tc>
        <w:tc>
          <w:tcPr>
            <w:tcW w:w="2268" w:type="dxa"/>
            <w:tcBorders>
              <w:top w:val="nil"/>
              <w:left w:val="nil"/>
              <w:bottom w:val="single" w:sz="4" w:space="0" w:color="auto"/>
              <w:right w:val="single" w:sz="4" w:space="0" w:color="auto"/>
            </w:tcBorders>
            <w:noWrap/>
            <w:vAlign w:val="bottom"/>
            <w:hideMark/>
          </w:tcPr>
          <w:p w14:paraId="6D8DC73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hSTAMBP_CRISPR_2A</w:t>
            </w:r>
          </w:p>
        </w:tc>
        <w:tc>
          <w:tcPr>
            <w:tcW w:w="4678" w:type="dxa"/>
            <w:tcBorders>
              <w:top w:val="nil"/>
              <w:left w:val="nil"/>
              <w:bottom w:val="single" w:sz="4" w:space="0" w:color="auto"/>
              <w:right w:val="single" w:sz="4" w:space="0" w:color="auto"/>
            </w:tcBorders>
            <w:noWrap/>
            <w:vAlign w:val="bottom"/>
            <w:hideMark/>
          </w:tcPr>
          <w:p w14:paraId="7320C63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CCC CGA AGA CCG GGT GAG GGC</w:t>
            </w:r>
          </w:p>
        </w:tc>
      </w:tr>
      <w:tr w:rsidR="000C40CE" w:rsidRPr="00EF1CF2" w14:paraId="12487936"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16E9D27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233CAA6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hIKKalpha_CRISPR_1S</w:t>
            </w:r>
          </w:p>
        </w:tc>
        <w:tc>
          <w:tcPr>
            <w:tcW w:w="4678" w:type="dxa"/>
            <w:tcBorders>
              <w:top w:val="nil"/>
              <w:left w:val="nil"/>
              <w:bottom w:val="single" w:sz="4" w:space="0" w:color="auto"/>
              <w:right w:val="single" w:sz="4" w:space="0" w:color="auto"/>
            </w:tcBorders>
            <w:noWrap/>
            <w:vAlign w:val="bottom"/>
            <w:hideMark/>
          </w:tcPr>
          <w:p w14:paraId="6962E71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CGC AAT GGA ATA CTG TTC TGG</w:t>
            </w:r>
          </w:p>
        </w:tc>
      </w:tr>
      <w:tr w:rsidR="000C40CE" w:rsidRPr="00EF1CF2" w14:paraId="1A43B41C"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15EB8E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29E836C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hIKKalpha_CRISPR_1A</w:t>
            </w:r>
          </w:p>
        </w:tc>
        <w:tc>
          <w:tcPr>
            <w:tcW w:w="4678" w:type="dxa"/>
            <w:tcBorders>
              <w:top w:val="nil"/>
              <w:left w:val="nil"/>
              <w:bottom w:val="single" w:sz="4" w:space="0" w:color="auto"/>
              <w:right w:val="single" w:sz="4" w:space="0" w:color="auto"/>
            </w:tcBorders>
            <w:noWrap/>
            <w:vAlign w:val="bottom"/>
            <w:hideMark/>
          </w:tcPr>
          <w:p w14:paraId="4C8B623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CCC AGA ACA GTA TTC CAT TGC</w:t>
            </w:r>
          </w:p>
        </w:tc>
      </w:tr>
      <w:tr w:rsidR="000C40CE" w:rsidRPr="00EF1CF2" w14:paraId="29E779CC"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26142F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5853627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hIKKbeta_CRISPR_1S</w:t>
            </w:r>
          </w:p>
        </w:tc>
        <w:tc>
          <w:tcPr>
            <w:tcW w:w="4678" w:type="dxa"/>
            <w:tcBorders>
              <w:top w:val="nil"/>
              <w:left w:val="nil"/>
              <w:bottom w:val="single" w:sz="4" w:space="0" w:color="auto"/>
              <w:right w:val="single" w:sz="4" w:space="0" w:color="auto"/>
            </w:tcBorders>
            <w:noWrap/>
            <w:vAlign w:val="bottom"/>
            <w:hideMark/>
          </w:tcPr>
          <w:p w14:paraId="11F61DF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CGA TTT GGA AAT GTC ATC CGA</w:t>
            </w:r>
          </w:p>
        </w:tc>
      </w:tr>
      <w:tr w:rsidR="000C40CE" w:rsidRPr="00EF1CF2" w14:paraId="523253DE"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038596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7CC9C90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hIKKbeta_CRISPR_1A</w:t>
            </w:r>
          </w:p>
        </w:tc>
        <w:tc>
          <w:tcPr>
            <w:tcW w:w="4678" w:type="dxa"/>
            <w:tcBorders>
              <w:top w:val="nil"/>
              <w:left w:val="nil"/>
              <w:bottom w:val="single" w:sz="4" w:space="0" w:color="auto"/>
              <w:right w:val="single" w:sz="4" w:space="0" w:color="auto"/>
            </w:tcBorders>
            <w:noWrap/>
            <w:vAlign w:val="bottom"/>
            <w:hideMark/>
          </w:tcPr>
          <w:p w14:paraId="64314BB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CTC GGA TGA CAT TTC CAA ATC</w:t>
            </w:r>
          </w:p>
        </w:tc>
      </w:tr>
      <w:tr w:rsidR="000C40CE" w:rsidRPr="00EF1CF2" w14:paraId="7BCEC50C"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6FC841D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7091C46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hIKKbeta_CRISPR_2S</w:t>
            </w:r>
          </w:p>
        </w:tc>
        <w:tc>
          <w:tcPr>
            <w:tcW w:w="4678" w:type="dxa"/>
            <w:tcBorders>
              <w:top w:val="nil"/>
              <w:left w:val="nil"/>
              <w:bottom w:val="single" w:sz="4" w:space="0" w:color="auto"/>
              <w:right w:val="single" w:sz="4" w:space="0" w:color="auto"/>
            </w:tcBorders>
            <w:noWrap/>
            <w:vAlign w:val="bottom"/>
            <w:hideMark/>
          </w:tcPr>
          <w:p w14:paraId="2329207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CAC CGT TGT TAG CGA AGA CTT GAA</w:t>
            </w:r>
          </w:p>
        </w:tc>
      </w:tr>
      <w:tr w:rsidR="000C40CE" w:rsidRPr="00EF1CF2" w14:paraId="075674DB"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466A656E"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gRNA</w:t>
            </w:r>
          </w:p>
        </w:tc>
        <w:tc>
          <w:tcPr>
            <w:tcW w:w="2268" w:type="dxa"/>
            <w:tcBorders>
              <w:top w:val="nil"/>
              <w:left w:val="nil"/>
              <w:bottom w:val="single" w:sz="4" w:space="0" w:color="auto"/>
              <w:right w:val="single" w:sz="4" w:space="0" w:color="auto"/>
            </w:tcBorders>
            <w:noWrap/>
            <w:vAlign w:val="bottom"/>
            <w:hideMark/>
          </w:tcPr>
          <w:p w14:paraId="7AC2016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hIKKbeta_CRISPR_2A</w:t>
            </w:r>
          </w:p>
        </w:tc>
        <w:tc>
          <w:tcPr>
            <w:tcW w:w="4678" w:type="dxa"/>
            <w:tcBorders>
              <w:top w:val="nil"/>
              <w:left w:val="nil"/>
              <w:bottom w:val="single" w:sz="4" w:space="0" w:color="auto"/>
              <w:right w:val="single" w:sz="4" w:space="0" w:color="auto"/>
            </w:tcBorders>
            <w:noWrap/>
            <w:vAlign w:val="bottom"/>
            <w:hideMark/>
          </w:tcPr>
          <w:p w14:paraId="7FBCC17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AAA CTT CAA GTC TTC GCT AAC AAC</w:t>
            </w:r>
          </w:p>
        </w:tc>
      </w:tr>
      <w:tr w:rsidR="000C40CE" w:rsidRPr="00EF1CF2" w14:paraId="25853616"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1ACDB6D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RT-qPCR</w:t>
            </w:r>
          </w:p>
        </w:tc>
        <w:tc>
          <w:tcPr>
            <w:tcW w:w="2268" w:type="dxa"/>
            <w:tcBorders>
              <w:top w:val="nil"/>
              <w:left w:val="nil"/>
              <w:bottom w:val="single" w:sz="4" w:space="0" w:color="auto"/>
              <w:right w:val="single" w:sz="4" w:space="0" w:color="auto"/>
            </w:tcBorders>
            <w:noWrap/>
            <w:vAlign w:val="bottom"/>
            <w:hideMark/>
          </w:tcPr>
          <w:p w14:paraId="60EB782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hNLRP7_qPCR_117_S</w:t>
            </w:r>
          </w:p>
        </w:tc>
        <w:tc>
          <w:tcPr>
            <w:tcW w:w="4678" w:type="dxa"/>
            <w:tcBorders>
              <w:top w:val="nil"/>
              <w:left w:val="nil"/>
              <w:bottom w:val="single" w:sz="4" w:space="0" w:color="auto"/>
              <w:right w:val="single" w:sz="4" w:space="0" w:color="auto"/>
            </w:tcBorders>
            <w:noWrap/>
            <w:vAlign w:val="bottom"/>
            <w:hideMark/>
          </w:tcPr>
          <w:p w14:paraId="446D05D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CGA AGA CGT GCT ACA GAA GAC</w:t>
            </w:r>
          </w:p>
        </w:tc>
      </w:tr>
      <w:tr w:rsidR="000C40CE" w:rsidRPr="00EF1CF2" w14:paraId="6CBD32FF"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278B9F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RT-qPCR</w:t>
            </w:r>
          </w:p>
        </w:tc>
        <w:tc>
          <w:tcPr>
            <w:tcW w:w="2268" w:type="dxa"/>
            <w:tcBorders>
              <w:top w:val="nil"/>
              <w:left w:val="nil"/>
              <w:bottom w:val="single" w:sz="4" w:space="0" w:color="auto"/>
              <w:right w:val="single" w:sz="4" w:space="0" w:color="auto"/>
            </w:tcBorders>
            <w:noWrap/>
            <w:vAlign w:val="bottom"/>
            <w:hideMark/>
          </w:tcPr>
          <w:p w14:paraId="6C82251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hNLRP7_qPCR_117_A</w:t>
            </w:r>
          </w:p>
        </w:tc>
        <w:tc>
          <w:tcPr>
            <w:tcW w:w="4678" w:type="dxa"/>
            <w:tcBorders>
              <w:top w:val="nil"/>
              <w:left w:val="nil"/>
              <w:bottom w:val="single" w:sz="4" w:space="0" w:color="auto"/>
              <w:right w:val="single" w:sz="4" w:space="0" w:color="auto"/>
            </w:tcBorders>
            <w:noWrap/>
            <w:vAlign w:val="bottom"/>
            <w:hideMark/>
          </w:tcPr>
          <w:p w14:paraId="57D6F68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TTC ACA GTC GCA TTC CTT ATC C</w:t>
            </w:r>
          </w:p>
        </w:tc>
      </w:tr>
      <w:tr w:rsidR="000C40CE" w:rsidRPr="00EF1CF2" w14:paraId="7520E93D"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15A4E2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RT-qPCR</w:t>
            </w:r>
          </w:p>
        </w:tc>
        <w:tc>
          <w:tcPr>
            <w:tcW w:w="2268" w:type="dxa"/>
            <w:tcBorders>
              <w:top w:val="nil"/>
              <w:left w:val="nil"/>
              <w:bottom w:val="single" w:sz="4" w:space="0" w:color="auto"/>
              <w:right w:val="single" w:sz="4" w:space="0" w:color="auto"/>
            </w:tcBorders>
            <w:noWrap/>
            <w:vAlign w:val="bottom"/>
            <w:hideMark/>
          </w:tcPr>
          <w:p w14:paraId="70762A2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hNLRP3_qPCR_81_S</w:t>
            </w:r>
          </w:p>
        </w:tc>
        <w:tc>
          <w:tcPr>
            <w:tcW w:w="4678" w:type="dxa"/>
            <w:tcBorders>
              <w:top w:val="nil"/>
              <w:left w:val="nil"/>
              <w:bottom w:val="single" w:sz="4" w:space="0" w:color="auto"/>
              <w:right w:val="single" w:sz="4" w:space="0" w:color="auto"/>
            </w:tcBorders>
            <w:noWrap/>
            <w:vAlign w:val="bottom"/>
            <w:hideMark/>
          </w:tcPr>
          <w:p w14:paraId="003B11A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GAT CTT CGC TGC GAT CAA CAG</w:t>
            </w:r>
          </w:p>
        </w:tc>
      </w:tr>
      <w:tr w:rsidR="000C40CE" w:rsidRPr="00EF1CF2" w14:paraId="5AB7E03E"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AA0C47F"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RT-qPCR</w:t>
            </w:r>
          </w:p>
        </w:tc>
        <w:tc>
          <w:tcPr>
            <w:tcW w:w="2268" w:type="dxa"/>
            <w:tcBorders>
              <w:top w:val="nil"/>
              <w:left w:val="nil"/>
              <w:bottom w:val="single" w:sz="4" w:space="0" w:color="auto"/>
              <w:right w:val="single" w:sz="4" w:space="0" w:color="auto"/>
            </w:tcBorders>
            <w:noWrap/>
            <w:vAlign w:val="bottom"/>
            <w:hideMark/>
          </w:tcPr>
          <w:p w14:paraId="549EFD4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hNLRP3_qPCR_81_A</w:t>
            </w:r>
          </w:p>
        </w:tc>
        <w:tc>
          <w:tcPr>
            <w:tcW w:w="4678" w:type="dxa"/>
            <w:tcBorders>
              <w:top w:val="nil"/>
              <w:left w:val="nil"/>
              <w:bottom w:val="single" w:sz="4" w:space="0" w:color="auto"/>
              <w:right w:val="single" w:sz="4" w:space="0" w:color="auto"/>
            </w:tcBorders>
            <w:noWrap/>
            <w:vAlign w:val="bottom"/>
            <w:hideMark/>
          </w:tcPr>
          <w:p w14:paraId="7266542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CGT GCA TTA TCT GAA CCC CAC</w:t>
            </w:r>
          </w:p>
        </w:tc>
      </w:tr>
      <w:tr w:rsidR="000C40CE" w:rsidRPr="00EF1CF2" w14:paraId="2EA5EAE5"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B2296A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RT-qPCR</w:t>
            </w:r>
          </w:p>
        </w:tc>
        <w:tc>
          <w:tcPr>
            <w:tcW w:w="2268" w:type="dxa"/>
            <w:tcBorders>
              <w:top w:val="nil"/>
              <w:left w:val="nil"/>
              <w:bottom w:val="single" w:sz="4" w:space="0" w:color="auto"/>
              <w:right w:val="single" w:sz="4" w:space="0" w:color="auto"/>
            </w:tcBorders>
            <w:noWrap/>
            <w:vAlign w:val="bottom"/>
            <w:hideMark/>
          </w:tcPr>
          <w:p w14:paraId="58FA15E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hGAPDH_qPCR_116_S</w:t>
            </w:r>
          </w:p>
        </w:tc>
        <w:tc>
          <w:tcPr>
            <w:tcW w:w="4678" w:type="dxa"/>
            <w:tcBorders>
              <w:top w:val="nil"/>
              <w:left w:val="nil"/>
              <w:bottom w:val="single" w:sz="4" w:space="0" w:color="auto"/>
              <w:right w:val="single" w:sz="4" w:space="0" w:color="auto"/>
            </w:tcBorders>
            <w:noWrap/>
            <w:vAlign w:val="bottom"/>
            <w:hideMark/>
          </w:tcPr>
          <w:p w14:paraId="0D271038"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TGT GGG CAT CAA TGG ATT TGG</w:t>
            </w:r>
          </w:p>
        </w:tc>
      </w:tr>
      <w:tr w:rsidR="000C40CE" w:rsidRPr="00EF1CF2" w14:paraId="190E8D46"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2E310FA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RT-qPCR</w:t>
            </w:r>
          </w:p>
        </w:tc>
        <w:tc>
          <w:tcPr>
            <w:tcW w:w="2268" w:type="dxa"/>
            <w:tcBorders>
              <w:top w:val="nil"/>
              <w:left w:val="nil"/>
              <w:bottom w:val="single" w:sz="4" w:space="0" w:color="auto"/>
              <w:right w:val="single" w:sz="4" w:space="0" w:color="auto"/>
            </w:tcBorders>
            <w:noWrap/>
            <w:vAlign w:val="bottom"/>
            <w:hideMark/>
          </w:tcPr>
          <w:p w14:paraId="2B32904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hGAPDH_qPCR_116_A</w:t>
            </w:r>
          </w:p>
        </w:tc>
        <w:tc>
          <w:tcPr>
            <w:tcW w:w="4678" w:type="dxa"/>
            <w:tcBorders>
              <w:top w:val="nil"/>
              <w:left w:val="nil"/>
              <w:bottom w:val="single" w:sz="4" w:space="0" w:color="auto"/>
              <w:right w:val="single" w:sz="4" w:space="0" w:color="auto"/>
            </w:tcBorders>
            <w:noWrap/>
            <w:vAlign w:val="bottom"/>
            <w:hideMark/>
          </w:tcPr>
          <w:p w14:paraId="4DD5AB0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ACA CCA TGT ATT CCG GGT CAA T</w:t>
            </w:r>
          </w:p>
        </w:tc>
      </w:tr>
      <w:tr w:rsidR="000C40CE" w:rsidRPr="00EF1CF2" w14:paraId="2CDD8D35"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E4E819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PCR amplicon nanopore sequencing</w:t>
            </w:r>
          </w:p>
        </w:tc>
        <w:tc>
          <w:tcPr>
            <w:tcW w:w="2268" w:type="dxa"/>
            <w:tcBorders>
              <w:top w:val="nil"/>
              <w:left w:val="nil"/>
              <w:bottom w:val="single" w:sz="4" w:space="0" w:color="auto"/>
              <w:right w:val="single" w:sz="4" w:space="0" w:color="auto"/>
            </w:tcBorders>
            <w:noWrap/>
            <w:vAlign w:val="bottom"/>
            <w:hideMark/>
          </w:tcPr>
          <w:p w14:paraId="04CE121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hNLRP7_exon2_S</w:t>
            </w:r>
          </w:p>
        </w:tc>
        <w:tc>
          <w:tcPr>
            <w:tcW w:w="4678" w:type="dxa"/>
            <w:tcBorders>
              <w:top w:val="nil"/>
              <w:left w:val="nil"/>
              <w:bottom w:val="single" w:sz="4" w:space="0" w:color="auto"/>
              <w:right w:val="single" w:sz="4" w:space="0" w:color="auto"/>
            </w:tcBorders>
            <w:noWrap/>
            <w:vAlign w:val="bottom"/>
            <w:hideMark/>
          </w:tcPr>
          <w:p w14:paraId="7098B17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CCC AGG TTC AAG TGT GAT TCT CC</w:t>
            </w:r>
          </w:p>
        </w:tc>
      </w:tr>
      <w:tr w:rsidR="000C40CE" w:rsidRPr="00EF1CF2" w14:paraId="0C66E924"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4A7EF5B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lastRenderedPageBreak/>
              <w:t>PCR amplicon nanopore sequencing</w:t>
            </w:r>
          </w:p>
        </w:tc>
        <w:tc>
          <w:tcPr>
            <w:tcW w:w="2268" w:type="dxa"/>
            <w:tcBorders>
              <w:top w:val="nil"/>
              <w:left w:val="nil"/>
              <w:bottom w:val="single" w:sz="4" w:space="0" w:color="auto"/>
              <w:right w:val="single" w:sz="4" w:space="0" w:color="auto"/>
            </w:tcBorders>
            <w:noWrap/>
            <w:vAlign w:val="bottom"/>
            <w:hideMark/>
          </w:tcPr>
          <w:p w14:paraId="03A4F73A"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hNLRP7_exon4_A</w:t>
            </w:r>
          </w:p>
        </w:tc>
        <w:tc>
          <w:tcPr>
            <w:tcW w:w="4678" w:type="dxa"/>
            <w:tcBorders>
              <w:top w:val="nil"/>
              <w:left w:val="nil"/>
              <w:bottom w:val="single" w:sz="4" w:space="0" w:color="auto"/>
              <w:right w:val="single" w:sz="4" w:space="0" w:color="auto"/>
            </w:tcBorders>
            <w:noWrap/>
            <w:vAlign w:val="bottom"/>
            <w:hideMark/>
          </w:tcPr>
          <w:p w14:paraId="6AAD10B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CTC CTT CTC CAG GGC GTA GAA C</w:t>
            </w:r>
          </w:p>
        </w:tc>
      </w:tr>
      <w:tr w:rsidR="000C40CE" w:rsidRPr="00EF1CF2" w14:paraId="40DD3A24"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630AC77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Vector construction</w:t>
            </w:r>
          </w:p>
        </w:tc>
        <w:tc>
          <w:tcPr>
            <w:tcW w:w="2268" w:type="dxa"/>
            <w:tcBorders>
              <w:top w:val="nil"/>
              <w:left w:val="nil"/>
              <w:bottom w:val="single" w:sz="4" w:space="0" w:color="auto"/>
              <w:right w:val="single" w:sz="4" w:space="0" w:color="auto"/>
            </w:tcBorders>
            <w:noWrap/>
            <w:vAlign w:val="bottom"/>
            <w:hideMark/>
          </w:tcPr>
          <w:p w14:paraId="2F92313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hNLRP7_pCWTet_S</w:t>
            </w:r>
          </w:p>
        </w:tc>
        <w:tc>
          <w:tcPr>
            <w:tcW w:w="4678" w:type="dxa"/>
            <w:tcBorders>
              <w:top w:val="nil"/>
              <w:left w:val="nil"/>
              <w:bottom w:val="single" w:sz="4" w:space="0" w:color="auto"/>
              <w:right w:val="single" w:sz="4" w:space="0" w:color="auto"/>
            </w:tcBorders>
            <w:noWrap/>
            <w:vAlign w:val="bottom"/>
            <w:hideMark/>
          </w:tcPr>
          <w:p w14:paraId="1675D0F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TGG AGA ATT GGC TAG GCC ACC ATG ACA TCG CCC CAG CTA GAG TGG AC</w:t>
            </w:r>
          </w:p>
        </w:tc>
      </w:tr>
      <w:tr w:rsidR="000C40CE" w:rsidRPr="00EF1CF2" w14:paraId="0365CCE9"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020C3E5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Vector construction</w:t>
            </w:r>
          </w:p>
        </w:tc>
        <w:tc>
          <w:tcPr>
            <w:tcW w:w="2268" w:type="dxa"/>
            <w:tcBorders>
              <w:top w:val="nil"/>
              <w:left w:val="nil"/>
              <w:bottom w:val="single" w:sz="4" w:space="0" w:color="auto"/>
              <w:right w:val="single" w:sz="4" w:space="0" w:color="auto"/>
            </w:tcBorders>
            <w:noWrap/>
            <w:vAlign w:val="bottom"/>
            <w:hideMark/>
          </w:tcPr>
          <w:p w14:paraId="2AC0391E"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hNLRP7_pCWTet_A</w:t>
            </w:r>
          </w:p>
        </w:tc>
        <w:tc>
          <w:tcPr>
            <w:tcW w:w="4678" w:type="dxa"/>
            <w:tcBorders>
              <w:top w:val="nil"/>
              <w:left w:val="nil"/>
              <w:bottom w:val="single" w:sz="4" w:space="0" w:color="auto"/>
              <w:right w:val="single" w:sz="4" w:space="0" w:color="auto"/>
            </w:tcBorders>
            <w:noWrap/>
            <w:vAlign w:val="bottom"/>
            <w:hideMark/>
          </w:tcPr>
          <w:p w14:paraId="2B5BFF8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AAC CCC AAC CCC TTA TCA GCA AAA AAA GTC ACA GCA CGG AGG TG</w:t>
            </w:r>
          </w:p>
        </w:tc>
      </w:tr>
      <w:tr w:rsidR="000C40CE" w:rsidRPr="00EF1CF2" w14:paraId="2620F6E8"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7372C05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Vector construction</w:t>
            </w:r>
          </w:p>
        </w:tc>
        <w:tc>
          <w:tcPr>
            <w:tcW w:w="2268" w:type="dxa"/>
            <w:tcBorders>
              <w:top w:val="nil"/>
              <w:left w:val="nil"/>
              <w:bottom w:val="single" w:sz="4" w:space="0" w:color="auto"/>
              <w:right w:val="single" w:sz="4" w:space="0" w:color="auto"/>
            </w:tcBorders>
            <w:noWrap/>
            <w:vAlign w:val="bottom"/>
            <w:hideMark/>
          </w:tcPr>
          <w:p w14:paraId="14499E3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HpaBFPNhe_pCWTet_S</w:t>
            </w:r>
          </w:p>
        </w:tc>
        <w:tc>
          <w:tcPr>
            <w:tcW w:w="4678" w:type="dxa"/>
            <w:tcBorders>
              <w:top w:val="nil"/>
              <w:left w:val="nil"/>
              <w:bottom w:val="single" w:sz="4" w:space="0" w:color="auto"/>
              <w:right w:val="single" w:sz="4" w:space="0" w:color="auto"/>
            </w:tcBorders>
            <w:noWrap/>
            <w:vAlign w:val="bottom"/>
            <w:hideMark/>
          </w:tcPr>
          <w:p w14:paraId="6746E73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TGG AGA ATT GGC TAG CCA CCA TGG TTA ACA CGC GTG TGA GCA AGG GCG AGG AGC TGT</w:t>
            </w:r>
          </w:p>
        </w:tc>
      </w:tr>
      <w:tr w:rsidR="000C40CE" w:rsidRPr="00EF1CF2" w14:paraId="5EC45679"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9ACF886"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Vector construction</w:t>
            </w:r>
          </w:p>
        </w:tc>
        <w:tc>
          <w:tcPr>
            <w:tcW w:w="2268" w:type="dxa"/>
            <w:tcBorders>
              <w:top w:val="nil"/>
              <w:left w:val="nil"/>
              <w:bottom w:val="single" w:sz="4" w:space="0" w:color="auto"/>
              <w:right w:val="single" w:sz="4" w:space="0" w:color="auto"/>
            </w:tcBorders>
            <w:noWrap/>
            <w:vAlign w:val="bottom"/>
            <w:hideMark/>
          </w:tcPr>
          <w:p w14:paraId="5BC7092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HpaBFPNhe_pCWTet_A</w:t>
            </w:r>
          </w:p>
        </w:tc>
        <w:tc>
          <w:tcPr>
            <w:tcW w:w="4678" w:type="dxa"/>
            <w:tcBorders>
              <w:top w:val="nil"/>
              <w:left w:val="nil"/>
              <w:bottom w:val="single" w:sz="4" w:space="0" w:color="auto"/>
              <w:right w:val="single" w:sz="4" w:space="0" w:color="auto"/>
            </w:tcBorders>
            <w:noWrap/>
            <w:vAlign w:val="bottom"/>
            <w:hideMark/>
          </w:tcPr>
          <w:p w14:paraId="7DB6897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AAC CCC AAC CCC TTA TCA GCT AGC CTT GTA CAG CTC GTC CAT GCC GAG</w:t>
            </w:r>
          </w:p>
        </w:tc>
      </w:tr>
      <w:tr w:rsidR="000C40CE" w:rsidRPr="00EF1CF2" w14:paraId="0A7E00A5"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2D363B4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Vector sequencing</w:t>
            </w:r>
          </w:p>
        </w:tc>
        <w:tc>
          <w:tcPr>
            <w:tcW w:w="2268" w:type="dxa"/>
            <w:tcBorders>
              <w:top w:val="nil"/>
              <w:left w:val="nil"/>
              <w:bottom w:val="single" w:sz="4" w:space="0" w:color="auto"/>
              <w:right w:val="single" w:sz="4" w:space="0" w:color="auto"/>
            </w:tcBorders>
            <w:noWrap/>
            <w:vAlign w:val="bottom"/>
            <w:hideMark/>
          </w:tcPr>
          <w:p w14:paraId="148D963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pCW_TREpro_S_seq</w:t>
            </w:r>
          </w:p>
        </w:tc>
        <w:tc>
          <w:tcPr>
            <w:tcW w:w="4678" w:type="dxa"/>
            <w:tcBorders>
              <w:top w:val="nil"/>
              <w:left w:val="nil"/>
              <w:bottom w:val="single" w:sz="4" w:space="0" w:color="auto"/>
              <w:right w:val="single" w:sz="4" w:space="0" w:color="auto"/>
            </w:tcBorders>
            <w:noWrap/>
            <w:vAlign w:val="bottom"/>
            <w:hideMark/>
          </w:tcPr>
          <w:p w14:paraId="16C7CFD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GAG AAC GTA TGT CGA GGT AGG</w:t>
            </w:r>
          </w:p>
        </w:tc>
      </w:tr>
      <w:tr w:rsidR="000C40CE" w:rsidRPr="00EF1CF2" w14:paraId="3A72619A"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1EEB65A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Vector sequencing</w:t>
            </w:r>
          </w:p>
        </w:tc>
        <w:tc>
          <w:tcPr>
            <w:tcW w:w="2268" w:type="dxa"/>
            <w:tcBorders>
              <w:top w:val="nil"/>
              <w:left w:val="nil"/>
              <w:bottom w:val="single" w:sz="4" w:space="0" w:color="auto"/>
              <w:right w:val="single" w:sz="4" w:space="0" w:color="auto"/>
            </w:tcBorders>
            <w:noWrap/>
            <w:vAlign w:val="bottom"/>
            <w:hideMark/>
          </w:tcPr>
          <w:p w14:paraId="47A680FE"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pCW_PKGpro_A_seq</w:t>
            </w:r>
          </w:p>
        </w:tc>
        <w:tc>
          <w:tcPr>
            <w:tcW w:w="4678" w:type="dxa"/>
            <w:tcBorders>
              <w:top w:val="nil"/>
              <w:left w:val="nil"/>
              <w:bottom w:val="single" w:sz="4" w:space="0" w:color="auto"/>
              <w:right w:val="single" w:sz="4" w:space="0" w:color="auto"/>
            </w:tcBorders>
            <w:noWrap/>
            <w:vAlign w:val="bottom"/>
            <w:hideMark/>
          </w:tcPr>
          <w:p w14:paraId="59AF7041"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TGC GAA CGG ACG TGA AGA ATG TG</w:t>
            </w:r>
          </w:p>
        </w:tc>
      </w:tr>
      <w:tr w:rsidR="000C40CE" w:rsidRPr="00EF1CF2" w14:paraId="6425EC2E"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11731A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Vector sequencing</w:t>
            </w:r>
          </w:p>
        </w:tc>
        <w:tc>
          <w:tcPr>
            <w:tcW w:w="2268" w:type="dxa"/>
            <w:tcBorders>
              <w:top w:val="nil"/>
              <w:left w:val="nil"/>
              <w:bottom w:val="single" w:sz="4" w:space="0" w:color="auto"/>
              <w:right w:val="single" w:sz="4" w:space="0" w:color="auto"/>
            </w:tcBorders>
            <w:noWrap/>
            <w:vAlign w:val="bottom"/>
            <w:hideMark/>
          </w:tcPr>
          <w:p w14:paraId="01D9A6C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hNLRP7_mid_seq_1S</w:t>
            </w:r>
          </w:p>
        </w:tc>
        <w:tc>
          <w:tcPr>
            <w:tcW w:w="4678" w:type="dxa"/>
            <w:tcBorders>
              <w:top w:val="nil"/>
              <w:left w:val="nil"/>
              <w:bottom w:val="single" w:sz="4" w:space="0" w:color="auto"/>
              <w:right w:val="single" w:sz="4" w:space="0" w:color="auto"/>
            </w:tcBorders>
            <w:noWrap/>
            <w:vAlign w:val="bottom"/>
            <w:hideMark/>
          </w:tcPr>
          <w:p w14:paraId="15E097A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TGA TCT CCA AAG ACT GGC CTG</w:t>
            </w:r>
          </w:p>
        </w:tc>
      </w:tr>
      <w:tr w:rsidR="000C40CE" w:rsidRPr="00EF1CF2" w14:paraId="2AB10A12"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1DE298C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Vector sequencing</w:t>
            </w:r>
          </w:p>
        </w:tc>
        <w:tc>
          <w:tcPr>
            <w:tcW w:w="2268" w:type="dxa"/>
            <w:tcBorders>
              <w:top w:val="nil"/>
              <w:left w:val="nil"/>
              <w:bottom w:val="single" w:sz="4" w:space="0" w:color="auto"/>
              <w:right w:val="single" w:sz="4" w:space="0" w:color="auto"/>
            </w:tcBorders>
            <w:noWrap/>
            <w:vAlign w:val="bottom"/>
            <w:hideMark/>
          </w:tcPr>
          <w:p w14:paraId="190AB0C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hNLRP7_mid_seq_2S</w:t>
            </w:r>
          </w:p>
        </w:tc>
        <w:tc>
          <w:tcPr>
            <w:tcW w:w="4678" w:type="dxa"/>
            <w:tcBorders>
              <w:top w:val="nil"/>
              <w:left w:val="nil"/>
              <w:bottom w:val="single" w:sz="4" w:space="0" w:color="auto"/>
              <w:right w:val="single" w:sz="4" w:space="0" w:color="auto"/>
            </w:tcBorders>
            <w:noWrap/>
            <w:vAlign w:val="bottom"/>
            <w:hideMark/>
          </w:tcPr>
          <w:p w14:paraId="4A2C908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ATC CAC CTC AGC TTC CAG CAG</w:t>
            </w:r>
          </w:p>
        </w:tc>
      </w:tr>
      <w:tr w:rsidR="000C40CE" w:rsidRPr="00EF1CF2" w14:paraId="3682F5FC"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64DC208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Vector sequencing</w:t>
            </w:r>
          </w:p>
        </w:tc>
        <w:tc>
          <w:tcPr>
            <w:tcW w:w="2268" w:type="dxa"/>
            <w:tcBorders>
              <w:top w:val="nil"/>
              <w:left w:val="nil"/>
              <w:bottom w:val="single" w:sz="4" w:space="0" w:color="auto"/>
              <w:right w:val="single" w:sz="4" w:space="0" w:color="auto"/>
            </w:tcBorders>
            <w:noWrap/>
            <w:vAlign w:val="bottom"/>
            <w:hideMark/>
          </w:tcPr>
          <w:p w14:paraId="6BD848D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hNLRP7_mid_seq_3S</w:t>
            </w:r>
          </w:p>
        </w:tc>
        <w:tc>
          <w:tcPr>
            <w:tcW w:w="4678" w:type="dxa"/>
            <w:tcBorders>
              <w:top w:val="nil"/>
              <w:left w:val="nil"/>
              <w:bottom w:val="single" w:sz="4" w:space="0" w:color="auto"/>
              <w:right w:val="single" w:sz="4" w:space="0" w:color="auto"/>
            </w:tcBorders>
            <w:noWrap/>
            <w:vAlign w:val="bottom"/>
            <w:hideMark/>
          </w:tcPr>
          <w:p w14:paraId="636F0E4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TGG GAA CGC ACG ATG ATG CTG</w:t>
            </w:r>
          </w:p>
        </w:tc>
      </w:tr>
      <w:tr w:rsidR="000C40CE" w:rsidRPr="00EF1CF2" w14:paraId="0D7BF398"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9238FA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Vector sequencing</w:t>
            </w:r>
          </w:p>
        </w:tc>
        <w:tc>
          <w:tcPr>
            <w:tcW w:w="2268" w:type="dxa"/>
            <w:tcBorders>
              <w:top w:val="nil"/>
              <w:left w:val="nil"/>
              <w:bottom w:val="single" w:sz="4" w:space="0" w:color="auto"/>
              <w:right w:val="single" w:sz="4" w:space="0" w:color="auto"/>
            </w:tcBorders>
            <w:noWrap/>
            <w:vAlign w:val="bottom"/>
            <w:hideMark/>
          </w:tcPr>
          <w:p w14:paraId="4449C71D"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hNLRP7_seq_A1</w:t>
            </w:r>
          </w:p>
        </w:tc>
        <w:tc>
          <w:tcPr>
            <w:tcW w:w="4678" w:type="dxa"/>
            <w:tcBorders>
              <w:top w:val="nil"/>
              <w:left w:val="nil"/>
              <w:bottom w:val="single" w:sz="4" w:space="0" w:color="auto"/>
              <w:right w:val="single" w:sz="4" w:space="0" w:color="auto"/>
            </w:tcBorders>
            <w:noWrap/>
            <w:vAlign w:val="bottom"/>
            <w:hideMark/>
          </w:tcPr>
          <w:p w14:paraId="5D68832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AGA AGA ATT CAG CCC ACT GCT CC</w:t>
            </w:r>
          </w:p>
        </w:tc>
      </w:tr>
      <w:tr w:rsidR="000C40CE" w:rsidRPr="00EF1CF2" w14:paraId="712CA6AC"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673CB6D4"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CRISPR/Cas9-based screen</w:t>
            </w:r>
          </w:p>
        </w:tc>
        <w:tc>
          <w:tcPr>
            <w:tcW w:w="2268" w:type="dxa"/>
            <w:tcBorders>
              <w:top w:val="nil"/>
              <w:left w:val="nil"/>
              <w:bottom w:val="single" w:sz="4" w:space="0" w:color="auto"/>
              <w:right w:val="single" w:sz="4" w:space="0" w:color="auto"/>
            </w:tcBorders>
            <w:noWrap/>
            <w:vAlign w:val="bottom"/>
            <w:hideMark/>
          </w:tcPr>
          <w:p w14:paraId="1F3ECE1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LentiGuide_gRNAs6</w:t>
            </w:r>
          </w:p>
        </w:tc>
        <w:tc>
          <w:tcPr>
            <w:tcW w:w="4678" w:type="dxa"/>
            <w:tcBorders>
              <w:top w:val="nil"/>
              <w:left w:val="nil"/>
              <w:bottom w:val="single" w:sz="4" w:space="0" w:color="auto"/>
              <w:right w:val="single" w:sz="4" w:space="0" w:color="auto"/>
            </w:tcBorders>
            <w:noWrap/>
            <w:vAlign w:val="bottom"/>
            <w:hideMark/>
          </w:tcPr>
          <w:p w14:paraId="4775117C"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TTGGAATCACACGACCTGGATGGA</w:t>
            </w:r>
          </w:p>
        </w:tc>
      </w:tr>
      <w:tr w:rsidR="000C40CE" w:rsidRPr="00EF1CF2" w14:paraId="455DE0F0"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903128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CRISPR/Cas9-based screen</w:t>
            </w:r>
          </w:p>
        </w:tc>
        <w:tc>
          <w:tcPr>
            <w:tcW w:w="2268" w:type="dxa"/>
            <w:tcBorders>
              <w:top w:val="nil"/>
              <w:left w:val="nil"/>
              <w:bottom w:val="single" w:sz="4" w:space="0" w:color="auto"/>
              <w:right w:val="single" w:sz="4" w:space="0" w:color="auto"/>
            </w:tcBorders>
            <w:noWrap/>
            <w:vAlign w:val="bottom"/>
            <w:hideMark/>
          </w:tcPr>
          <w:p w14:paraId="65EA1982"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LentiGuide_gRNAa1_3</w:t>
            </w:r>
          </w:p>
        </w:tc>
        <w:tc>
          <w:tcPr>
            <w:tcW w:w="4678" w:type="dxa"/>
            <w:tcBorders>
              <w:top w:val="nil"/>
              <w:left w:val="nil"/>
              <w:bottom w:val="single" w:sz="4" w:space="0" w:color="auto"/>
              <w:right w:val="single" w:sz="4" w:space="0" w:color="auto"/>
            </w:tcBorders>
            <w:noWrap/>
            <w:vAlign w:val="bottom"/>
            <w:hideMark/>
          </w:tcPr>
          <w:p w14:paraId="60E17BF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TCTCTGCTGTCCCTGTAATAAACCCG</w:t>
            </w:r>
          </w:p>
        </w:tc>
      </w:tr>
      <w:tr w:rsidR="000C40CE" w:rsidRPr="00EF1CF2" w14:paraId="17F61963"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3D8B3D17"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CRISPR/Cas9-based screen (qPCR)</w:t>
            </w:r>
          </w:p>
        </w:tc>
        <w:tc>
          <w:tcPr>
            <w:tcW w:w="2268" w:type="dxa"/>
            <w:tcBorders>
              <w:top w:val="nil"/>
              <w:left w:val="nil"/>
              <w:bottom w:val="single" w:sz="4" w:space="0" w:color="auto"/>
              <w:right w:val="single" w:sz="4" w:space="0" w:color="auto"/>
            </w:tcBorders>
            <w:noWrap/>
            <w:vAlign w:val="bottom"/>
            <w:hideMark/>
          </w:tcPr>
          <w:p w14:paraId="21B3766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LentiGuide_gRNAs2</w:t>
            </w:r>
          </w:p>
        </w:tc>
        <w:tc>
          <w:tcPr>
            <w:tcW w:w="4678" w:type="dxa"/>
            <w:tcBorders>
              <w:top w:val="nil"/>
              <w:left w:val="nil"/>
              <w:bottom w:val="single" w:sz="4" w:space="0" w:color="auto"/>
              <w:right w:val="single" w:sz="4" w:space="0" w:color="auto"/>
            </w:tcBorders>
            <w:noWrap/>
            <w:vAlign w:val="bottom"/>
            <w:hideMark/>
          </w:tcPr>
          <w:p w14:paraId="7CD1CEC3"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GACTATCATATGCTTACCGTAAC</w:t>
            </w:r>
          </w:p>
        </w:tc>
      </w:tr>
      <w:tr w:rsidR="000C40CE" w:rsidRPr="00EF1CF2" w14:paraId="35246CCE"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73898E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CRISPR/Cas9-based screen (qPCR)</w:t>
            </w:r>
          </w:p>
        </w:tc>
        <w:tc>
          <w:tcPr>
            <w:tcW w:w="2268" w:type="dxa"/>
            <w:tcBorders>
              <w:top w:val="nil"/>
              <w:left w:val="nil"/>
              <w:bottom w:val="single" w:sz="4" w:space="0" w:color="auto"/>
              <w:right w:val="single" w:sz="4" w:space="0" w:color="auto"/>
            </w:tcBorders>
            <w:noWrap/>
            <w:vAlign w:val="bottom"/>
            <w:hideMark/>
          </w:tcPr>
          <w:p w14:paraId="314E704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LentiGuide_gRNAs4</w:t>
            </w:r>
          </w:p>
        </w:tc>
        <w:tc>
          <w:tcPr>
            <w:tcW w:w="4678" w:type="dxa"/>
            <w:tcBorders>
              <w:top w:val="nil"/>
              <w:left w:val="nil"/>
              <w:bottom w:val="single" w:sz="4" w:space="0" w:color="auto"/>
              <w:right w:val="single" w:sz="4" w:space="0" w:color="auto"/>
            </w:tcBorders>
            <w:noWrap/>
            <w:vAlign w:val="bottom"/>
            <w:hideMark/>
          </w:tcPr>
          <w:p w14:paraId="2936C4B0"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AGCTTGGCGTAACTAGATCTTGAG</w:t>
            </w:r>
          </w:p>
        </w:tc>
      </w:tr>
      <w:tr w:rsidR="000C40CE" w:rsidRPr="00EF1CF2" w14:paraId="19720F5E" w14:textId="77777777" w:rsidTr="0027372A">
        <w:trPr>
          <w:trHeight w:val="320"/>
        </w:trPr>
        <w:tc>
          <w:tcPr>
            <w:tcW w:w="1980" w:type="dxa"/>
            <w:tcBorders>
              <w:top w:val="nil"/>
              <w:left w:val="single" w:sz="4" w:space="0" w:color="auto"/>
              <w:bottom w:val="single" w:sz="4" w:space="0" w:color="auto"/>
              <w:right w:val="single" w:sz="4" w:space="0" w:color="auto"/>
            </w:tcBorders>
            <w:noWrap/>
            <w:vAlign w:val="bottom"/>
            <w:hideMark/>
          </w:tcPr>
          <w:p w14:paraId="516EDEA5"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CRISPR/Cas9-based screen (qPCR)</w:t>
            </w:r>
          </w:p>
        </w:tc>
        <w:tc>
          <w:tcPr>
            <w:tcW w:w="2268" w:type="dxa"/>
            <w:tcBorders>
              <w:top w:val="nil"/>
              <w:left w:val="nil"/>
              <w:bottom w:val="single" w:sz="4" w:space="0" w:color="auto"/>
              <w:right w:val="single" w:sz="4" w:space="0" w:color="auto"/>
            </w:tcBorders>
            <w:noWrap/>
            <w:vAlign w:val="bottom"/>
            <w:hideMark/>
          </w:tcPr>
          <w:p w14:paraId="2560488B"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LentiGuide_gRNAa3</w:t>
            </w:r>
          </w:p>
        </w:tc>
        <w:tc>
          <w:tcPr>
            <w:tcW w:w="4678" w:type="dxa"/>
            <w:tcBorders>
              <w:top w:val="nil"/>
              <w:left w:val="nil"/>
              <w:bottom w:val="single" w:sz="4" w:space="0" w:color="auto"/>
              <w:right w:val="single" w:sz="4" w:space="0" w:color="auto"/>
            </w:tcBorders>
            <w:noWrap/>
            <w:vAlign w:val="bottom"/>
            <w:hideMark/>
          </w:tcPr>
          <w:p w14:paraId="79CBC5D9" w14:textId="77777777" w:rsidR="000C40CE" w:rsidRPr="00EF1CF2" w:rsidRDefault="000C40CE">
            <w:pPr>
              <w:rPr>
                <w:rFonts w:ascii="Arial" w:hAnsi="Arial" w:cs="Arial"/>
                <w:color w:val="000000"/>
                <w:sz w:val="16"/>
                <w:szCs w:val="16"/>
              </w:rPr>
            </w:pPr>
            <w:r w:rsidRPr="00EF1CF2">
              <w:rPr>
                <w:rFonts w:ascii="Arial" w:hAnsi="Arial" w:cs="Arial"/>
                <w:color w:val="000000"/>
                <w:sz w:val="16"/>
                <w:szCs w:val="16"/>
              </w:rPr>
              <w:t>ACTATTCTTTCCCCTGCACTGT</w:t>
            </w:r>
          </w:p>
        </w:tc>
      </w:tr>
    </w:tbl>
    <w:p w14:paraId="0CFC0C47" w14:textId="77777777" w:rsidR="005B2EE8" w:rsidRPr="00EF1CF2" w:rsidRDefault="005B2EE8">
      <w:pPr>
        <w:rPr>
          <w:rFonts w:ascii="Arial" w:hAnsi="Arial" w:cs="Arial"/>
        </w:rPr>
      </w:pPr>
    </w:p>
    <w:sectPr w:rsidR="005B2EE8" w:rsidRPr="00EF1C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F5"/>
    <w:rsid w:val="000C40CE"/>
    <w:rsid w:val="000F5A30"/>
    <w:rsid w:val="00110344"/>
    <w:rsid w:val="00116300"/>
    <w:rsid w:val="00126AC2"/>
    <w:rsid w:val="00197F78"/>
    <w:rsid w:val="001E4E7D"/>
    <w:rsid w:val="00257E99"/>
    <w:rsid w:val="00272AD0"/>
    <w:rsid w:val="0027372A"/>
    <w:rsid w:val="002E4A5E"/>
    <w:rsid w:val="0037225C"/>
    <w:rsid w:val="00395902"/>
    <w:rsid w:val="003971B7"/>
    <w:rsid w:val="00424787"/>
    <w:rsid w:val="00444C05"/>
    <w:rsid w:val="004A4789"/>
    <w:rsid w:val="004B36B9"/>
    <w:rsid w:val="004C7D40"/>
    <w:rsid w:val="00540D29"/>
    <w:rsid w:val="00556001"/>
    <w:rsid w:val="005B2EE8"/>
    <w:rsid w:val="00615290"/>
    <w:rsid w:val="00636004"/>
    <w:rsid w:val="00661558"/>
    <w:rsid w:val="00674BA5"/>
    <w:rsid w:val="00677273"/>
    <w:rsid w:val="00692817"/>
    <w:rsid w:val="006C3784"/>
    <w:rsid w:val="00780C27"/>
    <w:rsid w:val="007E5C95"/>
    <w:rsid w:val="00846E0D"/>
    <w:rsid w:val="008C10F5"/>
    <w:rsid w:val="008F78D7"/>
    <w:rsid w:val="00957E90"/>
    <w:rsid w:val="009723DF"/>
    <w:rsid w:val="009943BA"/>
    <w:rsid w:val="00A25048"/>
    <w:rsid w:val="00A27C3F"/>
    <w:rsid w:val="00A34E0A"/>
    <w:rsid w:val="00A66C1A"/>
    <w:rsid w:val="00B22728"/>
    <w:rsid w:val="00B76135"/>
    <w:rsid w:val="00B94EFC"/>
    <w:rsid w:val="00B966B5"/>
    <w:rsid w:val="00BF47F3"/>
    <w:rsid w:val="00C37570"/>
    <w:rsid w:val="00C82D8B"/>
    <w:rsid w:val="00CD374D"/>
    <w:rsid w:val="00D464B1"/>
    <w:rsid w:val="00D940A3"/>
    <w:rsid w:val="00DA6A5A"/>
    <w:rsid w:val="00DD6FBE"/>
    <w:rsid w:val="00DF086B"/>
    <w:rsid w:val="00E46BF0"/>
    <w:rsid w:val="00E5433D"/>
    <w:rsid w:val="00E76F6A"/>
    <w:rsid w:val="00E81FD7"/>
    <w:rsid w:val="00EF1CF2"/>
    <w:rsid w:val="00F35108"/>
    <w:rsid w:val="00F36E36"/>
    <w:rsid w:val="00FE7E49"/>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48F1BE9"/>
  <w15:chartTrackingRefBased/>
  <w15:docId w15:val="{3B9D6D56-C622-3945-8C74-9CE45CC0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JP"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0C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C10F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0F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0F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0F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C10F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C10F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C10F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C10F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C10F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0F5"/>
    <w:rPr>
      <w:rFonts w:eastAsiaTheme="majorEastAsia" w:cstheme="majorBidi"/>
      <w:color w:val="272727" w:themeColor="text1" w:themeTint="D8"/>
    </w:rPr>
  </w:style>
  <w:style w:type="paragraph" w:styleId="Title">
    <w:name w:val="Title"/>
    <w:basedOn w:val="Normal"/>
    <w:next w:val="Normal"/>
    <w:link w:val="TitleChar"/>
    <w:uiPriority w:val="10"/>
    <w:qFormat/>
    <w:rsid w:val="008C10F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0F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0F5"/>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C10F5"/>
    <w:rPr>
      <w:i/>
      <w:iCs/>
      <w:color w:val="404040" w:themeColor="text1" w:themeTint="BF"/>
    </w:rPr>
  </w:style>
  <w:style w:type="paragraph" w:styleId="ListParagraph">
    <w:name w:val="List Paragraph"/>
    <w:basedOn w:val="Normal"/>
    <w:uiPriority w:val="34"/>
    <w:qFormat/>
    <w:rsid w:val="008C10F5"/>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8C10F5"/>
    <w:rPr>
      <w:i/>
      <w:iCs/>
      <w:color w:val="0F4761" w:themeColor="accent1" w:themeShade="BF"/>
    </w:rPr>
  </w:style>
  <w:style w:type="paragraph" w:styleId="IntenseQuote">
    <w:name w:val="Intense Quote"/>
    <w:basedOn w:val="Normal"/>
    <w:next w:val="Normal"/>
    <w:link w:val="IntenseQuoteChar"/>
    <w:uiPriority w:val="30"/>
    <w:qFormat/>
    <w:rsid w:val="008C10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C10F5"/>
    <w:rPr>
      <w:i/>
      <w:iCs/>
      <w:color w:val="0F4761" w:themeColor="accent1" w:themeShade="BF"/>
    </w:rPr>
  </w:style>
  <w:style w:type="character" w:styleId="IntenseReference">
    <w:name w:val="Intense Reference"/>
    <w:basedOn w:val="DefaultParagraphFont"/>
    <w:uiPriority w:val="32"/>
    <w:qFormat/>
    <w:rsid w:val="008C10F5"/>
    <w:rPr>
      <w:b/>
      <w:bCs/>
      <w:smallCaps/>
      <w:color w:val="0F4761" w:themeColor="accent1" w:themeShade="BF"/>
      <w:spacing w:val="5"/>
    </w:rPr>
  </w:style>
  <w:style w:type="character" w:styleId="Hyperlink">
    <w:name w:val="Hyperlink"/>
    <w:basedOn w:val="DefaultParagraphFont"/>
    <w:uiPriority w:val="99"/>
    <w:unhideWhenUsed/>
    <w:rsid w:val="008C10F5"/>
    <w:rPr>
      <w:color w:val="0000FF"/>
      <w:u w:val="single"/>
    </w:rPr>
  </w:style>
  <w:style w:type="character" w:styleId="Strong">
    <w:name w:val="Strong"/>
    <w:basedOn w:val="DefaultParagraphFont"/>
    <w:uiPriority w:val="22"/>
    <w:qFormat/>
    <w:rsid w:val="008C10F5"/>
    <w:rPr>
      <w:b/>
      <w:bCs/>
    </w:rPr>
  </w:style>
  <w:style w:type="character" w:styleId="Emphasis">
    <w:name w:val="Emphasis"/>
    <w:basedOn w:val="DefaultParagraphFont"/>
    <w:uiPriority w:val="20"/>
    <w:qFormat/>
    <w:rsid w:val="006152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16</Pages>
  <Words>3330</Words>
  <Characters>18981</Characters>
  <Application>Microsoft Office Word</Application>
  <DocSecurity>0</DocSecurity>
  <Lines>158</Lines>
  <Paragraphs>44</Paragraphs>
  <ScaleCrop>false</ScaleCrop>
  <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Kohsuke Tsuchiya</dc:creator>
  <cp:keywords/>
  <dc:description/>
  <cp:lastModifiedBy>Kohsuke Tsuchiya</cp:lastModifiedBy>
  <cp:revision>49</cp:revision>
  <dcterms:created xsi:type="dcterms:W3CDTF">2025-12-25T03:45:00Z</dcterms:created>
  <dcterms:modified xsi:type="dcterms:W3CDTF">2025-12-26T04:58:00Z</dcterms:modified>
</cp:coreProperties>
</file>