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5BA3" w:rsidRPr="00A3208D" w:rsidRDefault="00F55BA3" w:rsidP="00F55BA3">
      <w:pPr>
        <w:pStyle w:val="Heading1"/>
      </w:pPr>
      <w:r w:rsidRPr="00A3208D">
        <w:t>Appendix</w:t>
      </w:r>
      <w:r>
        <w:t xml:space="preserve"> </w:t>
      </w:r>
      <w:r w:rsidRPr="00A3208D">
        <w:t>A.1 The ATP UM_4 (DFIM) component</w:t>
      </w:r>
    </w:p>
    <w:p w:rsidR="00F55BA3" w:rsidRPr="00A3208D" w:rsidRDefault="00F55BA3" w:rsidP="00F55BA3">
      <w:pPr>
        <w:contextualSpacing/>
      </w:pPr>
      <w:r w:rsidRPr="00A3208D">
        <w:t>Fig. A1 shows the connection diagram of the UM_4 component in ATPDraw, in a basic configuration to model a DFIG type wind generator.</w:t>
      </w:r>
    </w:p>
    <w:p w:rsidR="00F55BA3" w:rsidRPr="00A3208D" w:rsidRDefault="00F55BA3" w:rsidP="00F55BA3">
      <w:r w:rsidRPr="00A3208D">
        <w:t xml:space="preserve">This component has two main power nodes corresponding to the connection terminals of the stator and rotor windings and a node for mechanical control with the name M_NODE (labeled as </w:t>
      </w:r>
      <w:r w:rsidRPr="004F371E">
        <w:sym w:font="Symbol" w:char="F077"/>
      </w:r>
      <w:r w:rsidRPr="00A3208D">
        <w:t xml:space="preserve">). Depending on the type of connection selected for the stator windings, a node appears at the star center. An electrical circuit must be connected to the M_NODE node to represent the mechanical part. In this analogy, a resistor models friction, a capacitor models inertia, and a current source models mechanical torque. These three components appear as </w:t>
      </w:r>
      <w:r w:rsidRPr="00A3208D">
        <w:rPr>
          <w:i/>
        </w:rPr>
        <w:t>R</w:t>
      </w:r>
      <w:r w:rsidRPr="00A3208D">
        <w:t xml:space="preserve">, </w:t>
      </w:r>
      <w:r w:rsidRPr="00A3208D">
        <w:rPr>
          <w:i/>
        </w:rPr>
        <w:t>C</w:t>
      </w:r>
      <w:r w:rsidRPr="00A3208D">
        <w:t xml:space="preserve"> y </w:t>
      </w:r>
      <w:r w:rsidRPr="00A3208D">
        <w:rPr>
          <w:i/>
        </w:rPr>
        <w:t>T</w:t>
      </w:r>
      <w:r w:rsidRPr="00A3208D">
        <w:rPr>
          <w:i/>
          <w:vertAlign w:val="subscript"/>
        </w:rPr>
        <w:t>m</w:t>
      </w:r>
      <w:r w:rsidRPr="00A3208D">
        <w:t>. in Fig. A1. A positive value of</w:t>
      </w:r>
      <w:r w:rsidRPr="00A3208D">
        <w:rPr>
          <w:i/>
        </w:rPr>
        <w:t xml:space="preserve"> T</w:t>
      </w:r>
      <w:r w:rsidRPr="00A3208D">
        <w:rPr>
          <w:i/>
          <w:vertAlign w:val="subscript"/>
        </w:rPr>
        <w:t>m</w:t>
      </w:r>
      <w:r w:rsidRPr="00A3208D">
        <w:t xml:space="preserve"> means that mechanical energy is being delivered to the rotor.</w:t>
      </w:r>
    </w:p>
    <w:p w:rsidR="00F55BA3" w:rsidRPr="00A3208D" w:rsidRDefault="00F55BA3" w:rsidP="00F55BA3">
      <w:r w:rsidRPr="00A3208D">
        <w:t xml:space="preserve">The equivalences mentioned are [5]: </w:t>
      </w:r>
    </w:p>
    <w:p w:rsidR="00F55BA3" w:rsidRPr="00A3208D" w:rsidRDefault="00F55BA3" w:rsidP="00F55BA3">
      <w:r w:rsidRPr="00A3208D">
        <w:rPr>
          <w:i/>
          <w:iCs/>
        </w:rPr>
        <w:t>C</w:t>
      </w:r>
      <w:r w:rsidRPr="00A3208D">
        <w:t xml:space="preserve"> [F] = moment of inertia [kg/m</w:t>
      </w:r>
      <w:r w:rsidRPr="00A3208D">
        <w:rPr>
          <w:vertAlign w:val="superscript"/>
        </w:rPr>
        <w:t>2</w:t>
      </w:r>
      <w:r w:rsidRPr="00A3208D">
        <w:t xml:space="preserve">] </w:t>
      </w:r>
    </w:p>
    <w:p w:rsidR="00F55BA3" w:rsidRPr="00A3208D" w:rsidRDefault="00F55BA3" w:rsidP="00F55BA3">
      <w:r w:rsidRPr="00A3208D">
        <w:rPr>
          <w:i/>
          <w:iCs/>
        </w:rPr>
        <w:t>R</w:t>
      </w:r>
      <w:r w:rsidRPr="00A3208D">
        <w:t xml:space="preserve"> [</w:t>
      </w:r>
      <w:r w:rsidRPr="00A3208D">
        <w:sym w:font="Symbol" w:char="F057"/>
      </w:r>
      <w:r w:rsidRPr="00A3208D">
        <w:t xml:space="preserve">] = 1/friction factor [Nm / rad / s] </w:t>
      </w:r>
    </w:p>
    <w:p w:rsidR="00F55BA3" w:rsidRPr="00A3208D" w:rsidRDefault="00F55BA3" w:rsidP="00F55BA3">
      <w:r w:rsidRPr="00A3208D">
        <w:rPr>
          <w:i/>
          <w:iCs/>
        </w:rPr>
        <w:t>T</w:t>
      </w:r>
      <w:r w:rsidRPr="00A3208D">
        <w:rPr>
          <w:i/>
          <w:iCs/>
          <w:vertAlign w:val="subscript"/>
        </w:rPr>
        <w:t>m</w:t>
      </w:r>
      <w:r w:rsidRPr="00A3208D">
        <w:t xml:space="preserve"> [Nm] = current [A]</w:t>
      </w:r>
    </w:p>
    <w:p w:rsidR="00F55BA3" w:rsidRPr="00A3208D" w:rsidRDefault="00F55BA3" w:rsidP="00F55BA3">
      <w:pPr>
        <w:contextualSpacing/>
      </w:pPr>
      <w:r w:rsidRPr="00A3208D">
        <w:t>The resulting voltage at node M_NODE represents the mechanical angular velocity (1 V is equivalent to 1 rad/s) and the incoming current represents the electromagnetic torque (1 A is equivalent to 1 Nm). The current source must be type 14, otherwise an error occurs in the execution of ATP.</w:t>
      </w:r>
    </w:p>
    <w:p w:rsidR="00F55BA3" w:rsidRPr="00A3208D" w:rsidRDefault="00F55BA3" w:rsidP="00F55BA3">
      <w:pPr>
        <w:contextualSpacing/>
      </w:pPr>
      <w:r w:rsidRPr="00A3208D">
        <w:t>Fig. A1 shows also that there are two type 14 voltage sources connected in the stator and rotor windings (</w:t>
      </w:r>
      <w:r w:rsidRPr="00A3208D">
        <w:rPr>
          <w:i/>
        </w:rPr>
        <w:t>V</w:t>
      </w:r>
      <w:r w:rsidRPr="00A3208D">
        <w:rPr>
          <w:i/>
          <w:vertAlign w:val="subscript"/>
        </w:rPr>
        <w:t>r</w:t>
      </w:r>
      <w:r w:rsidRPr="00A3208D">
        <w:t xml:space="preserve"> and </w:t>
      </w:r>
      <w:r w:rsidRPr="00A3208D">
        <w:rPr>
          <w:i/>
        </w:rPr>
        <w:t>V</w:t>
      </w:r>
      <w:r w:rsidRPr="00A3208D">
        <w:rPr>
          <w:i/>
          <w:vertAlign w:val="subscript"/>
        </w:rPr>
        <w:t>s</w:t>
      </w:r>
      <w:r w:rsidRPr="00A3208D">
        <w:t xml:space="preserve">). The source </w:t>
      </w:r>
      <w:r w:rsidRPr="00A3208D">
        <w:rPr>
          <w:i/>
        </w:rPr>
        <w:t>V</w:t>
      </w:r>
      <w:r w:rsidRPr="00A3208D">
        <w:rPr>
          <w:i/>
          <w:vertAlign w:val="subscript"/>
        </w:rPr>
        <w:t>s</w:t>
      </w:r>
      <w:r w:rsidRPr="00A3208D">
        <w:t xml:space="preserve"> represents the electrical network to which the wind generator is to be connected. The source </w:t>
      </w:r>
      <w:r w:rsidRPr="00A3208D">
        <w:rPr>
          <w:i/>
        </w:rPr>
        <w:t>V</w:t>
      </w:r>
      <w:r w:rsidRPr="00A3208D">
        <w:rPr>
          <w:i/>
          <w:vertAlign w:val="subscript"/>
        </w:rPr>
        <w:t>r</w:t>
      </w:r>
      <w:r w:rsidRPr="00A3208D">
        <w:t xml:space="preserve"> represents the power converter of a DFIG type wind generator. Also shown in Fig. A1 is the use of three auxiliary 1E-6 Ohm resistors </w:t>
      </w:r>
      <w:r w:rsidRPr="00A3208D">
        <w:rPr>
          <w:i/>
        </w:rPr>
        <w:t>R</w:t>
      </w:r>
      <w:r w:rsidRPr="00A3208D">
        <w:rPr>
          <w:i/>
          <w:vertAlign w:val="subscript"/>
        </w:rPr>
        <w:t>aux</w:t>
      </w:r>
      <w:r w:rsidRPr="00A3208D">
        <w:t xml:space="preserve"> at the output of each source. These are a necessary condition for the correct operation of the model and at the same time they can be used to measure currents.</w:t>
      </w:r>
    </w:p>
    <w:p w:rsidR="00F55BA3" w:rsidRPr="00A3208D" w:rsidRDefault="00F55BA3" w:rsidP="00F55BA3">
      <w:pPr>
        <w:jc w:val="center"/>
      </w:pPr>
      <w:r w:rsidRPr="00A3208D">
        <w:rPr>
          <w:noProof/>
          <w:lang w:eastAsia="en-US"/>
        </w:rPr>
        <w:drawing>
          <wp:inline distT="0" distB="0" distL="0" distR="0" wp14:anchorId="10D60760" wp14:editId="7DE5979B">
            <wp:extent cx="2971800" cy="2527300"/>
            <wp:effectExtent l="0" t="0" r="0" b="0"/>
            <wp:docPr id="310" name="Imagen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71800" cy="2527300"/>
                    </a:xfrm>
                    <a:prstGeom prst="rect">
                      <a:avLst/>
                    </a:prstGeom>
                    <a:noFill/>
                    <a:ln>
                      <a:noFill/>
                    </a:ln>
                  </pic:spPr>
                </pic:pic>
              </a:graphicData>
            </a:graphic>
          </wp:inline>
        </w:drawing>
      </w:r>
    </w:p>
    <w:p w:rsidR="00F55BA3" w:rsidRDefault="00F55BA3" w:rsidP="00F55BA3">
      <w:pPr>
        <w:jc w:val="center"/>
        <w:rPr>
          <w:szCs w:val="20"/>
        </w:rPr>
      </w:pPr>
      <w:r w:rsidRPr="00A3208D">
        <w:rPr>
          <w:b/>
          <w:szCs w:val="20"/>
        </w:rPr>
        <w:t>Fig. A1</w:t>
      </w:r>
      <w:r w:rsidRPr="00A3208D">
        <w:rPr>
          <w:szCs w:val="20"/>
        </w:rPr>
        <w:t xml:space="preserve"> </w:t>
      </w:r>
      <w:r w:rsidRPr="00C8298D">
        <w:rPr>
          <w:szCs w:val="20"/>
        </w:rPr>
        <w:t>Basic connection of the UM_4 component in ATPDraw</w:t>
      </w:r>
      <w:r w:rsidRPr="00A3208D">
        <w:rPr>
          <w:szCs w:val="20"/>
        </w:rPr>
        <w:t>.</w:t>
      </w:r>
    </w:p>
    <w:p w:rsidR="00F55BA3" w:rsidRPr="00A3208D" w:rsidRDefault="00F55BA3" w:rsidP="00F55BA3">
      <w:pPr>
        <w:jc w:val="center"/>
        <w:rPr>
          <w:szCs w:val="20"/>
        </w:rPr>
      </w:pPr>
    </w:p>
    <w:p w:rsidR="00F55BA3" w:rsidRPr="00A3208D" w:rsidRDefault="00F55BA3" w:rsidP="00F55BA3">
      <w:r w:rsidRPr="00A3208D">
        <w:t>When choosing the automatic initialization of the machines in the menu options “ATP settings”, the UM_4 component adds an auxiliary node named BUSM for the initialization of the mechanical torque. A type 14 current source must be connected to this node, of any amplitude, but with a very low frequency (e.g. 1E-5 Hz) and phase 0 ° so that the mechanical torque is constant during the simulation period.</w:t>
      </w:r>
    </w:p>
    <w:p w:rsidR="00F55BA3" w:rsidRPr="00A3208D" w:rsidRDefault="00F55BA3" w:rsidP="00F55BA3">
      <w:r w:rsidRPr="00A3208D">
        <w:t xml:space="preserve">From the voltages present in the stator and rotor and the initial slip value defined in the dialog box of the UM_4 component, the ATP will calculate the electromagnetic torque produced by the machine. It will also calculate the mechanical torque necessary to keep the machine in balance considering its friction loss. Therefore, ATP will determine the amplitude of the current source </w:t>
      </w:r>
      <w:r w:rsidRPr="00A3208D">
        <w:rPr>
          <w:i/>
          <w:iCs/>
        </w:rPr>
        <w:t>T</w:t>
      </w:r>
      <w:r w:rsidRPr="00A3208D">
        <w:rPr>
          <w:i/>
          <w:iCs/>
          <w:vertAlign w:val="subscript"/>
        </w:rPr>
        <w:t>m</w:t>
      </w:r>
      <w:r w:rsidRPr="00A3208D">
        <w:t xml:space="preserve"> to this end and is to be set as shown below. In this way, the machine starts the simulation at a constant mechanical speed given by (A1).</w:t>
      </w:r>
    </w:p>
    <w:p w:rsidR="00F55BA3" w:rsidRPr="0058564C" w:rsidRDefault="00F55BA3" w:rsidP="00F55BA3">
      <w:pPr>
        <w:pStyle w:val="MTDisplayEquation"/>
        <w:tabs>
          <w:tab w:val="clear" w:pos="4540"/>
          <w:tab w:val="clear" w:pos="9080"/>
          <w:tab w:val="left" w:pos="5670"/>
        </w:tabs>
        <w:rPr>
          <w:rFonts w:ascii="Times New Roman" w:hAnsi="Times New Roman" w:cs="Times New Roman"/>
          <w:sz w:val="20"/>
          <w:szCs w:val="20"/>
          <w:lang w:val="en-US"/>
        </w:rPr>
      </w:pPr>
      <m:oMath>
        <m:sSub>
          <m:sSubPr>
            <m:ctrlPr>
              <w:rPr>
                <w:rFonts w:ascii="Cambria Math" w:hAnsi="Cambria Math" w:cs="Times New Roman"/>
                <w:i/>
                <w:sz w:val="20"/>
                <w:szCs w:val="20"/>
                <w:lang w:val="en-US"/>
              </w:rPr>
            </m:ctrlPr>
          </m:sSubPr>
          <m:e>
            <m:r>
              <w:rPr>
                <w:rFonts w:ascii="Cambria Math" w:hAnsi="Times New Roman" w:cs="Times New Roman"/>
                <w:sz w:val="20"/>
                <w:szCs w:val="20"/>
                <w:lang w:val="en-US"/>
              </w:rPr>
              <m:t>Ω</m:t>
            </m:r>
          </m:e>
          <m:sub>
            <m:r>
              <w:rPr>
                <w:rFonts w:ascii="Cambria Math" w:hAnsi="Times New Roman" w:cs="Times New Roman"/>
                <w:sz w:val="20"/>
                <w:szCs w:val="20"/>
                <w:lang w:val="en-US"/>
              </w:rPr>
              <m:t>m</m:t>
            </m:r>
            <m:ctrlPr>
              <w:rPr>
                <w:rFonts w:ascii="Cambria Math" w:hAnsi="Times New Roman" w:cs="Times New Roman"/>
                <w:i/>
                <w:sz w:val="20"/>
                <w:szCs w:val="20"/>
                <w:lang w:val="en-US"/>
              </w:rPr>
            </m:ctrlPr>
          </m:sub>
        </m:sSub>
        <m:r>
          <w:rPr>
            <w:rFonts w:ascii="Cambria Math" w:hAnsi="Times New Roman" w:cs="Times New Roman"/>
            <w:sz w:val="20"/>
            <w:szCs w:val="20"/>
            <w:lang w:val="en-US"/>
          </w:rPr>
          <m:t>=</m:t>
        </m:r>
        <m:f>
          <m:fPr>
            <m:ctrlPr>
              <w:rPr>
                <w:rFonts w:ascii="Cambria Math" w:hAnsi="Times New Roman" w:cs="Times New Roman"/>
                <w:i/>
                <w:sz w:val="20"/>
                <w:szCs w:val="20"/>
                <w:lang w:val="en-US"/>
              </w:rPr>
            </m:ctrlPr>
          </m:fPr>
          <m:num>
            <m:sSub>
              <m:sSubPr>
                <m:ctrlPr>
                  <w:rPr>
                    <w:rFonts w:ascii="Cambria Math" w:hAnsi="Times New Roman" w:cs="Times New Roman"/>
                    <w:i/>
                    <w:sz w:val="20"/>
                    <w:szCs w:val="20"/>
                    <w:lang w:val="en-US"/>
                  </w:rPr>
                </m:ctrlPr>
              </m:sSubPr>
              <m:e>
                <m:r>
                  <w:rPr>
                    <w:rFonts w:ascii="Cambria Math" w:hAnsi="Times New Roman" w:cs="Times New Roman"/>
                    <w:sz w:val="20"/>
                    <w:szCs w:val="20"/>
                    <w:lang w:val="en-US"/>
                  </w:rPr>
                  <m:t>ω</m:t>
                </m:r>
              </m:e>
              <m:sub>
                <m:r>
                  <w:rPr>
                    <w:rFonts w:ascii="Cambria Math" w:hAnsi="Times New Roman" w:cs="Times New Roman"/>
                    <w:sz w:val="20"/>
                    <w:szCs w:val="20"/>
                    <w:lang w:val="en-US"/>
                  </w:rPr>
                  <m:t>s</m:t>
                </m:r>
              </m:sub>
            </m:sSub>
            <m:r>
              <w:rPr>
                <w:rFonts w:ascii="Cambria Math" w:hAnsi="Times New Roman" w:cs="Times New Roman"/>
                <w:sz w:val="20"/>
                <w:szCs w:val="20"/>
                <w:lang w:val="en-US"/>
              </w:rPr>
              <m:t>(1</m:t>
            </m:r>
            <m:r>
              <w:rPr>
                <w:rFonts w:ascii="Cambria Math" w:hAnsi="Times New Roman" w:cs="Times New Roman"/>
                <w:sz w:val="20"/>
                <w:szCs w:val="20"/>
                <w:lang w:val="en-US"/>
              </w:rPr>
              <m:t>-</m:t>
            </m:r>
            <m:r>
              <w:rPr>
                <w:rFonts w:ascii="Cambria Math" w:hAnsi="Times New Roman" w:cs="Times New Roman"/>
                <w:sz w:val="20"/>
                <w:szCs w:val="20"/>
                <w:lang w:val="en-US"/>
              </w:rPr>
              <m:t>s)</m:t>
            </m:r>
          </m:num>
          <m:den>
            <m:r>
              <w:rPr>
                <w:rFonts w:ascii="Cambria Math" w:hAnsi="Times New Roman" w:cs="Times New Roman"/>
                <w:sz w:val="20"/>
                <w:szCs w:val="20"/>
                <w:lang w:val="en-US"/>
              </w:rPr>
              <m:t>p</m:t>
            </m:r>
          </m:den>
        </m:f>
        <m:r>
          <w:rPr>
            <w:rFonts w:ascii="Cambria Math" w:hAnsi="Times New Roman" w:cs="Times New Roman"/>
            <w:sz w:val="20"/>
            <w:szCs w:val="20"/>
            <w:lang w:val="en-US"/>
          </w:rPr>
          <m:t>=</m:t>
        </m:r>
        <m:f>
          <m:fPr>
            <m:ctrlPr>
              <w:rPr>
                <w:rFonts w:ascii="Cambria Math" w:hAnsi="Times New Roman" w:cs="Times New Roman"/>
                <w:i/>
                <w:sz w:val="20"/>
                <w:szCs w:val="20"/>
                <w:lang w:val="en-US"/>
              </w:rPr>
            </m:ctrlPr>
          </m:fPr>
          <m:num>
            <m:sSub>
              <m:sSubPr>
                <m:ctrlPr>
                  <w:rPr>
                    <w:rFonts w:ascii="Cambria Math" w:hAnsi="Times New Roman" w:cs="Times New Roman"/>
                    <w:i/>
                    <w:sz w:val="20"/>
                    <w:szCs w:val="20"/>
                    <w:lang w:val="en-US"/>
                  </w:rPr>
                </m:ctrlPr>
              </m:sSubPr>
              <m:e>
                <m:r>
                  <w:rPr>
                    <w:rFonts w:ascii="Cambria Math" w:hAnsi="Times New Roman" w:cs="Times New Roman"/>
                    <w:sz w:val="20"/>
                    <w:szCs w:val="20"/>
                    <w:lang w:val="en-US"/>
                  </w:rPr>
                  <m:t>ω</m:t>
                </m:r>
              </m:e>
              <m:sub>
                <m:r>
                  <w:rPr>
                    <w:rFonts w:ascii="Cambria Math" w:hAnsi="Times New Roman" w:cs="Times New Roman"/>
                    <w:sz w:val="20"/>
                    <w:szCs w:val="20"/>
                    <w:lang w:val="en-US"/>
                  </w:rPr>
                  <m:t>m</m:t>
                </m:r>
              </m:sub>
            </m:sSub>
          </m:num>
          <m:den>
            <m:r>
              <w:rPr>
                <w:rFonts w:ascii="Cambria Math" w:hAnsi="Times New Roman" w:cs="Times New Roman"/>
                <w:sz w:val="20"/>
                <w:szCs w:val="20"/>
                <w:lang w:val="en-US"/>
              </w:rPr>
              <m:t>p</m:t>
            </m:r>
          </m:den>
        </m:f>
      </m:oMath>
      <w:r w:rsidRPr="0058564C">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 </w:t>
      </w:r>
      <w:r w:rsidRPr="0058564C">
        <w:rPr>
          <w:rFonts w:ascii="Times New Roman" w:hAnsi="Times New Roman" w:cs="Times New Roman"/>
          <w:sz w:val="20"/>
          <w:szCs w:val="20"/>
          <w:lang w:val="en-US"/>
        </w:rPr>
        <w:t>(A1)</w:t>
      </w:r>
    </w:p>
    <w:p w:rsidR="00F55BA3" w:rsidRPr="0058564C" w:rsidRDefault="00F55BA3" w:rsidP="00F55BA3">
      <w:pPr>
        <w:rPr>
          <w:szCs w:val="20"/>
        </w:rPr>
      </w:pPr>
      <w:r w:rsidRPr="0058564C">
        <w:rPr>
          <w:szCs w:val="20"/>
        </w:rPr>
        <w:t>where</w:t>
      </w:r>
    </w:p>
    <w:p w:rsidR="00F55BA3" w:rsidRPr="0058564C" w:rsidRDefault="00F55BA3" w:rsidP="00F55BA3">
      <w:pPr>
        <w:pStyle w:val="MTDisplayEquation"/>
        <w:tabs>
          <w:tab w:val="clear" w:pos="4540"/>
          <w:tab w:val="clear" w:pos="9080"/>
          <w:tab w:val="left" w:pos="5670"/>
        </w:tabs>
        <w:rPr>
          <w:rFonts w:ascii="Times New Roman" w:hAnsi="Times New Roman" w:cs="Times New Roman"/>
          <w:sz w:val="20"/>
          <w:szCs w:val="20"/>
          <w:lang w:val="en-US"/>
        </w:rPr>
      </w:pPr>
      <m:oMath>
        <m:sSub>
          <m:sSubPr>
            <m:ctrlPr>
              <w:rPr>
                <w:rFonts w:ascii="Cambria Math" w:hAnsi="Cambria Math"/>
                <w:i/>
                <w:sz w:val="20"/>
                <w:szCs w:val="20"/>
                <w:lang w:val="en-US"/>
              </w:rPr>
            </m:ctrlPr>
          </m:sSubPr>
          <m:e>
            <m:r>
              <w:rPr>
                <w:rFonts w:ascii="Cambria Math"/>
                <w:sz w:val="20"/>
                <w:szCs w:val="20"/>
                <w:lang w:val="en-US"/>
              </w:rPr>
              <m:t>ω</m:t>
            </m:r>
          </m:e>
          <m:sub>
            <m:r>
              <w:rPr>
                <w:rFonts w:ascii="Cambria Math"/>
                <w:sz w:val="20"/>
                <w:szCs w:val="20"/>
                <w:lang w:val="en-US"/>
              </w:rPr>
              <m:t>s</m:t>
            </m:r>
          </m:sub>
        </m:sSub>
        <m:r>
          <w:rPr>
            <w:rFonts w:ascii="Cambria Math"/>
            <w:sz w:val="20"/>
            <w:szCs w:val="20"/>
            <w:lang w:val="en-US"/>
          </w:rPr>
          <m:t>=2π</m:t>
        </m:r>
        <m:sSub>
          <m:sSubPr>
            <m:ctrlPr>
              <w:rPr>
                <w:rFonts w:ascii="Cambria Math" w:hAnsi="Cambria Math"/>
                <w:i/>
                <w:sz w:val="20"/>
                <w:szCs w:val="20"/>
                <w:lang w:val="en-US"/>
              </w:rPr>
            </m:ctrlPr>
          </m:sSubPr>
          <m:e>
            <m:r>
              <w:rPr>
                <w:rFonts w:ascii="Cambria Math"/>
                <w:sz w:val="20"/>
                <w:szCs w:val="20"/>
                <w:lang w:val="en-US"/>
              </w:rPr>
              <m:t>f</m:t>
            </m:r>
          </m:e>
          <m:sub>
            <m:r>
              <w:rPr>
                <w:rFonts w:ascii="Cambria Math"/>
                <w:sz w:val="20"/>
                <w:szCs w:val="20"/>
                <w:lang w:val="en-US"/>
              </w:rPr>
              <m:t>grid</m:t>
            </m:r>
          </m:sub>
        </m:sSub>
      </m:oMath>
      <w:r w:rsidRPr="0058564C">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 </w:t>
      </w:r>
      <w:r w:rsidRPr="0058564C">
        <w:rPr>
          <w:rFonts w:ascii="Times New Roman" w:hAnsi="Times New Roman" w:cs="Times New Roman"/>
          <w:sz w:val="20"/>
          <w:szCs w:val="20"/>
          <w:lang w:val="en-US"/>
        </w:rPr>
        <w:t>(A2)</w:t>
      </w:r>
    </w:p>
    <w:p w:rsidR="00F55BA3" w:rsidRPr="0058564C" w:rsidRDefault="00F55BA3" w:rsidP="00F55BA3">
      <w:pPr>
        <w:pStyle w:val="MTDisplayEquation"/>
        <w:tabs>
          <w:tab w:val="clear" w:pos="4540"/>
          <w:tab w:val="clear" w:pos="9080"/>
          <w:tab w:val="left" w:pos="5670"/>
        </w:tabs>
        <w:rPr>
          <w:rFonts w:ascii="Times New Roman" w:hAnsi="Times New Roman" w:cs="Times New Roman"/>
          <w:sz w:val="20"/>
          <w:szCs w:val="20"/>
          <w:lang w:val="en-US"/>
        </w:rPr>
      </w:pPr>
      <m:oMath>
        <m:r>
          <w:rPr>
            <w:rFonts w:ascii="Cambria Math" w:hAnsi="Times New Roman" w:cs="Times New Roman"/>
            <w:sz w:val="20"/>
            <w:szCs w:val="20"/>
            <w:lang w:val="en-US"/>
          </w:rPr>
          <w:lastRenderedPageBreak/>
          <m:t>s=</m:t>
        </m:r>
        <m:f>
          <m:fPr>
            <m:ctrlPr>
              <w:rPr>
                <w:rFonts w:ascii="Cambria Math" w:hAnsi="Times New Roman" w:cs="Times New Roman"/>
                <w:i/>
                <w:sz w:val="20"/>
                <w:szCs w:val="20"/>
                <w:lang w:val="en-US"/>
              </w:rPr>
            </m:ctrlPr>
          </m:fPr>
          <m:num>
            <m:sSub>
              <m:sSubPr>
                <m:ctrlPr>
                  <w:rPr>
                    <w:rFonts w:ascii="Cambria Math" w:hAnsi="Times New Roman" w:cs="Times New Roman"/>
                    <w:i/>
                    <w:sz w:val="20"/>
                    <w:szCs w:val="20"/>
                    <w:lang w:val="en-US"/>
                  </w:rPr>
                </m:ctrlPr>
              </m:sSubPr>
              <m:e>
                <m:r>
                  <w:rPr>
                    <w:rFonts w:ascii="Cambria Math" w:hAnsi="Times New Roman" w:cs="Times New Roman"/>
                    <w:sz w:val="20"/>
                    <w:szCs w:val="20"/>
                    <w:lang w:val="en-US"/>
                  </w:rPr>
                  <m:t>ω</m:t>
                </m:r>
              </m:e>
              <m:sub>
                <m:r>
                  <w:rPr>
                    <w:rFonts w:ascii="Cambria Math" w:hAnsi="Times New Roman" w:cs="Times New Roman"/>
                    <w:sz w:val="20"/>
                    <w:szCs w:val="20"/>
                    <w:lang w:val="en-US"/>
                  </w:rPr>
                  <m:t>s</m:t>
                </m:r>
              </m:sub>
            </m:sSub>
            <m:r>
              <w:rPr>
                <w:rFonts w:ascii="Cambria Math" w:hAnsi="Times New Roman" w:cs="Times New Roman"/>
                <w:sz w:val="20"/>
                <w:szCs w:val="20"/>
                <w:lang w:val="en-US"/>
              </w:rPr>
              <m:t>-</m:t>
            </m:r>
            <m:sSub>
              <m:sSubPr>
                <m:ctrlPr>
                  <w:rPr>
                    <w:rFonts w:ascii="Cambria Math" w:hAnsi="Times New Roman" w:cs="Times New Roman"/>
                    <w:i/>
                    <w:sz w:val="20"/>
                    <w:szCs w:val="20"/>
                    <w:lang w:val="en-US"/>
                  </w:rPr>
                </m:ctrlPr>
              </m:sSubPr>
              <m:e>
                <m:r>
                  <w:rPr>
                    <w:rFonts w:ascii="Cambria Math" w:hAnsi="Times New Roman" w:cs="Times New Roman"/>
                    <w:sz w:val="20"/>
                    <w:szCs w:val="20"/>
                    <w:lang w:val="en-US"/>
                  </w:rPr>
                  <m:t>ω</m:t>
                </m:r>
              </m:e>
              <m:sub>
                <m:r>
                  <w:rPr>
                    <w:rFonts w:ascii="Cambria Math" w:hAnsi="Times New Roman" w:cs="Times New Roman"/>
                    <w:sz w:val="20"/>
                    <w:szCs w:val="20"/>
                    <w:lang w:val="en-US"/>
                  </w:rPr>
                  <m:t>m</m:t>
                </m:r>
              </m:sub>
            </m:sSub>
          </m:num>
          <m:den>
            <m:sSub>
              <m:sSubPr>
                <m:ctrlPr>
                  <w:rPr>
                    <w:rFonts w:ascii="Cambria Math" w:hAnsi="Times New Roman" w:cs="Times New Roman"/>
                    <w:i/>
                    <w:sz w:val="20"/>
                    <w:szCs w:val="20"/>
                    <w:lang w:val="en-US"/>
                  </w:rPr>
                </m:ctrlPr>
              </m:sSubPr>
              <m:e>
                <m:r>
                  <w:rPr>
                    <w:rFonts w:ascii="Cambria Math" w:hAnsi="Times New Roman" w:cs="Times New Roman"/>
                    <w:sz w:val="20"/>
                    <w:szCs w:val="20"/>
                    <w:lang w:val="en-US"/>
                  </w:rPr>
                  <m:t>ω</m:t>
                </m:r>
              </m:e>
              <m:sub>
                <m:r>
                  <w:rPr>
                    <w:rFonts w:ascii="Cambria Math" w:hAnsi="Times New Roman" w:cs="Times New Roman"/>
                    <w:sz w:val="20"/>
                    <w:szCs w:val="20"/>
                    <w:lang w:val="en-US"/>
                  </w:rPr>
                  <m:t>s</m:t>
                </m:r>
              </m:sub>
            </m:sSub>
            <m:ctrlPr>
              <w:rPr>
                <w:rFonts w:ascii="Cambria Math" w:hAnsi="Cambria Math" w:cs="Times New Roman"/>
                <w:i/>
                <w:sz w:val="20"/>
                <w:szCs w:val="20"/>
                <w:lang w:val="en-US"/>
              </w:rPr>
            </m:ctrlPr>
          </m:den>
        </m:f>
      </m:oMath>
      <w:r w:rsidRPr="0058564C">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 </w:t>
      </w:r>
      <w:r w:rsidRPr="0058564C">
        <w:rPr>
          <w:rFonts w:ascii="Times New Roman" w:hAnsi="Times New Roman" w:cs="Times New Roman"/>
          <w:sz w:val="20"/>
          <w:szCs w:val="20"/>
          <w:lang w:val="en-US"/>
        </w:rPr>
        <w:t>(A3)</w:t>
      </w:r>
    </w:p>
    <w:p w:rsidR="00F55BA3" w:rsidRPr="00E520D2" w:rsidRDefault="00F55BA3" w:rsidP="00F55BA3">
      <w:r w:rsidRPr="00E520D2">
        <w:sym w:font="Symbol" w:char="F057"/>
      </w:r>
      <w:r w:rsidRPr="00E520D2">
        <w:rPr>
          <w:i/>
          <w:iCs/>
          <w:vertAlign w:val="subscript"/>
        </w:rPr>
        <w:t>m</w:t>
      </w:r>
      <w:r w:rsidRPr="00E520D2">
        <w:tab/>
        <w:t>mechanical speed of rotor rotation in (rad/s).</w:t>
      </w:r>
    </w:p>
    <w:p w:rsidR="00F55BA3" w:rsidRPr="00E520D2" w:rsidRDefault="00F55BA3" w:rsidP="00F55BA3">
      <w:r w:rsidRPr="00E520D2">
        <w:rPr>
          <w:i/>
        </w:rPr>
        <w:sym w:font="Symbol" w:char="F077"/>
      </w:r>
      <w:r w:rsidRPr="00E520D2">
        <w:rPr>
          <w:i/>
          <w:vertAlign w:val="subscript"/>
        </w:rPr>
        <w:t>s</w:t>
      </w:r>
      <w:r w:rsidRPr="00E520D2">
        <w:tab/>
        <w:t>angular frequency of the voltage in the stator winding in (rad/s).</w:t>
      </w:r>
    </w:p>
    <w:p w:rsidR="00F55BA3" w:rsidRPr="00E520D2" w:rsidRDefault="00F55BA3" w:rsidP="00F55BA3">
      <w:pPr>
        <w:rPr>
          <w:i/>
        </w:rPr>
      </w:pPr>
      <w:r w:rsidRPr="00E520D2">
        <w:rPr>
          <w:i/>
        </w:rPr>
        <w:sym w:font="Symbol" w:char="F077"/>
      </w:r>
      <w:r w:rsidRPr="00E520D2">
        <w:rPr>
          <w:i/>
          <w:vertAlign w:val="subscript"/>
        </w:rPr>
        <w:t>m</w:t>
      </w:r>
      <w:r w:rsidRPr="00E520D2">
        <w:tab/>
        <w:t>angular frequency of the rotor in (rad/s).</w:t>
      </w:r>
    </w:p>
    <w:p w:rsidR="00F55BA3" w:rsidRPr="00E520D2" w:rsidRDefault="00F55BA3" w:rsidP="00F55BA3">
      <w:r w:rsidRPr="00E520D2">
        <w:rPr>
          <w:i/>
        </w:rPr>
        <w:t>s</w:t>
      </w:r>
      <w:r w:rsidRPr="00E520D2">
        <w:tab/>
        <w:t>slip of the machine in (p.u.).</w:t>
      </w:r>
    </w:p>
    <w:p w:rsidR="00F55BA3" w:rsidRPr="00E520D2" w:rsidRDefault="00F55BA3" w:rsidP="00F55BA3">
      <w:r w:rsidRPr="00E520D2">
        <w:rPr>
          <w:i/>
        </w:rPr>
        <w:t>f</w:t>
      </w:r>
      <w:r w:rsidRPr="00E520D2">
        <w:rPr>
          <w:i/>
          <w:vertAlign w:val="subscript"/>
        </w:rPr>
        <w:t>grid</w:t>
      </w:r>
      <w:r w:rsidRPr="00E520D2">
        <w:tab/>
        <w:t>frequency of the grid in (Hz).</w:t>
      </w:r>
    </w:p>
    <w:p w:rsidR="00F55BA3" w:rsidRPr="00E520D2" w:rsidRDefault="00F55BA3" w:rsidP="00F55BA3">
      <w:r w:rsidRPr="00E520D2">
        <w:rPr>
          <w:i/>
        </w:rPr>
        <w:t>p</w:t>
      </w:r>
      <w:r w:rsidRPr="00E520D2">
        <w:tab/>
        <w:t>pairs of poles of the machine.</w:t>
      </w:r>
    </w:p>
    <w:p w:rsidR="00F55BA3" w:rsidRPr="00E520D2" w:rsidRDefault="00F55BA3" w:rsidP="00F55BA3"/>
    <w:p w:rsidR="00F55BA3" w:rsidRPr="00E520D2" w:rsidRDefault="00F55BA3" w:rsidP="00F55BA3">
      <w:pPr>
        <w:contextualSpacing/>
      </w:pPr>
      <w:r w:rsidRPr="00E520D2">
        <w:t xml:space="preserve">At the beginning of the simulation, ATP calculates the current injected by the current source </w:t>
      </w:r>
      <w:r w:rsidRPr="00E520D2">
        <w:rPr>
          <w:i/>
          <w:iCs/>
        </w:rPr>
        <w:t>T</w:t>
      </w:r>
      <w:r w:rsidRPr="00E520D2">
        <w:rPr>
          <w:i/>
          <w:iCs/>
          <w:vertAlign w:val="subscript"/>
        </w:rPr>
        <w:t>m</w:t>
      </w:r>
      <w:r w:rsidRPr="00E520D2">
        <w:t xml:space="preserve"> and override the amplitude value defined by the user. Different is the case of the frequency assigned to the source, which does affect the simulation. This means that if this source is assigned a certain frequency, the torque as seen by the machine will oscillate at this value. Consequently, a frequency close to zero must be assigned to keep the torque constant throughout the simulation. It could be thought that a better solution would be to use a DC source, but that condition is not allowed by the UM_4 component and the ATP run will fail.</w:t>
      </w:r>
    </w:p>
    <w:p w:rsidR="00F55BA3" w:rsidRPr="00E520D2" w:rsidRDefault="00F55BA3" w:rsidP="00F55BA3">
      <w:r w:rsidRPr="00E520D2">
        <w:t xml:space="preserve">Something similar happens with the frequency of the voltage source </w:t>
      </w:r>
      <w:r w:rsidRPr="00E520D2">
        <w:rPr>
          <w:i/>
        </w:rPr>
        <w:t>Vr</w:t>
      </w:r>
      <w:r w:rsidRPr="00E520D2">
        <w:t xml:space="preserve"> connected to the rotor. ATP does not take into account the value of the frequency entered in the dialog box of the EMF component, but will calculate a frequency according to (A4) keeping the assigned module and angle.</w:t>
      </w:r>
    </w:p>
    <w:p w:rsidR="00F55BA3" w:rsidRPr="00E520D2" w:rsidRDefault="00F55BA3" w:rsidP="00F55BA3">
      <w:pPr>
        <w:pStyle w:val="MTDisplayEquation"/>
        <w:tabs>
          <w:tab w:val="clear" w:pos="4540"/>
          <w:tab w:val="clear" w:pos="9080"/>
          <w:tab w:val="left" w:pos="5670"/>
        </w:tabs>
        <w:rPr>
          <w:rFonts w:ascii="Times New Roman" w:hAnsi="Times New Roman" w:cs="Times New Roman"/>
          <w:sz w:val="20"/>
          <w:szCs w:val="20"/>
          <w:lang w:val="en-US"/>
        </w:rPr>
      </w:pPr>
      <m:oMath>
        <m:sSub>
          <m:sSubPr>
            <m:ctrlPr>
              <w:rPr>
                <w:rFonts w:ascii="Cambria Math" w:hAnsi="Cambria Math"/>
                <w:i/>
                <w:sz w:val="20"/>
                <w:szCs w:val="20"/>
                <w:lang w:val="en-US"/>
              </w:rPr>
            </m:ctrlPr>
          </m:sSubPr>
          <m:e>
            <m:r>
              <w:rPr>
                <w:rFonts w:ascii="Cambria Math"/>
                <w:sz w:val="20"/>
                <w:szCs w:val="20"/>
                <w:lang w:val="en-US"/>
              </w:rPr>
              <m:t>f</m:t>
            </m:r>
          </m:e>
          <m:sub>
            <m:r>
              <w:rPr>
                <w:rFonts w:ascii="Cambria Math"/>
                <w:sz w:val="20"/>
                <w:szCs w:val="20"/>
                <w:lang w:val="en-US"/>
              </w:rPr>
              <m:t>EMFr</m:t>
            </m:r>
          </m:sub>
        </m:sSub>
        <m:r>
          <w:rPr>
            <w:rFonts w:ascii="Cambria Math"/>
            <w:sz w:val="20"/>
            <w:szCs w:val="20"/>
            <w:lang w:val="en-US"/>
          </w:rPr>
          <m:t>=</m:t>
        </m:r>
        <m:sSub>
          <m:sSubPr>
            <m:ctrlPr>
              <w:rPr>
                <w:rFonts w:ascii="Cambria Math" w:hAnsi="Cambria Math"/>
                <w:i/>
                <w:sz w:val="20"/>
                <w:szCs w:val="20"/>
                <w:lang w:val="en-US"/>
              </w:rPr>
            </m:ctrlPr>
          </m:sSubPr>
          <m:e>
            <m:r>
              <w:rPr>
                <w:rFonts w:ascii="Cambria Math"/>
                <w:sz w:val="20"/>
                <w:szCs w:val="20"/>
                <w:lang w:val="en-US"/>
              </w:rPr>
              <m:t>f</m:t>
            </m:r>
          </m:e>
          <m:sub>
            <m:r>
              <w:rPr>
                <w:rFonts w:ascii="Cambria Math"/>
                <w:sz w:val="20"/>
                <w:szCs w:val="20"/>
                <w:lang w:val="en-US"/>
              </w:rPr>
              <m:t>Mac</m:t>
            </m:r>
            <m:r>
              <w:rPr>
                <w:rFonts w:ascii="Cambria Math"/>
                <w:sz w:val="20"/>
                <w:szCs w:val="20"/>
                <w:lang w:val="en-US"/>
              </w:rPr>
              <m:t>h</m:t>
            </m:r>
            <m:r>
              <w:rPr>
                <w:rFonts w:ascii="Cambria Math"/>
                <w:sz w:val="20"/>
                <w:szCs w:val="20"/>
                <w:lang w:val="en-US"/>
              </w:rPr>
              <m:t>ine</m:t>
            </m:r>
          </m:sub>
        </m:sSub>
        <m:r>
          <w:rPr>
            <w:rFonts w:ascii="Cambria Math"/>
            <w:sz w:val="20"/>
            <w:szCs w:val="20"/>
            <w:lang w:val="en-US"/>
          </w:rPr>
          <m:t>s</m:t>
        </m:r>
      </m:oMath>
      <w:r w:rsidRPr="00E520D2">
        <w:rPr>
          <w:rFonts w:ascii="Times New Roman" w:hAnsi="Times New Roman" w:cs="Times New Roman"/>
          <w:sz w:val="20"/>
          <w:szCs w:val="20"/>
          <w:lang w:val="en-US"/>
        </w:rPr>
        <w:t xml:space="preserve"> (A4)</w:t>
      </w:r>
    </w:p>
    <w:p w:rsidR="00F55BA3" w:rsidRPr="00E520D2" w:rsidRDefault="00F55BA3" w:rsidP="00F55BA3">
      <w:r w:rsidRPr="00E520D2">
        <w:t>where</w:t>
      </w:r>
    </w:p>
    <w:p w:rsidR="00F55BA3" w:rsidRPr="00E520D2" w:rsidRDefault="00F55BA3" w:rsidP="00F55BA3">
      <w:r w:rsidRPr="00E520D2">
        <w:rPr>
          <w:i/>
        </w:rPr>
        <w:t>f</w:t>
      </w:r>
      <w:r w:rsidRPr="00E520D2">
        <w:rPr>
          <w:i/>
          <w:vertAlign w:val="subscript"/>
        </w:rPr>
        <w:t>EMFr</w:t>
      </w:r>
      <w:r w:rsidRPr="00E520D2">
        <w:tab/>
        <w:t>Frequency of the EMF connected to the rotor (Hz).</w:t>
      </w:r>
    </w:p>
    <w:p w:rsidR="00F55BA3" w:rsidRPr="00E520D2" w:rsidRDefault="00F55BA3" w:rsidP="00F55BA3">
      <w:r w:rsidRPr="00E520D2">
        <w:rPr>
          <w:i/>
        </w:rPr>
        <w:t>f</w:t>
      </w:r>
      <w:r w:rsidRPr="00E520D2">
        <w:rPr>
          <w:i/>
          <w:vertAlign w:val="subscript"/>
        </w:rPr>
        <w:t>Machine</w:t>
      </w:r>
      <w:r w:rsidRPr="00E520D2">
        <w:tab/>
        <w:t>Rated machine frequency set in the UM_4 component dialog in (Hz).</w:t>
      </w:r>
    </w:p>
    <w:p w:rsidR="00F55BA3" w:rsidRPr="00E520D2" w:rsidRDefault="00F55BA3" w:rsidP="00F55BA3">
      <w:r w:rsidRPr="00E520D2">
        <w:t xml:space="preserve">Fig. A1 also shows that the current source </w:t>
      </w:r>
      <w:r w:rsidRPr="00E520D2">
        <w:rPr>
          <w:i/>
          <w:iCs/>
        </w:rPr>
        <w:t>T</w:t>
      </w:r>
      <w:r w:rsidRPr="00E520D2">
        <w:rPr>
          <w:i/>
          <w:iCs/>
          <w:vertAlign w:val="subscript"/>
        </w:rPr>
        <w:t>m</w:t>
      </w:r>
      <w:r w:rsidRPr="00E520D2">
        <w:t xml:space="preserve"> is connected to the BUSM node. This is a necessary condition for automatic initialization. There will be no current flow through that node. This connection is to indicate to ATP which is the current source to use for the initialization of the machine, since it is possible to place more than one current source so that they are activated during the transient simulation, adding or subtracting mechanical torque. These additional sources must be connected to the M_NODE node. If no power source is connected to the BUSM node, ATP run fails.</w:t>
      </w:r>
    </w:p>
    <w:p w:rsidR="00B57F37" w:rsidRDefault="00F55BA3">
      <w:bookmarkStart w:id="0" w:name="_GoBack"/>
      <w:bookmarkEnd w:id="0"/>
    </w:p>
    <w:sectPr w:rsidR="00B57F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5BA3"/>
    <w:rsid w:val="00935206"/>
    <w:rsid w:val="00953E1B"/>
    <w:rsid w:val="00F55BA3"/>
    <w:rsid w:val="00FF4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90E1D9-D86E-4A23-8613-522B90258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5BA3"/>
    <w:pPr>
      <w:spacing w:after="0" w:line="240" w:lineRule="auto"/>
      <w:jc w:val="both"/>
    </w:pPr>
    <w:rPr>
      <w:rFonts w:ascii="Times New Roman" w:eastAsia="SimSun" w:hAnsi="Times New Roman" w:cs="Times New Roman"/>
      <w:bCs/>
      <w:kern w:val="2"/>
      <w:sz w:val="20"/>
      <w:szCs w:val="24"/>
      <w:lang w:eastAsia="zh-CN"/>
    </w:rPr>
  </w:style>
  <w:style w:type="paragraph" w:styleId="Heading1">
    <w:name w:val="heading 1"/>
    <w:basedOn w:val="NormalIndent"/>
    <w:next w:val="Normal"/>
    <w:link w:val="Heading1Char"/>
    <w:qFormat/>
    <w:rsid w:val="00F55BA3"/>
    <w:pPr>
      <w:ind w:left="0"/>
      <w:outlineLvl w:val="0"/>
    </w:pPr>
    <w:rPr>
      <w:b/>
      <w:bCs w:val="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55BA3"/>
    <w:rPr>
      <w:rFonts w:ascii="Times New Roman" w:eastAsia="SimSun" w:hAnsi="Times New Roman" w:cs="Times New Roman"/>
      <w:b/>
      <w:kern w:val="2"/>
      <w:sz w:val="20"/>
      <w:szCs w:val="20"/>
      <w:lang w:eastAsia="zh-CN"/>
    </w:rPr>
  </w:style>
  <w:style w:type="paragraph" w:customStyle="1" w:styleId="MTDisplayEquation">
    <w:name w:val="MTDisplayEquation"/>
    <w:basedOn w:val="Normal"/>
    <w:next w:val="Normal"/>
    <w:link w:val="MTDisplayEquationCar"/>
    <w:rsid w:val="00F55BA3"/>
    <w:pPr>
      <w:tabs>
        <w:tab w:val="center" w:pos="4540"/>
        <w:tab w:val="right" w:pos="9080"/>
      </w:tabs>
      <w:spacing w:after="120" w:line="360" w:lineRule="auto"/>
    </w:pPr>
    <w:rPr>
      <w:rFonts w:ascii="Arial" w:eastAsiaTheme="minorHAnsi" w:hAnsi="Arial" w:cs="Arial"/>
      <w:bCs w:val="0"/>
      <w:kern w:val="0"/>
      <w:sz w:val="24"/>
      <w:lang w:val="es-AR" w:eastAsia="en-US"/>
    </w:rPr>
  </w:style>
  <w:style w:type="character" w:customStyle="1" w:styleId="MTDisplayEquationCar">
    <w:name w:val="MTDisplayEquation Car"/>
    <w:basedOn w:val="DefaultParagraphFont"/>
    <w:link w:val="MTDisplayEquation"/>
    <w:rsid w:val="00F55BA3"/>
    <w:rPr>
      <w:rFonts w:ascii="Arial" w:hAnsi="Arial" w:cs="Arial"/>
      <w:sz w:val="24"/>
      <w:szCs w:val="24"/>
      <w:lang w:val="es-AR"/>
    </w:rPr>
  </w:style>
  <w:style w:type="paragraph" w:styleId="NormalIndent">
    <w:name w:val="Normal Indent"/>
    <w:basedOn w:val="Normal"/>
    <w:uiPriority w:val="99"/>
    <w:semiHidden/>
    <w:unhideWhenUsed/>
    <w:rsid w:val="00F55BA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723</Words>
  <Characters>4123</Characters>
  <Application>Microsoft Office Word</Application>
  <DocSecurity>0</DocSecurity>
  <Lines>34</Lines>
  <Paragraphs>9</Paragraphs>
  <ScaleCrop>false</ScaleCrop>
  <Company>Springer Nature IT</Company>
  <LinksUpToDate>false</LinksUpToDate>
  <CharactersWithSpaces>4837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Amrutkar</dc:creator>
  <cp:keywords/>
  <dc:description/>
  <cp:lastModifiedBy>Neha Amrutkar</cp:lastModifiedBy>
  <cp:revision>1</cp:revision>
  <dcterms:created xsi:type="dcterms:W3CDTF">2021-12-10T11:35:00Z</dcterms:created>
  <dcterms:modified xsi:type="dcterms:W3CDTF">2021-12-10T11:36:00Z</dcterms:modified>
</cp:coreProperties>
</file>