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BC03B" w14:textId="3E947FD8" w:rsidR="005469B3" w:rsidRPr="007A1C4A" w:rsidRDefault="005469B3" w:rsidP="007A1C4A">
      <w:pPr>
        <w:spacing w:line="360" w:lineRule="auto"/>
        <w:jc w:val="center"/>
        <w:rPr>
          <w:rFonts w:ascii="Arial" w:hAnsi="Arial" w:cs="Arial"/>
          <w:b/>
          <w:bCs/>
          <w:sz w:val="28"/>
          <w:szCs w:val="28"/>
        </w:rPr>
      </w:pPr>
      <w:r w:rsidRPr="007A1C4A">
        <w:rPr>
          <w:rFonts w:ascii="Arial" w:hAnsi="Arial" w:cs="Arial"/>
          <w:b/>
          <w:bCs/>
          <w:sz w:val="28"/>
          <w:szCs w:val="28"/>
        </w:rPr>
        <w:t>Supplementary Information</w:t>
      </w:r>
    </w:p>
    <w:p w14:paraId="39967DDB" w14:textId="77777777" w:rsidR="00CE6757" w:rsidRPr="007A1C4A" w:rsidRDefault="00CE6757" w:rsidP="007A1C4A">
      <w:pPr>
        <w:spacing w:line="360" w:lineRule="auto"/>
        <w:jc w:val="center"/>
        <w:rPr>
          <w:rFonts w:ascii="Arial" w:hAnsi="Arial" w:cs="Arial"/>
          <w:b/>
          <w:bCs/>
          <w:sz w:val="28"/>
          <w:szCs w:val="28"/>
        </w:rPr>
      </w:pPr>
    </w:p>
    <w:p w14:paraId="1FA2DDE8" w14:textId="77777777" w:rsidR="00BB2546" w:rsidRPr="00BB2546" w:rsidRDefault="00BB2546" w:rsidP="007A1C4A">
      <w:pPr>
        <w:spacing w:line="360" w:lineRule="auto"/>
        <w:jc w:val="center"/>
        <w:rPr>
          <w:rFonts w:ascii="Arial" w:hAnsi="Arial" w:cs="Arial"/>
          <w:b/>
          <w:bCs/>
          <w:sz w:val="28"/>
          <w:szCs w:val="28"/>
        </w:rPr>
      </w:pPr>
      <w:r w:rsidRPr="00BB2546">
        <w:rPr>
          <w:rFonts w:ascii="Arial" w:hAnsi="Arial" w:cs="Arial"/>
          <w:b/>
          <w:bCs/>
          <w:sz w:val="28"/>
          <w:szCs w:val="28"/>
        </w:rPr>
        <w:t>The environmental and health impacts of diets and dietary change in 5,500 cities worldwide</w:t>
      </w:r>
    </w:p>
    <w:p w14:paraId="699A8A99" w14:textId="77777777" w:rsidR="005469B3" w:rsidRPr="00BB2546" w:rsidRDefault="005469B3" w:rsidP="007A1C4A">
      <w:pPr>
        <w:spacing w:line="360" w:lineRule="auto"/>
        <w:rPr>
          <w:rFonts w:ascii="Arial" w:hAnsi="Arial" w:cs="Arial"/>
          <w:b/>
          <w:bCs/>
          <w:sz w:val="22"/>
          <w:szCs w:val="22"/>
        </w:rPr>
      </w:pPr>
    </w:p>
    <w:p w14:paraId="7A4EDB04" w14:textId="77777777" w:rsidR="00BB2546" w:rsidRPr="00BB2546" w:rsidRDefault="00BB2546" w:rsidP="007A1C4A">
      <w:pPr>
        <w:spacing w:line="360" w:lineRule="auto"/>
        <w:rPr>
          <w:rFonts w:ascii="Arial" w:hAnsi="Arial" w:cs="Arial"/>
          <w:b/>
          <w:bCs/>
          <w:sz w:val="22"/>
          <w:szCs w:val="22"/>
        </w:rPr>
      </w:pPr>
    </w:p>
    <w:sdt>
      <w:sdtPr>
        <w:rPr>
          <w:rFonts w:ascii="Arial" w:hAnsi="Arial" w:cs="Arial"/>
          <w:color w:val="000000" w:themeColor="text1"/>
          <w:sz w:val="22"/>
          <w:szCs w:val="22"/>
        </w:rPr>
        <w:id w:val="668987697"/>
        <w:docPartObj>
          <w:docPartGallery w:val="Table of Contents"/>
          <w:docPartUnique/>
        </w:docPartObj>
      </w:sdtPr>
      <w:sdtEndPr>
        <w:rPr>
          <w:rFonts w:eastAsiaTheme="minorHAnsi"/>
          <w:noProof/>
          <w:kern w:val="2"/>
          <w:lang w:val="en-GB"/>
          <w14:ligatures w14:val="standardContextual"/>
        </w:rPr>
      </w:sdtEndPr>
      <w:sdtContent>
        <w:p w14:paraId="16205000" w14:textId="13915F33" w:rsidR="00CE6757" w:rsidRPr="00BB2546" w:rsidRDefault="00CE6757" w:rsidP="007A1C4A">
          <w:pPr>
            <w:pStyle w:val="TOCHeading"/>
            <w:spacing w:line="360" w:lineRule="auto"/>
            <w:rPr>
              <w:rFonts w:ascii="Arial" w:hAnsi="Arial" w:cs="Arial"/>
              <w:color w:val="000000" w:themeColor="text1"/>
              <w:sz w:val="22"/>
              <w:szCs w:val="22"/>
            </w:rPr>
          </w:pPr>
          <w:r w:rsidRPr="00BB2546">
            <w:rPr>
              <w:rFonts w:ascii="Arial" w:hAnsi="Arial" w:cs="Arial"/>
              <w:color w:val="000000" w:themeColor="text1"/>
              <w:sz w:val="22"/>
              <w:szCs w:val="22"/>
            </w:rPr>
            <w:t>Table of Contents</w:t>
          </w:r>
        </w:p>
        <w:p w14:paraId="7EFB388B" w14:textId="741FAA74" w:rsidR="00BB2546" w:rsidRPr="00BB2546" w:rsidRDefault="00CE6757" w:rsidP="007A1C4A">
          <w:pPr>
            <w:pStyle w:val="TOC1"/>
            <w:tabs>
              <w:tab w:val="left" w:pos="720"/>
              <w:tab w:val="right" w:leader="dot" w:pos="9016"/>
            </w:tabs>
            <w:spacing w:line="360" w:lineRule="auto"/>
            <w:rPr>
              <w:rFonts w:eastAsiaTheme="minorEastAsia"/>
              <w:b w:val="0"/>
              <w:bCs w:val="0"/>
              <w:i w:val="0"/>
              <w:iCs w:val="0"/>
              <w:noProof/>
              <w:sz w:val="22"/>
              <w:szCs w:val="22"/>
              <w:lang w:eastAsia="en-GB"/>
            </w:rPr>
          </w:pPr>
          <w:r w:rsidRPr="00BB2546">
            <w:rPr>
              <w:rFonts w:ascii="Arial" w:hAnsi="Arial" w:cs="Arial"/>
              <w:b w:val="0"/>
              <w:bCs w:val="0"/>
              <w:i w:val="0"/>
              <w:iCs w:val="0"/>
              <w:color w:val="000000" w:themeColor="text1"/>
              <w:sz w:val="22"/>
              <w:szCs w:val="22"/>
            </w:rPr>
            <w:fldChar w:fldCharType="begin"/>
          </w:r>
          <w:r w:rsidRPr="00BB2546">
            <w:rPr>
              <w:rFonts w:ascii="Arial" w:hAnsi="Arial" w:cs="Arial"/>
              <w:b w:val="0"/>
              <w:bCs w:val="0"/>
              <w:i w:val="0"/>
              <w:iCs w:val="0"/>
              <w:color w:val="000000" w:themeColor="text1"/>
              <w:sz w:val="22"/>
              <w:szCs w:val="22"/>
            </w:rPr>
            <w:instrText xml:space="preserve"> TOC \o "1-3" \h \z \u </w:instrText>
          </w:r>
          <w:r w:rsidRPr="00BB2546">
            <w:rPr>
              <w:rFonts w:ascii="Arial" w:hAnsi="Arial" w:cs="Arial"/>
              <w:b w:val="0"/>
              <w:bCs w:val="0"/>
              <w:i w:val="0"/>
              <w:iCs w:val="0"/>
              <w:color w:val="000000" w:themeColor="text1"/>
              <w:sz w:val="22"/>
              <w:szCs w:val="22"/>
            </w:rPr>
            <w:fldChar w:fldCharType="separate"/>
          </w:r>
          <w:hyperlink w:anchor="_Toc217949364" w:history="1">
            <w:r w:rsidR="00BB2546" w:rsidRPr="00BB2546">
              <w:rPr>
                <w:rStyle w:val="Hyperlink"/>
                <w:rFonts w:ascii="Arial" w:hAnsi="Arial" w:cs="Arial"/>
                <w:b w:val="0"/>
                <w:bCs w:val="0"/>
                <w:i w:val="0"/>
                <w:iCs w:val="0"/>
                <w:noProof/>
                <w:sz w:val="22"/>
                <w:szCs w:val="22"/>
              </w:rPr>
              <w:t>SI.1</w:t>
            </w:r>
            <w:r w:rsidR="00BB2546" w:rsidRPr="00BB2546">
              <w:rPr>
                <w:rFonts w:eastAsiaTheme="minorEastAsia"/>
                <w:b w:val="0"/>
                <w:bCs w:val="0"/>
                <w:i w:val="0"/>
                <w:iCs w:val="0"/>
                <w:noProof/>
                <w:sz w:val="22"/>
                <w:szCs w:val="22"/>
                <w:lang w:eastAsia="en-GB"/>
              </w:rPr>
              <w:tab/>
            </w:r>
            <w:r w:rsidR="00BB2546" w:rsidRPr="00BB2546">
              <w:rPr>
                <w:rStyle w:val="Hyperlink"/>
                <w:rFonts w:ascii="Arial" w:hAnsi="Arial" w:cs="Arial"/>
                <w:b w:val="0"/>
                <w:bCs w:val="0"/>
                <w:i w:val="0"/>
                <w:iCs w:val="0"/>
                <w:noProof/>
                <w:sz w:val="22"/>
                <w:szCs w:val="22"/>
              </w:rPr>
              <w:t>Supplementary information on city-level diets</w:t>
            </w:r>
            <w:r w:rsidR="00BB2546" w:rsidRPr="00BB2546">
              <w:rPr>
                <w:b w:val="0"/>
                <w:bCs w:val="0"/>
                <w:i w:val="0"/>
                <w:iCs w:val="0"/>
                <w:noProof/>
                <w:webHidden/>
                <w:sz w:val="22"/>
                <w:szCs w:val="22"/>
              </w:rPr>
              <w:tab/>
            </w:r>
            <w:r w:rsidR="00BB2546" w:rsidRPr="00BB2546">
              <w:rPr>
                <w:b w:val="0"/>
                <w:bCs w:val="0"/>
                <w:i w:val="0"/>
                <w:iCs w:val="0"/>
                <w:noProof/>
                <w:webHidden/>
                <w:sz w:val="22"/>
                <w:szCs w:val="22"/>
              </w:rPr>
              <w:fldChar w:fldCharType="begin"/>
            </w:r>
            <w:r w:rsidR="00BB2546" w:rsidRPr="00BB2546">
              <w:rPr>
                <w:b w:val="0"/>
                <w:bCs w:val="0"/>
                <w:i w:val="0"/>
                <w:iCs w:val="0"/>
                <w:noProof/>
                <w:webHidden/>
                <w:sz w:val="22"/>
                <w:szCs w:val="22"/>
              </w:rPr>
              <w:instrText xml:space="preserve"> PAGEREF _Toc217949364 \h </w:instrText>
            </w:r>
            <w:r w:rsidR="00BB2546" w:rsidRPr="00BB2546">
              <w:rPr>
                <w:b w:val="0"/>
                <w:bCs w:val="0"/>
                <w:i w:val="0"/>
                <w:iCs w:val="0"/>
                <w:noProof/>
                <w:webHidden/>
                <w:sz w:val="22"/>
                <w:szCs w:val="22"/>
              </w:rPr>
            </w:r>
            <w:r w:rsidR="00BB2546" w:rsidRPr="00BB2546">
              <w:rPr>
                <w:b w:val="0"/>
                <w:bCs w:val="0"/>
                <w:i w:val="0"/>
                <w:iCs w:val="0"/>
                <w:noProof/>
                <w:webHidden/>
                <w:sz w:val="22"/>
                <w:szCs w:val="22"/>
              </w:rPr>
              <w:fldChar w:fldCharType="separate"/>
            </w:r>
            <w:r w:rsidR="00BB2546" w:rsidRPr="00BB2546">
              <w:rPr>
                <w:b w:val="0"/>
                <w:bCs w:val="0"/>
                <w:i w:val="0"/>
                <w:iCs w:val="0"/>
                <w:noProof/>
                <w:webHidden/>
                <w:sz w:val="22"/>
                <w:szCs w:val="22"/>
              </w:rPr>
              <w:t>2</w:t>
            </w:r>
            <w:r w:rsidR="00BB2546" w:rsidRPr="00BB2546">
              <w:rPr>
                <w:b w:val="0"/>
                <w:bCs w:val="0"/>
                <w:i w:val="0"/>
                <w:iCs w:val="0"/>
                <w:noProof/>
                <w:webHidden/>
                <w:sz w:val="22"/>
                <w:szCs w:val="22"/>
              </w:rPr>
              <w:fldChar w:fldCharType="end"/>
            </w:r>
          </w:hyperlink>
        </w:p>
        <w:p w14:paraId="06B5341F" w14:textId="5B27F47A" w:rsidR="00BB2546" w:rsidRPr="00BB2546" w:rsidRDefault="00BB2546" w:rsidP="007A1C4A">
          <w:pPr>
            <w:pStyle w:val="TOC1"/>
            <w:tabs>
              <w:tab w:val="left" w:pos="720"/>
              <w:tab w:val="right" w:leader="dot" w:pos="9016"/>
            </w:tabs>
            <w:spacing w:line="360" w:lineRule="auto"/>
            <w:rPr>
              <w:rFonts w:eastAsiaTheme="minorEastAsia"/>
              <w:b w:val="0"/>
              <w:bCs w:val="0"/>
              <w:i w:val="0"/>
              <w:iCs w:val="0"/>
              <w:noProof/>
              <w:sz w:val="22"/>
              <w:szCs w:val="22"/>
              <w:lang w:eastAsia="en-GB"/>
            </w:rPr>
          </w:pPr>
          <w:hyperlink w:anchor="_Toc217949365" w:history="1">
            <w:r w:rsidRPr="00BB2546">
              <w:rPr>
                <w:rStyle w:val="Hyperlink"/>
                <w:rFonts w:ascii="Arial" w:hAnsi="Arial" w:cs="Arial"/>
                <w:b w:val="0"/>
                <w:bCs w:val="0"/>
                <w:i w:val="0"/>
                <w:iCs w:val="0"/>
                <w:noProof/>
                <w:sz w:val="22"/>
                <w:szCs w:val="22"/>
              </w:rPr>
              <w:t>SI.2</w:t>
            </w:r>
            <w:r w:rsidRPr="00BB2546">
              <w:rPr>
                <w:rFonts w:eastAsiaTheme="minorEastAsia"/>
                <w:b w:val="0"/>
                <w:bCs w:val="0"/>
                <w:i w:val="0"/>
                <w:iCs w:val="0"/>
                <w:noProof/>
                <w:sz w:val="22"/>
                <w:szCs w:val="22"/>
                <w:lang w:eastAsia="en-GB"/>
              </w:rPr>
              <w:tab/>
            </w:r>
            <w:r w:rsidRPr="00BB2546">
              <w:rPr>
                <w:rStyle w:val="Hyperlink"/>
                <w:rFonts w:ascii="Arial" w:hAnsi="Arial" w:cs="Arial"/>
                <w:b w:val="0"/>
                <w:bCs w:val="0"/>
                <w:i w:val="0"/>
                <w:iCs w:val="0"/>
                <w:noProof/>
                <w:sz w:val="22"/>
                <w:szCs w:val="22"/>
              </w:rPr>
              <w:t>Supplementary information on city-level impact assessments</w:t>
            </w:r>
            <w:r w:rsidRPr="00BB2546">
              <w:rPr>
                <w:b w:val="0"/>
                <w:bCs w:val="0"/>
                <w:i w:val="0"/>
                <w:iCs w:val="0"/>
                <w:noProof/>
                <w:webHidden/>
                <w:sz w:val="22"/>
                <w:szCs w:val="22"/>
              </w:rPr>
              <w:tab/>
            </w:r>
            <w:r w:rsidRPr="00BB2546">
              <w:rPr>
                <w:b w:val="0"/>
                <w:bCs w:val="0"/>
                <w:i w:val="0"/>
                <w:iCs w:val="0"/>
                <w:noProof/>
                <w:webHidden/>
                <w:sz w:val="22"/>
                <w:szCs w:val="22"/>
              </w:rPr>
              <w:fldChar w:fldCharType="begin"/>
            </w:r>
            <w:r w:rsidRPr="00BB2546">
              <w:rPr>
                <w:b w:val="0"/>
                <w:bCs w:val="0"/>
                <w:i w:val="0"/>
                <w:iCs w:val="0"/>
                <w:noProof/>
                <w:webHidden/>
                <w:sz w:val="22"/>
                <w:szCs w:val="22"/>
              </w:rPr>
              <w:instrText xml:space="preserve"> PAGEREF _Toc217949365 \h </w:instrText>
            </w:r>
            <w:r w:rsidRPr="00BB2546">
              <w:rPr>
                <w:b w:val="0"/>
                <w:bCs w:val="0"/>
                <w:i w:val="0"/>
                <w:iCs w:val="0"/>
                <w:noProof/>
                <w:webHidden/>
                <w:sz w:val="22"/>
                <w:szCs w:val="22"/>
              </w:rPr>
            </w:r>
            <w:r w:rsidRPr="00BB2546">
              <w:rPr>
                <w:b w:val="0"/>
                <w:bCs w:val="0"/>
                <w:i w:val="0"/>
                <w:iCs w:val="0"/>
                <w:noProof/>
                <w:webHidden/>
                <w:sz w:val="22"/>
                <w:szCs w:val="22"/>
              </w:rPr>
              <w:fldChar w:fldCharType="separate"/>
            </w:r>
            <w:r w:rsidRPr="00BB2546">
              <w:rPr>
                <w:b w:val="0"/>
                <w:bCs w:val="0"/>
                <w:i w:val="0"/>
                <w:iCs w:val="0"/>
                <w:noProof/>
                <w:webHidden/>
                <w:sz w:val="22"/>
                <w:szCs w:val="22"/>
              </w:rPr>
              <w:t>9</w:t>
            </w:r>
            <w:r w:rsidRPr="00BB2546">
              <w:rPr>
                <w:b w:val="0"/>
                <w:bCs w:val="0"/>
                <w:i w:val="0"/>
                <w:iCs w:val="0"/>
                <w:noProof/>
                <w:webHidden/>
                <w:sz w:val="22"/>
                <w:szCs w:val="22"/>
              </w:rPr>
              <w:fldChar w:fldCharType="end"/>
            </w:r>
          </w:hyperlink>
        </w:p>
        <w:p w14:paraId="709D33E5" w14:textId="32136304" w:rsidR="00BB2546" w:rsidRPr="00BB2546" w:rsidRDefault="00BB2546" w:rsidP="007A1C4A">
          <w:pPr>
            <w:pStyle w:val="TOC1"/>
            <w:tabs>
              <w:tab w:val="left" w:pos="720"/>
              <w:tab w:val="right" w:leader="dot" w:pos="9016"/>
            </w:tabs>
            <w:spacing w:line="360" w:lineRule="auto"/>
            <w:rPr>
              <w:rFonts w:eastAsiaTheme="minorEastAsia"/>
              <w:b w:val="0"/>
              <w:bCs w:val="0"/>
              <w:i w:val="0"/>
              <w:iCs w:val="0"/>
              <w:noProof/>
              <w:sz w:val="22"/>
              <w:szCs w:val="22"/>
              <w:lang w:eastAsia="en-GB"/>
            </w:rPr>
          </w:pPr>
          <w:hyperlink w:anchor="_Toc217949366" w:history="1">
            <w:r w:rsidRPr="00BB2546">
              <w:rPr>
                <w:rStyle w:val="Hyperlink"/>
                <w:rFonts w:ascii="Arial" w:hAnsi="Arial" w:cs="Arial"/>
                <w:b w:val="0"/>
                <w:bCs w:val="0"/>
                <w:i w:val="0"/>
                <w:iCs w:val="0"/>
                <w:noProof/>
                <w:sz w:val="22"/>
                <w:szCs w:val="22"/>
              </w:rPr>
              <w:t>SI.3</w:t>
            </w:r>
            <w:r w:rsidRPr="00BB2546">
              <w:rPr>
                <w:rFonts w:eastAsiaTheme="minorEastAsia"/>
                <w:b w:val="0"/>
                <w:bCs w:val="0"/>
                <w:i w:val="0"/>
                <w:iCs w:val="0"/>
                <w:noProof/>
                <w:sz w:val="22"/>
                <w:szCs w:val="22"/>
                <w:lang w:eastAsia="en-GB"/>
              </w:rPr>
              <w:tab/>
            </w:r>
            <w:r w:rsidRPr="00BB2546">
              <w:rPr>
                <w:rStyle w:val="Hyperlink"/>
                <w:rFonts w:ascii="Arial" w:hAnsi="Arial" w:cs="Arial"/>
                <w:b w:val="0"/>
                <w:bCs w:val="0"/>
                <w:i w:val="0"/>
                <w:iCs w:val="0"/>
                <w:noProof/>
                <w:sz w:val="22"/>
                <w:szCs w:val="22"/>
              </w:rPr>
              <w:t>Supplementary results</w:t>
            </w:r>
            <w:r w:rsidRPr="00BB2546">
              <w:rPr>
                <w:b w:val="0"/>
                <w:bCs w:val="0"/>
                <w:i w:val="0"/>
                <w:iCs w:val="0"/>
                <w:noProof/>
                <w:webHidden/>
                <w:sz w:val="22"/>
                <w:szCs w:val="22"/>
              </w:rPr>
              <w:tab/>
            </w:r>
            <w:r w:rsidRPr="00BB2546">
              <w:rPr>
                <w:b w:val="0"/>
                <w:bCs w:val="0"/>
                <w:i w:val="0"/>
                <w:iCs w:val="0"/>
                <w:noProof/>
                <w:webHidden/>
                <w:sz w:val="22"/>
                <w:szCs w:val="22"/>
              </w:rPr>
              <w:fldChar w:fldCharType="begin"/>
            </w:r>
            <w:r w:rsidRPr="00BB2546">
              <w:rPr>
                <w:b w:val="0"/>
                <w:bCs w:val="0"/>
                <w:i w:val="0"/>
                <w:iCs w:val="0"/>
                <w:noProof/>
                <w:webHidden/>
                <w:sz w:val="22"/>
                <w:szCs w:val="22"/>
              </w:rPr>
              <w:instrText xml:space="preserve"> PAGEREF _Toc217949366 \h </w:instrText>
            </w:r>
            <w:r w:rsidRPr="00BB2546">
              <w:rPr>
                <w:b w:val="0"/>
                <w:bCs w:val="0"/>
                <w:i w:val="0"/>
                <w:iCs w:val="0"/>
                <w:noProof/>
                <w:webHidden/>
                <w:sz w:val="22"/>
                <w:szCs w:val="22"/>
              </w:rPr>
            </w:r>
            <w:r w:rsidRPr="00BB2546">
              <w:rPr>
                <w:b w:val="0"/>
                <w:bCs w:val="0"/>
                <w:i w:val="0"/>
                <w:iCs w:val="0"/>
                <w:noProof/>
                <w:webHidden/>
                <w:sz w:val="22"/>
                <w:szCs w:val="22"/>
              </w:rPr>
              <w:fldChar w:fldCharType="separate"/>
            </w:r>
            <w:r w:rsidRPr="00BB2546">
              <w:rPr>
                <w:b w:val="0"/>
                <w:bCs w:val="0"/>
                <w:i w:val="0"/>
                <w:iCs w:val="0"/>
                <w:noProof/>
                <w:webHidden/>
                <w:sz w:val="22"/>
                <w:szCs w:val="22"/>
              </w:rPr>
              <w:t>15</w:t>
            </w:r>
            <w:r w:rsidRPr="00BB2546">
              <w:rPr>
                <w:b w:val="0"/>
                <w:bCs w:val="0"/>
                <w:i w:val="0"/>
                <w:iCs w:val="0"/>
                <w:noProof/>
                <w:webHidden/>
                <w:sz w:val="22"/>
                <w:szCs w:val="22"/>
              </w:rPr>
              <w:fldChar w:fldCharType="end"/>
            </w:r>
          </w:hyperlink>
        </w:p>
        <w:p w14:paraId="59DCBF97" w14:textId="6AA1E4D5" w:rsidR="00BB2546" w:rsidRPr="00BB2546" w:rsidRDefault="00BB2546" w:rsidP="007A1C4A">
          <w:pPr>
            <w:pStyle w:val="TOC1"/>
            <w:tabs>
              <w:tab w:val="right" w:leader="dot" w:pos="9016"/>
            </w:tabs>
            <w:spacing w:line="360" w:lineRule="auto"/>
            <w:rPr>
              <w:rFonts w:eastAsiaTheme="minorEastAsia"/>
              <w:b w:val="0"/>
              <w:bCs w:val="0"/>
              <w:i w:val="0"/>
              <w:iCs w:val="0"/>
              <w:noProof/>
              <w:sz w:val="22"/>
              <w:szCs w:val="22"/>
              <w:lang w:eastAsia="en-GB"/>
            </w:rPr>
          </w:pPr>
          <w:hyperlink w:anchor="_Toc217949367" w:history="1">
            <w:r w:rsidRPr="00BB2546">
              <w:rPr>
                <w:rStyle w:val="Hyperlink"/>
                <w:rFonts w:ascii="Arial" w:hAnsi="Arial" w:cs="Arial"/>
                <w:b w:val="0"/>
                <w:bCs w:val="0"/>
                <w:i w:val="0"/>
                <w:iCs w:val="0"/>
                <w:noProof/>
                <w:sz w:val="22"/>
                <w:szCs w:val="22"/>
              </w:rPr>
              <w:t>Supplementary references</w:t>
            </w:r>
            <w:r w:rsidRPr="00BB2546">
              <w:rPr>
                <w:b w:val="0"/>
                <w:bCs w:val="0"/>
                <w:i w:val="0"/>
                <w:iCs w:val="0"/>
                <w:noProof/>
                <w:webHidden/>
                <w:sz w:val="22"/>
                <w:szCs w:val="22"/>
              </w:rPr>
              <w:tab/>
            </w:r>
            <w:r w:rsidRPr="00BB2546">
              <w:rPr>
                <w:b w:val="0"/>
                <w:bCs w:val="0"/>
                <w:i w:val="0"/>
                <w:iCs w:val="0"/>
                <w:noProof/>
                <w:webHidden/>
                <w:sz w:val="22"/>
                <w:szCs w:val="22"/>
              </w:rPr>
              <w:fldChar w:fldCharType="begin"/>
            </w:r>
            <w:r w:rsidRPr="00BB2546">
              <w:rPr>
                <w:b w:val="0"/>
                <w:bCs w:val="0"/>
                <w:i w:val="0"/>
                <w:iCs w:val="0"/>
                <w:noProof/>
                <w:webHidden/>
                <w:sz w:val="22"/>
                <w:szCs w:val="22"/>
              </w:rPr>
              <w:instrText xml:space="preserve"> PAGEREF _Toc217949367 \h </w:instrText>
            </w:r>
            <w:r w:rsidRPr="00BB2546">
              <w:rPr>
                <w:b w:val="0"/>
                <w:bCs w:val="0"/>
                <w:i w:val="0"/>
                <w:iCs w:val="0"/>
                <w:noProof/>
                <w:webHidden/>
                <w:sz w:val="22"/>
                <w:szCs w:val="22"/>
              </w:rPr>
            </w:r>
            <w:r w:rsidRPr="00BB2546">
              <w:rPr>
                <w:b w:val="0"/>
                <w:bCs w:val="0"/>
                <w:i w:val="0"/>
                <w:iCs w:val="0"/>
                <w:noProof/>
                <w:webHidden/>
                <w:sz w:val="22"/>
                <w:szCs w:val="22"/>
              </w:rPr>
              <w:fldChar w:fldCharType="separate"/>
            </w:r>
            <w:r w:rsidRPr="00BB2546">
              <w:rPr>
                <w:b w:val="0"/>
                <w:bCs w:val="0"/>
                <w:i w:val="0"/>
                <w:iCs w:val="0"/>
                <w:noProof/>
                <w:webHidden/>
                <w:sz w:val="22"/>
                <w:szCs w:val="22"/>
              </w:rPr>
              <w:t>30</w:t>
            </w:r>
            <w:r w:rsidRPr="00BB2546">
              <w:rPr>
                <w:b w:val="0"/>
                <w:bCs w:val="0"/>
                <w:i w:val="0"/>
                <w:iCs w:val="0"/>
                <w:noProof/>
                <w:webHidden/>
                <w:sz w:val="22"/>
                <w:szCs w:val="22"/>
              </w:rPr>
              <w:fldChar w:fldCharType="end"/>
            </w:r>
          </w:hyperlink>
        </w:p>
        <w:p w14:paraId="70A9D29C" w14:textId="04AEF72D" w:rsidR="00CE6757" w:rsidRPr="00BB2546" w:rsidRDefault="00CE6757" w:rsidP="007A1C4A">
          <w:pPr>
            <w:spacing w:line="360" w:lineRule="auto"/>
            <w:rPr>
              <w:rFonts w:ascii="Arial" w:hAnsi="Arial" w:cs="Arial"/>
              <w:color w:val="000000" w:themeColor="text1"/>
              <w:sz w:val="22"/>
              <w:szCs w:val="22"/>
            </w:rPr>
          </w:pPr>
          <w:r w:rsidRPr="00BB2546">
            <w:rPr>
              <w:rFonts w:ascii="Arial" w:hAnsi="Arial" w:cs="Arial"/>
              <w:noProof/>
              <w:color w:val="000000" w:themeColor="text1"/>
              <w:sz w:val="22"/>
              <w:szCs w:val="22"/>
            </w:rPr>
            <w:fldChar w:fldCharType="end"/>
          </w:r>
        </w:p>
      </w:sdtContent>
    </w:sdt>
    <w:p w14:paraId="68C3F076" w14:textId="77777777" w:rsidR="005469B3" w:rsidRPr="00BB2546" w:rsidRDefault="005469B3" w:rsidP="007A1C4A">
      <w:pPr>
        <w:spacing w:line="360" w:lineRule="auto"/>
        <w:rPr>
          <w:rFonts w:ascii="Arial" w:hAnsi="Arial" w:cs="Arial"/>
          <w:b/>
          <w:bCs/>
          <w:sz w:val="22"/>
          <w:szCs w:val="22"/>
        </w:rPr>
      </w:pPr>
    </w:p>
    <w:p w14:paraId="61F473E1" w14:textId="77777777" w:rsidR="00CE6757" w:rsidRPr="00BB2546" w:rsidRDefault="00CE6757" w:rsidP="007A1C4A">
      <w:pPr>
        <w:spacing w:line="360" w:lineRule="auto"/>
        <w:rPr>
          <w:rFonts w:ascii="Arial" w:hAnsi="Arial" w:cs="Arial"/>
          <w:b/>
          <w:bCs/>
          <w:sz w:val="22"/>
          <w:szCs w:val="22"/>
        </w:rPr>
      </w:pPr>
      <w:r w:rsidRPr="00BB2546">
        <w:rPr>
          <w:rFonts w:ascii="Arial" w:hAnsi="Arial" w:cs="Arial"/>
          <w:b/>
          <w:bCs/>
          <w:sz w:val="22"/>
          <w:szCs w:val="22"/>
        </w:rPr>
        <w:br w:type="page"/>
      </w:r>
    </w:p>
    <w:p w14:paraId="3FECD9C0" w14:textId="3689DD1D" w:rsidR="005469B3" w:rsidRPr="007A1C4A" w:rsidRDefault="005469B3" w:rsidP="007A1C4A">
      <w:pPr>
        <w:pStyle w:val="Heading1"/>
        <w:spacing w:line="360" w:lineRule="auto"/>
        <w:rPr>
          <w:rFonts w:ascii="Arial" w:hAnsi="Arial" w:cs="Arial"/>
          <w:b/>
          <w:bCs/>
          <w:color w:val="000000" w:themeColor="text1"/>
          <w:sz w:val="24"/>
          <w:szCs w:val="24"/>
        </w:rPr>
      </w:pPr>
      <w:bookmarkStart w:id="0" w:name="_Toc217949364"/>
      <w:r w:rsidRPr="007A1C4A">
        <w:rPr>
          <w:rFonts w:ascii="Arial" w:hAnsi="Arial" w:cs="Arial"/>
          <w:b/>
          <w:bCs/>
          <w:color w:val="000000" w:themeColor="text1"/>
          <w:sz w:val="24"/>
          <w:szCs w:val="24"/>
        </w:rPr>
        <w:lastRenderedPageBreak/>
        <w:t>SI.1</w:t>
      </w:r>
      <w:r w:rsidRPr="007A1C4A">
        <w:rPr>
          <w:rFonts w:ascii="Arial" w:hAnsi="Arial" w:cs="Arial"/>
          <w:b/>
          <w:bCs/>
          <w:color w:val="000000" w:themeColor="text1"/>
          <w:sz w:val="24"/>
          <w:szCs w:val="24"/>
        </w:rPr>
        <w:tab/>
        <w:t xml:space="preserve">Supplementary </w:t>
      </w:r>
      <w:r w:rsidR="000A57EA" w:rsidRPr="007A1C4A">
        <w:rPr>
          <w:rFonts w:ascii="Arial" w:hAnsi="Arial" w:cs="Arial"/>
          <w:b/>
          <w:bCs/>
          <w:color w:val="000000" w:themeColor="text1"/>
          <w:sz w:val="24"/>
          <w:szCs w:val="24"/>
        </w:rPr>
        <w:t>information on city-level diets</w:t>
      </w:r>
      <w:bookmarkEnd w:id="0"/>
    </w:p>
    <w:p w14:paraId="7C6A7064" w14:textId="77777777" w:rsidR="005469B3" w:rsidRPr="00BB2546" w:rsidRDefault="005469B3" w:rsidP="007A1C4A">
      <w:pPr>
        <w:spacing w:line="360" w:lineRule="auto"/>
        <w:rPr>
          <w:rFonts w:ascii="Arial" w:hAnsi="Arial" w:cs="Arial"/>
          <w:sz w:val="22"/>
          <w:szCs w:val="22"/>
        </w:rPr>
      </w:pPr>
    </w:p>
    <w:p w14:paraId="1A669DC6"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t>SI Table 1.</w:t>
      </w:r>
      <w:r w:rsidRPr="00BB2546">
        <w:rPr>
          <w:rFonts w:ascii="Arial" w:hAnsi="Arial" w:cs="Arial"/>
          <w:sz w:val="22"/>
          <w:szCs w:val="22"/>
        </w:rPr>
        <w:t xml:space="preserve"> Overview of global food intake by food group and residence. The residences include urban, rural, and a population-weighted average (total). Food intake is expressed in grams per person per day (g/d) and in kilocalories per person per day (kcal/d). The analysis was conducted with country-level data.</w:t>
      </w:r>
    </w:p>
    <w:p w14:paraId="6DBF688E" w14:textId="77777777" w:rsidR="005469B3" w:rsidRPr="00BB2546" w:rsidRDefault="005469B3"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6B13344D" wp14:editId="5ACA555F">
            <wp:extent cx="4925148" cy="3926041"/>
            <wp:effectExtent l="0" t="0" r="2540" b="0"/>
            <wp:docPr id="153015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1359" name=""/>
                    <pic:cNvPicPr/>
                  </pic:nvPicPr>
                  <pic:blipFill>
                    <a:blip r:embed="rId7"/>
                    <a:stretch>
                      <a:fillRect/>
                    </a:stretch>
                  </pic:blipFill>
                  <pic:spPr>
                    <a:xfrm>
                      <a:off x="0" y="0"/>
                      <a:ext cx="4949971" cy="3945828"/>
                    </a:xfrm>
                    <a:prstGeom prst="rect">
                      <a:avLst/>
                    </a:prstGeom>
                  </pic:spPr>
                </pic:pic>
              </a:graphicData>
            </a:graphic>
          </wp:inline>
        </w:drawing>
      </w:r>
    </w:p>
    <w:p w14:paraId="631AEF31" w14:textId="77777777" w:rsidR="005469B3" w:rsidRPr="00BB2546" w:rsidRDefault="005469B3" w:rsidP="007A1C4A">
      <w:pPr>
        <w:spacing w:line="360" w:lineRule="auto"/>
        <w:rPr>
          <w:rFonts w:ascii="Arial" w:hAnsi="Arial" w:cs="Arial"/>
          <w:sz w:val="22"/>
          <w:szCs w:val="22"/>
        </w:rPr>
      </w:pPr>
    </w:p>
    <w:p w14:paraId="1B572250"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br w:type="page"/>
      </w:r>
    </w:p>
    <w:p w14:paraId="78CC2609"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lastRenderedPageBreak/>
        <w:t>SI Table 2.</w:t>
      </w:r>
      <w:r w:rsidRPr="00BB2546">
        <w:rPr>
          <w:rFonts w:ascii="Arial" w:hAnsi="Arial" w:cs="Arial"/>
          <w:sz w:val="22"/>
          <w:szCs w:val="22"/>
        </w:rPr>
        <w:t xml:space="preserve"> Overview of global energy intake by demographic group and residence. The demographic groups include age groups and sex, and the residences include urban, rural, and a population-weighted average (total). Energy intake is expressed in kilocalories per person per day (kcal/d). The analysis was conducted with country-level data.</w:t>
      </w:r>
    </w:p>
    <w:p w14:paraId="4ADC1257" w14:textId="77777777" w:rsidR="005469B3" w:rsidRPr="00BB2546" w:rsidRDefault="005469B3"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1F3A10D4" wp14:editId="11A45D66">
            <wp:extent cx="5090167" cy="3493639"/>
            <wp:effectExtent l="0" t="0" r="2540" b="0"/>
            <wp:docPr id="148656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67446" name=""/>
                    <pic:cNvPicPr/>
                  </pic:nvPicPr>
                  <pic:blipFill>
                    <a:blip r:embed="rId8"/>
                    <a:stretch>
                      <a:fillRect/>
                    </a:stretch>
                  </pic:blipFill>
                  <pic:spPr>
                    <a:xfrm>
                      <a:off x="0" y="0"/>
                      <a:ext cx="5130493" cy="3521317"/>
                    </a:xfrm>
                    <a:prstGeom prst="rect">
                      <a:avLst/>
                    </a:prstGeom>
                  </pic:spPr>
                </pic:pic>
              </a:graphicData>
            </a:graphic>
          </wp:inline>
        </w:drawing>
      </w:r>
    </w:p>
    <w:p w14:paraId="77B8832C" w14:textId="77777777" w:rsidR="005469B3" w:rsidRPr="00BB2546" w:rsidRDefault="005469B3" w:rsidP="007A1C4A">
      <w:pPr>
        <w:spacing w:line="360" w:lineRule="auto"/>
        <w:rPr>
          <w:rFonts w:ascii="Arial" w:hAnsi="Arial" w:cs="Arial"/>
          <w:sz w:val="22"/>
          <w:szCs w:val="22"/>
        </w:rPr>
      </w:pPr>
      <w:r w:rsidRPr="00BB2546">
        <w:rPr>
          <w:rFonts w:ascii="Arial" w:hAnsi="Arial" w:cs="Arial"/>
          <w:sz w:val="22"/>
          <w:szCs w:val="22"/>
        </w:rPr>
        <w:br w:type="page"/>
      </w:r>
    </w:p>
    <w:p w14:paraId="53A51BE7" w14:textId="5B2C85D9"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Pr="00BB2546">
        <w:rPr>
          <w:rFonts w:ascii="Arial" w:hAnsi="Arial" w:cs="Arial"/>
          <w:b/>
          <w:bCs/>
          <w:sz w:val="22"/>
          <w:szCs w:val="22"/>
        </w:rPr>
        <w:t>3</w:t>
      </w:r>
      <w:r w:rsidRPr="00BB2546">
        <w:rPr>
          <w:rFonts w:ascii="Arial" w:hAnsi="Arial" w:cs="Arial"/>
          <w:b/>
          <w:bCs/>
          <w:sz w:val="22"/>
          <w:szCs w:val="22"/>
        </w:rPr>
        <w:t>.</w:t>
      </w:r>
      <w:r w:rsidRPr="00BB2546">
        <w:rPr>
          <w:rFonts w:ascii="Arial" w:hAnsi="Arial" w:cs="Arial"/>
          <w:sz w:val="22"/>
          <w:szCs w:val="22"/>
        </w:rPr>
        <w:t xml:space="preserve"> Number of cities (top), population of cities (middle), proportion of population in cities (bottom) by size class and geographic region. City sizes include cities with populations of 0.1-0.3 million, 0.3-1 million, 1-5 million, 5-10 million, and more than 10 million. The geographic regions include North America (NAC), Latin America and the Caribbean (LCN), Europe and Central Asia (ECS), the Middle East and North Africa (MEA), South Asia (SAS), East Asia and the Pacific (EAS), Sub-Saharan Africa (SSF), and a global average (WLD). </w:t>
      </w:r>
    </w:p>
    <w:p w14:paraId="002C5080" w14:textId="77777777" w:rsidR="005469B3" w:rsidRPr="00BB2546" w:rsidRDefault="005469B3" w:rsidP="007A1C4A">
      <w:pPr>
        <w:pBdr>
          <w:top w:val="single" w:sz="4" w:space="1" w:color="auto"/>
        </w:pBdr>
        <w:spacing w:line="360" w:lineRule="auto"/>
        <w:jc w:val="center"/>
        <w:rPr>
          <w:rFonts w:ascii="Arial" w:hAnsi="Arial" w:cs="Arial"/>
          <w:b/>
          <w:bCs/>
          <w:i/>
          <w:iCs/>
          <w:sz w:val="22"/>
          <w:szCs w:val="22"/>
        </w:rPr>
      </w:pPr>
      <w:r w:rsidRPr="00BB2546">
        <w:rPr>
          <w:rFonts w:ascii="Arial" w:hAnsi="Arial" w:cs="Arial"/>
          <w:b/>
          <w:bCs/>
          <w:i/>
          <w:iCs/>
          <w:sz w:val="22"/>
          <w:szCs w:val="22"/>
        </w:rPr>
        <w:t>Number of cities</w:t>
      </w:r>
    </w:p>
    <w:p w14:paraId="3F190156"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7E334C33" wp14:editId="10FF302C">
            <wp:extent cx="5731510" cy="1105535"/>
            <wp:effectExtent l="0" t="0" r="0" b="0"/>
            <wp:docPr id="87714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05123" name=""/>
                    <pic:cNvPicPr/>
                  </pic:nvPicPr>
                  <pic:blipFill>
                    <a:blip r:embed="rId9"/>
                    <a:stretch>
                      <a:fillRect/>
                    </a:stretch>
                  </pic:blipFill>
                  <pic:spPr>
                    <a:xfrm>
                      <a:off x="0" y="0"/>
                      <a:ext cx="5731510" cy="1105535"/>
                    </a:xfrm>
                    <a:prstGeom prst="rect">
                      <a:avLst/>
                    </a:prstGeom>
                  </pic:spPr>
                </pic:pic>
              </a:graphicData>
            </a:graphic>
          </wp:inline>
        </w:drawing>
      </w:r>
    </w:p>
    <w:p w14:paraId="3D551AFB" w14:textId="77777777" w:rsidR="005469B3" w:rsidRPr="00BB2546" w:rsidRDefault="005469B3" w:rsidP="007A1C4A">
      <w:pPr>
        <w:spacing w:line="360" w:lineRule="auto"/>
        <w:jc w:val="center"/>
        <w:rPr>
          <w:rFonts w:ascii="Arial" w:hAnsi="Arial" w:cs="Arial"/>
          <w:b/>
          <w:bCs/>
          <w:i/>
          <w:iCs/>
          <w:sz w:val="22"/>
          <w:szCs w:val="22"/>
        </w:rPr>
      </w:pPr>
      <w:r w:rsidRPr="00BB2546">
        <w:rPr>
          <w:rFonts w:ascii="Arial" w:hAnsi="Arial" w:cs="Arial"/>
          <w:b/>
          <w:bCs/>
          <w:i/>
          <w:iCs/>
          <w:sz w:val="22"/>
          <w:szCs w:val="22"/>
        </w:rPr>
        <w:t>Population (million)</w:t>
      </w:r>
    </w:p>
    <w:p w14:paraId="04F8F624"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28E7D430" wp14:editId="60C404DC">
            <wp:extent cx="5731510" cy="1417955"/>
            <wp:effectExtent l="0" t="0" r="0" b="4445"/>
            <wp:docPr id="204627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6320" name=""/>
                    <pic:cNvPicPr/>
                  </pic:nvPicPr>
                  <pic:blipFill>
                    <a:blip r:embed="rId10"/>
                    <a:stretch>
                      <a:fillRect/>
                    </a:stretch>
                  </pic:blipFill>
                  <pic:spPr>
                    <a:xfrm>
                      <a:off x="0" y="0"/>
                      <a:ext cx="5731510" cy="1417955"/>
                    </a:xfrm>
                    <a:prstGeom prst="rect">
                      <a:avLst/>
                    </a:prstGeom>
                  </pic:spPr>
                </pic:pic>
              </a:graphicData>
            </a:graphic>
          </wp:inline>
        </w:drawing>
      </w:r>
    </w:p>
    <w:p w14:paraId="5E076638" w14:textId="77777777" w:rsidR="005469B3" w:rsidRPr="00BB2546" w:rsidRDefault="005469B3" w:rsidP="007A1C4A">
      <w:pPr>
        <w:spacing w:line="360" w:lineRule="auto"/>
        <w:jc w:val="center"/>
        <w:rPr>
          <w:rFonts w:ascii="Arial" w:hAnsi="Arial" w:cs="Arial"/>
          <w:b/>
          <w:bCs/>
          <w:i/>
          <w:iCs/>
          <w:sz w:val="22"/>
          <w:szCs w:val="22"/>
        </w:rPr>
      </w:pPr>
      <w:r w:rsidRPr="00BB2546">
        <w:rPr>
          <w:rFonts w:ascii="Arial" w:hAnsi="Arial" w:cs="Arial"/>
          <w:b/>
          <w:bCs/>
          <w:i/>
          <w:iCs/>
          <w:sz w:val="22"/>
          <w:szCs w:val="22"/>
        </w:rPr>
        <w:t>Population (proportion of total, %)</w:t>
      </w:r>
    </w:p>
    <w:p w14:paraId="5CE95373"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5AFB5A71" wp14:editId="77C977D1">
            <wp:extent cx="5731510" cy="1417955"/>
            <wp:effectExtent l="0" t="0" r="0" b="4445"/>
            <wp:docPr id="159791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3524" name=""/>
                    <pic:cNvPicPr/>
                  </pic:nvPicPr>
                  <pic:blipFill>
                    <a:blip r:embed="rId11"/>
                    <a:stretch>
                      <a:fillRect/>
                    </a:stretch>
                  </pic:blipFill>
                  <pic:spPr>
                    <a:xfrm>
                      <a:off x="0" y="0"/>
                      <a:ext cx="5731510" cy="1417955"/>
                    </a:xfrm>
                    <a:prstGeom prst="rect">
                      <a:avLst/>
                    </a:prstGeom>
                  </pic:spPr>
                </pic:pic>
              </a:graphicData>
            </a:graphic>
          </wp:inline>
        </w:drawing>
      </w:r>
    </w:p>
    <w:p w14:paraId="7D025C6B" w14:textId="77777777" w:rsidR="005469B3" w:rsidRPr="00BB2546" w:rsidRDefault="005469B3" w:rsidP="007A1C4A">
      <w:pPr>
        <w:spacing w:line="360" w:lineRule="auto"/>
        <w:rPr>
          <w:rFonts w:ascii="Arial" w:hAnsi="Arial" w:cs="Arial"/>
          <w:b/>
          <w:bCs/>
          <w:sz w:val="22"/>
          <w:szCs w:val="22"/>
        </w:rPr>
      </w:pPr>
    </w:p>
    <w:p w14:paraId="49861CAB"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br w:type="page"/>
      </w:r>
    </w:p>
    <w:p w14:paraId="3906AF67" w14:textId="0CB7288B" w:rsidR="005469B3" w:rsidRPr="00BB2546" w:rsidRDefault="005469B3"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Table </w:t>
      </w:r>
      <w:r w:rsidRPr="00BB2546">
        <w:rPr>
          <w:rFonts w:ascii="Arial" w:hAnsi="Arial" w:cs="Arial"/>
          <w:b/>
          <w:bCs/>
          <w:sz w:val="22"/>
          <w:szCs w:val="22"/>
        </w:rPr>
        <w:t>4</w:t>
      </w:r>
      <w:r w:rsidRPr="00BB2546">
        <w:rPr>
          <w:rFonts w:ascii="Arial" w:hAnsi="Arial" w:cs="Arial"/>
          <w:b/>
          <w:bCs/>
          <w:sz w:val="22"/>
          <w:szCs w:val="22"/>
        </w:rPr>
        <w:t>.</w:t>
      </w:r>
      <w:r w:rsidRPr="00BB2546">
        <w:rPr>
          <w:rFonts w:ascii="Arial" w:hAnsi="Arial" w:cs="Arial"/>
          <w:sz w:val="22"/>
          <w:szCs w:val="22"/>
        </w:rPr>
        <w:t xml:space="preserve"> Population sizes of cities over 10 million by country and region.</w:t>
      </w:r>
      <w:r w:rsidRPr="00BB2546">
        <w:rPr>
          <w:rFonts w:ascii="Arial" w:hAnsi="Arial" w:cs="Arial"/>
          <w:sz w:val="22"/>
          <w:szCs w:val="22"/>
        </w:rPr>
        <w:t xml:space="preserve"> Names of urban agglomerations were adopted from </w:t>
      </w:r>
      <w:r w:rsidRPr="00BB2546">
        <w:rPr>
          <w:rFonts w:ascii="Arial" w:hAnsi="Arial" w:cs="Arial"/>
          <w:sz w:val="22"/>
          <w:szCs w:val="22"/>
        </w:rPr>
        <w:t>Global Urban Polygons and Points Dataset</w:t>
      </w:r>
      <w:r w:rsidRPr="00BB2546">
        <w:rPr>
          <w:rFonts w:ascii="Arial" w:hAnsi="Arial" w:cs="Arial"/>
          <w:sz w:val="22"/>
          <w:szCs w:val="22"/>
        </w:rPr>
        <w:t xml:space="preserve"> which sometimes denoted cities in several languages and combined several cities within the same urban agglomeration. When a city occurred more than once, it was appended by its </w:t>
      </w:r>
      <w:r w:rsidRPr="00BB2546">
        <w:rPr>
          <w:rFonts w:ascii="Arial" w:hAnsi="Arial" w:cs="Arial"/>
          <w:sz w:val="22"/>
          <w:szCs w:val="22"/>
        </w:rPr>
        <w:t>(ISO3)</w:t>
      </w:r>
      <w:r w:rsidRPr="00BB2546">
        <w:rPr>
          <w:rFonts w:ascii="Arial" w:hAnsi="Arial" w:cs="Arial"/>
          <w:sz w:val="22"/>
          <w:szCs w:val="22"/>
        </w:rPr>
        <w:t xml:space="preserve"> country code and its population ranking within the country. </w:t>
      </w:r>
    </w:p>
    <w:p w14:paraId="6BC5973E" w14:textId="77777777" w:rsidR="005469B3" w:rsidRPr="00BB2546" w:rsidRDefault="005469B3"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164822F5" wp14:editId="6871C706">
            <wp:extent cx="5731510" cy="5664835"/>
            <wp:effectExtent l="0" t="0" r="0" b="0"/>
            <wp:docPr id="154507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70567" name=""/>
                    <pic:cNvPicPr/>
                  </pic:nvPicPr>
                  <pic:blipFill>
                    <a:blip r:embed="rId12"/>
                    <a:stretch>
                      <a:fillRect/>
                    </a:stretch>
                  </pic:blipFill>
                  <pic:spPr>
                    <a:xfrm>
                      <a:off x="0" y="0"/>
                      <a:ext cx="5731510" cy="5664835"/>
                    </a:xfrm>
                    <a:prstGeom prst="rect">
                      <a:avLst/>
                    </a:prstGeom>
                  </pic:spPr>
                </pic:pic>
              </a:graphicData>
            </a:graphic>
          </wp:inline>
        </w:drawing>
      </w:r>
    </w:p>
    <w:p w14:paraId="4EB214E3" w14:textId="68922443"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br w:type="page"/>
      </w:r>
    </w:p>
    <w:p w14:paraId="20D82C6C" w14:textId="6182AE9B"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Pr="00BB2546">
        <w:rPr>
          <w:rFonts w:ascii="Arial" w:hAnsi="Arial" w:cs="Arial"/>
          <w:b/>
          <w:bCs/>
          <w:sz w:val="22"/>
          <w:szCs w:val="22"/>
        </w:rPr>
        <w:t>5</w:t>
      </w:r>
      <w:r w:rsidRPr="00BB2546">
        <w:rPr>
          <w:rFonts w:ascii="Arial" w:hAnsi="Arial" w:cs="Arial"/>
          <w:b/>
          <w:bCs/>
          <w:sz w:val="22"/>
          <w:szCs w:val="22"/>
        </w:rPr>
        <w:t>.</w:t>
      </w:r>
      <w:r w:rsidRPr="00BB2546">
        <w:rPr>
          <w:rFonts w:ascii="Arial" w:hAnsi="Arial" w:cs="Arial"/>
          <w:sz w:val="22"/>
          <w:szCs w:val="22"/>
        </w:rPr>
        <w:t xml:space="preserve"> Food intake (kilocalories per person per day, kcal/d) by residence, food group, and region. The residences include food intake across all cities and total intake across urban and rural residences. The geographic regions include North America (NAC), Latin America and the Caribbean (LCN), Europe and Central Asia (ECS), the Middle East and North Africa (MEA), South Asia (SAS), East Asia and the Pacific (EAS), Sub-Saharan Africa (SSF), and a global average (WLD).</w:t>
      </w:r>
    </w:p>
    <w:p w14:paraId="202CEA8D" w14:textId="77777777" w:rsidR="005469B3" w:rsidRPr="00BB2546" w:rsidRDefault="005469B3"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762EE95A" wp14:editId="00BB2280">
            <wp:extent cx="5245739" cy="7358332"/>
            <wp:effectExtent l="0" t="0" r="0" b="0"/>
            <wp:docPr id="193960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02425" name=""/>
                    <pic:cNvPicPr/>
                  </pic:nvPicPr>
                  <pic:blipFill>
                    <a:blip r:embed="rId13"/>
                    <a:stretch>
                      <a:fillRect/>
                    </a:stretch>
                  </pic:blipFill>
                  <pic:spPr>
                    <a:xfrm>
                      <a:off x="0" y="0"/>
                      <a:ext cx="5255996" cy="7372720"/>
                    </a:xfrm>
                    <a:prstGeom prst="rect">
                      <a:avLst/>
                    </a:prstGeom>
                  </pic:spPr>
                </pic:pic>
              </a:graphicData>
            </a:graphic>
          </wp:inline>
        </w:drawing>
      </w:r>
    </w:p>
    <w:p w14:paraId="7C8D1A94" w14:textId="6C8E53B5" w:rsidR="005469B3" w:rsidRPr="00BB2546" w:rsidRDefault="005469B3"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00F52677" w:rsidRPr="00BB2546">
        <w:rPr>
          <w:rFonts w:ascii="Arial" w:hAnsi="Arial" w:cs="Arial"/>
          <w:b/>
          <w:bCs/>
          <w:sz w:val="22"/>
          <w:szCs w:val="22"/>
        </w:rPr>
        <w:t>6</w:t>
      </w:r>
      <w:r w:rsidRPr="00BB2546">
        <w:rPr>
          <w:rFonts w:ascii="Arial" w:hAnsi="Arial" w:cs="Arial"/>
          <w:b/>
          <w:bCs/>
          <w:sz w:val="22"/>
          <w:szCs w:val="22"/>
        </w:rPr>
        <w:t>.</w:t>
      </w:r>
      <w:r w:rsidRPr="00BB2546">
        <w:rPr>
          <w:rFonts w:ascii="Arial" w:hAnsi="Arial" w:cs="Arial"/>
          <w:sz w:val="22"/>
          <w:szCs w:val="22"/>
        </w:rPr>
        <w:t xml:space="preserve"> Reference values for healthy eating expressed as minimum and maximum targets for dietary intake (shown for adults). </w:t>
      </w:r>
    </w:p>
    <w:p w14:paraId="4C4199AC" w14:textId="77777777" w:rsidR="005469B3" w:rsidRPr="00BB2546" w:rsidRDefault="005469B3"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699FD75C" wp14:editId="34443B43">
            <wp:extent cx="3649756" cy="4209535"/>
            <wp:effectExtent l="0" t="0" r="0" b="0"/>
            <wp:docPr id="87576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7801" name=""/>
                    <pic:cNvPicPr/>
                  </pic:nvPicPr>
                  <pic:blipFill>
                    <a:blip r:embed="rId14"/>
                    <a:stretch>
                      <a:fillRect/>
                    </a:stretch>
                  </pic:blipFill>
                  <pic:spPr>
                    <a:xfrm>
                      <a:off x="0" y="0"/>
                      <a:ext cx="3664388" cy="4226411"/>
                    </a:xfrm>
                    <a:prstGeom prst="rect">
                      <a:avLst/>
                    </a:prstGeom>
                  </pic:spPr>
                </pic:pic>
              </a:graphicData>
            </a:graphic>
          </wp:inline>
        </w:drawing>
      </w:r>
    </w:p>
    <w:p w14:paraId="0BB149B5" w14:textId="6C4D5EE2" w:rsidR="00F52677" w:rsidRPr="00BB2546" w:rsidRDefault="00F52677" w:rsidP="007A1C4A">
      <w:pPr>
        <w:spacing w:line="360" w:lineRule="auto"/>
        <w:rPr>
          <w:rFonts w:ascii="Arial" w:hAnsi="Arial" w:cs="Arial"/>
          <w:b/>
          <w:bCs/>
          <w:sz w:val="22"/>
          <w:szCs w:val="22"/>
        </w:rPr>
      </w:pPr>
      <w:r w:rsidRPr="00BB2546">
        <w:rPr>
          <w:rFonts w:ascii="Arial" w:hAnsi="Arial" w:cs="Arial"/>
          <w:b/>
          <w:bCs/>
          <w:sz w:val="22"/>
          <w:szCs w:val="22"/>
        </w:rPr>
        <w:br w:type="page"/>
      </w:r>
    </w:p>
    <w:p w14:paraId="6C989AF6" w14:textId="78924F2D" w:rsidR="00EA06BD" w:rsidRPr="00BB2546" w:rsidRDefault="00F52677"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w:t>
      </w:r>
      <w:r w:rsidR="00321B43" w:rsidRPr="00BB2546">
        <w:rPr>
          <w:rFonts w:ascii="Arial" w:hAnsi="Arial" w:cs="Arial"/>
          <w:b/>
          <w:bCs/>
          <w:sz w:val="22"/>
          <w:szCs w:val="22"/>
        </w:rPr>
        <w:t>Table 7</w:t>
      </w:r>
      <w:r w:rsidRPr="00BB2546">
        <w:rPr>
          <w:rFonts w:ascii="Arial" w:hAnsi="Arial" w:cs="Arial"/>
          <w:b/>
          <w:bCs/>
          <w:sz w:val="22"/>
          <w:szCs w:val="22"/>
        </w:rPr>
        <w:t xml:space="preserve">. </w:t>
      </w:r>
      <w:r w:rsidR="00EA06BD" w:rsidRPr="00BB2546">
        <w:rPr>
          <w:rFonts w:ascii="Arial" w:hAnsi="Arial" w:cs="Arial"/>
          <w:sz w:val="22"/>
          <w:szCs w:val="22"/>
        </w:rPr>
        <w:t xml:space="preserve">Food intake </w:t>
      </w:r>
      <w:r w:rsidR="005B2B43" w:rsidRPr="00BB2546">
        <w:rPr>
          <w:rFonts w:ascii="Arial" w:hAnsi="Arial" w:cs="Arial"/>
          <w:sz w:val="22"/>
          <w:szCs w:val="22"/>
        </w:rPr>
        <w:t xml:space="preserve">in cities </w:t>
      </w:r>
      <w:r w:rsidR="00EA06BD" w:rsidRPr="00BB2546">
        <w:rPr>
          <w:rFonts w:ascii="Arial" w:hAnsi="Arial" w:cs="Arial"/>
          <w:sz w:val="22"/>
          <w:szCs w:val="22"/>
        </w:rPr>
        <w:t>in line with the planetary health diet</w:t>
      </w:r>
      <w:r w:rsidR="00EA06BD" w:rsidRPr="00BB2546">
        <w:rPr>
          <w:rFonts w:ascii="Arial" w:hAnsi="Arial" w:cs="Arial"/>
          <w:sz w:val="22"/>
          <w:szCs w:val="22"/>
        </w:rPr>
        <w:t xml:space="preserve"> by </w:t>
      </w:r>
      <w:r w:rsidR="005B2B43" w:rsidRPr="00BB2546">
        <w:rPr>
          <w:rFonts w:ascii="Arial" w:hAnsi="Arial" w:cs="Arial"/>
          <w:sz w:val="22"/>
          <w:szCs w:val="22"/>
        </w:rPr>
        <w:t xml:space="preserve">unit, </w:t>
      </w:r>
      <w:r w:rsidR="00EA06BD" w:rsidRPr="00BB2546">
        <w:rPr>
          <w:rFonts w:ascii="Arial" w:hAnsi="Arial" w:cs="Arial"/>
          <w:sz w:val="22"/>
          <w:szCs w:val="22"/>
        </w:rPr>
        <w:t xml:space="preserve">food group, and region. The </w:t>
      </w:r>
      <w:r w:rsidR="005B2B43" w:rsidRPr="00BB2546">
        <w:rPr>
          <w:rFonts w:ascii="Arial" w:hAnsi="Arial" w:cs="Arial"/>
          <w:sz w:val="22"/>
          <w:szCs w:val="22"/>
        </w:rPr>
        <w:t xml:space="preserve">units include kilocalories per person per day (kcal/d) and grams per person per day (g/d). </w:t>
      </w:r>
      <w:r w:rsidR="00EA06BD" w:rsidRPr="00BB2546">
        <w:rPr>
          <w:rFonts w:ascii="Arial" w:hAnsi="Arial" w:cs="Arial"/>
          <w:sz w:val="22"/>
          <w:szCs w:val="22"/>
        </w:rPr>
        <w:t>The geographic regions include North America (NAC), Latin America and the Caribbean (LCN), Europe and Central Asia (ECS), the Middle East and North Africa (MEA), South Asia (SAS), East Asia and the Pacific (EAS), Sub-Saharan Africa (SSF), and a global average (WLD).</w:t>
      </w:r>
    </w:p>
    <w:p w14:paraId="2E96F2ED" w14:textId="357DCEBF" w:rsidR="00EA06BD" w:rsidRPr="00BB2546" w:rsidRDefault="00EA06BD" w:rsidP="007A1C4A">
      <w:pPr>
        <w:spacing w:line="360" w:lineRule="auto"/>
        <w:rPr>
          <w:rFonts w:ascii="Arial" w:hAnsi="Arial" w:cs="Arial"/>
          <w:b/>
          <w:bCs/>
          <w:sz w:val="22"/>
          <w:szCs w:val="22"/>
        </w:rPr>
      </w:pPr>
      <w:r w:rsidRPr="00BB2546">
        <w:rPr>
          <w:rFonts w:ascii="Arial" w:hAnsi="Arial" w:cs="Arial"/>
          <w:b/>
          <w:bCs/>
          <w:sz w:val="22"/>
          <w:szCs w:val="22"/>
        </w:rPr>
        <w:drawing>
          <wp:inline distT="0" distB="0" distL="0" distR="0" wp14:anchorId="69AE4056" wp14:editId="7A2E4CAC">
            <wp:extent cx="5087113" cy="6977449"/>
            <wp:effectExtent l="0" t="0" r="5715" b="0"/>
            <wp:docPr id="180077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71428" name=""/>
                    <pic:cNvPicPr/>
                  </pic:nvPicPr>
                  <pic:blipFill>
                    <a:blip r:embed="rId15"/>
                    <a:stretch>
                      <a:fillRect/>
                    </a:stretch>
                  </pic:blipFill>
                  <pic:spPr>
                    <a:xfrm>
                      <a:off x="0" y="0"/>
                      <a:ext cx="5090386" cy="6981938"/>
                    </a:xfrm>
                    <a:prstGeom prst="rect">
                      <a:avLst/>
                    </a:prstGeom>
                  </pic:spPr>
                </pic:pic>
              </a:graphicData>
            </a:graphic>
          </wp:inline>
        </w:drawing>
      </w:r>
    </w:p>
    <w:p w14:paraId="2B655FA6" w14:textId="327BC7DE" w:rsidR="000A57EA" w:rsidRPr="00BB2546" w:rsidRDefault="000A57EA" w:rsidP="007A1C4A">
      <w:pPr>
        <w:spacing w:line="360" w:lineRule="auto"/>
        <w:rPr>
          <w:rFonts w:ascii="Arial" w:hAnsi="Arial" w:cs="Arial"/>
          <w:b/>
          <w:bCs/>
          <w:sz w:val="22"/>
          <w:szCs w:val="22"/>
        </w:rPr>
      </w:pPr>
      <w:r w:rsidRPr="00BB2546">
        <w:rPr>
          <w:rFonts w:ascii="Arial" w:hAnsi="Arial" w:cs="Arial"/>
          <w:b/>
          <w:bCs/>
          <w:sz w:val="22"/>
          <w:szCs w:val="22"/>
        </w:rPr>
        <w:br w:type="page"/>
      </w:r>
    </w:p>
    <w:p w14:paraId="5268C6D4" w14:textId="186D7C49" w:rsidR="000A57EA" w:rsidRPr="007A1C4A" w:rsidRDefault="000A57EA" w:rsidP="007A1C4A">
      <w:pPr>
        <w:pStyle w:val="Heading1"/>
        <w:spacing w:line="360" w:lineRule="auto"/>
        <w:rPr>
          <w:rFonts w:ascii="Arial" w:hAnsi="Arial" w:cs="Arial"/>
          <w:b/>
          <w:bCs/>
          <w:color w:val="000000" w:themeColor="text1"/>
          <w:sz w:val="24"/>
          <w:szCs w:val="24"/>
        </w:rPr>
      </w:pPr>
      <w:bookmarkStart w:id="1" w:name="_Toc217949365"/>
      <w:r w:rsidRPr="007A1C4A">
        <w:rPr>
          <w:rFonts w:ascii="Arial" w:hAnsi="Arial" w:cs="Arial"/>
          <w:b/>
          <w:bCs/>
          <w:color w:val="000000" w:themeColor="text1"/>
          <w:sz w:val="24"/>
          <w:szCs w:val="24"/>
        </w:rPr>
        <w:lastRenderedPageBreak/>
        <w:t>SI.</w:t>
      </w:r>
      <w:r w:rsidRPr="007A1C4A">
        <w:rPr>
          <w:rFonts w:ascii="Arial" w:hAnsi="Arial" w:cs="Arial"/>
          <w:b/>
          <w:bCs/>
          <w:color w:val="000000" w:themeColor="text1"/>
          <w:sz w:val="24"/>
          <w:szCs w:val="24"/>
        </w:rPr>
        <w:t>2</w:t>
      </w:r>
      <w:r w:rsidRPr="007A1C4A">
        <w:rPr>
          <w:rFonts w:ascii="Arial" w:hAnsi="Arial" w:cs="Arial"/>
          <w:b/>
          <w:bCs/>
          <w:color w:val="000000" w:themeColor="text1"/>
          <w:sz w:val="24"/>
          <w:szCs w:val="24"/>
        </w:rPr>
        <w:tab/>
        <w:t xml:space="preserve">Supplementary information on city-level </w:t>
      </w:r>
      <w:r w:rsidRPr="007A1C4A">
        <w:rPr>
          <w:rFonts w:ascii="Arial" w:hAnsi="Arial" w:cs="Arial"/>
          <w:b/>
          <w:bCs/>
          <w:color w:val="000000" w:themeColor="text1"/>
          <w:sz w:val="24"/>
          <w:szCs w:val="24"/>
        </w:rPr>
        <w:t>impact assessments</w:t>
      </w:r>
      <w:bookmarkEnd w:id="1"/>
    </w:p>
    <w:p w14:paraId="5DC73AC7" w14:textId="77777777" w:rsidR="00083667" w:rsidRPr="00BB2546" w:rsidRDefault="00083667" w:rsidP="007A1C4A">
      <w:pPr>
        <w:spacing w:line="360" w:lineRule="auto"/>
        <w:rPr>
          <w:rFonts w:ascii="Arial" w:hAnsi="Arial" w:cs="Arial"/>
          <w:b/>
          <w:bCs/>
          <w:sz w:val="22"/>
          <w:szCs w:val="22"/>
        </w:rPr>
      </w:pPr>
    </w:p>
    <w:p w14:paraId="68DB9F00" w14:textId="28099FCE" w:rsidR="00083667" w:rsidRPr="00BB2546" w:rsidRDefault="00083667" w:rsidP="007A1C4A">
      <w:pPr>
        <w:spacing w:line="360" w:lineRule="auto"/>
        <w:rPr>
          <w:rFonts w:ascii="Arial" w:hAnsi="Arial" w:cs="Arial"/>
          <w:b/>
          <w:bCs/>
          <w:sz w:val="22"/>
          <w:szCs w:val="22"/>
        </w:rPr>
      </w:pPr>
      <w:r w:rsidRPr="00BB2546">
        <w:rPr>
          <w:rFonts w:ascii="Arial" w:hAnsi="Arial" w:cs="Arial"/>
          <w:b/>
          <w:bCs/>
          <w:sz w:val="22"/>
          <w:szCs w:val="22"/>
        </w:rPr>
        <w:t xml:space="preserve">SI Table </w:t>
      </w:r>
      <w:r w:rsidRPr="00BB2546">
        <w:rPr>
          <w:rFonts w:ascii="Arial" w:hAnsi="Arial" w:cs="Arial"/>
          <w:b/>
          <w:bCs/>
          <w:sz w:val="22"/>
          <w:szCs w:val="22"/>
        </w:rPr>
        <w:t>8</w:t>
      </w:r>
      <w:r w:rsidRPr="00BB2546">
        <w:rPr>
          <w:rFonts w:ascii="Arial" w:hAnsi="Arial" w:cs="Arial"/>
          <w:b/>
          <w:bCs/>
          <w:sz w:val="22"/>
          <w:szCs w:val="22"/>
        </w:rPr>
        <w:t xml:space="preserve">. </w:t>
      </w:r>
      <w:r w:rsidRPr="00BB2546">
        <w:rPr>
          <w:rFonts w:ascii="Arial" w:hAnsi="Arial" w:cs="Arial"/>
          <w:sz w:val="22"/>
          <w:szCs w:val="22"/>
        </w:rPr>
        <w:t xml:space="preserve">Environmental footprints by food group and environmental domain. The analysis was based on country-specific footprints. The estimates of food demand </w:t>
      </w:r>
      <w:proofErr w:type="gramStart"/>
      <w:r w:rsidRPr="00BB2546">
        <w:rPr>
          <w:rFonts w:ascii="Arial" w:hAnsi="Arial" w:cs="Arial"/>
          <w:sz w:val="22"/>
          <w:szCs w:val="22"/>
        </w:rPr>
        <w:t>was</w:t>
      </w:r>
      <w:proofErr w:type="gramEnd"/>
      <w:r w:rsidRPr="00BB2546">
        <w:rPr>
          <w:rFonts w:ascii="Arial" w:hAnsi="Arial" w:cs="Arial"/>
          <w:sz w:val="22"/>
          <w:szCs w:val="22"/>
        </w:rPr>
        <w:t xml:space="preserve"> disaggregated to the same food-group detail based on food availability data from the FAO.</w:t>
      </w:r>
    </w:p>
    <w:p w14:paraId="5868602E" w14:textId="3A6D1888" w:rsidR="00403F3E" w:rsidRPr="00BB2546" w:rsidRDefault="00083667"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0652F20D" wp14:editId="1EAF8CDC">
            <wp:extent cx="4408257" cy="4926227"/>
            <wp:effectExtent l="0" t="0" r="0" b="1905"/>
            <wp:docPr id="154623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31965" name=""/>
                    <pic:cNvPicPr/>
                  </pic:nvPicPr>
                  <pic:blipFill>
                    <a:blip r:embed="rId16"/>
                    <a:stretch>
                      <a:fillRect/>
                    </a:stretch>
                  </pic:blipFill>
                  <pic:spPr>
                    <a:xfrm>
                      <a:off x="0" y="0"/>
                      <a:ext cx="4427162" cy="4947353"/>
                    </a:xfrm>
                    <a:prstGeom prst="rect">
                      <a:avLst/>
                    </a:prstGeom>
                  </pic:spPr>
                </pic:pic>
              </a:graphicData>
            </a:graphic>
          </wp:inline>
        </w:drawing>
      </w:r>
    </w:p>
    <w:p w14:paraId="2EDE76E3" w14:textId="77777777" w:rsidR="00BC4A6C" w:rsidRPr="00BB2546" w:rsidRDefault="00BC4A6C" w:rsidP="007A1C4A">
      <w:pPr>
        <w:spacing w:line="360" w:lineRule="auto"/>
        <w:rPr>
          <w:rFonts w:ascii="Arial" w:hAnsi="Arial" w:cs="Arial"/>
          <w:sz w:val="22"/>
          <w:szCs w:val="22"/>
        </w:rPr>
      </w:pPr>
    </w:p>
    <w:p w14:paraId="034374DE" w14:textId="4DE70FE9" w:rsidR="00BC4A6C" w:rsidRPr="00BB2546" w:rsidRDefault="00BC4A6C" w:rsidP="007A1C4A">
      <w:pPr>
        <w:spacing w:line="360" w:lineRule="auto"/>
        <w:rPr>
          <w:rFonts w:ascii="Arial" w:hAnsi="Arial" w:cs="Arial"/>
          <w:sz w:val="22"/>
          <w:szCs w:val="22"/>
        </w:rPr>
      </w:pPr>
      <w:r w:rsidRPr="00BB2546">
        <w:rPr>
          <w:rFonts w:ascii="Arial" w:hAnsi="Arial" w:cs="Arial"/>
          <w:sz w:val="22"/>
          <w:szCs w:val="22"/>
        </w:rPr>
        <w:br w:type="page"/>
      </w:r>
    </w:p>
    <w:p w14:paraId="505B001C" w14:textId="183AAAD9" w:rsidR="00BC4A6C" w:rsidRPr="00BB2546" w:rsidRDefault="00BC4A6C"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w:t>
      </w:r>
      <w:r w:rsidRPr="00BB2546">
        <w:rPr>
          <w:rFonts w:ascii="Arial" w:hAnsi="Arial" w:cs="Arial"/>
          <w:b/>
          <w:bCs/>
          <w:sz w:val="22"/>
          <w:szCs w:val="22"/>
        </w:rPr>
        <w:t xml:space="preserve">Figure </w:t>
      </w:r>
      <w:r w:rsidR="007A73AB" w:rsidRPr="00BB2546">
        <w:rPr>
          <w:rFonts w:ascii="Arial" w:hAnsi="Arial" w:cs="Arial"/>
          <w:b/>
          <w:bCs/>
          <w:sz w:val="22"/>
          <w:szCs w:val="22"/>
        </w:rPr>
        <w:t>1</w:t>
      </w:r>
      <w:r w:rsidRPr="00BB2546">
        <w:rPr>
          <w:rFonts w:ascii="Arial" w:hAnsi="Arial" w:cs="Arial"/>
          <w:b/>
          <w:bCs/>
          <w:sz w:val="22"/>
          <w:szCs w:val="22"/>
        </w:rPr>
        <w:t>.</w:t>
      </w:r>
      <w:r w:rsidRPr="00BB2546">
        <w:rPr>
          <w:rFonts w:ascii="Arial" w:hAnsi="Arial" w:cs="Arial"/>
          <w:sz w:val="22"/>
          <w:szCs w:val="22"/>
        </w:rPr>
        <w:t xml:space="preserve"> Contribution of mitigation measures to simultaneously reduce environmental impacts below environmental limits (planetary boundaries); adapted from Springmann and colleagues </w:t>
      </w:r>
      <w:r w:rsidRPr="00BB2546">
        <w:rPr>
          <w:rFonts w:ascii="Arial" w:hAnsi="Arial" w:cs="Arial"/>
          <w:color w:val="000000"/>
          <w:sz w:val="22"/>
          <w:szCs w:val="22"/>
        </w:rPr>
        <w:fldChar w:fldCharType="begin"/>
      </w:r>
      <w:r w:rsidR="00BB2546" w:rsidRPr="00BB2546">
        <w:rPr>
          <w:rFonts w:ascii="Arial" w:hAnsi="Arial" w:cs="Arial"/>
          <w:color w:val="000000"/>
          <w:sz w:val="22"/>
          <w:szCs w:val="22"/>
        </w:rPr>
        <w:instrText xml:space="preserve"> ADDIN ZOTERO_ITEM CSL_CITATION {"citationID":"1C5ssRFq","properties":{"formattedCitation":"\\super 1\\nosupersub{}","plainCitation":"1","noteIndex":0},"citationItems":[{"id":2124,"uris":["http://zotero.org/users/14122/items/GPS58PPF"],"itemData":{"id":2124,"type":"article-journal","abstract":"The food system is a major driver of climate change, changes in land use, depletion of freshwater resources, and pollution of aquatic and terrestrial ecosystems through excessive nitrogen and phosphorus inputs. Here we show that between 2010 and 2050, as a result of expected changes in population and income levels, the environmental effects of the food system could increase by 50–90% in the absence of technological changes and dedicated mitigation measures, reaching levels that are beyond the planetary boundaries that define a safe operating space for humanity. We analyse several options for reducing the environmental effects of the food system, including dietary changes towards healthier, more plant-based diets, improvements in technologies and management, and reductions in food loss and waste. We find that no single measure is enough to keep these effects within all planetary boundaries simultaneously, and that a synergistic combination of measures will be needed to sufficiently mitigate the projected increase in environmental pressures.","container-title":"Nature","issue":"7728","page":"519–525","title":"Options for keeping the food system within environmental limits","volume":"562","author":[{"family":"Springmann","given":"M."},{"family":"Clark","given":"Michael"},{"family":"Mason-D’Croz","given":"Daniel"},{"family":"Wiebe","given":"Keith"},{"family":"Bodirsky","given":"Benjamin Leon"},{"family":"Lassaletta","given":"Luis"},{"family":"Vries","given":"Wim","dropping-particle":"de"},{"family":"Vermeulen","given":"Sonja J."},{"family":"Herrero","given":"Mario"},{"family":"Carlson","given":"Kimberly M."},{"family":"Jonell","given":"Malin"},{"family":"Troell","given":"Max"},{"family":"DeClerck","given":"Fabrice"},{"family":"Gordon","given":"Line J."},{"family":"Zurayk","given":"Rami"},{"family":"Scarborough","given":"Peter"},{"family":"Rayner","given":"Mike"},{"family":"Loken","given":"Brent"},{"family":"Fanzo","given":"Jess"},{"family":"Godfray","given":"H. Charles J."},{"family":"Tilman","given":"David"},{"family":"Rockström","given":"Johan"},{"family":"Willett","given":"Walter"}],"issued":{"date-parts":[["2018"]]}}}],"schema":"https://github.com/citation-style-language/schema/raw/master/csl-citation.json"} </w:instrText>
      </w:r>
      <w:r w:rsidRPr="00BB2546">
        <w:rPr>
          <w:rFonts w:ascii="Arial" w:hAnsi="Arial" w:cs="Arial"/>
          <w:color w:val="000000"/>
          <w:sz w:val="22"/>
          <w:szCs w:val="22"/>
        </w:rPr>
        <w:fldChar w:fldCharType="separate"/>
      </w:r>
      <w:r w:rsidR="00BB2546" w:rsidRPr="00BB2546">
        <w:rPr>
          <w:rFonts w:ascii="Arial" w:hAnsi="Arial" w:cs="Arial"/>
          <w:color w:val="000000"/>
          <w:kern w:val="0"/>
          <w:sz w:val="22"/>
          <w:szCs w:val="22"/>
          <w:vertAlign w:val="superscript"/>
        </w:rPr>
        <w:t>1</w:t>
      </w:r>
      <w:r w:rsidRPr="00BB2546">
        <w:rPr>
          <w:rFonts w:ascii="Arial" w:hAnsi="Arial" w:cs="Arial"/>
          <w:color w:val="000000"/>
          <w:sz w:val="22"/>
          <w:szCs w:val="22"/>
        </w:rPr>
        <w:fldChar w:fldCharType="end"/>
      </w:r>
      <w:r w:rsidRPr="00BB2546">
        <w:rPr>
          <w:rFonts w:ascii="Arial" w:hAnsi="Arial" w:cs="Arial"/>
          <w:sz w:val="22"/>
          <w:szCs w:val="22"/>
        </w:rPr>
        <w:t xml:space="preserve"> (Figure 4). The mitigation measures include dietary changes to flexitarian diets (FLX), technological improvements of medium (tech) and high ambition (tech+), halving of food loss and waste (w/2), and socioeconomic development with higher income growth and lower population growth (SSP1). The dietary contributions to mitigation in line with staying within planetary boundaries amounted to 70% for GHG emissions, 18% for land use, 19% for water use, 17% for nitrogen application, and 18% for phosphorus application. Normalised to sum to 100% and assigning the contributions of diet-related reduction in nitrogen and phosphorus application to eutrophication (which ecologically is related to both) resulted in weighing fractions of 46% for GHG emissions, 12% each for land use and water use, and 30% for eutrophication potential.</w:t>
      </w:r>
    </w:p>
    <w:p w14:paraId="4E201322" w14:textId="77777777" w:rsidR="00BC4A6C" w:rsidRPr="00BB2546" w:rsidRDefault="00BC4A6C" w:rsidP="007A1C4A">
      <w:pPr>
        <w:pStyle w:val="SMcaption"/>
        <w:spacing w:line="360" w:lineRule="auto"/>
        <w:rPr>
          <w:rFonts w:ascii="Arial" w:hAnsi="Arial" w:cs="Arial"/>
          <w:sz w:val="22"/>
          <w:szCs w:val="22"/>
          <w:lang w:val="en-GB"/>
        </w:rPr>
      </w:pPr>
      <w:r w:rsidRPr="00BB2546">
        <w:rPr>
          <w:rFonts w:ascii="Arial" w:hAnsi="Arial" w:cs="Arial"/>
          <w:noProof/>
          <w:sz w:val="22"/>
          <w:szCs w:val="22"/>
          <w:lang w:val="en-GB"/>
        </w:rPr>
        <w:drawing>
          <wp:inline distT="0" distB="0" distL="0" distR="0" wp14:anchorId="3F8ACB7B" wp14:editId="4AACF624">
            <wp:extent cx="4553712" cy="3058130"/>
            <wp:effectExtent l="0" t="0" r="0" b="3175"/>
            <wp:docPr id="54019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98872" name=""/>
                    <pic:cNvPicPr/>
                  </pic:nvPicPr>
                  <pic:blipFill>
                    <a:blip r:embed="rId17"/>
                    <a:stretch>
                      <a:fillRect/>
                    </a:stretch>
                  </pic:blipFill>
                  <pic:spPr>
                    <a:xfrm>
                      <a:off x="0" y="0"/>
                      <a:ext cx="4563146" cy="3064465"/>
                    </a:xfrm>
                    <a:prstGeom prst="rect">
                      <a:avLst/>
                    </a:prstGeom>
                  </pic:spPr>
                </pic:pic>
              </a:graphicData>
            </a:graphic>
          </wp:inline>
        </w:drawing>
      </w:r>
    </w:p>
    <w:p w14:paraId="345A3E61" w14:textId="3D15865F" w:rsidR="00BC4A6C" w:rsidRPr="00BB2546" w:rsidRDefault="00BC4A6C" w:rsidP="007A1C4A">
      <w:pPr>
        <w:spacing w:line="360" w:lineRule="auto"/>
        <w:rPr>
          <w:rFonts w:ascii="Arial" w:hAnsi="Arial" w:cs="Arial"/>
          <w:sz w:val="22"/>
          <w:szCs w:val="22"/>
        </w:rPr>
      </w:pPr>
      <w:r w:rsidRPr="00BB2546">
        <w:rPr>
          <w:rFonts w:ascii="Arial" w:hAnsi="Arial" w:cs="Arial"/>
          <w:sz w:val="22"/>
          <w:szCs w:val="22"/>
        </w:rPr>
        <w:br w:type="page"/>
      </w:r>
    </w:p>
    <w:p w14:paraId="3C307C8B" w14:textId="16257578" w:rsidR="00BC4A6C" w:rsidRPr="00BB2546" w:rsidRDefault="00BC4A6C" w:rsidP="007A1C4A">
      <w:pPr>
        <w:spacing w:line="360" w:lineRule="auto"/>
        <w:rPr>
          <w:rFonts w:ascii="Arial" w:hAnsi="Arial" w:cs="Arial"/>
          <w:sz w:val="22"/>
          <w:szCs w:val="22"/>
        </w:rPr>
      </w:pPr>
      <w:r w:rsidRPr="00BB2546">
        <w:rPr>
          <w:rFonts w:ascii="Arial" w:hAnsi="Arial" w:cs="Arial"/>
          <w:b/>
          <w:sz w:val="22"/>
          <w:szCs w:val="22"/>
        </w:rPr>
        <w:lastRenderedPageBreak/>
        <w:t xml:space="preserve">SI </w:t>
      </w:r>
      <w:r w:rsidRPr="00BC4A6C">
        <w:rPr>
          <w:rFonts w:ascii="Arial" w:hAnsi="Arial" w:cs="Arial"/>
          <w:b/>
          <w:sz w:val="22"/>
          <w:szCs w:val="22"/>
        </w:rPr>
        <w:t xml:space="preserve">Table </w:t>
      </w:r>
      <w:r w:rsidRPr="00BB2546">
        <w:rPr>
          <w:rFonts w:ascii="Arial" w:hAnsi="Arial" w:cs="Arial"/>
          <w:b/>
          <w:sz w:val="22"/>
          <w:szCs w:val="22"/>
        </w:rPr>
        <w:t>9</w:t>
      </w:r>
      <w:r w:rsidRPr="00BC4A6C">
        <w:rPr>
          <w:rFonts w:ascii="Arial" w:hAnsi="Arial" w:cs="Arial"/>
          <w:b/>
          <w:sz w:val="22"/>
          <w:szCs w:val="22"/>
        </w:rPr>
        <w:t>.</w:t>
      </w:r>
      <w:r w:rsidRPr="00BC4A6C">
        <w:rPr>
          <w:rFonts w:ascii="Arial" w:hAnsi="Arial" w:cs="Arial"/>
          <w:sz w:val="22"/>
          <w:szCs w:val="22"/>
        </w:rPr>
        <w:t xml:space="preserve"> Relative risk parameters (mean and low and high values of 95% confidence intervals) for dietary risks and weight-related risks</w:t>
      </w:r>
      <w:r w:rsidR="00BB2546">
        <w:rPr>
          <w:rFonts w:ascii="Arial" w:hAnsi="Arial" w:cs="Arial"/>
          <w:sz w:val="22"/>
          <w:szCs w:val="22"/>
        </w:rPr>
        <w:t xml:space="preserve"> </w:t>
      </w:r>
      <w:r w:rsidR="00BB2546">
        <w:rPr>
          <w:rFonts w:ascii="Arial" w:hAnsi="Arial" w:cs="Arial"/>
          <w:sz w:val="22"/>
          <w:szCs w:val="22"/>
        </w:rPr>
        <w:fldChar w:fldCharType="begin"/>
      </w:r>
      <w:r w:rsidR="007A1C4A">
        <w:rPr>
          <w:rFonts w:ascii="Arial" w:hAnsi="Arial" w:cs="Arial"/>
          <w:sz w:val="22"/>
          <w:szCs w:val="22"/>
        </w:rPr>
        <w:instrText xml:space="preserve"> ADDIN ZOTERO_ITEM CSL_CITATION {"citationID":"9wXbsyfO","properties":{"formattedCitation":"\\super 2\\uc0\\u8211{}10\\nosupersub{}","plainCitation":"2–10","noteIndex":0},"citationItems":[{"id":"PMXl1Sul/fOep6KV1","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Nutrition","id":"PMXl1Sul/fOep6KV1","issue":"7","issued":{"date-parts":[["2019","10","17"]]},"page":"1071-1090","publisher":"Taylor &amp; Francis","title":"Food groups and risk of coronary heart disease, stroke and heart failure: A systematic review and dose-response meta-analysis of prospective studies","type":"article-journal","volume":"59"}},{"id":"PMXl1Sul/ohv4pXYo","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Epidemiology","id":"PMXl1Sul/ohv4pXYo","issue":"5","issued":{"date-parts":[["2017","5","1"]]},"page":"363-375","publisher":"Springer Netherlands","title":"Food groups and risk of type 2 diabetes mellitus: a systematic review and meta-analysis of prospective studies","type":"article-journal","volume":"32"}},{"id":"PMXl1Sul/is6ErCAO","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Cancer","id":"PMXl1Sul/is6ErCAO","issue":"9","issued":{"date-parts":[["2018","5","1"]]},"page":"1748-1758","publisher":"Wiley-Liss Inc.","title":"Food groups and risk of colorectal cancer","type":"article-journal","volume":"142"}},{"id":814,"uris":["http://zotero.org/users/14122/items/H8ARMGCW"],"itemData":{"id":814,"type":"article-journal","abstract":"Background Questions remain about the strength and shape of the dose-response relationship between fruit and vegetable intake and risk of cardiovascular disease, cancer and mortality, and the effects of specific types of fruit and vegetables. We conducted a systematic review and meta-analysis to clarify these associations. Methods PubMed and Embase were searched up to 29 September 2016. Prospective studies of fruit and vegetable intake and cardiovascular disease, total cancer and all-cause mortality were included. Summary relative risks (RRs) were calculated using a random effects model, and the mortality burden globally was estimated; 95 studies (142 publications) were included. Results For fruits and vegetables combined, the summary RR per 200 g/day was 0.92 [95% confidence interval (CI): 0.90-0.94, I 2 = 0%, n = 15] for coronary heart disease, 0.84 (95% CI: 0.76-0.92, I 2 = 73%, n = 10) for stroke, 0.92 (95% CI: 0.90-0.95, I 2 = 31%, n = 13) for cardiovascular disease, 0.97 (95% CI: 0.95-0.99, I 2 = 49%, n = 12) for total cancer and 0.90 (95% CI: 0.87-0.93, I 2 = 83%, n = 15) for all-cause mortality. Similar associations were observed for fruits and vegetables separately. Reductions in risk were observed up to 800 g/day for all outcomes except cancer (600 g/day). Inverse associations were observed between the intake of apples and pears, citrus fruits, green leafy vegetables, cruciferous vegetables, and salads and cardiovascular disease and all-cause mortality, and between the intake of green-yellow vegetables and cruciferous vegetables and total cancer risk. An estimated 5.6 and 7.8 million premature deaths worldwide in 2013 may be attributable to a fruit and vegetable intake below 500 and 800 g/day, respectively, if the observed associations are causal. Conclusions Fruit and vegetable intakes were associated with reduced risk of cardiovascular disease, cancer and all-cause mortality. These results support public health recommendations to increase fruit and vegetable intake for the prevention of cardiovascular disease, cancer, and premature mortality.","container-title":"International Journal of Epidemiology","issue":"3","page":"1029–1056","title":"Fruit and vegetable intake and the risk of cardiovascular disease, total cancer and all-cause mortality—a systematic review and dose-response meta-analysis of prospective studies","volume":"46","author":[{"family":"Aune","given":"Dagfinn"},{"family":"Giovannucci","given":"Edward"},{"family":"Boffetta","given":"Paolo"},{"family":"Fadnes","given":"Lars T."},{"family":"Keum","given":"NaNa"},{"family":"Norat","given":"Teresa"},{"family":"Greenwood","given":"Darren C."},{"family":"Riboli","given":"Elio"},{"family":"Vatten","given":"Lars J."},{"family":"Tonstad","given":"Serena"}],"issued":{"date-parts":[["2017"]]}}},{"id":813,"uris":["http://zotero.org/users/14122/items/7Q727W7T"],"itemData":{"id":813,"type":"article-journal","abstract":"Objective To quantify the dose-response relation between consumption of whole grain and specific types of grains and the risk of cardiovascular disease, total cancer, and all cause and cause specific mortality. Data sources PubMed and Embase searched up to 3 April 2016. Study selection Prospective studies reporting adjusted relative risk estimates for the association between intake of whole grains or specific types of grains and cardiovascular disease, total cancer, all cause or cause specific mortality. Data synthesis Summary relative risks and 95% confidence intervals calculated with a random effects model. Results 45 studies (64 publications) were included. The summary relative risks per 90 g/day increase in whole grain intake (90 g is equivalent to three servings—for example, two slices of bread and one bowl of cereal or one and a half pieces of pita bread made from whole grains) was 0.81 (95% confidence interval 0.75 to 0.87; I2=9%, n=7 studies) for coronary heart disease, 0.88 (0.75 to 1.03; I2=56%, n=6) for stroke, and 0.78 (0.73 to 0.85; I2=40%, n=10) for cardiovascular disease, with similar results when studies were stratified by whether the outcome was incidence or mortality. The relative risks for morality were 0.85 (0.80 to 0.91; I2=37%, n=6) for total cancer, 0.83 (0.77 to 0.90; I2=83%, n=11) for all causes, 0.78 (0.70 to 0.87; I2=0%, n=4) for respiratory disease, 0.49 (0.23 to 1.05; I2=85%, n=4) for diabetes, 0.74 (0.56 to 0.96; I2=0%, n=3) for infectious diseases, 1.15 (0.66 to 2.02; I2=79%, n=2) for diseases of the nervous system disease, and 0.78 (0.75 to 0.82; I2=0%, n=5) for all non-cardiovascular, non-cancer causes. Reductions in risk were observed up to an intake of 210-225 g/day (seven to seven and a half servings per day) for most of the outcomes. Intakes of specific types of whole grains including whole grain bread, whole grain breakfast cereals, and added bran, as well as total bread and total breakfast cereals were also associated with reduced risks of cardiovascular disease and/or all cause mortality, but there was little evidence of an association with refined grains, white rice, total rice, or total grains. Conclusions This meta-analysis provides further evidence that whole grain intake is associated with a reduced risk of coronary heart disease, cardiovascular disease, and total cancer, and mortality from all causes, respiratory diseases, infectious diseases, diabetes, and all non-cardiovascular, non-cancer causes. These findings support dietary guidelines that recommend increased intake of whole grain to reduce the risk of chronic diseases and premature mortality.","container-title":"BMJ","language":"en","title":"Whole grain consumption and risk of cardiovascular disease, cancer, and all cause and cause specific mortality: systematic review and dose-response meta-analysis of prospective studies","volume":"353","author":[{"family":"Aune","given":"Dagfinn"},{"family":"Keum","given":"NaNa"},{"family":"Giovannucci","given":"Edward"},{"family":"Fadnes","given":"Lars T."},{"family":"Boffetta","given":"Paolo"},{"family":"Greenwood","given":"Darren C."},{"family":"Tonstad","given":"Serena"},{"family":"Vatten","given":"Lars J."},{"family":"Riboli","given":"Elio"},{"family":"Norat","given":"Teresa"}],"issued":{"date-parts":[["2016"]]}}},{"id":817,"uris":["http://zotero.org/users/14122/items/J3RXJWDH"],"itemData":{"id":817,"type":"article-journal","abstract":"BACKGROUND: Although nut consumption has been associated with a reduced risk of cardiovascular disease and all-cause mortality, data on less common causes of death has not been systematically assessed. Previous reviews missed several studies and additional studies have since been published. We therefore conducted a systematic review and meta-analysis of nut consumption and risk of cardiovascular disease, total cancer, and all-cause and cause-specific mortality. METHODS: PubMed and Embase were searched for prospective studies of nut consumption and risk of cardiovascular disease, total cancer, and all-cause and cause-specific mortality in adult populations published up to July 19, 2016. Summary relative risks (RRs) and 95% confidence intervals (CIs) were calculated using random-effects models. The burden of mortality attributable to low nut consumption was calculated for selected regions. RESULTS: Twenty studies (29 publications) were included in the meta-analysis. The summary RRs per 28 grams/day increase in nut intake was for coronary heart disease, 0.71 (95% CI: 0.63-0.80, I(2) = 47%, n = 11), stroke, 0.93 (95% CI: 0.83-1.05, I(2) = 14%, n = 11), cardiovascular disease, 0.79 (95% CI: 0.70-0.88, I(2) = 60%, n = 12), total cancer, 0.85 (95% CI: 0.76-0.94, I(2) = 42%, n = 8), all-cause mortality, 0.78 (95% CI: 0.72-0.84, I(2) = 66%, n = 15), and for mortality from respiratory disease, 0.48 (95% CI: 0.26-0.89, I(2) = 61%, n = 3), diabetes, 0.61 (95% CI: 0.43-0.88, I(2) = 0%, n = 4), neurodegenerative disease, 0.65 (95% CI: 0.40-1.08, I(2) = 5.9%, n = 3), infectious disease, 0.25 (95% CI: 0.07-0.85, I(2) = 54%, n = 2), and kidney disease, 0.27 (95% CI: 0.04-1.91, I(2) = 61%, n = 2). The results were similar for tree nuts and peanuts. If the associations are causal, an estimated 4.4 million premature deaths in the America, Europe, Southeast Asia, and Western Pacific would be attributable to a nut intake below 20 grams per day in 2013. CONCLUSIONS: Higher nut intake is associated with reduced risk of cardiovascular disease, total cancer and all-cause mortality, and mortality from respiratory disease, diabetes, and infections.","container-title":"BMC Medicine","issue":"1","language":"eng","page":"207","title":"Nut consumption and risk of cardiovascular disease, total cancer, all-cause and cause-specific mortality: a systematic review and dose-response meta-analysis of prospective studies","volume":"14","author":[{"family":"Aune","given":"Dagfinn"},{"family":"Keum","given":"NaNa"},{"family":"Giovannucci","given":"Edward"},{"family":"Fadnes","given":"Lars T."},{"family":"Boffetta","given":"Paolo"},{"family":"Greenwood","given":"Darren C."},{"family":"Tonstad","given":"Serena"},{"family":"Vatten","given":"Lars J."},{"family":"Riboli","given":"Elio"},{"family":"Norat","given":"Teresa"}],"issued":{"date-parts":[["2016"]]}}},{"id":460,"uris":["http://zotero.org/users/14122/items/9FSHJQHC"],"itemData":{"id":460,"type":"article-journal","abstract":"Background: Relations between the consumption of nuts and legumes and risk of ischemic heart disease (IHD), stroke, and diabetes have not been well established. Objective: We systematically investigated and quantified associations of nut and legume consumption with incident IHD, stroke, and diabetes. Design: We systematically searched multiple databases to identify randomized controlled trials or observational studies that examined the relations. Studies were excluded if they reported only intermediate physiologic measures, soft cardiovascular outcomes, or crude risk estimates. Data were extracted independently and in duplicate. We assessed pooled dose-response relations by using a generalized least-squares trend estimation, and prespecified sources of heterogeneity were assessed by using metaregression. The potential for publication bias was explored by using funnel plots, Begg's and Egger's tests, and Duval and Tweedie trim-and-fill methods. Results: Of 3851 abstracts, 25 observational studies (23 prospective and 2 retrospective studies) and 2 trial reports met inclusion criteria and comprised 501,791 unique individuals and 11,869 IHD, 8244 stroke, and 14,449 diabetes events. The consumption of nuts was inversely associated with fatal IHD (6 studies; 6749 events; RR per 4 weekly 28.4-g servings: 0.76; 95% CI: 0.69, 0.84; I2 = 28%), nonfatal IHD (4 studies; 2101 events; RR: 0.78; 0.67, 0.92; I2 = 0%), and diabetes (6 studies; 13,308 events; RR: 0.87; 0.81,0.94; I2 = 22%) but not stroke (4 studies; 5544 events). Legume consumption was inversely associated with total IHD (5 studies; 6514 events; RR per 4 weekly 100-g servings: 0.86; 0.78, 0.94; I2 = 0%) but not significantly associated with stroke (6 studies; 6690 events) or diabetes (2 studies; 2746 events). A meta-regression did not identify the effect modification by age, duration of follow-up, study location, or study quality. Mixed evidence was seen for publication bias, but analyses by using the Duval and Tweedie trim-and-fill method did not appreciably alter results. Conclusion: This systematic review supports inverse associations between eating nuts and incident IHD and diabetes and eating legumes and incident IHD.","container-title":"The American Journal of Clinical Nutrition","language":"en","page":"ajcn.076901","title":"Consumption of nuts and legumes and risk of incident ischemic heart disease, stroke, and diabetes: a systematic review and meta-analysis","author":[{"family":"Afshin","given":"Ashkan"},{"family":"Micha","given":"Renata"},{"family":"Khatibzadeh","given":"Shahab"},{"family":"Mozaffarian","given":"Dariush"}],"issued":{"date-parts":[["2014"]]}}},{"id":1957,"uris":["http://zotero.org/users/14122/items/9UCP8HS2"],"itemData":{"id":1957,"type":"article-journal","abstract":"BACKGROUND Overweight and obesity are increasing worldwide. To help assess their relevance to mortality in different populations we conducted individual-participant data meta-analyses of prospective studies of body-mass index (BMI), limiting confounding and reverse causality by restricting analyses to never-smokers and excluding pre-existing disease and the first 5 years of follow-up. METHODS Of 10 625 411 participants in Asia, Australia and New Zealand, Europe, and North America from 239 prospective studies (median follow-up 13·7 years, IQR 11·4-14·7), 3 951 455 people in 189 studies were never-smokers without chronic diseases at recruitment who survived 5 years, of whom 385 879 died. The primary analyses are of these deaths, and study, age, and sex adjusted hazard ratios (HRs), relative to BMI 22·5-\\textless25·0 kg/m(2). FINDINGS All-cause mortality was minimal at 20·0-25·0 kg/m(2) (HR 1·00, 95% CI 0·98-1·02 for BMI 20·0-\\textless22·5 kg/m(2); 1·00, 0·99-1·01 for BMI 22·5-\\textless25·0 kg/m(2)), and increased significantly both just below this range (1·13, 1·09-1·17 for BMI 18·5-\\textless20·0 kg/m(2); 1·51, 1·43-1·59 for BMI 15·0-\\textless18·5) and throughout the overweight range (1·07, 1·07-1·08 for BMI 25·0-\\textless27·5 kg/m(2); 1·20, 1·18-1·22 for BMI 27·5-\\textless30·0 kg/m(2)). The HR for obesity grade 1 (BMI 30·0-\\textless35·0 kg/m(2)) was 1·45, 95% CI 1·41-1·48; the HR for obesity grade 2 (35·0-\\textless40·0 kg/m(2)) was 1·94, 1·87-2·01; and the HR for obesity grade 3 (40·0-\\textless60·0 kg/m(2)) was 2·76, 2·60-2·92. For BMI over 25·0 kg/m(2), mortality increased approximately log-linearly with BMI; the HR per 5 kg/m(2) units higher BMI was 1·39 (1·34-1·43) in Europe, 1·29 (1·26-1·32) in North America, 1·39 (1·34-1·44) in east Asia, and 1·31 (1·27-1·35) in Australia and New Zealand. This HR per 5 kg/m(2) units higher BMI (for BMI over 25 kg/m(2)) was greater in younger than older people (1·52, 95% CI 1·47-1·56, for BMI measured at 35-49 years vs 1·21, 1·17-1·25, for BMI measured at 70-89 years; pheterogeneity\\textless0·0001), greater in men than women (1·51, 1·46-1·56, vs 1·30, 1·26-1·33; pheterogeneity\\textless0·0001), but similar in studies with self-reported and measured BMI. INTERPRETATION The associations of both overweight and obesity with higher all-cause mortality were broadly consistent in four continents. This finding supports strategies to combat the entire spectrum of excess adiposity in many populations. FUNDING UK Medical Research Council, British Heart Foundation, National Institute for Health Research, US National Institu…","container-title":"The Lancet","issue":"10046","page":"776–86","title":"Body-mass index and all-cause mortality: individual-participant-data meta-analysis of 239 prospective studies in four continents","volume":"388","author":[{"family":"Global BMI Mortality Collaboration","given":""},{"family":"Angelantonio","given":"Emanuele Di"},{"family":"Bhupathiraju","given":"Shilpa"},{"family":"Wormser","given":"David"},{"family":"Gao","given":"Pei"},{"family":"Kaptoge","given":"Stephen"},{"family":"Gonzalez","given":"Amy Berrington","dropping-particle":"de"},{"family":"Cairns","given":"Benjamin"},{"family":"Huxley","given":"Rachel"},{"family":"Jackson","given":"Chandra"},{"family":"Joshy","given":"Grace"},{"family":"Lewington","given":"Sarah"},{"family":"Manson","given":"JoAnn"},{"family":"Murphy","given":"Neil"},{"family":"Patel","given":"Alpa"},{"family":"Samet","given":"Jonathan"},{"family":"Woodward","given":"Mark"},{"family":"Zheng","given":"Wei"},{"family":"Zhou","given":"Maigen"},{"family":"Bansal","given":"Narinder"},{"family":"Barricarte","given":"Aurelio"},{"family":"Carter","given":"Brian"},{"family":"Cerhan","given":"James"},{"family":"Smith","given":"George"},{"family":"Fang","given":"Xianghua"},{"family":"Franco","given":"Oscar"},{"family":"Green","given":"Jane"},{"family":"Halsey","given":"Jim"},{"family":"Hildebrand","given":"Janet"},{"family":"Jung","given":"Keum"},{"family":"Korda","given":"Rosemary"},{"family":"McLerran","given":"Dale"},{"family":"Moore","given":"Steven"},{"family":"O'Keeffe","given":"Linda"},{"family":"Paige","given":"Ellie"},{"family":"Ramond","given":"Anna"},{"family":"Reeves","given":"Gillian"},{"family":"Rolland","given":"Betsy"},{"family":"Sacerdote","given":"Carlotta"},{"family":"Sattar","given":"Naveed"},{"family":"Sofianopoulou","given":"Eleni"},{"family":"Stevens","given":"June"},{"family":"Thun","given":"Michael"},{"family":"Ueshima","given":"Hirotsugu"},{"family":"Yang","given":"Ling"},{"family":"Yun","given":"Young"},{"family":"Willeit","given":"Peter"},{"family":"Banks","given":"Emily"},{"family":"Beral","given":"Valerie"},{"family":"Chen","given":"Zhengming"},{"family":"Gapstur","given":"Susan"},{"family":"Gunter","given":"Marc"},{"family":"Hartge","given":"Patricia"},{"family":"Jee","given":"Sun"},{"family":"Lam","given":"Tai-Hing"},{"family":"Peto","given":"Richard"},{"family":"Potter","given":"John"},{"family":"Willett","given":"Walter"},{"family":"Thompson","given":"Simon"},{"family":"Danesh","given":"John"},{"family":"Hu","given":"Frank"}],"issued":{"date-parts":[["2016"]]}}},{"id":1956,"uris":["http://zotero.org/users/14122/items/IZKPZYDD"],"itemData":{"id":1956,"type":"article-journal","abstract":"BACKGROUND: The main associations of body-mass index (BMI) with overall and cause-specific mortality can best be assessed by long-term prospective follow-up of large numbers of people. The Prospective Studies Collaboration aimed to investigate these associations by sharing data from many studies. METHODS: Collaborative analyses were undertaken of baseline BMI versus mortality in 57 prospective studies with 894 576 participants, mostly in western Europe and North America (61% [n=541 452] male, mean recruitment age 46 [SD 11] years, median recruitment year 1979 [IQR 1975-85], mean BMI 25 [SD 4] kg/m(2)). The analyses were adjusted for age, sex, smoking status, and study. To limit reverse causality, the first 5 years of follow-up were excluded, leaving 66 552 deaths of known cause during a mean of 8 (SD 6) further years of follow-up (mean age at death 67 [SD 10] years): 30 416 vascular; 2070 diabetic, renal or hepatic; 22 592 neoplastic; 3770 respiratory; 7704 other. FINDINGS: In both sexes, mortality was lowest at about 22.5-25 kg/m(2). Above this range, positive associations were recorded for several specific causes and inverse associations for none, the absolute excess risks for higher BMI and smoking were roughly additive, and each 5 kg/m(2) higher BMI was on average associated with about 30% higher overall mortality (hazard ratio per 5 kg/m(2) [HR] 1.29 [95% CI 1.27-1.32]): 40% for vascular mortality (HR 1.41 [1.37-1.45]); 60-120% for diabetic, renal, and hepatic mortality (HRs 2.16 [1.89-2.46], 1.59 [1.27-1.99], and 1.82 [1.59-2.09], respectively); 10% for neoplastic mortality (HR 1.10 [1.06-1.15]); and 20% for respiratory and for all other mortality (HRs 1.20 [1.07-1.34] and 1.20 [1.16-1.25], respectively). Below the range 22.5-25 kg/m(2), BMI was associated inversely with overall mortality, mainly because of strong inverse associations with respiratory disease and lung cancer. These inverse associations were much stronger for smokers than for non-smokers, despite cigarette consumption per smoker varying little with BMI. INTERPRETATION: Although other anthropometric measures (eg, waist circumference, waist-to-hip ratio) could well add extra information to BMI, and BMI to them, BMI is in itself a strong predictor of overall mortality both above and below the apparent optimum of about 22.5-25 kg/m(2). The progressive excess mortality above this range is due mainly to vascular disease and is probably largely causal. At 30-35 kg/m(2), median survival is…","container-title":"The Lancet","issue":"9669","page":"1083–1096","title":"Body-mass index and cause-specific mortality in 900 000 adults: collaborative analyses of 57 prospective studies","volume":"373","author":[{"family":"Prospective Studies Collaboration","given":""},{"family":"Whitlock","given":"Gary"},{"family":"Lewington","given":"Sarah"},{"family":"Sherliker","given":"Paul"},{"family":"Clarke","given":"Robert"},{"family":"Emberson","given":"Jonathan"},{"family":"Halsey","given":"Jim"},{"family":"Qizilbash","given":"Nawab"},{"family":"Collins","given":"Rory"},{"family":"Peto","given":"Richard"}],"issued":{"date-parts":[["2009"]]}}}],"schema":"https://github.com/citation-style-language/schema/raw/master/csl-citation.json"} </w:instrText>
      </w:r>
      <w:r w:rsidR="00BB2546">
        <w:rPr>
          <w:rFonts w:ascii="Arial" w:hAnsi="Arial" w:cs="Arial"/>
          <w:sz w:val="22"/>
          <w:szCs w:val="22"/>
        </w:rPr>
        <w:fldChar w:fldCharType="separate"/>
      </w:r>
      <w:r w:rsidR="00BB2546" w:rsidRPr="00BB2546">
        <w:rPr>
          <w:rFonts w:ascii="Arial" w:hAnsi="Arial" w:cs="Arial"/>
          <w:kern w:val="0"/>
          <w:sz w:val="22"/>
          <w:vertAlign w:val="superscript"/>
        </w:rPr>
        <w:t>2–10</w:t>
      </w:r>
      <w:r w:rsidR="00BB2546">
        <w:rPr>
          <w:rFonts w:ascii="Arial" w:hAnsi="Arial" w:cs="Arial"/>
          <w:sz w:val="22"/>
          <w:szCs w:val="22"/>
        </w:rPr>
        <w:fldChar w:fldCharType="end"/>
      </w:r>
      <w:r w:rsidRPr="00BC4A6C">
        <w:rPr>
          <w:rFonts w:ascii="Arial" w:hAnsi="Arial" w:cs="Arial"/>
          <w:sz w:val="22"/>
          <w:szCs w:val="22"/>
        </w:rPr>
        <w:t xml:space="preserve">. </w:t>
      </w:r>
    </w:p>
    <w:p w14:paraId="7DD0D20F" w14:textId="4F178AB3" w:rsidR="00BC4A6C" w:rsidRPr="00BB2546" w:rsidRDefault="00BC4A6C" w:rsidP="007A1C4A">
      <w:pPr>
        <w:spacing w:line="360" w:lineRule="auto"/>
        <w:rPr>
          <w:rFonts w:ascii="Arial" w:hAnsi="Arial" w:cs="Arial"/>
          <w:sz w:val="22"/>
          <w:szCs w:val="22"/>
        </w:rPr>
      </w:pPr>
      <w:r w:rsidRPr="00BB2546">
        <w:rPr>
          <w:rFonts w:ascii="Arial" w:hAnsi="Arial" w:cs="Arial"/>
          <w:i/>
          <w:noProof/>
          <w:sz w:val="22"/>
          <w:szCs w:val="22"/>
        </w:rPr>
        <w:drawing>
          <wp:inline distT="0" distB="0" distL="0" distR="0" wp14:anchorId="5530DB9A" wp14:editId="3811AEC4">
            <wp:extent cx="5601730" cy="7365537"/>
            <wp:effectExtent l="0" t="0" r="0" b="635"/>
            <wp:docPr id="595288177" name="Picture 59528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441" cy="7388825"/>
                    </a:xfrm>
                    <a:prstGeom prst="rect">
                      <a:avLst/>
                    </a:prstGeom>
                  </pic:spPr>
                </pic:pic>
              </a:graphicData>
            </a:graphic>
          </wp:inline>
        </w:drawing>
      </w:r>
    </w:p>
    <w:p w14:paraId="2A04DCE2" w14:textId="179A98C7" w:rsidR="00BC4A6C" w:rsidRPr="00BB2546" w:rsidRDefault="00BC4A6C" w:rsidP="007A1C4A">
      <w:pPr>
        <w:spacing w:line="360" w:lineRule="auto"/>
        <w:rPr>
          <w:rFonts w:ascii="Arial" w:hAnsi="Arial" w:cs="Arial"/>
          <w:sz w:val="22"/>
          <w:szCs w:val="22"/>
        </w:rPr>
      </w:pPr>
      <w:r w:rsidRPr="00BB2546">
        <w:rPr>
          <w:rFonts w:ascii="Arial" w:hAnsi="Arial" w:cs="Arial"/>
          <w:sz w:val="22"/>
          <w:szCs w:val="22"/>
        </w:rPr>
        <w:br w:type="page"/>
      </w:r>
    </w:p>
    <w:p w14:paraId="19610E73" w14:textId="77777777" w:rsidR="00BC4A6C" w:rsidRPr="00BC4A6C" w:rsidRDefault="00BC4A6C" w:rsidP="007A1C4A">
      <w:pPr>
        <w:spacing w:line="360" w:lineRule="auto"/>
        <w:rPr>
          <w:rFonts w:ascii="Arial" w:hAnsi="Arial" w:cs="Arial"/>
          <w:sz w:val="22"/>
          <w:szCs w:val="22"/>
        </w:rPr>
      </w:pPr>
    </w:p>
    <w:p w14:paraId="3B7411D7" w14:textId="3DD0B694" w:rsidR="00BC4A6C" w:rsidRPr="00BC4A6C" w:rsidRDefault="00BC4A6C" w:rsidP="007A1C4A">
      <w:pPr>
        <w:spacing w:line="360" w:lineRule="auto"/>
        <w:rPr>
          <w:rFonts w:ascii="Arial" w:hAnsi="Arial" w:cs="Arial"/>
          <w:sz w:val="22"/>
          <w:szCs w:val="22"/>
        </w:rPr>
      </w:pPr>
      <w:r w:rsidRPr="00BB2546">
        <w:rPr>
          <w:rFonts w:ascii="Arial" w:hAnsi="Arial" w:cs="Arial"/>
          <w:b/>
          <w:bCs/>
          <w:sz w:val="22"/>
          <w:szCs w:val="22"/>
        </w:rPr>
        <w:t xml:space="preserve">SI </w:t>
      </w:r>
      <w:r w:rsidRPr="00BC4A6C">
        <w:rPr>
          <w:rFonts w:ascii="Arial" w:hAnsi="Arial" w:cs="Arial"/>
          <w:b/>
          <w:bCs/>
          <w:sz w:val="22"/>
          <w:szCs w:val="22"/>
        </w:rPr>
        <w:t xml:space="preserve">Table </w:t>
      </w:r>
      <w:r w:rsidRPr="00BB2546">
        <w:rPr>
          <w:rFonts w:ascii="Arial" w:hAnsi="Arial" w:cs="Arial"/>
          <w:b/>
          <w:bCs/>
          <w:sz w:val="22"/>
          <w:szCs w:val="22"/>
        </w:rPr>
        <w:t>10</w:t>
      </w:r>
      <w:r w:rsidRPr="00BC4A6C">
        <w:rPr>
          <w:rFonts w:ascii="Arial" w:hAnsi="Arial" w:cs="Arial"/>
          <w:b/>
          <w:bCs/>
          <w:sz w:val="22"/>
          <w:szCs w:val="22"/>
        </w:rPr>
        <w:t>.</w:t>
      </w:r>
      <w:r w:rsidRPr="00BC4A6C">
        <w:rPr>
          <w:rFonts w:ascii="Arial" w:hAnsi="Arial" w:cs="Arial"/>
          <w:sz w:val="22"/>
          <w:szCs w:val="22"/>
        </w:rPr>
        <w:t xml:space="preserve"> Overview of existing ratings on the certainty of evidence for a statistically significant association between a risk factor and a disease endpoint. The ratings include those of the Nutrition and Chronic Diseases Expert Group (</w:t>
      </w:r>
      <w:proofErr w:type="spellStart"/>
      <w:r w:rsidRPr="00BC4A6C">
        <w:rPr>
          <w:rFonts w:ascii="Arial" w:hAnsi="Arial" w:cs="Arial"/>
          <w:sz w:val="22"/>
          <w:szCs w:val="22"/>
        </w:rPr>
        <w:t>NutriCoDE</w:t>
      </w:r>
      <w:proofErr w:type="spellEnd"/>
      <w:r w:rsidRPr="00BC4A6C">
        <w:rPr>
          <w:rFonts w:ascii="Arial" w:hAnsi="Arial" w:cs="Arial"/>
          <w:sz w:val="22"/>
          <w:szCs w:val="22"/>
        </w:rPr>
        <w:t>)</w:t>
      </w:r>
      <w:r w:rsidRPr="00BC4A6C">
        <w:rPr>
          <w:rFonts w:ascii="Arial" w:hAnsi="Arial" w:cs="Arial"/>
          <w:sz w:val="22"/>
          <w:szCs w:val="22"/>
        </w:rPr>
        <w:fldChar w:fldCharType="begin" w:fldLock="1"/>
      </w:r>
      <w:r w:rsidR="00BB2546">
        <w:rPr>
          <w:rFonts w:ascii="Arial" w:hAnsi="Arial" w:cs="Arial"/>
          <w:sz w:val="22"/>
          <w:szCs w:val="22"/>
        </w:rPr>
        <w:instrText xml:space="preserve"> ADDIN ZOTERO_ITEM CSL_CITATION {"citationID":"0RspTSjg","properties":{"formattedCitation":"\\super 11\\nosupersub{}","plainCitation":"11","noteIndex":0},"citationItems":[{"id":"PMXl1Sul/oGyPvXns","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ONE","editor":[{"dropping-particle":"","family":"Kiechl","given":"Stefan","non-dropping-particle":"","parse-names":false,"suffix":""}],"id":"ITEM-1","issue":"4","issued":{"date-parts":[["2017","10","3"]]},"language":"en","page":"e0175149","title":"Etiologic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(NutriCoDE)","type":"article-journal","volume":"12"}}],"schema":"https://github.com/citation-style-language/schema/raw/master/csl-citation.json"} </w:instrText>
      </w:r>
      <w:r w:rsidRPr="00BC4A6C">
        <w:rPr>
          <w:rFonts w:ascii="Arial" w:hAnsi="Arial" w:cs="Arial"/>
          <w:sz w:val="22"/>
          <w:szCs w:val="22"/>
        </w:rPr>
        <w:fldChar w:fldCharType="separate"/>
      </w:r>
      <w:r w:rsidR="00BB2546" w:rsidRPr="00BB2546">
        <w:rPr>
          <w:rFonts w:ascii="Arial" w:hAnsi="Arial" w:cs="Arial"/>
          <w:kern w:val="0"/>
          <w:sz w:val="22"/>
          <w:vertAlign w:val="superscript"/>
        </w:rPr>
        <w:t>11</w:t>
      </w:r>
      <w:r w:rsidRPr="00BC4A6C">
        <w:rPr>
          <w:rFonts w:ascii="Arial" w:hAnsi="Arial" w:cs="Arial"/>
          <w:sz w:val="22"/>
          <w:szCs w:val="22"/>
        </w:rPr>
        <w:fldChar w:fldCharType="end"/>
      </w:r>
      <w:r w:rsidRPr="00BC4A6C">
        <w:rPr>
          <w:rFonts w:ascii="Arial" w:hAnsi="Arial" w:cs="Arial"/>
          <w:sz w:val="22"/>
          <w:szCs w:val="22"/>
        </w:rPr>
        <w:t xml:space="preserve"> </w:t>
      </w:r>
      <w:r w:rsidR="00BB2546">
        <w:rPr>
          <w:rFonts w:ascii="Arial" w:hAnsi="Arial" w:cs="Arial"/>
          <w:sz w:val="22"/>
          <w:szCs w:val="22"/>
        </w:rPr>
        <w:t xml:space="preserve">, </w:t>
      </w:r>
      <w:r w:rsidRPr="00BC4A6C">
        <w:rPr>
          <w:rFonts w:ascii="Arial" w:hAnsi="Arial" w:cs="Arial"/>
          <w:sz w:val="22"/>
          <w:szCs w:val="22"/>
        </w:rPr>
        <w:t>the World Cancer Research Fund</w:t>
      </w:r>
      <w:r w:rsidRPr="00BC4A6C">
        <w:rPr>
          <w:rFonts w:ascii="Arial" w:hAnsi="Arial" w:cs="Arial"/>
          <w:sz w:val="22"/>
          <w:szCs w:val="22"/>
        </w:rPr>
        <w:fldChar w:fldCharType="begin" w:fldLock="1"/>
      </w:r>
      <w:r w:rsidR="00BB2546">
        <w:rPr>
          <w:rFonts w:ascii="Arial" w:hAnsi="Arial" w:cs="Arial"/>
          <w:sz w:val="22"/>
          <w:szCs w:val="22"/>
        </w:rPr>
        <w:instrText xml:space="preserve"> ADDIN ZOTERO_ITEM CSL_CITATION {"citationID":"PKcFT1uM","properties":{"formattedCitation":"\\super 12\\nosupersub{}","plainCitation":"12","noteIndex":0},"citationItems":[{"id":"PMXl1Sul/uWzrnXUh","uris":["http://www.mendeley.com/documents/?uuid=f3f01bfb-0d50-32f1-a09f-ceec3af2993b",["http://www.mendeley.com/documents/?uuid=f3f01bfb-0d50-32f1-a09f-ceec3af2993b"]],"itemData":{"author":[{"dropping-particle":"","family":"World Cancer Research Fund/American Institute for Cancer Research","given":"","non-dropping-particle":"","parse-names":false,"suffix":""}],"id":"ITEM-1","issued":{"date-parts":[["2018"]]},"title":"Diet, Nutrition, Physical Activity and Cancer: A Global Perspective. Continuous Update Project Expert Report","type":"article-journal"}}],"schema":"https://github.com/citation-style-language/schema/raw/master/csl-citation.json"} </w:instrText>
      </w:r>
      <w:r w:rsidRPr="00BC4A6C">
        <w:rPr>
          <w:rFonts w:ascii="Arial" w:hAnsi="Arial" w:cs="Arial"/>
          <w:sz w:val="22"/>
          <w:szCs w:val="22"/>
        </w:rPr>
        <w:fldChar w:fldCharType="separate"/>
      </w:r>
      <w:r w:rsidR="00BB2546" w:rsidRPr="00BB2546">
        <w:rPr>
          <w:rFonts w:ascii="Arial" w:hAnsi="Arial" w:cs="Arial"/>
          <w:kern w:val="0"/>
          <w:sz w:val="22"/>
          <w:vertAlign w:val="superscript"/>
        </w:rPr>
        <w:t>12</w:t>
      </w:r>
      <w:r w:rsidRPr="00BC4A6C">
        <w:rPr>
          <w:rFonts w:ascii="Arial" w:hAnsi="Arial" w:cs="Arial"/>
          <w:sz w:val="22"/>
          <w:szCs w:val="22"/>
        </w:rPr>
        <w:fldChar w:fldCharType="end"/>
      </w:r>
      <w:r w:rsidRPr="00BC4A6C">
        <w:rPr>
          <w:rFonts w:ascii="Arial" w:hAnsi="Arial" w:cs="Arial"/>
          <w:sz w:val="22"/>
          <w:szCs w:val="22"/>
        </w:rPr>
        <w:t xml:space="preserve"> </w:t>
      </w:r>
      <w:r w:rsidR="00BB2546">
        <w:rPr>
          <w:rFonts w:ascii="Arial" w:hAnsi="Arial" w:cs="Arial"/>
          <w:sz w:val="22"/>
          <w:szCs w:val="22"/>
        </w:rPr>
        <w:t xml:space="preserve">, </w:t>
      </w:r>
      <w:r w:rsidRPr="00BC4A6C">
        <w:rPr>
          <w:rFonts w:ascii="Arial" w:hAnsi="Arial" w:cs="Arial"/>
          <w:sz w:val="22"/>
          <w:szCs w:val="22"/>
        </w:rPr>
        <w:t xml:space="preserve">and </w:t>
      </w:r>
      <w:proofErr w:type="spellStart"/>
      <w:r w:rsidRPr="00BC4A6C">
        <w:rPr>
          <w:rFonts w:ascii="Arial" w:hAnsi="Arial" w:cs="Arial"/>
          <w:sz w:val="22"/>
          <w:szCs w:val="22"/>
        </w:rPr>
        <w:t>NutriGrade</w:t>
      </w:r>
      <w:proofErr w:type="spellEnd"/>
      <w:r w:rsidR="00BB2546">
        <w:rPr>
          <w:rFonts w:ascii="Arial" w:hAnsi="Arial" w:cs="Arial"/>
          <w:sz w:val="22"/>
          <w:szCs w:val="22"/>
        </w:rPr>
        <w:t xml:space="preserve"> </w:t>
      </w:r>
      <w:r w:rsidRPr="00BC4A6C">
        <w:rPr>
          <w:rFonts w:ascii="Arial" w:hAnsi="Arial" w:cs="Arial"/>
          <w:sz w:val="22"/>
          <w:szCs w:val="22"/>
        </w:rPr>
        <w:fldChar w:fldCharType="begin" w:fldLock="1"/>
      </w:r>
      <w:r w:rsidR="00BB2546">
        <w:rPr>
          <w:rFonts w:ascii="Arial" w:hAnsi="Arial" w:cs="Arial"/>
          <w:sz w:val="22"/>
          <w:szCs w:val="22"/>
        </w:rPr>
        <w:instrText xml:space="preserve"> ADDIN ZOTERO_ITEM CSL_CITATION {"citationID":"blf6SG9J","properties":{"formattedCitation":"\\super 2\\uc0\\u8211{}4\\nosupersub{}","plainCitation":"2–4","noteIndex":0},"citationItems":[{"id":"PMXl1Sul/fOep6KV1","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Nutrition","id":"ITEM-1","issue":"7","issued":{"date-parts":[["2019","10","17"]]},"page":"1071-1090","publisher":"Taylor &amp; Francis","title":"Food groups and risk of coronary heart disease, stroke and heart failure: A systematic review and dose-response meta-analysis of prospective studies","type":"article-journal","volume":"59"}},{"id":"PMXl1Sul/ohv4pXYo","uris":["http://www.mendeley.com/documents/?uuid=ba4fcacc-f1c5-3030-ade7-aa63e34b8ebb",["http://www.mendeley.com/documents/?uuid=ba4fcacc-f1c5-3030-ade7-aa63e34b8ebb"]],"itemData":{"DOI":"10.1007/s10654-017-0246-y","ISSN":"15737284","PMID":"28397016","abstract":"The aim of this systematic review and meta-analysis was to synthesize the knowledge about the relation between intake of 12 major food groups and risk of type 2 diabetes (T2D). We conducted a systematic search in PubMed, Embase, Medline (Ovid), Cochrane Central, and Google Scholar for prospective studies investigating the association between whole grains, refined grains, vegetables, fruits, nuts, legumes, eggs, dairy, fish, red meat, processed meat, and sugar-sweetened beverages (SSB) on risk of T2D. Summary relative risks were estimated using a random effects model by contrasting categories, and for linear and non-linear dose–response relationships. Six out of the 12 food-groups showed a significant relation with risk of T2D, three of them a decrease of risk with increasing consumption (whole grains, fruits, and dairy), and three an increase of risk with increasing consumption (red meat, processed meat, and SSB) in the linear dose–response meta-analysis. There was evidence of a non-linear relationship between fruits, vegetables, processed meat, whole grains, and SSB and T2D risk. Optimal consumption of risk-decreasing foods resulted in a 42% reduction, and consumption of risk-increasing foods was associated with a threefold T2D risk, compared to non-consumption. The meta-evidence was graded “low” for legumes and nuts; “moderate” for refined grains, vegetables, fruit, eggs, dairy, and fish; and “high” for processed meat, red meat, whole grains, and SSB. Among the investigated food groups, selecting specific optimal intakes can lead to a considerable change in risk of T2D.","author":[{"dropping-particle":"","family":"Schwingshackl","given":"Lukas","non-dropping-particle":"","parse-names":false,"suffix":""},{"dropping-particle":"","family":"Hoffmann","given":"Georg","non-dropping-particle":"","parse-names":false,"suffix":""},{"dropping-particle":"","family":"Lampousi","given":"Anna Maria","non-dropping-particle":"","parse-names":false,"suffix":""},{"dropping-particle":"","family":"Knüppel","given":"Sven","non-dropping-particle":"","parse-names":false,"suffix":""},{"dropping-particle":"","family":"Iqbal","given":"Khalid","non-dropping-particle":"","parse-names":false,"suffix":""},{"dropping-particle":"","family":"Schwedhelm","given":"Carolina","non-dropping-particle":"","parse-names":false,"suffix":""},{"dropping-particle":"","family":"Bechthold","given":"Angela","non-dropping-particle":"","parse-names":false,"suffix":""},{"dropping-particle":"","family":"Schlesinger","given":"Sabrina","non-dropping-particle":"","parse-names":false,"suffix":""},{"dropping-particle":"","family":"Boeing","given":"Heiner","non-dropping-particle":"","parse-names":false,"suffix":""}],"container-title":"European Journal of Epidemiology","id":"ITEM-2","issue":"5","issued":{"date-parts":[["2017","5","1"]]},"page":"363-375","publisher":"Springer Netherlands","title":"Food groups and risk of type 2 diabetes mellitus: a systematic review and meta-analysis of prospective studies","type":"article-journal","volume":"32"}},{"id":"PMXl1Sul/is6ErCAO","uris":["http://www.mendeley.com/documents/?uuid=bdd9c8da-ff28-31d3-9ce7-abf0cba8378b",["http://www.mendeley.com/documents/?uuid=bdd9c8da-ff28-31d3-9ce7-abf0cba8378b"]],"itemData":{"DOI":"10.1002/ijc.31198","ISSN":"10970215","PMID":"29210053","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 = 9 studies), vegetables (RR100g/d: 0.97, 95% CI 0.96, 0.98; n = 15), fruit (RR100g/d: 0.97, 95% CI 0.95, 0.99; n = 16) and dairy (RR200g/d: 0.93, 95% CI 0.91, 0.94; n = 15), while a positive association for red meat (RR100g/d: 1.12, 95% CI 1.06, 1.19; n = 21) and processed meat (RR50g/d: 1.17, 95% CI 1.10, 1.23; n = 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Cancer","id":"ITEM-3","issue":"9","issued":{"date-parts":[["2018","5","1"]]},"page":"1748-1758","publisher":"Wiley-Liss Inc.","title":"Food groups and risk of colorectal cancer","type":"article-journal","volume":"142"}}],"schema":"https://github.com/citation-style-language/schema/raw/master/csl-citation.json"} </w:instrText>
      </w:r>
      <w:r w:rsidRPr="00BC4A6C">
        <w:rPr>
          <w:rFonts w:ascii="Arial" w:hAnsi="Arial" w:cs="Arial"/>
          <w:sz w:val="22"/>
          <w:szCs w:val="22"/>
        </w:rPr>
        <w:fldChar w:fldCharType="separate"/>
      </w:r>
      <w:r w:rsidR="00BB2546" w:rsidRPr="00BB2546">
        <w:rPr>
          <w:rFonts w:ascii="Arial" w:hAnsi="Arial" w:cs="Arial"/>
          <w:kern w:val="0"/>
          <w:sz w:val="22"/>
          <w:vertAlign w:val="superscript"/>
        </w:rPr>
        <w:t>2–4</w:t>
      </w:r>
      <w:r w:rsidRPr="00BC4A6C">
        <w:rPr>
          <w:rFonts w:ascii="Arial" w:hAnsi="Arial" w:cs="Arial"/>
          <w:sz w:val="22"/>
          <w:szCs w:val="22"/>
        </w:rPr>
        <w:fldChar w:fldCharType="end"/>
      </w:r>
      <w:r w:rsidR="00BB2546">
        <w:rPr>
          <w:rFonts w:ascii="Arial" w:hAnsi="Arial" w:cs="Arial"/>
          <w:sz w:val="22"/>
          <w:szCs w:val="22"/>
        </w:rPr>
        <w:t>.</w:t>
      </w:r>
      <w:r w:rsidRPr="00BC4A6C">
        <w:rPr>
          <w:rFonts w:ascii="Arial" w:hAnsi="Arial" w:cs="Arial"/>
          <w:sz w:val="22"/>
          <w:szCs w:val="22"/>
        </w:rPr>
        <w:t xml:space="preserve"> </w:t>
      </w:r>
    </w:p>
    <w:p w14:paraId="6EDD4A8E" w14:textId="77777777" w:rsidR="00BC4A6C" w:rsidRPr="00BC4A6C" w:rsidRDefault="00BC4A6C" w:rsidP="007A1C4A">
      <w:pPr>
        <w:spacing w:line="360" w:lineRule="auto"/>
        <w:rPr>
          <w:rFonts w:ascii="Arial" w:hAnsi="Arial" w:cs="Arial"/>
          <w:sz w:val="22"/>
          <w:szCs w:val="22"/>
        </w:rPr>
      </w:pPr>
      <w:r w:rsidRPr="00BC4A6C">
        <w:rPr>
          <w:rFonts w:ascii="Arial" w:hAnsi="Arial" w:cs="Arial"/>
          <w:sz w:val="22"/>
          <w:szCs w:val="22"/>
        </w:rPr>
        <w:drawing>
          <wp:inline distT="0" distB="0" distL="0" distR="0" wp14:anchorId="3A82278B" wp14:editId="0A98E213">
            <wp:extent cx="5725297" cy="5465229"/>
            <wp:effectExtent l="0" t="0" r="2540" b="0"/>
            <wp:docPr id="1259906745" name="Picture 125990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4177" cy="5502343"/>
                    </a:xfrm>
                    <a:prstGeom prst="rect">
                      <a:avLst/>
                    </a:prstGeom>
                  </pic:spPr>
                </pic:pic>
              </a:graphicData>
            </a:graphic>
          </wp:inline>
        </w:drawing>
      </w:r>
    </w:p>
    <w:p w14:paraId="20E3D97F" w14:textId="1D0D1B4D" w:rsidR="00FD33F9" w:rsidRPr="00BB2546" w:rsidRDefault="00FD33F9" w:rsidP="007A1C4A">
      <w:pPr>
        <w:spacing w:line="360" w:lineRule="auto"/>
        <w:rPr>
          <w:rFonts w:ascii="Arial" w:hAnsi="Arial" w:cs="Arial"/>
          <w:sz w:val="22"/>
          <w:szCs w:val="22"/>
        </w:rPr>
      </w:pPr>
      <w:r w:rsidRPr="00BB2546">
        <w:rPr>
          <w:rFonts w:ascii="Arial" w:hAnsi="Arial" w:cs="Arial"/>
          <w:sz w:val="22"/>
          <w:szCs w:val="22"/>
        </w:rPr>
        <w:br w:type="page"/>
      </w:r>
    </w:p>
    <w:p w14:paraId="37B777C9" w14:textId="21EF354D" w:rsidR="00FD33F9" w:rsidRPr="00BB2546" w:rsidRDefault="00FD33F9"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w:t>
      </w:r>
      <w:r w:rsidRPr="00BC4A6C">
        <w:rPr>
          <w:rFonts w:ascii="Arial" w:hAnsi="Arial" w:cs="Arial"/>
          <w:b/>
          <w:bCs/>
          <w:sz w:val="22"/>
          <w:szCs w:val="22"/>
        </w:rPr>
        <w:t xml:space="preserve">Table </w:t>
      </w:r>
      <w:r w:rsidRPr="00BB2546">
        <w:rPr>
          <w:rFonts w:ascii="Arial" w:hAnsi="Arial" w:cs="Arial"/>
          <w:b/>
          <w:bCs/>
          <w:sz w:val="22"/>
          <w:szCs w:val="22"/>
        </w:rPr>
        <w:t>1</w:t>
      </w:r>
      <w:r w:rsidRPr="00BB2546">
        <w:rPr>
          <w:rFonts w:ascii="Arial" w:hAnsi="Arial" w:cs="Arial"/>
          <w:b/>
          <w:bCs/>
          <w:sz w:val="22"/>
          <w:szCs w:val="22"/>
        </w:rPr>
        <w:t>1</w:t>
      </w:r>
      <w:r w:rsidRPr="00BC4A6C">
        <w:rPr>
          <w:rFonts w:ascii="Arial" w:hAnsi="Arial" w:cs="Arial"/>
          <w:b/>
          <w:bCs/>
          <w:sz w:val="22"/>
          <w:szCs w:val="22"/>
        </w:rPr>
        <w:t>.</w:t>
      </w:r>
      <w:r w:rsidRPr="00BC4A6C">
        <w:rPr>
          <w:rFonts w:ascii="Arial" w:hAnsi="Arial" w:cs="Arial"/>
          <w:sz w:val="22"/>
          <w:szCs w:val="22"/>
        </w:rPr>
        <w:t xml:space="preserve"> </w:t>
      </w:r>
      <w:r w:rsidRPr="00BB2546">
        <w:rPr>
          <w:rFonts w:ascii="Arial" w:hAnsi="Arial" w:cs="Arial"/>
          <w:sz w:val="22"/>
          <w:szCs w:val="22"/>
        </w:rPr>
        <w:t xml:space="preserve">Theoretical minimal risk exposure levels </w:t>
      </w:r>
      <w:r w:rsidR="005364A3" w:rsidRPr="00BB2546">
        <w:rPr>
          <w:rFonts w:ascii="Arial" w:hAnsi="Arial" w:cs="Arial"/>
          <w:sz w:val="22"/>
          <w:szCs w:val="22"/>
        </w:rPr>
        <w:t xml:space="preserve">for </w:t>
      </w:r>
      <w:r w:rsidR="00B964D4" w:rsidRPr="00BB2546">
        <w:rPr>
          <w:rFonts w:ascii="Arial" w:hAnsi="Arial" w:cs="Arial"/>
          <w:sz w:val="22"/>
          <w:szCs w:val="22"/>
        </w:rPr>
        <w:t xml:space="preserve">dietary </w:t>
      </w:r>
      <w:r w:rsidRPr="00BB2546">
        <w:rPr>
          <w:rFonts w:ascii="Arial" w:hAnsi="Arial" w:cs="Arial"/>
          <w:sz w:val="22"/>
          <w:szCs w:val="22"/>
        </w:rPr>
        <w:t>risk factor</w:t>
      </w:r>
      <w:r w:rsidR="002A48DD" w:rsidRPr="00BB2546">
        <w:rPr>
          <w:rFonts w:ascii="Arial" w:hAnsi="Arial" w:cs="Arial"/>
          <w:sz w:val="22"/>
          <w:szCs w:val="22"/>
        </w:rPr>
        <w:t xml:space="preserve"> in adults</w:t>
      </w:r>
      <w:r w:rsidRPr="00BB2546">
        <w:rPr>
          <w:rFonts w:ascii="Arial" w:hAnsi="Arial" w:cs="Arial"/>
          <w:sz w:val="22"/>
          <w:szCs w:val="22"/>
        </w:rPr>
        <w:t xml:space="preserve">. </w:t>
      </w:r>
      <w:r w:rsidR="00B964D4" w:rsidRPr="00BB2546">
        <w:rPr>
          <w:rFonts w:ascii="Arial" w:hAnsi="Arial" w:cs="Arial"/>
          <w:sz w:val="22"/>
          <w:szCs w:val="22"/>
        </w:rPr>
        <w:t xml:space="preserve">A risk of disease </w:t>
      </w:r>
      <w:r w:rsidRPr="00BB2546">
        <w:rPr>
          <w:rFonts w:ascii="Arial" w:hAnsi="Arial" w:cs="Arial"/>
          <w:sz w:val="22"/>
          <w:szCs w:val="22"/>
        </w:rPr>
        <w:t>is</w:t>
      </w:r>
      <w:r w:rsidR="00B964D4" w:rsidRPr="00BB2546">
        <w:rPr>
          <w:rFonts w:ascii="Arial" w:hAnsi="Arial" w:cs="Arial"/>
          <w:sz w:val="22"/>
          <w:szCs w:val="22"/>
        </w:rPr>
        <w:t xml:space="preserve"> assumed to be present for </w:t>
      </w:r>
      <w:r w:rsidRPr="00BB2546">
        <w:rPr>
          <w:rFonts w:ascii="Arial" w:hAnsi="Arial" w:cs="Arial"/>
          <w:sz w:val="22"/>
          <w:szCs w:val="22"/>
        </w:rPr>
        <w:t xml:space="preserve">intake below </w:t>
      </w:r>
      <w:r w:rsidR="00B964D4" w:rsidRPr="00BB2546">
        <w:rPr>
          <w:rFonts w:ascii="Arial" w:hAnsi="Arial" w:cs="Arial"/>
          <w:sz w:val="22"/>
          <w:szCs w:val="22"/>
        </w:rPr>
        <w:t>(</w:t>
      </w:r>
      <w:r w:rsidRPr="00BB2546">
        <w:rPr>
          <w:rFonts w:ascii="Arial" w:hAnsi="Arial" w:cs="Arial"/>
          <w:sz w:val="22"/>
          <w:szCs w:val="22"/>
        </w:rPr>
        <w:t>fruits, vegetables, legumes, nuts and seeds, whole grains</w:t>
      </w:r>
      <w:r w:rsidR="00B964D4" w:rsidRPr="00BB2546">
        <w:rPr>
          <w:rFonts w:ascii="Arial" w:hAnsi="Arial" w:cs="Arial"/>
          <w:sz w:val="22"/>
          <w:szCs w:val="22"/>
        </w:rPr>
        <w:t>) or above (</w:t>
      </w:r>
      <w:r w:rsidRPr="00BB2546">
        <w:rPr>
          <w:rFonts w:ascii="Arial" w:hAnsi="Arial" w:cs="Arial"/>
          <w:sz w:val="22"/>
          <w:szCs w:val="22"/>
        </w:rPr>
        <w:t>red meat</w:t>
      </w:r>
      <w:r w:rsidR="00B964D4" w:rsidRPr="00BB2546">
        <w:rPr>
          <w:rFonts w:ascii="Arial" w:hAnsi="Arial" w:cs="Arial"/>
          <w:sz w:val="22"/>
          <w:szCs w:val="22"/>
        </w:rPr>
        <w:t>,</w:t>
      </w:r>
      <w:r w:rsidRPr="00BB2546">
        <w:rPr>
          <w:rFonts w:ascii="Arial" w:hAnsi="Arial" w:cs="Arial"/>
          <w:sz w:val="22"/>
          <w:szCs w:val="22"/>
        </w:rPr>
        <w:t xml:space="preserve"> processed meat</w:t>
      </w:r>
      <w:r w:rsidR="00B964D4" w:rsidRPr="00BB2546">
        <w:rPr>
          <w:rFonts w:ascii="Arial" w:hAnsi="Arial" w:cs="Arial"/>
          <w:sz w:val="22"/>
          <w:szCs w:val="22"/>
        </w:rPr>
        <w:t>) these values</w:t>
      </w:r>
      <w:r w:rsidR="007A1C4A">
        <w:rPr>
          <w:rFonts w:ascii="Arial" w:hAnsi="Arial" w:cs="Arial"/>
          <w:sz w:val="22"/>
          <w:szCs w:val="22"/>
        </w:rPr>
        <w:t xml:space="preserve"> </w:t>
      </w:r>
      <w:r w:rsidR="007A1C4A">
        <w:rPr>
          <w:rFonts w:ascii="Arial" w:hAnsi="Arial" w:cs="Arial"/>
          <w:sz w:val="22"/>
          <w:szCs w:val="22"/>
        </w:rPr>
        <w:fldChar w:fldCharType="begin"/>
      </w:r>
      <w:r w:rsidR="007A1C4A">
        <w:rPr>
          <w:rFonts w:ascii="Arial" w:hAnsi="Arial" w:cs="Arial"/>
          <w:sz w:val="22"/>
          <w:szCs w:val="22"/>
        </w:rPr>
        <w:instrText xml:space="preserve"> ADDIN ZOTERO_ITEM CSL_CITATION {"citationID":"4ZEo0sIS","properties":{"formattedCitation":"\\super 2,5\\uc0\\u8211{}8,11,13\\nosupersub{}","plainCitation":"2,5–8,11,13","noteIndex":0},"citationItems":[{"id":"PMXl1Sul/fOep6KV1","uris":["http://www.mendeley.com/documents/?uuid=cb63f780-e59e-3150-938d-88988d23d5ea",["http://www.mendeley.com/documents/?uuid=cb63f780-e59e-3150-938d-88988d23d5ea"]],"itemData":{"DOI":"10.1080/10408398.2017.1392288","ISSN":"1040-8398","abstract":"ABSTRACTBackground: Despite growing evidence for food-based dietary patterns' potential to reduce cardiovascular disease risk, knowledge about the amounts of food associated with the greatest change in risk of specific cardiovascular outcomes and about the quality of meta-evidence is limited. Therefore, the aim of this meta-analysis was to synthesize the knowledge about the relation between intake of 12 major food groups (whole grains, refined grains, vegetables, fruits, nuts, legumes, eggs, dairy, fish, red meat, processed meat, and sugar-sweetened beverages [SSB]) and the risk of coronary heart disease (CHD), stroke and heart failure (HF).Methods: We conducted a systematic search in PubMed and Embase up to March 2017 for prospective studies. Summary risk ratios (RRs) and 95% confidence intervals (95% CI) were estimated using a random effects model for highest versus lowest intake categories, as well as for linear and non-linear relationships.Results: Overall, 123 reports were included in the meta-analys...","author":[{"dropping-particle":"","family":"Bechthold","given":"Angela","non-dropping-particle":"","parse-names":false,"suffix":""},{"dropping-particle":"","family":"Boeing","given":"Heiner","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Iqbal","given":"Khalid","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Schlesinger","given":"Sabrina","non-dropping-particle":"","parse-names":false,"suffix":""},{"dropping-particle":"","family":"Schwingshackl","given":"Lukas","non-dropping-particle":"","parse-names":false,"suffix":""}],"container-title":"Critical Reviews in Food Science and Nutrition","id":"PMXl1Sul/fOep6KV1","issue":"7","issued":{"date-parts":[["2019","10","17"]]},"page":"1071-1090","publisher":"Taylor &amp; Francis","title":"Food groups and risk of coronary heart disease, stroke and heart failure: A systematic review and dose-response meta-analysis of prospective studies","type":"article-journal","volume":"59"}},{"id":814,"uris":["http://zotero.org/users/14122/items/H8ARMGCW"],"itemData":{"id":814,"type":"article-journal","abstract":"Background Questions remain about the strength and shape of the dose-response relationship between fruit and vegetable intake and risk of cardiovascular disease, cancer and mortality, and the effects of specific types of fruit and vegetables. We conducted a systematic review and meta-analysis to clarify these associations. Methods PubMed and Embase were searched up to 29 September 2016. Prospective studies of fruit and vegetable intake and cardiovascular disease, total cancer and all-cause mortality were included. Summary relative risks (RRs) were calculated using a random effects model, and the mortality burden globally was estimated; 95 studies (142 publications) were included. Results For fruits and vegetables combined, the summary RR per 200 g/day was 0.92 [95% confidence interval (CI): 0.90-0.94, I 2 = 0%, n = 15] for coronary heart disease, 0.84 (95% CI: 0.76-0.92, I 2 = 73%, n = 10) for stroke, 0.92 (95% CI: 0.90-0.95, I 2 = 31%, n = 13) for cardiovascular disease, 0.97 (95% CI: 0.95-0.99, I 2 = 49%, n = 12) for total cancer and 0.90 (95% CI: 0.87-0.93, I 2 = 83%, n = 15) for all-cause mortality. Similar associations were observed for fruits and vegetables separately. Reductions in risk were observed up to 800 g/day for all outcomes except cancer (600 g/day). Inverse associations were observed between the intake of apples and pears, citrus fruits, green leafy vegetables, cruciferous vegetables, and salads and cardiovascular disease and all-cause mortality, and between the intake of green-yellow vegetables and cruciferous vegetables and total cancer risk. An estimated 5.6 and 7.8 million premature deaths worldwide in 2013 may be attributable to a fruit and vegetable intake below 500 and 800 g/day, respectively, if the observed associations are causal. Conclusions Fruit and vegetable intakes were associated with reduced risk of cardiovascular disease, cancer and all-cause mortality. These results support public health recommendations to increase fruit and vegetable intake for the prevention of cardiovascular disease, cancer, and premature mortality.","container-title":"International Journal of Epidemiology","issue":"3","page":"1029–1056","title":"Fruit and vegetable intake and the risk of cardiovascular disease, total cancer and all-cause mortality—a systematic review and dose-response meta-analysis of prospective studies","volume":"46","author":[{"family":"Aune","given":"Dagfinn"},{"family":"Giovannucci","given":"Edward"},{"family":"Boffetta","given":"Paolo"},{"family":"Fadnes","given":"Lars T."},{"family":"Keum","given":"NaNa"},{"family":"Norat","given":"Teresa"},{"family":"Greenwood","given":"Darren C."},{"family":"Riboli","given":"Elio"},{"family":"Vatten","given":"Lars J."},{"family":"Tonstad","given":"Serena"}],"issued":{"date-parts":[["2017"]]}}},{"id":813,"uris":["http://zotero.org/users/14122/items/7Q727W7T"],"itemData":{"id":813,"type":"article-journal","abstract":"Objective To quantify the dose-response relation between consumption of whole grain and specific types of grains and the risk of cardiovascular disease, total cancer, and all cause and cause specific mortality. Data sources PubMed and Embase searched up to 3 April 2016. Study selection Prospective studies reporting adjusted relative risk estimates for the association between intake of whole grains or specific types of grains and cardiovascular disease, total cancer, all cause or cause specific mortality. Data synthesis Summary relative risks and 95% confidence intervals calculated with a random effects model. Results 45 studies (64 publications) were included. The summary relative risks per 90 g/day increase in whole grain intake (90 g is equivalent to three servings—for example, two slices of bread and one bowl of cereal or one and a half pieces of pita bread made from whole grains) was 0.81 (95% confidence interval 0.75 to 0.87; I2=9%, n=7 studies) for coronary heart disease, 0.88 (0.75 to 1.03; I2=56%, n=6) for stroke, and 0.78 (0.73 to 0.85; I2=40%, n=10) for cardiovascular disease, with similar results when studies were stratified by whether the outcome was incidence or mortality. The relative risks for morality were 0.85 (0.80 to 0.91; I2=37%, n=6) for total cancer, 0.83 (0.77 to 0.90; I2=83%, n=11) for all causes, 0.78 (0.70 to 0.87; I2=0%, n=4) for respiratory disease, 0.49 (0.23 to 1.05; I2=85%, n=4) for diabetes, 0.74 (0.56 to 0.96; I2=0%, n=3) for infectious diseases, 1.15 (0.66 to 2.02; I2=79%, n=2) for diseases of the nervous system disease, and 0.78 (0.75 to 0.82; I2=0%, n=5) for all non-cardiovascular, non-cancer causes. Reductions in risk were observed up to an intake of 210-225 g/day (seven to seven and a half servings per day) for most of the outcomes. Intakes of specific types of whole grains including whole grain bread, whole grain breakfast cereals, and added bran, as well as total bread and total breakfast cereals were also associated with reduced risks of cardiovascular disease and/or all cause mortality, but there was little evidence of an association with refined grains, white rice, total rice, or total grains. Conclusions This meta-analysis provides further evidence that whole grain intake is associated with a reduced risk of coronary heart disease, cardiovascular disease, and total cancer, and mortality from all causes, respiratory diseases, infectious diseases, diabetes, and all non-cardiovascular, non-cancer causes. These findings support dietary guidelines that recommend increased intake of whole grain to reduce the risk of chronic diseases and premature mortality.","container-title":"BMJ","language":"en","title":"Whole grain consumption and risk of cardiovascular disease, cancer, and all cause and cause specific mortality: systematic review and dose-response meta-analysis of prospective studies","volume":"353","author":[{"family":"Aune","given":"Dagfinn"},{"family":"Keum","given":"NaNa"},{"family":"Giovannucci","given":"Edward"},{"family":"Fadnes","given":"Lars T."},{"family":"Boffetta","given":"Paolo"},{"family":"Greenwood","given":"Darren C."},{"family":"Tonstad","given":"Serena"},{"family":"Vatten","given":"Lars J."},{"family":"Riboli","given":"Elio"},{"family":"Norat","given":"Teresa"}],"issued":{"date-parts":[["2016"]]}}},{"id":817,"uris":["http://zotero.org/users/14122/items/J3RXJWDH"],"itemData":{"id":817,"type":"article-journal","abstract":"BACKGROUND: Although nut consumption has been associated with a reduced risk of cardiovascular disease and all-cause mortality, data on less common causes of death has not been systematically assessed. Previous reviews missed several studies and additional studies have since been published. We therefore conducted a systematic review and meta-analysis of nut consumption and risk of cardiovascular disease, total cancer, and all-cause and cause-specific mortality. METHODS: PubMed and Embase were searched for prospective studies of nut consumption and risk of cardiovascular disease, total cancer, and all-cause and cause-specific mortality in adult populations published up to July 19, 2016. Summary relative risks (RRs) and 95% confidence intervals (CIs) were calculated using random-effects models. The burden of mortality attributable to low nut consumption was calculated for selected regions. RESULTS: Twenty studies (29 publications) were included in the meta-analysis. The summary RRs per 28 grams/day increase in nut intake was for coronary heart disease, 0.71 (95% CI: 0.63-0.80, I(2) = 47%, n = 11), stroke, 0.93 (95% CI: 0.83-1.05, I(2) = 14%, n = 11), cardiovascular disease, 0.79 (95% CI: 0.70-0.88, I(2) = 60%, n = 12), total cancer, 0.85 (95% CI: 0.76-0.94, I(2) = 42%, n = 8), all-cause mortality, 0.78 (95% CI: 0.72-0.84, I(2) = 66%, n = 15), and for mortality from respiratory disease, 0.48 (95% CI: 0.26-0.89, I(2) = 61%, n = 3), diabetes, 0.61 (95% CI: 0.43-0.88, I(2) = 0%, n = 4), neurodegenerative disease, 0.65 (95% CI: 0.40-1.08, I(2) = 5.9%, n = 3), infectious disease, 0.25 (95% CI: 0.07-0.85, I(2) = 54%, n = 2), and kidney disease, 0.27 (95% CI: 0.04-1.91, I(2) = 61%, n = 2). The results were similar for tree nuts and peanuts. If the associations are causal, an estimated 4.4 million premature deaths in the America, Europe, Southeast Asia, and Western Pacific would be attributable to a nut intake below 20 grams per day in 2013. CONCLUSIONS: Higher nut intake is associated with reduced risk of cardiovascular disease, total cancer and all-cause mortality, and mortality from respiratory disease, diabetes, and infections.","container-title":"BMC Medicine","issue":"1","language":"eng","page":"207","title":"Nut consumption and risk of cardiovascular disease, total cancer, all-cause and cause-specific mortality: a systematic review and dose-response meta-analysis of prospective studies","volume":"14","author":[{"family":"Aune","given":"Dagfinn"},{"family":"Keum","given":"NaNa"},{"family":"Giovannucci","given":"Edward"},{"family":"Fadnes","given":"Lars T."},{"family":"Boffetta","given":"Paolo"},{"family":"Greenwood","given":"Darren C."},{"family":"Tonstad","given":"Serena"},{"family":"Vatten","given":"Lars J."},{"family":"Riboli","given":"Elio"},{"family":"Norat","given":"Teresa"}],"issued":{"date-parts":[["2016"]]}}},{"id":460,"uris":["http://zotero.org/users/14122/items/9FSHJQHC"],"itemData":{"id":460,"type":"article-journal","abstract":"Background: Relations between the consumption of nuts and legumes and risk of ischemic heart disease (IHD), stroke, and diabetes have not been well established. Objective: We systematically investigated and quantified associations of nut and legume consumption with incident IHD, stroke, and diabetes. Design: We systematically searched multiple databases to identify randomized controlled trials or observational studies that examined the relations. Studies were excluded if they reported only intermediate physiologic measures, soft cardiovascular outcomes, or crude risk estimates. Data were extracted independently and in duplicate. We assessed pooled dose-response relations by using a generalized least-squares trend estimation, and prespecified sources of heterogeneity were assessed by using metaregression. The potential for publication bias was explored by using funnel plots, Begg's and Egger's tests, and Duval and Tweedie trim-and-fill methods. Results: Of 3851 abstracts, 25 observational studies (23 prospective and 2 retrospective studies) and 2 trial reports met inclusion criteria and comprised 501,791 unique individuals and 11,869 IHD, 8244 stroke, and 14,449 diabetes events. The consumption of nuts was inversely associated with fatal IHD (6 studies; 6749 events; RR per 4 weekly 28.4-g servings: 0.76; 95% CI: 0.69, 0.84; I2 = 28%), nonfatal IHD (4 studies; 2101 events; RR: 0.78; 0.67, 0.92; I2 = 0%), and diabetes (6 studies; 13,308 events; RR: 0.87; 0.81,0.94; I2 = 22%) but not stroke (4 studies; 5544 events). Legume consumption was inversely associated with total IHD (5 studies; 6514 events; RR per 4 weekly 100-g servings: 0.86; 0.78, 0.94; I2 = 0%) but not significantly associated with stroke (6 studies; 6690 events) or diabetes (2 studies; 2746 events). A meta-regression did not identify the effect modification by age, duration of follow-up, study location, or study quality. Mixed evidence was seen for publication bias, but analyses by using the Duval and Tweedie trim-and-fill method did not appreciably alter results. Conclusion: This systematic review supports inverse associations between eating nuts and incident IHD and diabetes and eating legumes and incident IHD.","container-title":"The American Journal of Clinical Nutrition","language":"en","page":"ajcn.076901","title":"Consumption of nuts and legumes and risk of incident ischemic heart disease, stroke, and diabetes: a systematic review and meta-analysis","author":[{"family":"Afshin","given":"Ashkan"},{"family":"Micha","given":"Renata"},{"family":"Khatibzadeh","given":"Shahab"},{"family":"Mozaffarian","given":"Dariush"}],"issued":{"date-parts":[["2014"]]}}},{"id":"PMXl1Sul/oGyPvXns","uris":["http://www.mendeley.com/documents/?uuid=0f067f83-2d4b-47d5-a28e-4332e6c44add",["http://www.mendeley.com/documents/?uuid=0f067f83-2d4b-47d5-a28e-4332e6c44add"]],"itemData":{"DOI":"10.1371/journal.pone.0175149","ISSN":"1932-6203","author":[{"dropping-particle":"","family":"Micha","given":"Renata","non-dropping-particle":"","parse-names":false,"suffix":""},{"dropping-particle":"","family":"Shulkin","given":"Masha L","non-dropping-particle":"","parse-names":false,"suffix":""},{"dropping-particle":"","family":"Peñalvo","given":"Jose L","non-dropping-particle":"","parse-names":false,"suffix":""},{"dropping-particle":"","family":"Khatibzadeh","given":"Shahab","non-dropping-particle":"","parse-names":false,"suffix":""},{"dropping-particle":"","family":"Singh","given":"Gitanjali M","non-dropping-particle":"","parse-names":false,"suffix":""},{"dropping-particle":"","family":"Rao","given":"Mayuree","non-dropping-particle":"","parse-names":false,"suffix":""},{"dropping-particle":"","family":"Fahimi","given":"Saman","non-dropping-particle":"","parse-names":false,"suffix":""},{"dropping-particle":"","family":"Powles","given":"John","non-dropping-particle":"","parse-names":false,"suffix":""},{"dropping-particle":"","family":"Mozaffarian","given":"Dariush","non-dropping-particle":"","parse-names":false,"suffix":""}],"container-title":"PLOS ONE","editor":[{"dropping-particle":"","family":"Kiechl","given":"Stefan","non-dropping-particle":"","parse-names":false,"suffix":""}],"id":"PMXl1Sul/oGyPvXns","issue":"4","issued":{"date-parts":[["2017","10","3"]]},"language":"en","page":"e0175149","title":"Etiologic effects and optimal intakes of foods and nutrients for risk of cardiovascular diseases and diabetes: Systematic reviews and meta-analyses from the Nutrition and Chronic Diseases Expert Group (NutriCoDE)","type":"article-journal","volume":"12"}},{"id":1952,"uris":["http://zotero.org/users/14122/items/NMK5BQLB"],"itemData":{"id":1952,"type":"article-journal","abstract":"BACKGROUND Suboptimal diet is an important preventable risk factor for non-communicable diseases (NCDs); however, its impact on the burden of NCDs has not been systematically evaluated. This study aimed to evaluate the consumption of major foods and nutrients across 195 countries and to quantify the impact of their suboptimal intake on NCD mortality and morbidity. METHODS By use of a comparative risk assessment approach, we estimated the proportion of disease-specific burden attributable to each dietary risk factor (also referred to as population attributable fraction) among adults aged 25 years or older. The main inputs to this analysis included the intake of each dietary factor, the effect size of the dietary factor on disease endpoint, and the level of intake associated with the lowest risk of mortality. Then, by use of disease-specific population attributable fractions, mortality, and disability-adjusted life-years (DALYs), we calculated the number of deaths and DALYs attributable to diet for each disease outcome. FINDINGS In 2017, 11 million (95% uncertainty interval [UI] 10-12) deaths and 255 million (234-274) DALYs were attributable to dietary risk factors. High intake of sodium (3 million [1-5] deaths and 70 million [34-118] DALYs), low intake of whole grains (3 million [2-4] deaths and 82 million [59-109] DALYs), and low intake of fruits (2 million [1-4] deaths and 65 million [41-92] DALYs) were the leading dietary risk factors for deaths and DALYs globally and in many countries. Dietary data were from mixed sources and were not available for all countries, increasing the statistical uncertainty of our estimates. INTERPRETATION This study provides a comprehensive picture of the potential impact of suboptimal diet on NCD mortality and morbidity, highlighting the need for improving diet across nations. Our findings will inform implementation of evidence-based dietary interventions and provide a platform for evaluation of their impact on human health annually. FUNDING Bill &amp; Melinda Gates Foundation.","container-title":"The Lancet","issue":"0","title":"Health effects of dietary risks in 195 countries, 1990-2017: a systematic analysis for the Global Burden of Disease Study 2017","volume":"0","author":[{"family":"GBD 2017 Diet Collaborators","given":""},{"family":"Afshin","given":"Ashkan"},{"family":"Sur","given":"Patrick John"},{"family":"Fay","given":"Kairsten A."},{"family":"Cornaby","given":"Leslie"},{"family":"Ferrara","given":"Giannina"},{"family":"Salama","given":"Joseph S."},{"family":"Mullany","given":"Erin C."},{"family":"Abate","given":"Kalkidan Hassen"},{"family":"Abbafati","given":"Cristiana"},{"family":"Abebe","given":"Zegeye"},{"family":"Afarideh","given":"Mohsen"},{"family":"Aggarwal","given":"Anju"},{"family":"Agrawal","given":"Sutapa"},{"family":"Akinyemiju","given":"Tomi"},{"family":"Alahdab","given":"Fares"},{"family":"Bacha","given":"Umar"},{"family":"Bachman","given":"Victoria F."},{"family":"Badali","given":"Hamid"},{"family":"Badawi","given":"Alaa"},{"family":"Bensenor","given":"Isabela M."},{"family":"Bernabe","given":"Eduardo"},{"family":"Biadgilign","given":"Sibhatu Kassa K."},{"family":"Biryukov","given":"Stan H."},{"family":"Cahill","given":"Leah E."},{"family":"Carrero","given":"Juan J."},{"family":"Cercy","given":"Kelly M."},{"family":"Dandona","given":"Lalit"},{"family":"Dandona","given":"Rakhi"},{"family":"Dang","given":"Anh Kim"},{"family":"Degefa","given":"Meaza Girma"},{"family":"Zaki","given":"Maysaa El Sayed"},{"family":"Esteghamati","given":"Alireza"},{"family":"Esteghamati","given":"Sadaf"},{"family":"Fanzo","given":"Jessica"},{"family":"Farinha","given":"Carla Sofia e Sá"},{"family":"Farvid","given":"Maryam S."},{"family":"Farzadfar","given":"Farshad"},{"family":"Feigin","given":"Valery L."},{"family":"Fernandes","given":"Joao C."},{"family":"Flor","given":"Luisa Sorio"},{"family":"Foigt","given":"Nataliya A."},{"family":"Forouzanfar","given":"Mohammad H."},{"family":"Ganji","given":"Morsaleh"},{"family":"Geleijnse","given":"Johanna M."},{"family":"Gillum","given":"Richard F."},{"family":"Goulart","given":"Alessandra C."},{"family":"Grosso","given":"Giuseppe"},{"family":"Guessous","given":"Idris"},{"family":"Hamidi","given":"Samer"},{"family":"Hankey","given":"Graeme J."},{"family":"Harikrishnan","given":"Sivadasanpillai"},{"family":"Hassen","given":"Hamid Yimam"},{"family":"Hay","given":"Simon I."},{"family":"Hoang","given":"Chi Linh"},{"family":"Horino","given":"Masako"},{"family":"Islami","given":"Farhad"},{"family":"Jackson","given":"Maria D."},{"family":"James","given":"Spencer L."},{"family":"Johansson","given":"Lars"},{"family":"Jonas","given":"Jost B."},{"family":"Kasaeian","given":"Amir"},{"family":"Khader","given":"Yousef Saleh"},{"family":"Khalil","given":"Ibrahim A."},{"family":"Khang","given":"Young-Ho"},{"family":"Kimokoti","given":"Ruth W."},{"family":"Kokubo","given":"Yoshihiro"},{"family":"Kumar","given":"G. Anil"},{"family":"Lallukka","given":"Tea"},{"family":"Lopez","given":"Alan D."},{"family":"Lorkowski","given":"Stefan"},{"family":"Lotufo","given":"Paulo A."},{"family":"Lozano","given":"Rafael"},{"family":"Malekzadeh","given":"Reza"},{"family":"März","given":"Winfried"},{"family":"Meier","given":"Toni"},{"family":"Melaku","given":"Yohannes A."},{"family":"Mendoza","given":"Walter"},{"family":"Mensink","given":"Gert B. M."},{"family":"Micha","given":"Renata"},{"family":"Miller","given":"Ted R."},{"family":"Mirarefin","given":"Mojde"},{"family":"Mohan","given":"Viswanathan"},{"family":"Mokdad","given":"Ali H."},{"family":"Mozaffarian","given":"Dariush"},{"family":"Nagel","given":"Gabriele"},{"family":"Naghavi","given":"Mohsen"},{"family":"Nguyen","given":"Cuong Tat"},{"family":"Nixon","given":"Molly R."},{"family":"Ong","given":"Kanyin L."},{"family":"Pereira","given":"David M."},{"family":"Poustchi","given":"Hossein"},{"family":"Qorbani","given":"Mostafa"},{"family":"Rai","given":"Rajesh Kumar"},{"family":"Razo-García","given":"Christian"},{"family":"Rehm","given":"Colin D."},{"family":"Rivera","given":"Juan A."},{"family":"Rodríguez-Ramírez","given":"Sonia"},{"family":"Roshandel","given":"Gholamreza"},{"family":"Roth","given":"Gregory A."},{"family":"Sanabria","given":"Juan"},{"family":"Sánchez-Pimienta","given":"Tania G."},{"family":"Sartorius","given":"Benn"},{"family":"Schmidhuber","given":"Josef"},{"family":"Schutte","given":"Aletta Elisabeth"},{"family":"Sepanlou","given":"Sadaf G."},{"family":"Shin","given":"Min-Jeong"},{"family":"Sorensen","given":"Reed J. D."},{"family":"Springmann","given":"Marco"},{"family":"Szponar","given":"Lucjan"},{"family":"Thorne-Lyman","given":"Andrew L."},{"family":"Thrift","given":"Amanda G."},{"family":"Touvier","given":"Mathilde"},{"family":"Tran","given":"Bach Xuan"},{"family":"Tyrovolas","given":"Stefanos"},{"family":"Ukwaja","given":"Kingsley Nnanna"},{"family":"Ullah","given":"Irfan"},{"family":"Uthman","given":"Olalekan A."},{"family":"Vaezghasemi","given":"Masoud"},{"family":"Vasankari","given":"Tommi Juhani"},{"family":"Vollset","given":"Stein Emil"},{"family":"Vos","given":"Theo"},{"family":"Vu","given":"Giang Thu"},{"family":"Vu","given":"Linh Gia"},{"family":"Weiderpass","given":"Elisabete"},{"family":"Werdecker","given":"Andrea"},{"family":"Wijeratne","given":"Tissa"},{"family":"Willett","given":"Walter C."},{"family":"Wu","given":"Jason H."},{"family":"Xu","given":"Gelin"},{"family":"Yonemoto","given":"Naohiro"},{"family":"Yu","given":"Chuanhua"},{"family":"Murray","given":"Christopher J. L."}],"issued":{"date-parts":[["2019"]]}}}],"schema":"https://github.com/citation-style-language/schema/raw/master/csl-citation.json"} </w:instrText>
      </w:r>
      <w:r w:rsidR="007A1C4A">
        <w:rPr>
          <w:rFonts w:ascii="Arial" w:hAnsi="Arial" w:cs="Arial"/>
          <w:sz w:val="22"/>
          <w:szCs w:val="22"/>
        </w:rPr>
        <w:fldChar w:fldCharType="separate"/>
      </w:r>
      <w:r w:rsidR="007A1C4A" w:rsidRPr="007A1C4A">
        <w:rPr>
          <w:rFonts w:ascii="Arial" w:hAnsi="Arial" w:cs="Arial"/>
          <w:kern w:val="0"/>
          <w:sz w:val="22"/>
          <w:vertAlign w:val="superscript"/>
        </w:rPr>
        <w:t>2,5–8,11,13</w:t>
      </w:r>
      <w:r w:rsidR="007A1C4A">
        <w:rPr>
          <w:rFonts w:ascii="Arial" w:hAnsi="Arial" w:cs="Arial"/>
          <w:sz w:val="22"/>
          <w:szCs w:val="22"/>
        </w:rPr>
        <w:fldChar w:fldCharType="end"/>
      </w:r>
      <w:r w:rsidRPr="00BB2546">
        <w:rPr>
          <w:rFonts w:ascii="Arial" w:hAnsi="Arial" w:cs="Arial"/>
          <w:sz w:val="22"/>
          <w:szCs w:val="22"/>
        </w:rPr>
        <w:t>.</w:t>
      </w:r>
      <w:r w:rsidR="00B964D4" w:rsidRPr="00BB2546">
        <w:rPr>
          <w:rFonts w:ascii="Arial" w:hAnsi="Arial" w:cs="Arial"/>
          <w:sz w:val="22"/>
          <w:szCs w:val="22"/>
        </w:rPr>
        <w:t xml:space="preserve"> For weight-related risks, the normal weight category is assumed to be risk neutral, whereas underweight, overweight, and obesity incur a risk of disease (see SI Table 9)</w:t>
      </w:r>
      <w:r w:rsidR="007A1C4A">
        <w:rPr>
          <w:rFonts w:ascii="Arial" w:hAnsi="Arial" w:cs="Arial"/>
          <w:sz w:val="22"/>
          <w:szCs w:val="22"/>
        </w:rPr>
        <w:t xml:space="preserve"> </w:t>
      </w:r>
      <w:r w:rsidR="007A1C4A">
        <w:rPr>
          <w:rFonts w:ascii="Arial" w:hAnsi="Arial" w:cs="Arial"/>
          <w:sz w:val="22"/>
          <w:szCs w:val="22"/>
        </w:rPr>
        <w:fldChar w:fldCharType="begin"/>
      </w:r>
      <w:r w:rsidR="007A1C4A">
        <w:rPr>
          <w:rFonts w:ascii="Arial" w:hAnsi="Arial" w:cs="Arial"/>
          <w:sz w:val="22"/>
          <w:szCs w:val="22"/>
        </w:rPr>
        <w:instrText xml:space="preserve"> ADDIN ZOTERO_ITEM CSL_CITATION {"citationID":"D6gyAgzE","properties":{"formattedCitation":"\\super 9,10\\nosupersub{}","plainCitation":"9,10","noteIndex":0},"citationItems":[{"id":1957,"uris":["http://zotero.org/users/14122/items/9UCP8HS2"],"itemData":{"id":1957,"type":"article-journal","abstract":"BACKGROUND Overweight and obesity are increasing worldwide. To help assess their relevance to mortality in different populations we conducted individual-participant data meta-analyses of prospective studies of body-mass index (BMI), limiting confounding and reverse causality by restricting analyses to never-smokers and excluding pre-existing disease and the first 5 years of follow-up. METHODS Of 10 625 411 participants in Asia, Australia and New Zealand, Europe, and North America from 239 prospective studies (median follow-up 13·7 years, IQR 11·4-14·7), 3 951 455 people in 189 studies were never-smokers without chronic diseases at recruitment who survived 5 years, of whom 385 879 died. The primary analyses are of these deaths, and study, age, and sex adjusted hazard ratios (HRs), relative to BMI 22·5-\\textless25·0 kg/m(2). FINDINGS All-cause mortality was minimal at 20·0-25·0 kg/m(2) (HR 1·00, 95% CI 0·98-1·02 for BMI 20·0-\\textless22·5 kg/m(2); 1·00, 0·99-1·01 for BMI 22·5-\\textless25·0 kg/m(2)), and increased significantly both just below this range (1·13, 1·09-1·17 for BMI 18·5-\\textless20·0 kg/m(2); 1·51, 1·43-1·59 for BMI 15·0-\\textless18·5) and throughout the overweight range (1·07, 1·07-1·08 for BMI 25·0-\\textless27·5 kg/m(2); 1·20, 1·18-1·22 for BMI 27·5-\\textless30·0 kg/m(2)). The HR for obesity grade 1 (BMI 30·0-\\textless35·0 kg/m(2)) was 1·45, 95% CI 1·41-1·48; the HR for obesity grade 2 (35·0-\\textless40·0 kg/m(2)) was 1·94, 1·87-2·01; and the HR for obesity grade 3 (40·0-\\textless60·0 kg/m(2)) was 2·76, 2·60-2·92. For BMI over 25·0 kg/m(2), mortality increased approximately log-linearly with BMI; the HR per 5 kg/m(2) units higher BMI was 1·39 (1·34-1·43) in Europe, 1·29 (1·26-1·32) in North America, 1·39 (1·34-1·44) in east Asia, and 1·31 (1·27-1·35) in Australia and New Zealand. This HR per 5 kg/m(2) units higher BMI (for BMI over 25 kg/m(2)) was greater in younger than older people (1·52, 95% CI 1·47-1·56, for BMI measured at 35-49 years vs 1·21, 1·17-1·25, for BMI measured at 70-89 years; pheterogeneity\\textless0·0001), greater in men than women (1·51, 1·46-1·56, vs 1·30, 1·26-1·33; pheterogeneity\\textless0·0001), but similar in studies with self-reported and measured BMI. INTERPRETATION The associations of both overweight and obesity with higher all-cause mortality were broadly consistent in four continents. This finding supports strategies to combat the entire spectrum of excess adiposity in many populations. FUNDING UK Medical Research Council, British Heart Foundation, National Institute for Health Research, US National Institu…","container-title":"The Lancet","issue":"10046","page":"776–86","title":"Body-mass index and all-cause mortality: individual-participant-data meta-analysis of 239 prospective studies in four continents","volume":"388","author":[{"family":"Global BMI Mortality Collaboration","given":""},{"family":"Angelantonio","given":"Emanuele Di"},{"family":"Bhupathiraju","given":"Shilpa"},{"family":"Wormser","given":"David"},{"family":"Gao","given":"Pei"},{"family":"Kaptoge","given":"Stephen"},{"family":"Gonzalez","given":"Amy Berrington","dropping-particle":"de"},{"family":"Cairns","given":"Benjamin"},{"family":"Huxley","given":"Rachel"},{"family":"Jackson","given":"Chandra"},{"family":"Joshy","given":"Grace"},{"family":"Lewington","given":"Sarah"},{"family":"Manson","given":"JoAnn"},{"family":"Murphy","given":"Neil"},{"family":"Patel","given":"Alpa"},{"family":"Samet","given":"Jonathan"},{"family":"Woodward","given":"Mark"},{"family":"Zheng","given":"Wei"},{"family":"Zhou","given":"Maigen"},{"family":"Bansal","given":"Narinder"},{"family":"Barricarte","given":"Aurelio"},{"family":"Carter","given":"Brian"},{"family":"Cerhan","given":"James"},{"family":"Smith","given":"George"},{"family":"Fang","given":"Xianghua"},{"family":"Franco","given":"Oscar"},{"family":"Green","given":"Jane"},{"family":"Halsey","given":"Jim"},{"family":"Hildebrand","given":"Janet"},{"family":"Jung","given":"Keum"},{"family":"Korda","given":"Rosemary"},{"family":"McLerran","given":"Dale"},{"family":"Moore","given":"Steven"},{"family":"O'Keeffe","given":"Linda"},{"family":"Paige","given":"Ellie"},{"family":"Ramond","given":"Anna"},{"family":"Reeves","given":"Gillian"},{"family":"Rolland","given":"Betsy"},{"family":"Sacerdote","given":"Carlotta"},{"family":"Sattar","given":"Naveed"},{"family":"Sofianopoulou","given":"Eleni"},{"family":"Stevens","given":"June"},{"family":"Thun","given":"Michael"},{"family":"Ueshima","given":"Hirotsugu"},{"family":"Yang","given":"Ling"},{"family":"Yun","given":"Young"},{"family":"Willeit","given":"Peter"},{"family":"Banks","given":"Emily"},{"family":"Beral","given":"Valerie"},{"family":"Chen","given":"Zhengming"},{"family":"Gapstur","given":"Susan"},{"family":"Gunter","given":"Marc"},{"family":"Hartge","given":"Patricia"},{"family":"Jee","given":"Sun"},{"family":"Lam","given":"Tai-Hing"},{"family":"Peto","given":"Richard"},{"family":"Potter","given":"John"},{"family":"Willett","given":"Walter"},{"family":"Thompson","given":"Simon"},{"family":"Danesh","given":"John"},{"family":"Hu","given":"Frank"}],"issued":{"date-parts":[["2016"]]}}},{"id":1956,"uris":["http://zotero.org/users/14122/items/IZKPZYDD"],"itemData":{"id":1956,"type":"article-journal","abstract":"BACKGROUND: The main associations of body-mass index (BMI) with overall and cause-specific mortality can best be assessed by long-term prospective follow-up of large numbers of people. The Prospective Studies Collaboration aimed to investigate these associations by sharing data from many studies. METHODS: Collaborative analyses were undertaken of baseline BMI versus mortality in 57 prospective studies with 894 576 participants, mostly in western Europe and North America (61% [n=541 452] male, mean recruitment age 46 [SD 11] years, median recruitment year 1979 [IQR 1975-85], mean BMI 25 [SD 4] kg/m(2)). The analyses were adjusted for age, sex, smoking status, and study. To limit reverse causality, the first 5 years of follow-up were excluded, leaving 66 552 deaths of known cause during a mean of 8 (SD 6) further years of follow-up (mean age at death 67 [SD 10] years): 30 416 vascular; 2070 diabetic, renal or hepatic; 22 592 neoplastic; 3770 respiratory; 7704 other. FINDINGS: In both sexes, mortality was lowest at about 22.5-25 kg/m(2). Above this range, positive associations were recorded for several specific causes and inverse associations for none, the absolute excess risks for higher BMI and smoking were roughly additive, and each 5 kg/m(2) higher BMI was on average associated with about 30% higher overall mortality (hazard ratio per 5 kg/m(2) [HR] 1.29 [95% CI 1.27-1.32]): 40% for vascular mortality (HR 1.41 [1.37-1.45]); 60-120% for diabetic, renal, and hepatic mortality (HRs 2.16 [1.89-2.46], 1.59 [1.27-1.99], and 1.82 [1.59-2.09], respectively); 10% for neoplastic mortality (HR 1.10 [1.06-1.15]); and 20% for respiratory and for all other mortality (HRs 1.20 [1.07-1.34] and 1.20 [1.16-1.25], respectively). Below the range 22.5-25 kg/m(2), BMI was associated inversely with overall mortality, mainly because of strong inverse associations with respiratory disease and lung cancer. These inverse associations were much stronger for smokers than for non-smokers, despite cigarette consumption per smoker varying little with BMI. INTERPRETATION: Although other anthropometric measures (eg, waist circumference, waist-to-hip ratio) could well add extra information to BMI, and BMI to them, BMI is in itself a strong predictor of overall mortality both above and below the apparent optimum of about 22.5-25 kg/m(2). The progressive excess mortality above this range is due mainly to vascular disease and is probably largely causal. At 30-35 kg/m(2), median survival is…","container-title":"The Lancet","issue":"9669","page":"1083–1096","title":"Body-mass index and cause-specific mortality in 900 000 adults: collaborative analyses of 57 prospective studies","volume":"373","author":[{"family":"Prospective Studies Collaboration","given":""},{"family":"Whitlock","given":"Gary"},{"family":"Lewington","given":"Sarah"},{"family":"Sherliker","given":"Paul"},{"family":"Clarke","given":"Robert"},{"family":"Emberson","given":"Jonathan"},{"family":"Halsey","given":"Jim"},{"family":"Qizilbash","given":"Nawab"},{"family":"Collins","given":"Rory"},{"family":"Peto","given":"Richard"}],"issued":{"date-parts":[["2009"]]}}}],"schema":"https://github.com/citation-style-language/schema/raw/master/csl-citation.json"} </w:instrText>
      </w:r>
      <w:r w:rsidR="007A1C4A">
        <w:rPr>
          <w:rFonts w:ascii="Arial" w:hAnsi="Arial" w:cs="Arial"/>
          <w:sz w:val="22"/>
          <w:szCs w:val="22"/>
        </w:rPr>
        <w:fldChar w:fldCharType="separate"/>
      </w:r>
      <w:r w:rsidR="007A1C4A" w:rsidRPr="007A1C4A">
        <w:rPr>
          <w:rFonts w:ascii="Arial" w:hAnsi="Arial" w:cs="Arial"/>
          <w:kern w:val="0"/>
          <w:sz w:val="22"/>
          <w:vertAlign w:val="superscript"/>
        </w:rPr>
        <w:t>9,10</w:t>
      </w:r>
      <w:r w:rsidR="007A1C4A">
        <w:rPr>
          <w:rFonts w:ascii="Arial" w:hAnsi="Arial" w:cs="Arial"/>
          <w:sz w:val="22"/>
          <w:szCs w:val="22"/>
        </w:rPr>
        <w:fldChar w:fldCharType="end"/>
      </w:r>
      <w:r w:rsidR="00B964D4" w:rsidRPr="00BB2546">
        <w:rPr>
          <w:rFonts w:ascii="Arial" w:hAnsi="Arial" w:cs="Arial"/>
          <w:sz w:val="22"/>
          <w:szCs w:val="22"/>
        </w:rPr>
        <w:t>.</w:t>
      </w:r>
      <w:r w:rsidRPr="00BB2546">
        <w:rPr>
          <w:rFonts w:ascii="Arial" w:hAnsi="Arial" w:cs="Arial"/>
          <w:sz w:val="22"/>
          <w:szCs w:val="22"/>
        </w:rPr>
        <w:t xml:space="preserve"> </w:t>
      </w:r>
    </w:p>
    <w:p w14:paraId="54C958DF" w14:textId="40564AE1" w:rsidR="00FD33F9" w:rsidRPr="00BB2546" w:rsidRDefault="00FD33F9"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49836DE2" wp14:editId="192AC822">
            <wp:extent cx="5731510" cy="1645285"/>
            <wp:effectExtent l="0" t="0" r="0" b="5715"/>
            <wp:docPr id="89412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1248" name=""/>
                    <pic:cNvPicPr/>
                  </pic:nvPicPr>
                  <pic:blipFill>
                    <a:blip r:embed="rId20"/>
                    <a:stretch>
                      <a:fillRect/>
                    </a:stretch>
                  </pic:blipFill>
                  <pic:spPr>
                    <a:xfrm>
                      <a:off x="0" y="0"/>
                      <a:ext cx="5731510" cy="1645285"/>
                    </a:xfrm>
                    <a:prstGeom prst="rect">
                      <a:avLst/>
                    </a:prstGeom>
                  </pic:spPr>
                </pic:pic>
              </a:graphicData>
            </a:graphic>
          </wp:inline>
        </w:drawing>
      </w:r>
    </w:p>
    <w:p w14:paraId="2AFDE8AE" w14:textId="77777777" w:rsidR="00056BB6" w:rsidRPr="00BB2546" w:rsidRDefault="00056BB6" w:rsidP="007A1C4A">
      <w:pPr>
        <w:spacing w:line="360" w:lineRule="auto"/>
        <w:rPr>
          <w:rFonts w:ascii="Arial" w:hAnsi="Arial" w:cs="Arial"/>
          <w:sz w:val="22"/>
          <w:szCs w:val="22"/>
        </w:rPr>
      </w:pPr>
    </w:p>
    <w:p w14:paraId="09B6EB6C" w14:textId="4972313A" w:rsidR="00056BB6" w:rsidRPr="00BB2546" w:rsidRDefault="00056BB6" w:rsidP="007A1C4A">
      <w:pPr>
        <w:spacing w:line="360" w:lineRule="auto"/>
        <w:rPr>
          <w:rFonts w:ascii="Arial" w:hAnsi="Arial" w:cs="Arial"/>
          <w:sz w:val="22"/>
          <w:szCs w:val="22"/>
        </w:rPr>
      </w:pPr>
      <w:r w:rsidRPr="00BB2546">
        <w:rPr>
          <w:rFonts w:ascii="Arial" w:hAnsi="Arial" w:cs="Arial"/>
          <w:sz w:val="22"/>
          <w:szCs w:val="22"/>
        </w:rPr>
        <w:br w:type="page"/>
      </w:r>
    </w:p>
    <w:p w14:paraId="1318310B" w14:textId="49589CC4" w:rsidR="00056BB6" w:rsidRPr="00BB2546" w:rsidRDefault="00056BB6" w:rsidP="007A1C4A">
      <w:pPr>
        <w:spacing w:line="360" w:lineRule="auto"/>
        <w:rPr>
          <w:rFonts w:ascii="Arial" w:hAnsi="Arial" w:cs="Arial"/>
          <w:sz w:val="22"/>
          <w:szCs w:val="22"/>
        </w:rPr>
      </w:pPr>
      <w:r w:rsidRPr="00056BB6">
        <w:rPr>
          <w:rFonts w:ascii="Arial" w:hAnsi="Arial" w:cs="Arial"/>
          <w:b/>
          <w:bCs/>
          <w:sz w:val="22"/>
          <w:szCs w:val="22"/>
        </w:rPr>
        <w:lastRenderedPageBreak/>
        <w:t>SI Table 1</w:t>
      </w:r>
      <w:r w:rsidRPr="00BB2546">
        <w:rPr>
          <w:rFonts w:ascii="Arial" w:hAnsi="Arial" w:cs="Arial"/>
          <w:b/>
          <w:bCs/>
          <w:sz w:val="22"/>
          <w:szCs w:val="22"/>
        </w:rPr>
        <w:t>2</w:t>
      </w:r>
      <w:r w:rsidRPr="00056BB6">
        <w:rPr>
          <w:rFonts w:ascii="Arial" w:hAnsi="Arial" w:cs="Arial"/>
          <w:b/>
          <w:bCs/>
          <w:sz w:val="22"/>
          <w:szCs w:val="22"/>
        </w:rPr>
        <w:t>.</w:t>
      </w:r>
      <w:r w:rsidRPr="00056BB6">
        <w:rPr>
          <w:rFonts w:ascii="Arial" w:hAnsi="Arial" w:cs="Arial"/>
          <w:sz w:val="22"/>
          <w:szCs w:val="22"/>
        </w:rPr>
        <w:t xml:space="preserve"> </w:t>
      </w:r>
      <w:r w:rsidRPr="00BB2546">
        <w:rPr>
          <w:rFonts w:ascii="Arial" w:hAnsi="Arial" w:cs="Arial"/>
          <w:sz w:val="22"/>
          <w:szCs w:val="22"/>
        </w:rPr>
        <w:t>Overview of h</w:t>
      </w:r>
      <w:r w:rsidRPr="00056BB6">
        <w:rPr>
          <w:rFonts w:ascii="Arial" w:hAnsi="Arial" w:cs="Arial"/>
          <w:sz w:val="22"/>
          <w:szCs w:val="22"/>
        </w:rPr>
        <w:t xml:space="preserve">ealthcare-related costs (USD per case of death) </w:t>
      </w:r>
      <w:r w:rsidRPr="00BB2546">
        <w:rPr>
          <w:rFonts w:ascii="Arial" w:hAnsi="Arial" w:cs="Arial"/>
          <w:sz w:val="22"/>
          <w:szCs w:val="22"/>
        </w:rPr>
        <w:t xml:space="preserve">in cities (global average) </w:t>
      </w:r>
      <w:r w:rsidRPr="00056BB6">
        <w:rPr>
          <w:rFonts w:ascii="Arial" w:hAnsi="Arial" w:cs="Arial"/>
          <w:sz w:val="22"/>
          <w:szCs w:val="22"/>
        </w:rPr>
        <w:t xml:space="preserve">by </w:t>
      </w:r>
      <w:r w:rsidRPr="00BB2546">
        <w:rPr>
          <w:rFonts w:ascii="Arial" w:hAnsi="Arial" w:cs="Arial"/>
          <w:sz w:val="22"/>
          <w:szCs w:val="22"/>
        </w:rPr>
        <w:t>cost component, and disease/</w:t>
      </w:r>
      <w:r w:rsidRPr="00056BB6">
        <w:rPr>
          <w:rFonts w:ascii="Arial" w:hAnsi="Arial" w:cs="Arial"/>
          <w:sz w:val="22"/>
          <w:szCs w:val="22"/>
        </w:rPr>
        <w:t>cause of death.</w:t>
      </w:r>
      <w:r w:rsidRPr="00BB2546">
        <w:rPr>
          <w:rFonts w:ascii="Arial" w:hAnsi="Arial" w:cs="Arial"/>
          <w:sz w:val="22"/>
          <w:szCs w:val="22"/>
        </w:rPr>
        <w:t xml:space="preserve"> The analysis was conducted with city-specific values.</w:t>
      </w:r>
    </w:p>
    <w:p w14:paraId="78CB0C3B" w14:textId="410F3AA2" w:rsidR="00056BB6" w:rsidRPr="00BB2546" w:rsidRDefault="00056BB6"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00493804" wp14:editId="34389359">
            <wp:extent cx="3515989" cy="3072713"/>
            <wp:effectExtent l="0" t="0" r="2540" b="1270"/>
            <wp:docPr id="41212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1608" name=""/>
                    <pic:cNvPicPr/>
                  </pic:nvPicPr>
                  <pic:blipFill>
                    <a:blip r:embed="rId21"/>
                    <a:stretch>
                      <a:fillRect/>
                    </a:stretch>
                  </pic:blipFill>
                  <pic:spPr>
                    <a:xfrm>
                      <a:off x="0" y="0"/>
                      <a:ext cx="3533132" cy="3087695"/>
                    </a:xfrm>
                    <a:prstGeom prst="rect">
                      <a:avLst/>
                    </a:prstGeom>
                  </pic:spPr>
                </pic:pic>
              </a:graphicData>
            </a:graphic>
          </wp:inline>
        </w:drawing>
      </w:r>
    </w:p>
    <w:p w14:paraId="3274AF8B" w14:textId="417F23D0" w:rsidR="00933292" w:rsidRPr="00BB2546" w:rsidRDefault="00933292" w:rsidP="007A1C4A">
      <w:pPr>
        <w:spacing w:line="360" w:lineRule="auto"/>
        <w:rPr>
          <w:rFonts w:ascii="Arial" w:hAnsi="Arial" w:cs="Arial"/>
          <w:sz w:val="22"/>
          <w:szCs w:val="22"/>
        </w:rPr>
      </w:pPr>
      <w:r w:rsidRPr="00BB2546">
        <w:rPr>
          <w:rFonts w:ascii="Arial" w:hAnsi="Arial" w:cs="Arial"/>
          <w:sz w:val="22"/>
          <w:szCs w:val="22"/>
        </w:rPr>
        <w:br w:type="page"/>
      </w:r>
    </w:p>
    <w:p w14:paraId="458DC4DE" w14:textId="321B966A" w:rsidR="00933292" w:rsidRPr="007A1C4A" w:rsidRDefault="00933292" w:rsidP="007A1C4A">
      <w:pPr>
        <w:pStyle w:val="Heading1"/>
        <w:spacing w:line="360" w:lineRule="auto"/>
        <w:rPr>
          <w:rFonts w:ascii="Arial" w:hAnsi="Arial" w:cs="Arial"/>
          <w:b/>
          <w:bCs/>
          <w:color w:val="000000" w:themeColor="text1"/>
          <w:sz w:val="24"/>
          <w:szCs w:val="24"/>
        </w:rPr>
      </w:pPr>
      <w:bookmarkStart w:id="2" w:name="_Toc217949366"/>
      <w:r w:rsidRPr="007A1C4A">
        <w:rPr>
          <w:rFonts w:ascii="Arial" w:hAnsi="Arial" w:cs="Arial"/>
          <w:b/>
          <w:bCs/>
          <w:color w:val="000000" w:themeColor="text1"/>
          <w:sz w:val="24"/>
          <w:szCs w:val="24"/>
        </w:rPr>
        <w:lastRenderedPageBreak/>
        <w:t>SI.</w:t>
      </w:r>
      <w:r w:rsidRPr="007A1C4A">
        <w:rPr>
          <w:rFonts w:ascii="Arial" w:hAnsi="Arial" w:cs="Arial"/>
          <w:b/>
          <w:bCs/>
          <w:color w:val="000000" w:themeColor="text1"/>
          <w:sz w:val="24"/>
          <w:szCs w:val="24"/>
        </w:rPr>
        <w:t>3</w:t>
      </w:r>
      <w:r w:rsidRPr="007A1C4A">
        <w:rPr>
          <w:rFonts w:ascii="Arial" w:hAnsi="Arial" w:cs="Arial"/>
          <w:b/>
          <w:bCs/>
          <w:color w:val="000000" w:themeColor="text1"/>
          <w:sz w:val="24"/>
          <w:szCs w:val="24"/>
        </w:rPr>
        <w:tab/>
        <w:t xml:space="preserve">Supplementary </w:t>
      </w:r>
      <w:r w:rsidRPr="007A1C4A">
        <w:rPr>
          <w:rFonts w:ascii="Arial" w:hAnsi="Arial" w:cs="Arial"/>
          <w:b/>
          <w:bCs/>
          <w:color w:val="000000" w:themeColor="text1"/>
          <w:sz w:val="24"/>
          <w:szCs w:val="24"/>
        </w:rPr>
        <w:t>results</w:t>
      </w:r>
      <w:bookmarkEnd w:id="2"/>
    </w:p>
    <w:p w14:paraId="56358CE2" w14:textId="77777777" w:rsidR="00933292" w:rsidRPr="00BB2546" w:rsidRDefault="00933292" w:rsidP="007A1C4A">
      <w:pPr>
        <w:spacing w:line="360" w:lineRule="auto"/>
        <w:rPr>
          <w:rFonts w:ascii="Arial" w:hAnsi="Arial" w:cs="Arial"/>
          <w:b/>
          <w:bCs/>
          <w:sz w:val="22"/>
          <w:szCs w:val="22"/>
        </w:rPr>
      </w:pPr>
    </w:p>
    <w:p w14:paraId="69C73E3A" w14:textId="6454B1A6" w:rsidR="009B7AFC" w:rsidRPr="00BB2546" w:rsidRDefault="009B7AFC" w:rsidP="007A1C4A">
      <w:pPr>
        <w:spacing w:line="360" w:lineRule="auto"/>
        <w:rPr>
          <w:rFonts w:ascii="Arial" w:hAnsi="Arial" w:cs="Arial"/>
          <w:sz w:val="22"/>
          <w:szCs w:val="22"/>
        </w:rPr>
      </w:pPr>
      <w:r w:rsidRPr="00BB2546">
        <w:rPr>
          <w:rFonts w:ascii="Arial" w:hAnsi="Arial" w:cs="Arial"/>
          <w:b/>
          <w:bCs/>
          <w:sz w:val="22"/>
          <w:szCs w:val="22"/>
        </w:rPr>
        <w:t xml:space="preserve">SI Table </w:t>
      </w:r>
      <w:r w:rsidRPr="00BB2546">
        <w:rPr>
          <w:rFonts w:ascii="Arial" w:hAnsi="Arial" w:cs="Arial"/>
          <w:b/>
          <w:bCs/>
          <w:sz w:val="22"/>
          <w:szCs w:val="22"/>
        </w:rPr>
        <w:t>13</w:t>
      </w:r>
      <w:r w:rsidRPr="00BB2546">
        <w:rPr>
          <w:rFonts w:ascii="Arial" w:hAnsi="Arial" w:cs="Arial"/>
          <w:b/>
          <w:bCs/>
          <w:sz w:val="22"/>
          <w:szCs w:val="22"/>
        </w:rPr>
        <w:t>.</w:t>
      </w:r>
      <w:r w:rsidRPr="00BB2546">
        <w:rPr>
          <w:rFonts w:ascii="Arial" w:hAnsi="Arial" w:cs="Arial"/>
          <w:sz w:val="22"/>
          <w:szCs w:val="22"/>
        </w:rPr>
        <w:t xml:space="preserve"> Energy intake and differences to the average energy intake in all cities (kilocalories per person per day, kcal/d) in the ten lowest and highest consuming Chinese cities.</w:t>
      </w:r>
    </w:p>
    <w:p w14:paraId="1BAB3733" w14:textId="77777777" w:rsidR="009B7AFC" w:rsidRPr="00BB2546" w:rsidRDefault="009B7AFC"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12716A3C" wp14:editId="240536F2">
            <wp:extent cx="3260785" cy="3733503"/>
            <wp:effectExtent l="0" t="0" r="3175" b="635"/>
            <wp:docPr id="404870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0659" name=""/>
                    <pic:cNvPicPr/>
                  </pic:nvPicPr>
                  <pic:blipFill>
                    <a:blip r:embed="rId22"/>
                    <a:stretch>
                      <a:fillRect/>
                    </a:stretch>
                  </pic:blipFill>
                  <pic:spPr>
                    <a:xfrm>
                      <a:off x="0" y="0"/>
                      <a:ext cx="3276513" cy="3751511"/>
                    </a:xfrm>
                    <a:prstGeom prst="rect">
                      <a:avLst/>
                    </a:prstGeom>
                  </pic:spPr>
                </pic:pic>
              </a:graphicData>
            </a:graphic>
          </wp:inline>
        </w:drawing>
      </w:r>
    </w:p>
    <w:p w14:paraId="1A9729BD" w14:textId="4210EE4D" w:rsidR="00227EBC" w:rsidRPr="00BB2546" w:rsidRDefault="009B7AFC" w:rsidP="007A1C4A">
      <w:pPr>
        <w:spacing w:line="360" w:lineRule="auto"/>
        <w:rPr>
          <w:rFonts w:ascii="Arial" w:hAnsi="Arial" w:cs="Arial"/>
          <w:sz w:val="22"/>
          <w:szCs w:val="22"/>
        </w:rPr>
      </w:pPr>
      <w:r w:rsidRPr="00BB2546">
        <w:rPr>
          <w:rFonts w:ascii="Arial" w:hAnsi="Arial" w:cs="Arial"/>
          <w:sz w:val="22"/>
          <w:szCs w:val="22"/>
        </w:rPr>
        <w:br w:type="page"/>
      </w:r>
    </w:p>
    <w:p w14:paraId="615EF9F0" w14:textId="3ADAB988" w:rsidR="00227EBC" w:rsidRPr="00BB2546" w:rsidRDefault="00227EBC"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Figure </w:t>
      </w:r>
      <w:r w:rsidR="007A73AB" w:rsidRPr="00BB2546">
        <w:rPr>
          <w:rFonts w:ascii="Arial" w:hAnsi="Arial" w:cs="Arial"/>
          <w:b/>
          <w:bCs/>
          <w:sz w:val="22"/>
          <w:szCs w:val="22"/>
        </w:rPr>
        <w:t>2</w:t>
      </w:r>
      <w:r w:rsidRPr="00BB2546">
        <w:rPr>
          <w:rFonts w:ascii="Arial" w:hAnsi="Arial" w:cs="Arial"/>
          <w:b/>
          <w:bCs/>
          <w:sz w:val="22"/>
          <w:szCs w:val="22"/>
        </w:rPr>
        <w:t>.</w:t>
      </w:r>
      <w:r w:rsidRPr="00BB2546">
        <w:rPr>
          <w:rFonts w:ascii="Arial" w:hAnsi="Arial" w:cs="Arial"/>
          <w:sz w:val="22"/>
          <w:szCs w:val="22"/>
        </w:rPr>
        <w:t xml:space="preserve"> </w:t>
      </w:r>
      <w:r w:rsidR="00FD28DE" w:rsidRPr="00BB2546">
        <w:rPr>
          <w:rFonts w:ascii="Arial" w:hAnsi="Arial" w:cs="Arial"/>
          <w:sz w:val="22"/>
          <w:szCs w:val="22"/>
        </w:rPr>
        <w:t>Diet-related impacts in Chinese cities, including calorie intake, environmental impacts, burden of diet-related disease, and health-related costs.</w:t>
      </w:r>
    </w:p>
    <w:p w14:paraId="1D4BC7DF" w14:textId="1F2BB1C8" w:rsidR="00227EBC" w:rsidRPr="00BB2546" w:rsidRDefault="00227EBC"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6A501334" wp14:editId="514886D0">
            <wp:extent cx="5731510" cy="4559300"/>
            <wp:effectExtent l="0" t="0" r="0" b="0"/>
            <wp:docPr id="1387521644" name="Picture 1" descr="A map of china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21644" name="Picture 1" descr="A map of china with different colored do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559300"/>
                    </a:xfrm>
                    <a:prstGeom prst="rect">
                      <a:avLst/>
                    </a:prstGeom>
                  </pic:spPr>
                </pic:pic>
              </a:graphicData>
            </a:graphic>
          </wp:inline>
        </w:drawing>
      </w:r>
    </w:p>
    <w:p w14:paraId="3ECA3191" w14:textId="1F5D50AB" w:rsidR="00227EBC" w:rsidRPr="00BB2546" w:rsidRDefault="00227EBC" w:rsidP="007A1C4A">
      <w:pPr>
        <w:spacing w:line="360" w:lineRule="auto"/>
        <w:rPr>
          <w:rFonts w:ascii="Arial" w:hAnsi="Arial" w:cs="Arial"/>
          <w:sz w:val="22"/>
          <w:szCs w:val="22"/>
        </w:rPr>
      </w:pPr>
      <w:r w:rsidRPr="00BB2546">
        <w:rPr>
          <w:rFonts w:ascii="Arial" w:hAnsi="Arial" w:cs="Arial"/>
          <w:sz w:val="22"/>
          <w:szCs w:val="22"/>
        </w:rPr>
        <w:br w:type="page"/>
      </w:r>
    </w:p>
    <w:p w14:paraId="7053CB4A" w14:textId="35406CC0"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00436B66" w:rsidRPr="00BB2546">
        <w:rPr>
          <w:rFonts w:ascii="Arial" w:hAnsi="Arial" w:cs="Arial"/>
          <w:b/>
          <w:bCs/>
          <w:sz w:val="22"/>
          <w:szCs w:val="22"/>
        </w:rPr>
        <w:t>14</w:t>
      </w:r>
      <w:r w:rsidRPr="00BB2546">
        <w:rPr>
          <w:rFonts w:ascii="Arial" w:hAnsi="Arial" w:cs="Arial"/>
          <w:b/>
          <w:bCs/>
          <w:sz w:val="22"/>
          <w:szCs w:val="22"/>
        </w:rPr>
        <w:t xml:space="preserve">. </w:t>
      </w:r>
      <w:r w:rsidRPr="00BB2546">
        <w:rPr>
          <w:rFonts w:ascii="Arial" w:hAnsi="Arial" w:cs="Arial"/>
          <w:sz w:val="22"/>
          <w:szCs w:val="22"/>
        </w:rPr>
        <w:t>Food-related environmental impacts by region, residence, food class, and environmental domain. The regions include North America (NAC), Latin America and the Caribbean (LCN), Europe and Central Asia (ECS), the Middle East and North Africa (MEA), South Asia (SAS), East Asia and the Pacific (EAS), Sub-Saharan Africa (SSF), and a global average (WLD). The residences include the sum across all cities and the total across urban and rural residences. The food class include animal-sourced foods (ASF), plant-based foods (PBF), and the total. The estimates for each environmental domain are provided as absolute values and as a proportion of the total.</w:t>
      </w:r>
    </w:p>
    <w:p w14:paraId="59AAB7F6"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1AA1DCA1" wp14:editId="4E99C0F0">
            <wp:extent cx="5731510" cy="5165725"/>
            <wp:effectExtent l="0" t="0" r="0" b="3175"/>
            <wp:docPr id="71766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5744" name=""/>
                    <pic:cNvPicPr/>
                  </pic:nvPicPr>
                  <pic:blipFill>
                    <a:blip r:embed="rId24"/>
                    <a:stretch>
                      <a:fillRect/>
                    </a:stretch>
                  </pic:blipFill>
                  <pic:spPr>
                    <a:xfrm>
                      <a:off x="0" y="0"/>
                      <a:ext cx="5731510" cy="5165725"/>
                    </a:xfrm>
                    <a:prstGeom prst="rect">
                      <a:avLst/>
                    </a:prstGeom>
                  </pic:spPr>
                </pic:pic>
              </a:graphicData>
            </a:graphic>
          </wp:inline>
        </w:drawing>
      </w:r>
    </w:p>
    <w:p w14:paraId="442994E9" w14:textId="77777777" w:rsidR="00516C20" w:rsidRPr="00BB2546" w:rsidRDefault="00516C20" w:rsidP="007A1C4A">
      <w:pPr>
        <w:spacing w:line="360" w:lineRule="auto"/>
        <w:rPr>
          <w:rFonts w:ascii="Arial" w:hAnsi="Arial" w:cs="Arial"/>
          <w:b/>
          <w:bCs/>
          <w:sz w:val="22"/>
          <w:szCs w:val="22"/>
        </w:rPr>
      </w:pPr>
      <w:r w:rsidRPr="00BB2546">
        <w:rPr>
          <w:rFonts w:ascii="Arial" w:hAnsi="Arial" w:cs="Arial"/>
          <w:b/>
          <w:bCs/>
          <w:sz w:val="22"/>
          <w:szCs w:val="22"/>
        </w:rPr>
        <w:br w:type="page"/>
      </w:r>
    </w:p>
    <w:p w14:paraId="70E38AAA" w14:textId="3E5B2A37" w:rsidR="00050B8E" w:rsidRPr="00BB2546" w:rsidRDefault="00FF285C" w:rsidP="007A1C4A">
      <w:pPr>
        <w:spacing w:line="360" w:lineRule="auto"/>
        <w:rPr>
          <w:rFonts w:ascii="Arial" w:hAnsi="Arial" w:cs="Arial"/>
          <w:sz w:val="22"/>
          <w:szCs w:val="22"/>
        </w:rPr>
      </w:pPr>
      <w:r w:rsidRPr="00BB2546">
        <w:rPr>
          <w:rFonts w:ascii="Arial" w:hAnsi="Arial" w:cs="Arial"/>
          <w:b/>
          <w:bCs/>
          <w:sz w:val="22"/>
          <w:szCs w:val="22"/>
        </w:rPr>
        <w:lastRenderedPageBreak/>
        <w:t>SI Figure 3.</w:t>
      </w:r>
      <w:r w:rsidR="00516C20" w:rsidRPr="00BB2546">
        <w:rPr>
          <w:rFonts w:ascii="Arial" w:hAnsi="Arial" w:cs="Arial"/>
          <w:b/>
          <w:bCs/>
          <w:sz w:val="22"/>
          <w:szCs w:val="22"/>
        </w:rPr>
        <w:t xml:space="preserve"> </w:t>
      </w:r>
      <w:r w:rsidR="00516C20" w:rsidRPr="00BB2546">
        <w:rPr>
          <w:rFonts w:ascii="Arial" w:hAnsi="Arial" w:cs="Arial"/>
          <w:sz w:val="22"/>
          <w:szCs w:val="22"/>
        </w:rPr>
        <w:t xml:space="preserve">Food-related environmental impacts </w:t>
      </w:r>
      <w:r w:rsidR="00516C20" w:rsidRPr="00BB2546">
        <w:rPr>
          <w:rFonts w:ascii="Arial" w:hAnsi="Arial" w:cs="Arial"/>
          <w:sz w:val="22"/>
          <w:szCs w:val="22"/>
        </w:rPr>
        <w:t xml:space="preserve">per person </w:t>
      </w:r>
      <w:r w:rsidR="00516C20" w:rsidRPr="00BB2546">
        <w:rPr>
          <w:rFonts w:ascii="Arial" w:hAnsi="Arial" w:cs="Arial"/>
          <w:sz w:val="22"/>
          <w:szCs w:val="22"/>
        </w:rPr>
        <w:t>by region</w:t>
      </w:r>
      <w:r w:rsidRPr="00BB2546">
        <w:rPr>
          <w:rFonts w:ascii="Arial" w:hAnsi="Arial" w:cs="Arial"/>
          <w:sz w:val="22"/>
          <w:szCs w:val="22"/>
        </w:rPr>
        <w:t>, food group,</w:t>
      </w:r>
      <w:r w:rsidR="00516C20" w:rsidRPr="00BB2546">
        <w:rPr>
          <w:rFonts w:ascii="Arial" w:hAnsi="Arial" w:cs="Arial"/>
          <w:sz w:val="22"/>
          <w:szCs w:val="22"/>
        </w:rPr>
        <w:t xml:space="preserve"> and </w:t>
      </w:r>
      <w:r w:rsidR="00516C20" w:rsidRPr="00BB2546">
        <w:rPr>
          <w:rFonts w:ascii="Arial" w:hAnsi="Arial" w:cs="Arial"/>
          <w:sz w:val="22"/>
          <w:szCs w:val="22"/>
        </w:rPr>
        <w:t xml:space="preserve">environmental domain. </w:t>
      </w:r>
    </w:p>
    <w:p w14:paraId="4D72784E" w14:textId="4A6F47E9" w:rsidR="00050B8E" w:rsidRPr="00BB2546" w:rsidRDefault="00050B8E"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559F58FA" wp14:editId="3649D6BE">
            <wp:extent cx="5731510" cy="3360420"/>
            <wp:effectExtent l="0" t="0" r="0" b="5080"/>
            <wp:docPr id="139207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71698" name=""/>
                    <pic:cNvPicPr/>
                  </pic:nvPicPr>
                  <pic:blipFill>
                    <a:blip r:embed="rId25"/>
                    <a:stretch>
                      <a:fillRect/>
                    </a:stretch>
                  </pic:blipFill>
                  <pic:spPr>
                    <a:xfrm>
                      <a:off x="0" y="0"/>
                      <a:ext cx="5731510" cy="3360420"/>
                    </a:xfrm>
                    <a:prstGeom prst="rect">
                      <a:avLst/>
                    </a:prstGeom>
                  </pic:spPr>
                </pic:pic>
              </a:graphicData>
            </a:graphic>
          </wp:inline>
        </w:drawing>
      </w:r>
    </w:p>
    <w:p w14:paraId="149CE1CC" w14:textId="77777777" w:rsidR="00050B8E" w:rsidRPr="00BB2546" w:rsidRDefault="00050B8E"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1C125F37" wp14:editId="5C423CE8">
            <wp:extent cx="5787851" cy="3393451"/>
            <wp:effectExtent l="0" t="0" r="3810" b="0"/>
            <wp:docPr id="51455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53917" name=""/>
                    <pic:cNvPicPr/>
                  </pic:nvPicPr>
                  <pic:blipFill>
                    <a:blip r:embed="rId26"/>
                    <a:stretch>
                      <a:fillRect/>
                    </a:stretch>
                  </pic:blipFill>
                  <pic:spPr>
                    <a:xfrm>
                      <a:off x="0" y="0"/>
                      <a:ext cx="5978541" cy="3505254"/>
                    </a:xfrm>
                    <a:prstGeom prst="rect">
                      <a:avLst/>
                    </a:prstGeom>
                  </pic:spPr>
                </pic:pic>
              </a:graphicData>
            </a:graphic>
          </wp:inline>
        </w:drawing>
      </w:r>
    </w:p>
    <w:p w14:paraId="40F07D77" w14:textId="2A269DDF" w:rsidR="00050B8E" w:rsidRPr="00BB2546" w:rsidRDefault="00050B8E" w:rsidP="007A1C4A">
      <w:pPr>
        <w:spacing w:line="360" w:lineRule="auto"/>
        <w:rPr>
          <w:rFonts w:ascii="Arial" w:hAnsi="Arial" w:cs="Arial"/>
          <w:sz w:val="22"/>
          <w:szCs w:val="22"/>
        </w:rPr>
      </w:pPr>
      <w:r w:rsidRPr="00BB2546">
        <w:rPr>
          <w:rFonts w:ascii="Arial" w:hAnsi="Arial" w:cs="Arial"/>
          <w:noProof/>
          <w:sz w:val="22"/>
          <w:szCs w:val="22"/>
        </w:rPr>
        <w:lastRenderedPageBreak/>
        <w:drawing>
          <wp:inline distT="0" distB="0" distL="0" distR="0" wp14:anchorId="01EFA2BE" wp14:editId="2BF8DADE">
            <wp:extent cx="5731510" cy="3360420"/>
            <wp:effectExtent l="0" t="0" r="0" b="5080"/>
            <wp:docPr id="207054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2692" name=""/>
                    <pic:cNvPicPr/>
                  </pic:nvPicPr>
                  <pic:blipFill>
                    <a:blip r:embed="rId27"/>
                    <a:stretch>
                      <a:fillRect/>
                    </a:stretch>
                  </pic:blipFill>
                  <pic:spPr>
                    <a:xfrm>
                      <a:off x="0" y="0"/>
                      <a:ext cx="5731510" cy="3360420"/>
                    </a:xfrm>
                    <a:prstGeom prst="rect">
                      <a:avLst/>
                    </a:prstGeom>
                  </pic:spPr>
                </pic:pic>
              </a:graphicData>
            </a:graphic>
          </wp:inline>
        </w:drawing>
      </w:r>
    </w:p>
    <w:p w14:paraId="71EE7BFE" w14:textId="1147796F" w:rsidR="00050B8E" w:rsidRPr="00BB2546" w:rsidRDefault="00050B8E" w:rsidP="007A1C4A">
      <w:pPr>
        <w:spacing w:line="360" w:lineRule="auto"/>
        <w:rPr>
          <w:rFonts w:ascii="Arial" w:hAnsi="Arial" w:cs="Arial"/>
          <w:b/>
          <w:bCs/>
          <w:sz w:val="22"/>
          <w:szCs w:val="22"/>
        </w:rPr>
      </w:pPr>
      <w:r w:rsidRPr="00BB2546">
        <w:rPr>
          <w:rFonts w:ascii="Arial" w:hAnsi="Arial" w:cs="Arial"/>
          <w:noProof/>
          <w:sz w:val="22"/>
          <w:szCs w:val="22"/>
        </w:rPr>
        <w:drawing>
          <wp:inline distT="0" distB="0" distL="0" distR="0" wp14:anchorId="7E0A5DAE" wp14:editId="128F9ABC">
            <wp:extent cx="5731510" cy="3360420"/>
            <wp:effectExtent l="0" t="0" r="0" b="5080"/>
            <wp:docPr id="11851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983" name=""/>
                    <pic:cNvPicPr/>
                  </pic:nvPicPr>
                  <pic:blipFill>
                    <a:blip r:embed="rId28"/>
                    <a:stretch>
                      <a:fillRect/>
                    </a:stretch>
                  </pic:blipFill>
                  <pic:spPr>
                    <a:xfrm>
                      <a:off x="0" y="0"/>
                      <a:ext cx="5731510" cy="3360420"/>
                    </a:xfrm>
                    <a:prstGeom prst="rect">
                      <a:avLst/>
                    </a:prstGeom>
                  </pic:spPr>
                </pic:pic>
              </a:graphicData>
            </a:graphic>
          </wp:inline>
        </w:drawing>
      </w:r>
    </w:p>
    <w:p w14:paraId="5B27DC58" w14:textId="77777777" w:rsidR="00050B8E" w:rsidRPr="00BB2546" w:rsidRDefault="00050B8E" w:rsidP="007A1C4A">
      <w:pPr>
        <w:spacing w:line="360" w:lineRule="auto"/>
        <w:rPr>
          <w:rFonts w:ascii="Arial" w:hAnsi="Arial" w:cs="Arial"/>
          <w:b/>
          <w:bCs/>
          <w:sz w:val="22"/>
          <w:szCs w:val="22"/>
        </w:rPr>
      </w:pPr>
      <w:r w:rsidRPr="00BB2546">
        <w:rPr>
          <w:rFonts w:ascii="Arial" w:hAnsi="Arial" w:cs="Arial"/>
          <w:b/>
          <w:bCs/>
          <w:sz w:val="22"/>
          <w:szCs w:val="22"/>
        </w:rPr>
        <w:br w:type="page"/>
      </w:r>
    </w:p>
    <w:p w14:paraId="7EB25535" w14:textId="6517BFD9"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00AE3F6D" w:rsidRPr="00BB2546">
        <w:rPr>
          <w:rFonts w:ascii="Arial" w:hAnsi="Arial" w:cs="Arial"/>
          <w:b/>
          <w:bCs/>
          <w:sz w:val="22"/>
          <w:szCs w:val="22"/>
        </w:rPr>
        <w:t>15</w:t>
      </w:r>
      <w:r w:rsidRPr="00BB2546">
        <w:rPr>
          <w:rFonts w:ascii="Arial" w:hAnsi="Arial" w:cs="Arial"/>
          <w:b/>
          <w:bCs/>
          <w:sz w:val="22"/>
          <w:szCs w:val="22"/>
        </w:rPr>
        <w:t xml:space="preserve">. </w:t>
      </w:r>
      <w:r w:rsidRPr="00BB2546">
        <w:rPr>
          <w:rFonts w:ascii="Arial" w:hAnsi="Arial" w:cs="Arial"/>
          <w:sz w:val="22"/>
          <w:szCs w:val="22"/>
        </w:rPr>
        <w:t>Cities with highest and lowest food-related environmental impacts per person. Impacts are provided as deviation from the globally averaged environmental impact per person in cities.</w:t>
      </w:r>
    </w:p>
    <w:p w14:paraId="1A7BBC48"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t xml:space="preserve"> </w:t>
      </w:r>
      <w:r w:rsidRPr="00BB2546">
        <w:rPr>
          <w:rFonts w:ascii="Arial" w:hAnsi="Arial" w:cs="Arial"/>
          <w:b/>
          <w:bCs/>
          <w:noProof/>
          <w:sz w:val="22"/>
          <w:szCs w:val="22"/>
        </w:rPr>
        <w:drawing>
          <wp:inline distT="0" distB="0" distL="0" distR="0" wp14:anchorId="749C060F" wp14:editId="20A15826">
            <wp:extent cx="4284168" cy="3933645"/>
            <wp:effectExtent l="0" t="0" r="0" b="3810"/>
            <wp:docPr id="83780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06711" name=""/>
                    <pic:cNvPicPr/>
                  </pic:nvPicPr>
                  <pic:blipFill>
                    <a:blip r:embed="rId29"/>
                    <a:stretch>
                      <a:fillRect/>
                    </a:stretch>
                  </pic:blipFill>
                  <pic:spPr>
                    <a:xfrm>
                      <a:off x="0" y="0"/>
                      <a:ext cx="4303164" cy="3951087"/>
                    </a:xfrm>
                    <a:prstGeom prst="rect">
                      <a:avLst/>
                    </a:prstGeom>
                  </pic:spPr>
                </pic:pic>
              </a:graphicData>
            </a:graphic>
          </wp:inline>
        </w:drawing>
      </w:r>
    </w:p>
    <w:p w14:paraId="17F2CA89" w14:textId="77777777" w:rsidR="009B7AFC" w:rsidRPr="00BB2546" w:rsidRDefault="009B7AFC" w:rsidP="007A1C4A">
      <w:pPr>
        <w:spacing w:line="360" w:lineRule="auto"/>
        <w:rPr>
          <w:rFonts w:ascii="Arial" w:hAnsi="Arial" w:cs="Arial"/>
          <w:b/>
          <w:bCs/>
          <w:sz w:val="22"/>
          <w:szCs w:val="22"/>
        </w:rPr>
      </w:pPr>
    </w:p>
    <w:p w14:paraId="58509BF8" w14:textId="77777777" w:rsidR="009B7AFC" w:rsidRPr="00BB2546" w:rsidRDefault="009B7AFC" w:rsidP="007A1C4A">
      <w:pPr>
        <w:spacing w:line="360" w:lineRule="auto"/>
        <w:rPr>
          <w:rFonts w:ascii="Arial" w:hAnsi="Arial" w:cs="Arial"/>
          <w:b/>
          <w:bCs/>
          <w:sz w:val="22"/>
          <w:szCs w:val="22"/>
        </w:rPr>
      </w:pPr>
    </w:p>
    <w:p w14:paraId="277C6DC2"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br w:type="page"/>
      </w:r>
    </w:p>
    <w:p w14:paraId="6B8B7E32" w14:textId="04AA843C"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00AE3F6D" w:rsidRPr="00BB2546">
        <w:rPr>
          <w:rFonts w:ascii="Arial" w:hAnsi="Arial" w:cs="Arial"/>
          <w:b/>
          <w:bCs/>
          <w:sz w:val="22"/>
          <w:szCs w:val="22"/>
        </w:rPr>
        <w:t>16</w:t>
      </w:r>
      <w:r w:rsidRPr="00BB2546">
        <w:rPr>
          <w:rFonts w:ascii="Arial" w:hAnsi="Arial" w:cs="Arial"/>
          <w:b/>
          <w:bCs/>
          <w:sz w:val="22"/>
          <w:szCs w:val="22"/>
        </w:rPr>
        <w:t xml:space="preserve">. </w:t>
      </w:r>
      <w:r w:rsidRPr="00BB2546">
        <w:rPr>
          <w:rFonts w:ascii="Arial" w:hAnsi="Arial" w:cs="Arial"/>
          <w:sz w:val="22"/>
          <w:szCs w:val="22"/>
        </w:rPr>
        <w:t>Cities with highest and lowest food-related environmental impacts per person. Impacts are provided as deviation from the averaged environmental impact per person in cities of the same country.</w:t>
      </w:r>
    </w:p>
    <w:p w14:paraId="61753262"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noProof/>
          <w:sz w:val="22"/>
          <w:szCs w:val="22"/>
        </w:rPr>
        <w:drawing>
          <wp:inline distT="0" distB="0" distL="0" distR="0" wp14:anchorId="68BF7674" wp14:editId="14303961">
            <wp:extent cx="4468483" cy="4133347"/>
            <wp:effectExtent l="0" t="0" r="2540" b="0"/>
            <wp:docPr id="147459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6955" name=""/>
                    <pic:cNvPicPr/>
                  </pic:nvPicPr>
                  <pic:blipFill>
                    <a:blip r:embed="rId30"/>
                    <a:stretch>
                      <a:fillRect/>
                    </a:stretch>
                  </pic:blipFill>
                  <pic:spPr>
                    <a:xfrm>
                      <a:off x="0" y="0"/>
                      <a:ext cx="4484383" cy="4148055"/>
                    </a:xfrm>
                    <a:prstGeom prst="rect">
                      <a:avLst/>
                    </a:prstGeom>
                  </pic:spPr>
                </pic:pic>
              </a:graphicData>
            </a:graphic>
          </wp:inline>
        </w:drawing>
      </w:r>
    </w:p>
    <w:p w14:paraId="681ABAEE" w14:textId="77777777" w:rsidR="009B7AFC" w:rsidRPr="00BB2546" w:rsidRDefault="009B7AFC" w:rsidP="007A1C4A">
      <w:pPr>
        <w:spacing w:line="360" w:lineRule="auto"/>
        <w:rPr>
          <w:rFonts w:ascii="Arial" w:hAnsi="Arial" w:cs="Arial"/>
          <w:b/>
          <w:bCs/>
          <w:sz w:val="22"/>
          <w:szCs w:val="22"/>
        </w:rPr>
      </w:pPr>
    </w:p>
    <w:p w14:paraId="64823ACA"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br w:type="page"/>
      </w:r>
    </w:p>
    <w:p w14:paraId="73163AA9" w14:textId="3FAAE013" w:rsidR="009B7AFC" w:rsidRPr="00BB2546" w:rsidRDefault="009B7AFC"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Table </w:t>
      </w:r>
      <w:r w:rsidR="00AE3F6D" w:rsidRPr="00BB2546">
        <w:rPr>
          <w:rFonts w:ascii="Arial" w:hAnsi="Arial" w:cs="Arial"/>
          <w:b/>
          <w:bCs/>
          <w:sz w:val="22"/>
          <w:szCs w:val="22"/>
        </w:rPr>
        <w:t>17</w:t>
      </w:r>
      <w:r w:rsidRPr="00BB2546">
        <w:rPr>
          <w:rFonts w:ascii="Arial" w:hAnsi="Arial" w:cs="Arial"/>
          <w:b/>
          <w:bCs/>
          <w:sz w:val="22"/>
          <w:szCs w:val="22"/>
        </w:rPr>
        <w:t>.</w:t>
      </w:r>
      <w:r w:rsidRPr="00BB2546">
        <w:rPr>
          <w:rFonts w:ascii="Arial" w:hAnsi="Arial" w:cs="Arial"/>
          <w:sz w:val="22"/>
          <w:szCs w:val="22"/>
        </w:rPr>
        <w:t xml:space="preserve"> Deaths attributable to dietary risk factors in cities by risk factor, cause, and region. The estimates of attributable deaths are provided as absolute numbers for each risk factor and cause, and as a proportion of the regional total in percent. The causes include coronary heart disease (CHD), stroke, cancer, type-2 diabetes mellitus (T2DM), and respiratory disease (</w:t>
      </w:r>
      <w:proofErr w:type="spellStart"/>
      <w:r w:rsidRPr="00BB2546">
        <w:rPr>
          <w:rFonts w:ascii="Arial" w:hAnsi="Arial" w:cs="Arial"/>
          <w:sz w:val="22"/>
          <w:szCs w:val="22"/>
        </w:rPr>
        <w:t>Resp</w:t>
      </w:r>
      <w:proofErr w:type="spellEnd"/>
      <w:r w:rsidRPr="00BB2546">
        <w:rPr>
          <w:rFonts w:ascii="Arial" w:hAnsi="Arial" w:cs="Arial"/>
          <w:sz w:val="22"/>
          <w:szCs w:val="22"/>
        </w:rPr>
        <w:t xml:space="preserve"> Dis). The regions include North America (NAC), Latin America and the Caribbean (LCN), Europe and Central Asia (ECS), the Middle East and North Africa (MEA), South Asia (SAS), East Asia and the Pacific (EAS), Sub-Saharan Africa (SSF), and a global average (WLD).</w:t>
      </w:r>
    </w:p>
    <w:p w14:paraId="36D55916" w14:textId="31FE11FF" w:rsidR="009B7AFC" w:rsidRPr="00BB2546" w:rsidRDefault="00405495" w:rsidP="007A1C4A">
      <w:pPr>
        <w:spacing w:line="360" w:lineRule="auto"/>
        <w:rPr>
          <w:rFonts w:ascii="Arial" w:hAnsi="Arial" w:cs="Arial"/>
          <w:b/>
          <w:bCs/>
          <w:sz w:val="22"/>
          <w:szCs w:val="22"/>
        </w:rPr>
      </w:pPr>
      <w:r w:rsidRPr="00BB2546">
        <w:rPr>
          <w:rFonts w:ascii="Arial" w:hAnsi="Arial" w:cs="Arial"/>
          <w:b/>
          <w:bCs/>
          <w:sz w:val="22"/>
          <w:szCs w:val="22"/>
        </w:rPr>
        <w:drawing>
          <wp:inline distT="0" distB="0" distL="0" distR="0" wp14:anchorId="7B052426" wp14:editId="46432093">
            <wp:extent cx="5731510" cy="3536315"/>
            <wp:effectExtent l="0" t="0" r="0" b="0"/>
            <wp:docPr id="49001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19765" name=""/>
                    <pic:cNvPicPr/>
                  </pic:nvPicPr>
                  <pic:blipFill>
                    <a:blip r:embed="rId31"/>
                    <a:stretch>
                      <a:fillRect/>
                    </a:stretch>
                  </pic:blipFill>
                  <pic:spPr>
                    <a:xfrm>
                      <a:off x="0" y="0"/>
                      <a:ext cx="5731510" cy="3536315"/>
                    </a:xfrm>
                    <a:prstGeom prst="rect">
                      <a:avLst/>
                    </a:prstGeom>
                  </pic:spPr>
                </pic:pic>
              </a:graphicData>
            </a:graphic>
          </wp:inline>
        </w:drawing>
      </w:r>
    </w:p>
    <w:p w14:paraId="31C765DA" w14:textId="77777777" w:rsidR="009B7AFC" w:rsidRPr="00BB2546" w:rsidRDefault="009B7AFC" w:rsidP="007A1C4A">
      <w:pPr>
        <w:spacing w:line="360" w:lineRule="auto"/>
        <w:rPr>
          <w:rFonts w:ascii="Arial" w:hAnsi="Arial" w:cs="Arial"/>
          <w:b/>
          <w:bCs/>
          <w:sz w:val="22"/>
          <w:szCs w:val="22"/>
        </w:rPr>
      </w:pPr>
    </w:p>
    <w:p w14:paraId="499B3343" w14:textId="77777777" w:rsidR="009B7AFC" w:rsidRPr="00BB2546" w:rsidRDefault="009B7AFC" w:rsidP="007A1C4A">
      <w:pPr>
        <w:spacing w:line="360" w:lineRule="auto"/>
        <w:rPr>
          <w:rFonts w:ascii="Arial" w:hAnsi="Arial" w:cs="Arial"/>
          <w:b/>
          <w:bCs/>
          <w:sz w:val="22"/>
          <w:szCs w:val="22"/>
        </w:rPr>
      </w:pPr>
    </w:p>
    <w:p w14:paraId="3356171D"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br w:type="page"/>
      </w:r>
    </w:p>
    <w:p w14:paraId="37174688" w14:textId="268340E4" w:rsidR="003733FD" w:rsidRPr="00BB2546" w:rsidRDefault="009B7AFC" w:rsidP="007A1C4A">
      <w:pPr>
        <w:spacing w:line="360" w:lineRule="auto"/>
        <w:rPr>
          <w:rFonts w:ascii="Arial" w:hAnsi="Arial" w:cs="Arial"/>
          <w:sz w:val="22"/>
          <w:szCs w:val="22"/>
        </w:rPr>
      </w:pPr>
      <w:r w:rsidRPr="00BB2546">
        <w:rPr>
          <w:rFonts w:ascii="Arial" w:hAnsi="Arial" w:cs="Arial"/>
          <w:b/>
          <w:bCs/>
          <w:sz w:val="22"/>
          <w:szCs w:val="22"/>
        </w:rPr>
        <w:lastRenderedPageBreak/>
        <w:t>SI Fig</w:t>
      </w:r>
      <w:r w:rsidR="00AA6141" w:rsidRPr="00BB2546">
        <w:rPr>
          <w:rFonts w:ascii="Arial" w:hAnsi="Arial" w:cs="Arial"/>
          <w:b/>
          <w:bCs/>
          <w:sz w:val="22"/>
          <w:szCs w:val="22"/>
        </w:rPr>
        <w:t xml:space="preserve">ure </w:t>
      </w:r>
      <w:r w:rsidR="00050B8E" w:rsidRPr="00BB2546">
        <w:rPr>
          <w:rFonts w:ascii="Arial" w:hAnsi="Arial" w:cs="Arial"/>
          <w:b/>
          <w:bCs/>
          <w:sz w:val="22"/>
          <w:szCs w:val="22"/>
        </w:rPr>
        <w:t>4</w:t>
      </w:r>
      <w:r w:rsidRPr="00BB2546">
        <w:rPr>
          <w:rFonts w:ascii="Arial" w:hAnsi="Arial" w:cs="Arial"/>
          <w:b/>
          <w:bCs/>
          <w:sz w:val="22"/>
          <w:szCs w:val="22"/>
        </w:rPr>
        <w:t xml:space="preserve">. </w:t>
      </w:r>
      <w:r w:rsidRPr="00BB2546">
        <w:rPr>
          <w:rFonts w:ascii="Arial" w:hAnsi="Arial" w:cs="Arial"/>
          <w:sz w:val="22"/>
          <w:szCs w:val="22"/>
        </w:rPr>
        <w:t>Diet-related deaths per million people in cities by region and risk factor</w:t>
      </w:r>
      <w:r w:rsidR="00AA6141" w:rsidRPr="00BB2546">
        <w:rPr>
          <w:rFonts w:ascii="Arial" w:hAnsi="Arial" w:cs="Arial"/>
          <w:sz w:val="22"/>
          <w:szCs w:val="22"/>
        </w:rPr>
        <w:t xml:space="preserve"> (</w:t>
      </w:r>
      <w:r w:rsidR="003733FD" w:rsidRPr="00BB2546">
        <w:rPr>
          <w:rFonts w:ascii="Arial" w:hAnsi="Arial" w:cs="Arial"/>
          <w:sz w:val="22"/>
          <w:szCs w:val="22"/>
        </w:rPr>
        <w:t>top</w:t>
      </w:r>
      <w:r w:rsidR="00AA6141" w:rsidRPr="00BB2546">
        <w:rPr>
          <w:rFonts w:ascii="Arial" w:hAnsi="Arial" w:cs="Arial"/>
          <w:sz w:val="22"/>
          <w:szCs w:val="22"/>
        </w:rPr>
        <w:t>) and cause (b</w:t>
      </w:r>
      <w:r w:rsidR="003733FD" w:rsidRPr="00BB2546">
        <w:rPr>
          <w:rFonts w:ascii="Arial" w:hAnsi="Arial" w:cs="Arial"/>
          <w:sz w:val="22"/>
          <w:szCs w:val="22"/>
        </w:rPr>
        <w:t>ottom</w:t>
      </w:r>
      <w:r w:rsidR="00AA6141" w:rsidRPr="00BB2546">
        <w:rPr>
          <w:rFonts w:ascii="Arial" w:hAnsi="Arial" w:cs="Arial"/>
          <w:sz w:val="22"/>
          <w:szCs w:val="22"/>
        </w:rPr>
        <w:t>)</w:t>
      </w:r>
      <w:r w:rsidRPr="00BB2546">
        <w:rPr>
          <w:rFonts w:ascii="Arial" w:hAnsi="Arial" w:cs="Arial"/>
          <w:sz w:val="22"/>
          <w:szCs w:val="22"/>
        </w:rPr>
        <w:t>. The regions include North America (NAC), Latin America and the Caribbean (LCN), Europe and Central Asia (ECS), the Middle East and North Africa (MEA), South Asia (SAS), East Asia and the Pacific (EAS), Sub-Saharan Africa (SSF), and a global average (WLD).</w:t>
      </w:r>
      <w:r w:rsidR="00F839A7" w:rsidRPr="00BB2546">
        <w:rPr>
          <w:rFonts w:ascii="Arial" w:hAnsi="Arial" w:cs="Arial"/>
          <w:sz w:val="22"/>
          <w:szCs w:val="22"/>
        </w:rPr>
        <w:t xml:space="preserve"> </w:t>
      </w:r>
    </w:p>
    <w:p w14:paraId="27B0A286" w14:textId="145D2C3E" w:rsidR="003733FD" w:rsidRPr="00BB2546" w:rsidRDefault="003733FD"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03123DF9" wp14:editId="26256B5F">
            <wp:extent cx="5731510" cy="3126105"/>
            <wp:effectExtent l="0" t="0" r="0" b="0"/>
            <wp:docPr id="116197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78014" name=""/>
                    <pic:cNvPicPr/>
                  </pic:nvPicPr>
                  <pic:blipFill>
                    <a:blip r:embed="rId32"/>
                    <a:stretch>
                      <a:fillRect/>
                    </a:stretch>
                  </pic:blipFill>
                  <pic:spPr>
                    <a:xfrm>
                      <a:off x="0" y="0"/>
                      <a:ext cx="5731510" cy="3126105"/>
                    </a:xfrm>
                    <a:prstGeom prst="rect">
                      <a:avLst/>
                    </a:prstGeom>
                  </pic:spPr>
                </pic:pic>
              </a:graphicData>
            </a:graphic>
          </wp:inline>
        </w:drawing>
      </w:r>
    </w:p>
    <w:p w14:paraId="08F321A5" w14:textId="1097D443" w:rsidR="009B7AFC" w:rsidRPr="00BB2546" w:rsidRDefault="003733FD" w:rsidP="007A1C4A">
      <w:pPr>
        <w:spacing w:line="360" w:lineRule="auto"/>
        <w:rPr>
          <w:rFonts w:ascii="Arial" w:hAnsi="Arial" w:cs="Arial"/>
          <w:b/>
          <w:bCs/>
          <w:sz w:val="22"/>
          <w:szCs w:val="22"/>
        </w:rPr>
      </w:pPr>
      <w:r w:rsidRPr="00BB2546">
        <w:rPr>
          <w:rFonts w:ascii="Arial" w:hAnsi="Arial" w:cs="Arial"/>
          <w:noProof/>
          <w:sz w:val="22"/>
          <w:szCs w:val="22"/>
        </w:rPr>
        <w:drawing>
          <wp:inline distT="0" distB="0" distL="0" distR="0" wp14:anchorId="2BB6BC1F" wp14:editId="4DC09810">
            <wp:extent cx="5251269" cy="2864169"/>
            <wp:effectExtent l="0" t="0" r="0" b="6350"/>
            <wp:docPr id="111072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27724" name=""/>
                    <pic:cNvPicPr/>
                  </pic:nvPicPr>
                  <pic:blipFill>
                    <a:blip r:embed="rId33"/>
                    <a:stretch>
                      <a:fillRect/>
                    </a:stretch>
                  </pic:blipFill>
                  <pic:spPr>
                    <a:xfrm>
                      <a:off x="0" y="0"/>
                      <a:ext cx="5301762" cy="2891709"/>
                    </a:xfrm>
                    <a:prstGeom prst="rect">
                      <a:avLst/>
                    </a:prstGeom>
                  </pic:spPr>
                </pic:pic>
              </a:graphicData>
            </a:graphic>
          </wp:inline>
        </w:drawing>
      </w:r>
    </w:p>
    <w:p w14:paraId="725E6159" w14:textId="77777777" w:rsidR="009B7AFC" w:rsidRPr="00BB2546" w:rsidRDefault="009B7AFC" w:rsidP="007A1C4A">
      <w:pPr>
        <w:spacing w:line="360" w:lineRule="auto"/>
        <w:rPr>
          <w:rFonts w:ascii="Arial" w:hAnsi="Arial" w:cs="Arial"/>
          <w:b/>
          <w:bCs/>
          <w:sz w:val="22"/>
          <w:szCs w:val="22"/>
        </w:rPr>
      </w:pPr>
    </w:p>
    <w:p w14:paraId="29C98C31" w14:textId="77777777" w:rsidR="009B7AFC" w:rsidRPr="00BB2546" w:rsidRDefault="009B7AFC" w:rsidP="007A1C4A">
      <w:pPr>
        <w:spacing w:line="360" w:lineRule="auto"/>
        <w:rPr>
          <w:rFonts w:ascii="Arial" w:hAnsi="Arial" w:cs="Arial"/>
          <w:b/>
          <w:bCs/>
          <w:sz w:val="22"/>
          <w:szCs w:val="22"/>
        </w:rPr>
      </w:pPr>
      <w:r w:rsidRPr="00BB2546">
        <w:rPr>
          <w:rFonts w:ascii="Arial" w:hAnsi="Arial" w:cs="Arial"/>
          <w:b/>
          <w:bCs/>
          <w:sz w:val="22"/>
          <w:szCs w:val="22"/>
        </w:rPr>
        <w:br w:type="page"/>
      </w:r>
    </w:p>
    <w:p w14:paraId="6A81955A" w14:textId="56096296" w:rsidR="00227581" w:rsidRPr="00BB2546" w:rsidRDefault="00227581" w:rsidP="007A1C4A">
      <w:pPr>
        <w:spacing w:line="360" w:lineRule="auto"/>
        <w:rPr>
          <w:rFonts w:ascii="Arial" w:hAnsi="Arial" w:cs="Arial"/>
          <w:b/>
          <w:bCs/>
          <w:sz w:val="22"/>
          <w:szCs w:val="22"/>
        </w:rPr>
      </w:pPr>
      <w:r w:rsidRPr="00BB2546">
        <w:rPr>
          <w:rFonts w:ascii="Arial" w:hAnsi="Arial" w:cs="Arial"/>
          <w:b/>
          <w:bCs/>
          <w:sz w:val="22"/>
          <w:szCs w:val="22"/>
        </w:rPr>
        <w:lastRenderedPageBreak/>
        <w:t>SI Table 1</w:t>
      </w:r>
      <w:r w:rsidRPr="00BB2546">
        <w:rPr>
          <w:rFonts w:ascii="Arial" w:hAnsi="Arial" w:cs="Arial"/>
          <w:b/>
          <w:bCs/>
          <w:sz w:val="22"/>
          <w:szCs w:val="22"/>
        </w:rPr>
        <w:t>8</w:t>
      </w:r>
      <w:r w:rsidRPr="00BB2546">
        <w:rPr>
          <w:rFonts w:ascii="Arial" w:hAnsi="Arial" w:cs="Arial"/>
          <w:b/>
          <w:bCs/>
          <w:sz w:val="22"/>
          <w:szCs w:val="22"/>
        </w:rPr>
        <w:t xml:space="preserve">. </w:t>
      </w:r>
      <w:r w:rsidRPr="00BB2546">
        <w:rPr>
          <w:rFonts w:ascii="Arial" w:hAnsi="Arial" w:cs="Arial"/>
          <w:sz w:val="22"/>
          <w:szCs w:val="22"/>
        </w:rPr>
        <w:t xml:space="preserve">Cities with highest and lowest </w:t>
      </w:r>
      <w:r w:rsidRPr="00BB2546">
        <w:rPr>
          <w:rFonts w:ascii="Arial" w:hAnsi="Arial" w:cs="Arial"/>
          <w:sz w:val="22"/>
          <w:szCs w:val="22"/>
        </w:rPr>
        <w:t>diet-related mortality rates</w:t>
      </w:r>
      <w:r w:rsidRPr="00BB2546">
        <w:rPr>
          <w:rFonts w:ascii="Arial" w:hAnsi="Arial" w:cs="Arial"/>
          <w:sz w:val="22"/>
          <w:szCs w:val="22"/>
        </w:rPr>
        <w:t xml:space="preserve"> per person</w:t>
      </w:r>
      <w:r w:rsidRPr="00BB2546">
        <w:rPr>
          <w:rFonts w:ascii="Arial" w:hAnsi="Arial" w:cs="Arial"/>
          <w:sz w:val="22"/>
          <w:szCs w:val="22"/>
        </w:rPr>
        <w:t xml:space="preserve"> in 2020.</w:t>
      </w:r>
    </w:p>
    <w:p w14:paraId="084B7E82" w14:textId="514A553F" w:rsidR="00227581" w:rsidRPr="00BB2546" w:rsidRDefault="00227581" w:rsidP="007A1C4A">
      <w:pPr>
        <w:spacing w:line="360" w:lineRule="auto"/>
        <w:rPr>
          <w:rFonts w:ascii="Arial" w:hAnsi="Arial" w:cs="Arial"/>
          <w:b/>
          <w:bCs/>
          <w:sz w:val="22"/>
          <w:szCs w:val="22"/>
        </w:rPr>
      </w:pPr>
      <w:r w:rsidRPr="00BB2546">
        <w:rPr>
          <w:rFonts w:ascii="Arial" w:hAnsi="Arial" w:cs="Arial"/>
          <w:b/>
          <w:bCs/>
          <w:sz w:val="22"/>
          <w:szCs w:val="22"/>
        </w:rPr>
        <w:drawing>
          <wp:inline distT="0" distB="0" distL="0" distR="0" wp14:anchorId="2BB52788" wp14:editId="4410171C">
            <wp:extent cx="3175819" cy="3877104"/>
            <wp:effectExtent l="0" t="0" r="0" b="0"/>
            <wp:docPr id="189852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24140" name=""/>
                    <pic:cNvPicPr/>
                  </pic:nvPicPr>
                  <pic:blipFill>
                    <a:blip r:embed="rId34"/>
                    <a:stretch>
                      <a:fillRect/>
                    </a:stretch>
                  </pic:blipFill>
                  <pic:spPr>
                    <a:xfrm>
                      <a:off x="0" y="0"/>
                      <a:ext cx="3192474" cy="3897436"/>
                    </a:xfrm>
                    <a:prstGeom prst="rect">
                      <a:avLst/>
                    </a:prstGeom>
                  </pic:spPr>
                </pic:pic>
              </a:graphicData>
            </a:graphic>
          </wp:inline>
        </w:drawing>
      </w:r>
    </w:p>
    <w:p w14:paraId="56D2A7F0" w14:textId="77777777" w:rsidR="00227581" w:rsidRPr="00BB2546" w:rsidRDefault="00227581" w:rsidP="007A1C4A">
      <w:pPr>
        <w:spacing w:line="360" w:lineRule="auto"/>
        <w:rPr>
          <w:rFonts w:ascii="Arial" w:hAnsi="Arial" w:cs="Arial"/>
          <w:sz w:val="22"/>
          <w:szCs w:val="22"/>
        </w:rPr>
      </w:pPr>
    </w:p>
    <w:p w14:paraId="33BB8905" w14:textId="77777777" w:rsidR="00AA6141" w:rsidRPr="00BB2546" w:rsidRDefault="00AA6141" w:rsidP="007A1C4A">
      <w:pPr>
        <w:spacing w:line="360" w:lineRule="auto"/>
        <w:rPr>
          <w:rFonts w:ascii="Arial" w:hAnsi="Arial" w:cs="Arial"/>
          <w:b/>
          <w:bCs/>
          <w:sz w:val="22"/>
          <w:szCs w:val="22"/>
        </w:rPr>
      </w:pPr>
    </w:p>
    <w:p w14:paraId="435122B1" w14:textId="77777777" w:rsidR="00AA6141" w:rsidRPr="00BB2546" w:rsidRDefault="00AA6141" w:rsidP="007A1C4A">
      <w:pPr>
        <w:spacing w:line="360" w:lineRule="auto"/>
        <w:rPr>
          <w:rFonts w:ascii="Arial" w:hAnsi="Arial" w:cs="Arial"/>
          <w:b/>
          <w:bCs/>
          <w:sz w:val="22"/>
          <w:szCs w:val="22"/>
        </w:rPr>
      </w:pPr>
      <w:r w:rsidRPr="00BB2546">
        <w:rPr>
          <w:rFonts w:ascii="Arial" w:hAnsi="Arial" w:cs="Arial"/>
          <w:b/>
          <w:bCs/>
          <w:sz w:val="22"/>
          <w:szCs w:val="22"/>
        </w:rPr>
        <w:br w:type="page"/>
      </w:r>
    </w:p>
    <w:p w14:paraId="1FBCF33B" w14:textId="7CBD72C5" w:rsidR="000D59A7" w:rsidRPr="00BB2546" w:rsidRDefault="000D59A7"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Figure </w:t>
      </w:r>
      <w:r w:rsidR="00050B8E" w:rsidRPr="00BB2546">
        <w:rPr>
          <w:rFonts w:ascii="Arial" w:hAnsi="Arial" w:cs="Arial"/>
          <w:b/>
          <w:bCs/>
          <w:sz w:val="22"/>
          <w:szCs w:val="22"/>
        </w:rPr>
        <w:t>5</w:t>
      </w:r>
      <w:r w:rsidRPr="00BB2546">
        <w:rPr>
          <w:rFonts w:ascii="Arial" w:hAnsi="Arial" w:cs="Arial"/>
          <w:b/>
          <w:bCs/>
          <w:sz w:val="22"/>
          <w:szCs w:val="22"/>
        </w:rPr>
        <w:t>.</w:t>
      </w:r>
      <w:r w:rsidRPr="00BB2546">
        <w:rPr>
          <w:rFonts w:ascii="Arial" w:hAnsi="Arial" w:cs="Arial"/>
          <w:sz w:val="22"/>
          <w:szCs w:val="22"/>
        </w:rPr>
        <w:t xml:space="preserve"> Proportional contribution of city-level impacts to total impacts by region and impact category. The categories include population, environmental impacts, diet-related health impacts, and health-related costs.</w:t>
      </w:r>
    </w:p>
    <w:p w14:paraId="5C1E2ADE" w14:textId="14A65521" w:rsidR="000D59A7" w:rsidRPr="00BB2546" w:rsidRDefault="000D59A7" w:rsidP="007A1C4A">
      <w:pPr>
        <w:spacing w:line="360" w:lineRule="auto"/>
        <w:rPr>
          <w:rFonts w:ascii="Arial" w:hAnsi="Arial" w:cs="Arial"/>
          <w:b/>
          <w:bCs/>
          <w:sz w:val="22"/>
          <w:szCs w:val="22"/>
        </w:rPr>
      </w:pPr>
      <w:r w:rsidRPr="00BB2546">
        <w:rPr>
          <w:rFonts w:ascii="Arial" w:hAnsi="Arial" w:cs="Arial"/>
          <w:noProof/>
          <w:sz w:val="22"/>
          <w:szCs w:val="22"/>
        </w:rPr>
        <w:drawing>
          <wp:inline distT="0" distB="0" distL="0" distR="0" wp14:anchorId="4C1C9261" wp14:editId="4F0254F1">
            <wp:extent cx="5731510" cy="4745355"/>
            <wp:effectExtent l="0" t="0" r="0" b="4445"/>
            <wp:docPr id="113825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53189" name=""/>
                    <pic:cNvPicPr/>
                  </pic:nvPicPr>
                  <pic:blipFill>
                    <a:blip r:embed="rId35"/>
                    <a:stretch>
                      <a:fillRect/>
                    </a:stretch>
                  </pic:blipFill>
                  <pic:spPr>
                    <a:xfrm>
                      <a:off x="0" y="0"/>
                      <a:ext cx="5731510" cy="4745355"/>
                    </a:xfrm>
                    <a:prstGeom prst="rect">
                      <a:avLst/>
                    </a:prstGeom>
                  </pic:spPr>
                </pic:pic>
              </a:graphicData>
            </a:graphic>
          </wp:inline>
        </w:drawing>
      </w:r>
    </w:p>
    <w:p w14:paraId="6F7F87AF" w14:textId="77777777" w:rsidR="000D59A7" w:rsidRPr="00BB2546" w:rsidRDefault="000D59A7" w:rsidP="007A1C4A">
      <w:pPr>
        <w:spacing w:line="360" w:lineRule="auto"/>
        <w:rPr>
          <w:rFonts w:ascii="Arial" w:hAnsi="Arial" w:cs="Arial"/>
          <w:b/>
          <w:bCs/>
          <w:sz w:val="22"/>
          <w:szCs w:val="22"/>
        </w:rPr>
      </w:pPr>
      <w:r w:rsidRPr="00BB2546">
        <w:rPr>
          <w:rFonts w:ascii="Arial" w:hAnsi="Arial" w:cs="Arial"/>
          <w:b/>
          <w:bCs/>
          <w:sz w:val="22"/>
          <w:szCs w:val="22"/>
        </w:rPr>
        <w:br w:type="page"/>
      </w:r>
    </w:p>
    <w:p w14:paraId="01F17956" w14:textId="55770FF4" w:rsidR="00246653" w:rsidRPr="00BB2546" w:rsidRDefault="009B7AFC" w:rsidP="007A1C4A">
      <w:pPr>
        <w:spacing w:line="360" w:lineRule="auto"/>
        <w:rPr>
          <w:rFonts w:ascii="Arial" w:hAnsi="Arial" w:cs="Arial"/>
          <w:sz w:val="22"/>
          <w:szCs w:val="22"/>
        </w:rPr>
      </w:pPr>
      <w:r w:rsidRPr="00BB2546">
        <w:rPr>
          <w:rFonts w:ascii="Arial" w:hAnsi="Arial" w:cs="Arial"/>
          <w:b/>
          <w:bCs/>
          <w:sz w:val="22"/>
          <w:szCs w:val="22"/>
        </w:rPr>
        <w:lastRenderedPageBreak/>
        <w:t>SI Fig</w:t>
      </w:r>
      <w:r w:rsidR="00AA6141" w:rsidRPr="00BB2546">
        <w:rPr>
          <w:rFonts w:ascii="Arial" w:hAnsi="Arial" w:cs="Arial"/>
          <w:b/>
          <w:bCs/>
          <w:sz w:val="22"/>
          <w:szCs w:val="22"/>
        </w:rPr>
        <w:t xml:space="preserve">ure </w:t>
      </w:r>
      <w:r w:rsidR="00050B8E" w:rsidRPr="00BB2546">
        <w:rPr>
          <w:rFonts w:ascii="Arial" w:hAnsi="Arial" w:cs="Arial"/>
          <w:b/>
          <w:bCs/>
          <w:sz w:val="22"/>
          <w:szCs w:val="22"/>
        </w:rPr>
        <w:t>6</w:t>
      </w:r>
      <w:r w:rsidRPr="00BB2546">
        <w:rPr>
          <w:rFonts w:ascii="Arial" w:hAnsi="Arial" w:cs="Arial"/>
          <w:b/>
          <w:bCs/>
          <w:sz w:val="22"/>
          <w:szCs w:val="22"/>
        </w:rPr>
        <w:t xml:space="preserve">. </w:t>
      </w:r>
      <w:r w:rsidRPr="00BB2546">
        <w:rPr>
          <w:rFonts w:ascii="Arial" w:hAnsi="Arial" w:cs="Arial"/>
          <w:sz w:val="22"/>
          <w:szCs w:val="22"/>
        </w:rPr>
        <w:t>Health-related costs in cities by region and cost item</w:t>
      </w:r>
      <w:r w:rsidR="00AA6141" w:rsidRPr="00BB2546">
        <w:rPr>
          <w:rFonts w:ascii="Arial" w:hAnsi="Arial" w:cs="Arial"/>
          <w:sz w:val="22"/>
          <w:szCs w:val="22"/>
        </w:rPr>
        <w:t>, including total costs (top) and costs per person (bottom)</w:t>
      </w:r>
      <w:r w:rsidRPr="00BB2546">
        <w:rPr>
          <w:rFonts w:ascii="Arial" w:hAnsi="Arial" w:cs="Arial"/>
          <w:sz w:val="22"/>
          <w:szCs w:val="22"/>
        </w:rPr>
        <w:t>. The estimates are expressed in US$ adjusted for purchasing power parity. The regions include North America (NAC), Latin America and the Caribbean (LCN), Europe and Central Asia (ECS), the Middle East and North Africa (MEA), South Asia (SAS), East Asia and the Pacific (EAS), Sub-Saharan Africa (SSF), and a global average (WLD).</w:t>
      </w:r>
      <w:r w:rsidR="00F839A7" w:rsidRPr="00BB2546">
        <w:rPr>
          <w:rFonts w:ascii="Arial" w:hAnsi="Arial" w:cs="Arial"/>
          <w:sz w:val="22"/>
          <w:szCs w:val="22"/>
        </w:rPr>
        <w:t xml:space="preserve"> </w:t>
      </w:r>
    </w:p>
    <w:p w14:paraId="527FB0B5" w14:textId="53ABDDC7" w:rsidR="00246653" w:rsidRPr="00BB2546" w:rsidRDefault="00246653" w:rsidP="007A1C4A">
      <w:pPr>
        <w:spacing w:line="360" w:lineRule="auto"/>
        <w:rPr>
          <w:rFonts w:ascii="Arial" w:hAnsi="Arial" w:cs="Arial"/>
          <w:b/>
          <w:bCs/>
          <w:sz w:val="22"/>
          <w:szCs w:val="22"/>
        </w:rPr>
      </w:pPr>
      <w:r w:rsidRPr="00BB2546">
        <w:rPr>
          <w:rFonts w:ascii="Arial" w:hAnsi="Arial" w:cs="Arial"/>
          <w:noProof/>
          <w:sz w:val="22"/>
          <w:szCs w:val="22"/>
        </w:rPr>
        <w:drawing>
          <wp:inline distT="0" distB="0" distL="0" distR="0" wp14:anchorId="5529F63D" wp14:editId="0C0C30BC">
            <wp:extent cx="5731510" cy="3119120"/>
            <wp:effectExtent l="0" t="0" r="0" b="5080"/>
            <wp:docPr id="101489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4805" name=""/>
                    <pic:cNvPicPr/>
                  </pic:nvPicPr>
                  <pic:blipFill>
                    <a:blip r:embed="rId36"/>
                    <a:stretch>
                      <a:fillRect/>
                    </a:stretch>
                  </pic:blipFill>
                  <pic:spPr>
                    <a:xfrm>
                      <a:off x="0" y="0"/>
                      <a:ext cx="5731510" cy="3119120"/>
                    </a:xfrm>
                    <a:prstGeom prst="rect">
                      <a:avLst/>
                    </a:prstGeom>
                  </pic:spPr>
                </pic:pic>
              </a:graphicData>
            </a:graphic>
          </wp:inline>
        </w:drawing>
      </w:r>
    </w:p>
    <w:p w14:paraId="072B5B91" w14:textId="5F1877D5" w:rsidR="009B7AFC" w:rsidRPr="00BB2546" w:rsidRDefault="00246653" w:rsidP="007A1C4A">
      <w:pPr>
        <w:spacing w:line="360" w:lineRule="auto"/>
        <w:rPr>
          <w:rFonts w:ascii="Arial" w:hAnsi="Arial" w:cs="Arial"/>
          <w:b/>
          <w:bCs/>
          <w:sz w:val="22"/>
          <w:szCs w:val="22"/>
        </w:rPr>
      </w:pPr>
      <w:r w:rsidRPr="00BB2546">
        <w:rPr>
          <w:rFonts w:ascii="Arial" w:hAnsi="Arial" w:cs="Arial"/>
          <w:noProof/>
          <w:sz w:val="22"/>
          <w:szCs w:val="22"/>
        </w:rPr>
        <w:drawing>
          <wp:inline distT="0" distB="0" distL="0" distR="0" wp14:anchorId="48BA0E61" wp14:editId="392274AB">
            <wp:extent cx="5731510" cy="3113405"/>
            <wp:effectExtent l="0" t="0" r="0" b="0"/>
            <wp:docPr id="1376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597" name=""/>
                    <pic:cNvPicPr/>
                  </pic:nvPicPr>
                  <pic:blipFill>
                    <a:blip r:embed="rId37"/>
                    <a:stretch>
                      <a:fillRect/>
                    </a:stretch>
                  </pic:blipFill>
                  <pic:spPr>
                    <a:xfrm>
                      <a:off x="0" y="0"/>
                      <a:ext cx="5731510" cy="3113405"/>
                    </a:xfrm>
                    <a:prstGeom prst="rect">
                      <a:avLst/>
                    </a:prstGeom>
                  </pic:spPr>
                </pic:pic>
              </a:graphicData>
            </a:graphic>
          </wp:inline>
        </w:drawing>
      </w:r>
    </w:p>
    <w:p w14:paraId="25648758" w14:textId="45F239CF" w:rsidR="00246653" w:rsidRPr="00BB2546" w:rsidRDefault="00246653" w:rsidP="007A1C4A">
      <w:pPr>
        <w:spacing w:line="360" w:lineRule="auto"/>
        <w:rPr>
          <w:rFonts w:ascii="Arial" w:hAnsi="Arial" w:cs="Arial"/>
          <w:b/>
          <w:bCs/>
          <w:sz w:val="22"/>
          <w:szCs w:val="22"/>
        </w:rPr>
      </w:pPr>
      <w:r w:rsidRPr="00BB2546">
        <w:rPr>
          <w:rFonts w:ascii="Arial" w:hAnsi="Arial" w:cs="Arial"/>
          <w:b/>
          <w:bCs/>
          <w:sz w:val="22"/>
          <w:szCs w:val="22"/>
        </w:rPr>
        <w:br w:type="page"/>
      </w:r>
    </w:p>
    <w:p w14:paraId="4375F424" w14:textId="3EE7A17E" w:rsidR="00246653" w:rsidRPr="00BB2546" w:rsidRDefault="00246653" w:rsidP="007A1C4A">
      <w:pPr>
        <w:spacing w:line="360" w:lineRule="auto"/>
        <w:rPr>
          <w:rFonts w:ascii="Arial" w:hAnsi="Arial" w:cs="Arial"/>
          <w:b/>
          <w:bCs/>
          <w:sz w:val="22"/>
          <w:szCs w:val="22"/>
        </w:rPr>
      </w:pPr>
      <w:r w:rsidRPr="00BB2546">
        <w:rPr>
          <w:rFonts w:ascii="Arial" w:hAnsi="Arial" w:cs="Arial"/>
          <w:b/>
          <w:bCs/>
          <w:sz w:val="22"/>
          <w:szCs w:val="22"/>
        </w:rPr>
        <w:lastRenderedPageBreak/>
        <w:t>SI Table 1</w:t>
      </w:r>
      <w:r w:rsidRPr="00BB2546">
        <w:rPr>
          <w:rFonts w:ascii="Arial" w:hAnsi="Arial" w:cs="Arial"/>
          <w:b/>
          <w:bCs/>
          <w:sz w:val="22"/>
          <w:szCs w:val="22"/>
        </w:rPr>
        <w:t>9</w:t>
      </w:r>
      <w:r w:rsidRPr="00BB2546">
        <w:rPr>
          <w:rFonts w:ascii="Arial" w:hAnsi="Arial" w:cs="Arial"/>
          <w:b/>
          <w:bCs/>
          <w:sz w:val="22"/>
          <w:szCs w:val="22"/>
        </w:rPr>
        <w:t xml:space="preserve">. </w:t>
      </w:r>
      <w:r w:rsidRPr="00BB2546">
        <w:rPr>
          <w:rFonts w:ascii="Arial" w:hAnsi="Arial" w:cs="Arial"/>
          <w:sz w:val="22"/>
          <w:szCs w:val="22"/>
        </w:rPr>
        <w:t>Cities with highest and lowest diet-related mortality rates per person in 2020.</w:t>
      </w:r>
    </w:p>
    <w:p w14:paraId="78A094B6" w14:textId="22C5091B" w:rsidR="009B7AFC" w:rsidRPr="00BB2546" w:rsidRDefault="001F2305" w:rsidP="007A1C4A">
      <w:pPr>
        <w:spacing w:line="360" w:lineRule="auto"/>
        <w:rPr>
          <w:rFonts w:ascii="Arial" w:hAnsi="Arial" w:cs="Arial"/>
          <w:b/>
          <w:bCs/>
          <w:sz w:val="22"/>
          <w:szCs w:val="22"/>
        </w:rPr>
      </w:pPr>
      <w:r w:rsidRPr="00BB2546">
        <w:rPr>
          <w:rFonts w:ascii="Arial" w:hAnsi="Arial" w:cs="Arial"/>
          <w:b/>
          <w:bCs/>
          <w:sz w:val="22"/>
          <w:szCs w:val="22"/>
        </w:rPr>
        <w:drawing>
          <wp:inline distT="0" distB="0" distL="0" distR="0" wp14:anchorId="7BFB1F41" wp14:editId="593A2B1A">
            <wp:extent cx="3188777" cy="3844413"/>
            <wp:effectExtent l="0" t="0" r="0" b="3810"/>
            <wp:docPr id="191144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0136" name=""/>
                    <pic:cNvPicPr/>
                  </pic:nvPicPr>
                  <pic:blipFill>
                    <a:blip r:embed="rId38"/>
                    <a:stretch>
                      <a:fillRect/>
                    </a:stretch>
                  </pic:blipFill>
                  <pic:spPr>
                    <a:xfrm>
                      <a:off x="0" y="0"/>
                      <a:ext cx="3201338" cy="3859556"/>
                    </a:xfrm>
                    <a:prstGeom prst="rect">
                      <a:avLst/>
                    </a:prstGeom>
                  </pic:spPr>
                </pic:pic>
              </a:graphicData>
            </a:graphic>
          </wp:inline>
        </w:drawing>
      </w:r>
    </w:p>
    <w:p w14:paraId="6F49767F" w14:textId="238A0FC0" w:rsidR="00C565DB" w:rsidRPr="00BB2546" w:rsidRDefault="00C565DB" w:rsidP="007A1C4A">
      <w:pPr>
        <w:spacing w:line="360" w:lineRule="auto"/>
        <w:rPr>
          <w:rFonts w:ascii="Arial" w:hAnsi="Arial" w:cs="Arial"/>
          <w:sz w:val="22"/>
          <w:szCs w:val="22"/>
        </w:rPr>
      </w:pPr>
      <w:r w:rsidRPr="00BB2546">
        <w:rPr>
          <w:rFonts w:ascii="Arial" w:hAnsi="Arial" w:cs="Arial"/>
          <w:sz w:val="22"/>
          <w:szCs w:val="22"/>
        </w:rPr>
        <w:br w:type="page"/>
      </w:r>
    </w:p>
    <w:p w14:paraId="093A2B29" w14:textId="03EBA3C7" w:rsidR="00C565DB" w:rsidRPr="00BB2546" w:rsidRDefault="00C565DB" w:rsidP="007A1C4A">
      <w:pPr>
        <w:spacing w:line="360" w:lineRule="auto"/>
        <w:rPr>
          <w:rFonts w:ascii="Arial" w:hAnsi="Arial" w:cs="Arial"/>
          <w:b/>
          <w:bCs/>
          <w:sz w:val="22"/>
          <w:szCs w:val="22"/>
        </w:rPr>
      </w:pPr>
      <w:r w:rsidRPr="00BB2546">
        <w:rPr>
          <w:rFonts w:ascii="Arial" w:hAnsi="Arial" w:cs="Arial"/>
          <w:b/>
          <w:bCs/>
          <w:sz w:val="22"/>
          <w:szCs w:val="22"/>
        </w:rPr>
        <w:lastRenderedPageBreak/>
        <w:t xml:space="preserve">SI Table </w:t>
      </w:r>
      <w:r w:rsidR="000D59A7" w:rsidRPr="00BB2546">
        <w:rPr>
          <w:rFonts w:ascii="Arial" w:hAnsi="Arial" w:cs="Arial"/>
          <w:b/>
          <w:bCs/>
          <w:sz w:val="22"/>
          <w:szCs w:val="22"/>
        </w:rPr>
        <w:t>20</w:t>
      </w:r>
      <w:r w:rsidRPr="00BB2546">
        <w:rPr>
          <w:rFonts w:ascii="Arial" w:hAnsi="Arial" w:cs="Arial"/>
          <w:b/>
          <w:bCs/>
          <w:sz w:val="22"/>
          <w:szCs w:val="22"/>
        </w:rPr>
        <w:t>.</w:t>
      </w:r>
      <w:r w:rsidR="00557D3E" w:rsidRPr="00BB2546">
        <w:rPr>
          <w:rFonts w:ascii="Arial" w:hAnsi="Arial" w:cs="Arial"/>
          <w:sz w:val="22"/>
          <w:szCs w:val="22"/>
        </w:rPr>
        <w:t xml:space="preserve"> </w:t>
      </w:r>
      <w:r w:rsidR="00490944" w:rsidRPr="00BB2546">
        <w:rPr>
          <w:rFonts w:ascii="Arial" w:hAnsi="Arial" w:cs="Arial"/>
          <w:sz w:val="22"/>
          <w:szCs w:val="22"/>
        </w:rPr>
        <w:t>Change</w:t>
      </w:r>
      <w:r w:rsidR="00490944" w:rsidRPr="00BB2546">
        <w:rPr>
          <w:rFonts w:ascii="Arial" w:hAnsi="Arial" w:cs="Arial"/>
          <w:sz w:val="22"/>
          <w:szCs w:val="22"/>
        </w:rPr>
        <w:t>s</w:t>
      </w:r>
      <w:r w:rsidR="00490944" w:rsidRPr="00BB2546">
        <w:rPr>
          <w:rFonts w:ascii="Arial" w:hAnsi="Arial" w:cs="Arial"/>
          <w:sz w:val="22"/>
          <w:szCs w:val="22"/>
        </w:rPr>
        <w:t xml:space="preserve"> in city-level impacts from dietary changes</w:t>
      </w:r>
      <w:r w:rsidR="00490944" w:rsidRPr="00BB2546">
        <w:rPr>
          <w:rFonts w:ascii="Arial" w:hAnsi="Arial" w:cs="Arial"/>
          <w:sz w:val="22"/>
          <w:szCs w:val="22"/>
        </w:rPr>
        <w:t xml:space="preserve"> to planetary health diets by region and indicator</w:t>
      </w:r>
      <w:r w:rsidR="00490944" w:rsidRPr="00BB2546">
        <w:rPr>
          <w:rFonts w:ascii="Arial" w:hAnsi="Arial" w:cs="Arial"/>
          <w:b/>
          <w:bCs/>
          <w:sz w:val="22"/>
          <w:szCs w:val="22"/>
        </w:rPr>
        <w:t>.</w:t>
      </w:r>
      <w:r w:rsidR="00490944" w:rsidRPr="00BB2546">
        <w:rPr>
          <w:rFonts w:ascii="Arial" w:hAnsi="Arial" w:cs="Arial"/>
          <w:sz w:val="22"/>
          <w:szCs w:val="22"/>
        </w:rPr>
        <w:t xml:space="preserve"> </w:t>
      </w:r>
      <w:r w:rsidR="00490944" w:rsidRPr="00BB2546">
        <w:rPr>
          <w:rFonts w:ascii="Arial" w:hAnsi="Arial" w:cs="Arial"/>
          <w:sz w:val="22"/>
          <w:szCs w:val="22"/>
        </w:rPr>
        <w:t>The changes include total changes (top), changes per person (middle), and percentage changes (bottom).</w:t>
      </w:r>
    </w:p>
    <w:p w14:paraId="002C832F" w14:textId="339DD942" w:rsidR="00C565DB" w:rsidRPr="00BB2546" w:rsidRDefault="00C565DB" w:rsidP="007A1C4A">
      <w:pPr>
        <w:spacing w:line="360" w:lineRule="auto"/>
        <w:rPr>
          <w:rFonts w:ascii="Arial" w:hAnsi="Arial" w:cs="Arial"/>
          <w:sz w:val="22"/>
          <w:szCs w:val="22"/>
        </w:rPr>
      </w:pPr>
      <w:r w:rsidRPr="00BB2546">
        <w:rPr>
          <w:rFonts w:ascii="Arial" w:hAnsi="Arial" w:cs="Arial"/>
          <w:sz w:val="22"/>
          <w:szCs w:val="22"/>
        </w:rPr>
        <w:drawing>
          <wp:inline distT="0" distB="0" distL="0" distR="0" wp14:anchorId="49A49896" wp14:editId="085C5C2A">
            <wp:extent cx="5731510" cy="5290820"/>
            <wp:effectExtent l="0" t="0" r="0" b="5080"/>
            <wp:docPr id="8686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527" name=""/>
                    <pic:cNvPicPr/>
                  </pic:nvPicPr>
                  <pic:blipFill>
                    <a:blip r:embed="rId39"/>
                    <a:stretch>
                      <a:fillRect/>
                    </a:stretch>
                  </pic:blipFill>
                  <pic:spPr>
                    <a:xfrm>
                      <a:off x="0" y="0"/>
                      <a:ext cx="5731510" cy="5290820"/>
                    </a:xfrm>
                    <a:prstGeom prst="rect">
                      <a:avLst/>
                    </a:prstGeom>
                  </pic:spPr>
                </pic:pic>
              </a:graphicData>
            </a:graphic>
          </wp:inline>
        </w:drawing>
      </w:r>
    </w:p>
    <w:p w14:paraId="3024A46B" w14:textId="77777777" w:rsidR="00FF285C" w:rsidRPr="00BB2546" w:rsidRDefault="00FF285C" w:rsidP="007A1C4A">
      <w:pPr>
        <w:spacing w:line="360" w:lineRule="auto"/>
        <w:rPr>
          <w:rFonts w:ascii="Arial" w:hAnsi="Arial" w:cs="Arial"/>
          <w:sz w:val="22"/>
          <w:szCs w:val="22"/>
        </w:rPr>
      </w:pPr>
    </w:p>
    <w:p w14:paraId="0512C739" w14:textId="0FF309B6" w:rsidR="000D59A7" w:rsidRPr="00BB2546" w:rsidRDefault="000D59A7" w:rsidP="007A1C4A">
      <w:pPr>
        <w:spacing w:line="360" w:lineRule="auto"/>
        <w:rPr>
          <w:rFonts w:ascii="Arial" w:hAnsi="Arial" w:cs="Arial"/>
          <w:sz w:val="22"/>
          <w:szCs w:val="22"/>
        </w:rPr>
      </w:pPr>
      <w:r w:rsidRPr="00BB2546">
        <w:rPr>
          <w:rFonts w:ascii="Arial" w:hAnsi="Arial" w:cs="Arial"/>
          <w:sz w:val="22"/>
          <w:szCs w:val="22"/>
        </w:rPr>
        <w:br w:type="page"/>
      </w:r>
    </w:p>
    <w:p w14:paraId="02636123" w14:textId="2B2E4657" w:rsidR="002A661D" w:rsidRPr="00BB2546" w:rsidRDefault="000D59A7" w:rsidP="007A1C4A">
      <w:pPr>
        <w:spacing w:line="360" w:lineRule="auto"/>
        <w:rPr>
          <w:rFonts w:ascii="Arial" w:hAnsi="Arial" w:cs="Arial"/>
          <w:sz w:val="22"/>
          <w:szCs w:val="22"/>
        </w:rPr>
      </w:pPr>
      <w:r w:rsidRPr="00BB2546">
        <w:rPr>
          <w:rFonts w:ascii="Arial" w:hAnsi="Arial" w:cs="Arial"/>
          <w:b/>
          <w:bCs/>
          <w:sz w:val="22"/>
          <w:szCs w:val="22"/>
        </w:rPr>
        <w:lastRenderedPageBreak/>
        <w:t xml:space="preserve">SI Figure </w:t>
      </w:r>
      <w:r w:rsidR="00050B8E" w:rsidRPr="00BB2546">
        <w:rPr>
          <w:rFonts w:ascii="Arial" w:hAnsi="Arial" w:cs="Arial"/>
          <w:b/>
          <w:bCs/>
          <w:sz w:val="22"/>
          <w:szCs w:val="22"/>
        </w:rPr>
        <w:t>7</w:t>
      </w:r>
      <w:r w:rsidRPr="00BB2546">
        <w:rPr>
          <w:rFonts w:ascii="Arial" w:hAnsi="Arial" w:cs="Arial"/>
          <w:b/>
          <w:bCs/>
          <w:sz w:val="22"/>
          <w:szCs w:val="22"/>
        </w:rPr>
        <w:t>.</w:t>
      </w:r>
      <w:r w:rsidR="009A29E8" w:rsidRPr="00BB2546">
        <w:rPr>
          <w:rFonts w:ascii="Arial" w:hAnsi="Arial" w:cs="Arial"/>
          <w:b/>
          <w:bCs/>
          <w:sz w:val="22"/>
          <w:szCs w:val="22"/>
        </w:rPr>
        <w:t xml:space="preserve"> </w:t>
      </w:r>
      <w:r w:rsidR="002A661D" w:rsidRPr="00BB2546">
        <w:rPr>
          <w:rFonts w:ascii="Arial" w:hAnsi="Arial" w:cs="Arial"/>
          <w:sz w:val="22"/>
          <w:szCs w:val="22"/>
        </w:rPr>
        <w:t xml:space="preserve">Proportional contribution of city-level impacts to total </w:t>
      </w:r>
      <w:r w:rsidR="002A661D" w:rsidRPr="00BB2546">
        <w:rPr>
          <w:rFonts w:ascii="Arial" w:hAnsi="Arial" w:cs="Arial"/>
          <w:sz w:val="22"/>
          <w:szCs w:val="22"/>
        </w:rPr>
        <w:t xml:space="preserve">population and environmental </w:t>
      </w:r>
      <w:r w:rsidR="002A661D" w:rsidRPr="00BB2546">
        <w:rPr>
          <w:rFonts w:ascii="Arial" w:hAnsi="Arial" w:cs="Arial"/>
          <w:sz w:val="22"/>
          <w:szCs w:val="22"/>
        </w:rPr>
        <w:t xml:space="preserve">impacts by region </w:t>
      </w:r>
      <w:r w:rsidR="002A661D" w:rsidRPr="00BB2546">
        <w:rPr>
          <w:rFonts w:ascii="Arial" w:hAnsi="Arial" w:cs="Arial"/>
          <w:sz w:val="22"/>
          <w:szCs w:val="22"/>
        </w:rPr>
        <w:t>and food-system intervention</w:t>
      </w:r>
      <w:r w:rsidR="002A661D" w:rsidRPr="00BB2546">
        <w:rPr>
          <w:rFonts w:ascii="Arial" w:hAnsi="Arial" w:cs="Arial"/>
          <w:sz w:val="22"/>
          <w:szCs w:val="22"/>
        </w:rPr>
        <w:t xml:space="preserve">. </w:t>
      </w:r>
      <w:r w:rsidR="002A661D" w:rsidRPr="00BB2546">
        <w:rPr>
          <w:rFonts w:ascii="Arial" w:hAnsi="Arial" w:cs="Arial"/>
          <w:sz w:val="22"/>
          <w:szCs w:val="22"/>
        </w:rPr>
        <w:t>The interventions include a halving of food waste (less waste), dietary changes to planetary health diets (diet change), and their combination (diet &amp; waste).</w:t>
      </w:r>
    </w:p>
    <w:p w14:paraId="5798200E" w14:textId="4C1E2206" w:rsidR="000D59A7" w:rsidRPr="00BB2546" w:rsidRDefault="00490944" w:rsidP="007A1C4A">
      <w:pPr>
        <w:spacing w:line="360" w:lineRule="auto"/>
        <w:rPr>
          <w:rFonts w:ascii="Arial" w:hAnsi="Arial" w:cs="Arial"/>
          <w:sz w:val="22"/>
          <w:szCs w:val="22"/>
        </w:rPr>
      </w:pPr>
      <w:r w:rsidRPr="00BB2546">
        <w:rPr>
          <w:rFonts w:ascii="Arial" w:hAnsi="Arial" w:cs="Arial"/>
          <w:noProof/>
          <w:sz w:val="22"/>
          <w:szCs w:val="22"/>
        </w:rPr>
        <w:drawing>
          <wp:inline distT="0" distB="0" distL="0" distR="0" wp14:anchorId="3B0C105B" wp14:editId="6A8FB7BC">
            <wp:extent cx="5731510" cy="4068445"/>
            <wp:effectExtent l="0" t="0" r="0" b="0"/>
            <wp:docPr id="8353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0671" name=""/>
                    <pic:cNvPicPr/>
                  </pic:nvPicPr>
                  <pic:blipFill>
                    <a:blip r:embed="rId40"/>
                    <a:stretch>
                      <a:fillRect/>
                    </a:stretch>
                  </pic:blipFill>
                  <pic:spPr>
                    <a:xfrm>
                      <a:off x="0" y="0"/>
                      <a:ext cx="5731510" cy="4068445"/>
                    </a:xfrm>
                    <a:prstGeom prst="rect">
                      <a:avLst/>
                    </a:prstGeom>
                  </pic:spPr>
                </pic:pic>
              </a:graphicData>
            </a:graphic>
          </wp:inline>
        </w:drawing>
      </w:r>
    </w:p>
    <w:p w14:paraId="133A38FB" w14:textId="3BA8BF97" w:rsidR="00F214BE" w:rsidRPr="00BB2546" w:rsidRDefault="00F214BE" w:rsidP="007A1C4A">
      <w:pPr>
        <w:spacing w:line="360" w:lineRule="auto"/>
        <w:rPr>
          <w:rFonts w:ascii="Arial" w:hAnsi="Arial" w:cs="Arial"/>
          <w:sz w:val="22"/>
          <w:szCs w:val="22"/>
        </w:rPr>
      </w:pPr>
      <w:r w:rsidRPr="00BB2546">
        <w:rPr>
          <w:rFonts w:ascii="Arial" w:hAnsi="Arial" w:cs="Arial"/>
          <w:sz w:val="22"/>
          <w:szCs w:val="22"/>
        </w:rPr>
        <w:br w:type="page"/>
      </w:r>
    </w:p>
    <w:p w14:paraId="53CAC57E" w14:textId="7A74E91D" w:rsidR="00F214BE" w:rsidRPr="007A1C4A" w:rsidRDefault="00F214BE" w:rsidP="007A1C4A">
      <w:pPr>
        <w:pStyle w:val="Heading1"/>
        <w:spacing w:line="360" w:lineRule="auto"/>
        <w:rPr>
          <w:rFonts w:ascii="Arial" w:hAnsi="Arial" w:cs="Arial"/>
          <w:b/>
          <w:bCs/>
          <w:color w:val="000000" w:themeColor="text1"/>
          <w:sz w:val="24"/>
          <w:szCs w:val="24"/>
        </w:rPr>
      </w:pPr>
      <w:bookmarkStart w:id="3" w:name="_Toc217949367"/>
      <w:r w:rsidRPr="007A1C4A">
        <w:rPr>
          <w:rFonts w:ascii="Arial" w:hAnsi="Arial" w:cs="Arial"/>
          <w:b/>
          <w:bCs/>
          <w:color w:val="000000" w:themeColor="text1"/>
          <w:sz w:val="24"/>
          <w:szCs w:val="24"/>
        </w:rPr>
        <w:lastRenderedPageBreak/>
        <w:t xml:space="preserve">Supplementary </w:t>
      </w:r>
      <w:r w:rsidRPr="007A1C4A">
        <w:rPr>
          <w:rFonts w:ascii="Arial" w:hAnsi="Arial" w:cs="Arial"/>
          <w:b/>
          <w:bCs/>
          <w:color w:val="000000" w:themeColor="text1"/>
          <w:sz w:val="24"/>
          <w:szCs w:val="24"/>
        </w:rPr>
        <w:t>references</w:t>
      </w:r>
      <w:bookmarkEnd w:id="3"/>
    </w:p>
    <w:p w14:paraId="516CE0C9" w14:textId="77777777" w:rsidR="00F214BE" w:rsidRPr="00BB2546" w:rsidRDefault="00F214BE" w:rsidP="007A1C4A">
      <w:pPr>
        <w:spacing w:line="360" w:lineRule="auto"/>
        <w:rPr>
          <w:rFonts w:ascii="Arial" w:hAnsi="Arial" w:cs="Arial"/>
          <w:sz w:val="22"/>
          <w:szCs w:val="22"/>
        </w:rPr>
      </w:pPr>
    </w:p>
    <w:p w14:paraId="547B07CB" w14:textId="77777777" w:rsidR="007A1C4A" w:rsidRPr="007A1C4A" w:rsidRDefault="00BB2546" w:rsidP="007A1C4A">
      <w:pPr>
        <w:pStyle w:val="Bibliography"/>
        <w:spacing w:line="360" w:lineRule="auto"/>
        <w:rPr>
          <w:rFonts w:ascii="Arial" w:hAnsi="Arial" w:cs="Arial"/>
          <w:sz w:val="22"/>
        </w:rPr>
      </w:pPr>
      <w:r w:rsidRPr="00BB2546">
        <w:rPr>
          <w:rFonts w:ascii="Arial" w:hAnsi="Arial" w:cs="Arial"/>
          <w:sz w:val="22"/>
          <w:szCs w:val="22"/>
        </w:rPr>
        <w:fldChar w:fldCharType="begin"/>
      </w:r>
      <w:r w:rsidR="007A1C4A">
        <w:rPr>
          <w:rFonts w:ascii="Arial" w:hAnsi="Arial" w:cs="Arial"/>
          <w:sz w:val="22"/>
          <w:szCs w:val="22"/>
        </w:rPr>
        <w:instrText xml:space="preserve"> ADDIN ZOTERO_BIBL {"uncited":[],"omitted":[],"custom":[]} CSL_BIBLIOGRAPHY </w:instrText>
      </w:r>
      <w:r w:rsidRPr="00BB2546">
        <w:rPr>
          <w:rFonts w:ascii="Arial" w:hAnsi="Arial" w:cs="Arial"/>
          <w:sz w:val="22"/>
          <w:szCs w:val="22"/>
        </w:rPr>
        <w:fldChar w:fldCharType="separate"/>
      </w:r>
      <w:r w:rsidR="007A1C4A" w:rsidRPr="007A1C4A">
        <w:rPr>
          <w:rFonts w:ascii="Arial" w:hAnsi="Arial" w:cs="Arial"/>
          <w:sz w:val="22"/>
        </w:rPr>
        <w:t>1.</w:t>
      </w:r>
      <w:r w:rsidR="007A1C4A" w:rsidRPr="007A1C4A">
        <w:rPr>
          <w:rFonts w:ascii="Arial" w:hAnsi="Arial" w:cs="Arial"/>
          <w:sz w:val="22"/>
        </w:rPr>
        <w:tab/>
        <w:t xml:space="preserve">Springmann, M. </w:t>
      </w:r>
      <w:r w:rsidR="007A1C4A" w:rsidRPr="007A1C4A">
        <w:rPr>
          <w:rFonts w:ascii="Arial" w:hAnsi="Arial" w:cs="Arial"/>
          <w:i/>
          <w:iCs/>
          <w:sz w:val="22"/>
        </w:rPr>
        <w:t>et al.</w:t>
      </w:r>
      <w:r w:rsidR="007A1C4A" w:rsidRPr="007A1C4A">
        <w:rPr>
          <w:rFonts w:ascii="Arial" w:hAnsi="Arial" w:cs="Arial"/>
          <w:sz w:val="22"/>
        </w:rPr>
        <w:t xml:space="preserve"> Options for keeping the food system within environmental limits. </w:t>
      </w:r>
      <w:r w:rsidR="007A1C4A" w:rsidRPr="007A1C4A">
        <w:rPr>
          <w:rFonts w:ascii="Arial" w:hAnsi="Arial" w:cs="Arial"/>
          <w:i/>
          <w:iCs/>
          <w:sz w:val="22"/>
        </w:rPr>
        <w:t>Nature</w:t>
      </w:r>
      <w:r w:rsidR="007A1C4A" w:rsidRPr="007A1C4A">
        <w:rPr>
          <w:rFonts w:ascii="Arial" w:hAnsi="Arial" w:cs="Arial"/>
          <w:sz w:val="22"/>
        </w:rPr>
        <w:t xml:space="preserve"> </w:t>
      </w:r>
      <w:r w:rsidR="007A1C4A" w:rsidRPr="007A1C4A">
        <w:rPr>
          <w:rFonts w:ascii="Arial" w:hAnsi="Arial" w:cs="Arial"/>
          <w:b/>
          <w:bCs/>
          <w:sz w:val="22"/>
        </w:rPr>
        <w:t>562</w:t>
      </w:r>
      <w:r w:rsidR="007A1C4A" w:rsidRPr="007A1C4A">
        <w:rPr>
          <w:rFonts w:ascii="Arial" w:hAnsi="Arial" w:cs="Arial"/>
          <w:sz w:val="22"/>
        </w:rPr>
        <w:t>, 519–525 (2018).</w:t>
      </w:r>
    </w:p>
    <w:p w14:paraId="0EE6DE13"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2.</w:t>
      </w:r>
      <w:r w:rsidRPr="007A1C4A">
        <w:rPr>
          <w:rFonts w:ascii="Arial" w:hAnsi="Arial" w:cs="Arial"/>
          <w:sz w:val="22"/>
        </w:rPr>
        <w:tab/>
        <w:t xml:space="preserve">Bechthold, A. </w:t>
      </w:r>
      <w:r w:rsidRPr="007A1C4A">
        <w:rPr>
          <w:rFonts w:ascii="Arial" w:hAnsi="Arial" w:cs="Arial"/>
          <w:i/>
          <w:iCs/>
          <w:sz w:val="22"/>
        </w:rPr>
        <w:t>et al.</w:t>
      </w:r>
      <w:r w:rsidRPr="007A1C4A">
        <w:rPr>
          <w:rFonts w:ascii="Arial" w:hAnsi="Arial" w:cs="Arial"/>
          <w:sz w:val="22"/>
        </w:rPr>
        <w:t xml:space="preserve"> Food groups and risk of coronary heart disease, stroke and heart failure: A systematic review and dose-response meta-analysis of prospective studies. </w:t>
      </w:r>
      <w:r w:rsidRPr="007A1C4A">
        <w:rPr>
          <w:rFonts w:ascii="Arial" w:hAnsi="Arial" w:cs="Arial"/>
          <w:i/>
          <w:iCs/>
          <w:sz w:val="22"/>
        </w:rPr>
        <w:t>Critical Reviews in Food Science and Nutrition</w:t>
      </w:r>
      <w:r w:rsidRPr="007A1C4A">
        <w:rPr>
          <w:rFonts w:ascii="Arial" w:hAnsi="Arial" w:cs="Arial"/>
          <w:sz w:val="22"/>
        </w:rPr>
        <w:t xml:space="preserve"> </w:t>
      </w:r>
      <w:r w:rsidRPr="007A1C4A">
        <w:rPr>
          <w:rFonts w:ascii="Arial" w:hAnsi="Arial" w:cs="Arial"/>
          <w:b/>
          <w:bCs/>
          <w:sz w:val="22"/>
        </w:rPr>
        <w:t>59</w:t>
      </w:r>
      <w:r w:rsidRPr="007A1C4A">
        <w:rPr>
          <w:rFonts w:ascii="Arial" w:hAnsi="Arial" w:cs="Arial"/>
          <w:sz w:val="22"/>
        </w:rPr>
        <w:t>, 1071–1090 (2019).</w:t>
      </w:r>
    </w:p>
    <w:p w14:paraId="49E244E3"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3.</w:t>
      </w:r>
      <w:r w:rsidRPr="007A1C4A">
        <w:rPr>
          <w:rFonts w:ascii="Arial" w:hAnsi="Arial" w:cs="Arial"/>
          <w:sz w:val="22"/>
        </w:rPr>
        <w:tab/>
      </w:r>
      <w:proofErr w:type="spellStart"/>
      <w:r w:rsidRPr="007A1C4A">
        <w:rPr>
          <w:rFonts w:ascii="Arial" w:hAnsi="Arial" w:cs="Arial"/>
          <w:sz w:val="22"/>
        </w:rPr>
        <w:t>Schwingshackl</w:t>
      </w:r>
      <w:proofErr w:type="spellEnd"/>
      <w:r w:rsidRPr="007A1C4A">
        <w:rPr>
          <w:rFonts w:ascii="Arial" w:hAnsi="Arial" w:cs="Arial"/>
          <w:sz w:val="22"/>
        </w:rPr>
        <w:t xml:space="preserve">, L. </w:t>
      </w:r>
      <w:r w:rsidRPr="007A1C4A">
        <w:rPr>
          <w:rFonts w:ascii="Arial" w:hAnsi="Arial" w:cs="Arial"/>
          <w:i/>
          <w:iCs/>
          <w:sz w:val="22"/>
        </w:rPr>
        <w:t>et al.</w:t>
      </w:r>
      <w:r w:rsidRPr="007A1C4A">
        <w:rPr>
          <w:rFonts w:ascii="Arial" w:hAnsi="Arial" w:cs="Arial"/>
          <w:sz w:val="22"/>
        </w:rPr>
        <w:t xml:space="preserve"> Food groups and risk of type 2 diabetes mellitus: a systematic review and meta-analysis of prospective studies. </w:t>
      </w:r>
      <w:r w:rsidRPr="007A1C4A">
        <w:rPr>
          <w:rFonts w:ascii="Arial" w:hAnsi="Arial" w:cs="Arial"/>
          <w:i/>
          <w:iCs/>
          <w:sz w:val="22"/>
        </w:rPr>
        <w:t>European Journal of Epidemiology</w:t>
      </w:r>
      <w:r w:rsidRPr="007A1C4A">
        <w:rPr>
          <w:rFonts w:ascii="Arial" w:hAnsi="Arial" w:cs="Arial"/>
          <w:sz w:val="22"/>
        </w:rPr>
        <w:t xml:space="preserve"> </w:t>
      </w:r>
      <w:r w:rsidRPr="007A1C4A">
        <w:rPr>
          <w:rFonts w:ascii="Arial" w:hAnsi="Arial" w:cs="Arial"/>
          <w:b/>
          <w:bCs/>
          <w:sz w:val="22"/>
        </w:rPr>
        <w:t>32</w:t>
      </w:r>
      <w:r w:rsidRPr="007A1C4A">
        <w:rPr>
          <w:rFonts w:ascii="Arial" w:hAnsi="Arial" w:cs="Arial"/>
          <w:sz w:val="22"/>
        </w:rPr>
        <w:t>, 363–375 (2017).</w:t>
      </w:r>
    </w:p>
    <w:p w14:paraId="087984F8"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4.</w:t>
      </w:r>
      <w:r w:rsidRPr="007A1C4A">
        <w:rPr>
          <w:rFonts w:ascii="Arial" w:hAnsi="Arial" w:cs="Arial"/>
          <w:sz w:val="22"/>
        </w:rPr>
        <w:tab/>
      </w:r>
      <w:proofErr w:type="spellStart"/>
      <w:r w:rsidRPr="007A1C4A">
        <w:rPr>
          <w:rFonts w:ascii="Arial" w:hAnsi="Arial" w:cs="Arial"/>
          <w:sz w:val="22"/>
        </w:rPr>
        <w:t>Schwingshackl</w:t>
      </w:r>
      <w:proofErr w:type="spellEnd"/>
      <w:r w:rsidRPr="007A1C4A">
        <w:rPr>
          <w:rFonts w:ascii="Arial" w:hAnsi="Arial" w:cs="Arial"/>
          <w:sz w:val="22"/>
        </w:rPr>
        <w:t xml:space="preserve">, L. </w:t>
      </w:r>
      <w:r w:rsidRPr="007A1C4A">
        <w:rPr>
          <w:rFonts w:ascii="Arial" w:hAnsi="Arial" w:cs="Arial"/>
          <w:i/>
          <w:iCs/>
          <w:sz w:val="22"/>
        </w:rPr>
        <w:t>et al.</w:t>
      </w:r>
      <w:r w:rsidRPr="007A1C4A">
        <w:rPr>
          <w:rFonts w:ascii="Arial" w:hAnsi="Arial" w:cs="Arial"/>
          <w:sz w:val="22"/>
        </w:rPr>
        <w:t xml:space="preserve"> Food groups and risk of colorectal cancer. </w:t>
      </w:r>
      <w:r w:rsidRPr="007A1C4A">
        <w:rPr>
          <w:rFonts w:ascii="Arial" w:hAnsi="Arial" w:cs="Arial"/>
          <w:i/>
          <w:iCs/>
          <w:sz w:val="22"/>
        </w:rPr>
        <w:t>International Journal of Cancer</w:t>
      </w:r>
      <w:r w:rsidRPr="007A1C4A">
        <w:rPr>
          <w:rFonts w:ascii="Arial" w:hAnsi="Arial" w:cs="Arial"/>
          <w:sz w:val="22"/>
        </w:rPr>
        <w:t xml:space="preserve"> </w:t>
      </w:r>
      <w:r w:rsidRPr="007A1C4A">
        <w:rPr>
          <w:rFonts w:ascii="Arial" w:hAnsi="Arial" w:cs="Arial"/>
          <w:b/>
          <w:bCs/>
          <w:sz w:val="22"/>
        </w:rPr>
        <w:t>142</w:t>
      </w:r>
      <w:r w:rsidRPr="007A1C4A">
        <w:rPr>
          <w:rFonts w:ascii="Arial" w:hAnsi="Arial" w:cs="Arial"/>
          <w:sz w:val="22"/>
        </w:rPr>
        <w:t>, 1748–1758 (2018).</w:t>
      </w:r>
    </w:p>
    <w:p w14:paraId="38EEE307"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5.</w:t>
      </w:r>
      <w:r w:rsidRPr="007A1C4A">
        <w:rPr>
          <w:rFonts w:ascii="Arial" w:hAnsi="Arial" w:cs="Arial"/>
          <w:sz w:val="22"/>
        </w:rPr>
        <w:tab/>
        <w:t xml:space="preserve">Aune, D. </w:t>
      </w:r>
      <w:r w:rsidRPr="007A1C4A">
        <w:rPr>
          <w:rFonts w:ascii="Arial" w:hAnsi="Arial" w:cs="Arial"/>
          <w:i/>
          <w:iCs/>
          <w:sz w:val="22"/>
        </w:rPr>
        <w:t>et al.</w:t>
      </w:r>
      <w:r w:rsidRPr="007A1C4A">
        <w:rPr>
          <w:rFonts w:ascii="Arial" w:hAnsi="Arial" w:cs="Arial"/>
          <w:sz w:val="22"/>
        </w:rPr>
        <w:t xml:space="preserve"> Fruit and vegetable intake and the risk of cardiovascular disease, total cancer and all-cause mortality—a systematic review and dose-response meta-analysis of prospective studies. </w:t>
      </w:r>
      <w:r w:rsidRPr="007A1C4A">
        <w:rPr>
          <w:rFonts w:ascii="Arial" w:hAnsi="Arial" w:cs="Arial"/>
          <w:i/>
          <w:iCs/>
          <w:sz w:val="22"/>
        </w:rPr>
        <w:t>International Journal of Epidemiology</w:t>
      </w:r>
      <w:r w:rsidRPr="007A1C4A">
        <w:rPr>
          <w:rFonts w:ascii="Arial" w:hAnsi="Arial" w:cs="Arial"/>
          <w:sz w:val="22"/>
        </w:rPr>
        <w:t xml:space="preserve"> </w:t>
      </w:r>
      <w:r w:rsidRPr="007A1C4A">
        <w:rPr>
          <w:rFonts w:ascii="Arial" w:hAnsi="Arial" w:cs="Arial"/>
          <w:b/>
          <w:bCs/>
          <w:sz w:val="22"/>
        </w:rPr>
        <w:t>46</w:t>
      </w:r>
      <w:r w:rsidRPr="007A1C4A">
        <w:rPr>
          <w:rFonts w:ascii="Arial" w:hAnsi="Arial" w:cs="Arial"/>
          <w:sz w:val="22"/>
        </w:rPr>
        <w:t>, 1029–1056 (2017).</w:t>
      </w:r>
    </w:p>
    <w:p w14:paraId="3F886194"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6.</w:t>
      </w:r>
      <w:r w:rsidRPr="007A1C4A">
        <w:rPr>
          <w:rFonts w:ascii="Arial" w:hAnsi="Arial" w:cs="Arial"/>
          <w:sz w:val="22"/>
        </w:rPr>
        <w:tab/>
        <w:t xml:space="preserve">Aune, D. </w:t>
      </w:r>
      <w:r w:rsidRPr="007A1C4A">
        <w:rPr>
          <w:rFonts w:ascii="Arial" w:hAnsi="Arial" w:cs="Arial"/>
          <w:i/>
          <w:iCs/>
          <w:sz w:val="22"/>
        </w:rPr>
        <w:t>et al.</w:t>
      </w:r>
      <w:r w:rsidRPr="007A1C4A">
        <w:rPr>
          <w:rFonts w:ascii="Arial" w:hAnsi="Arial" w:cs="Arial"/>
          <w:sz w:val="22"/>
        </w:rPr>
        <w:t xml:space="preserve"> Whole grain consumption and risk of cardiovascular disease, cancer, and all cause and cause specific mortality: systematic review and dose-response meta-analysis of prospective studies. </w:t>
      </w:r>
      <w:r w:rsidRPr="007A1C4A">
        <w:rPr>
          <w:rFonts w:ascii="Arial" w:hAnsi="Arial" w:cs="Arial"/>
          <w:i/>
          <w:iCs/>
          <w:sz w:val="22"/>
        </w:rPr>
        <w:t>BMJ</w:t>
      </w:r>
      <w:r w:rsidRPr="007A1C4A">
        <w:rPr>
          <w:rFonts w:ascii="Arial" w:hAnsi="Arial" w:cs="Arial"/>
          <w:sz w:val="22"/>
        </w:rPr>
        <w:t xml:space="preserve"> </w:t>
      </w:r>
      <w:r w:rsidRPr="007A1C4A">
        <w:rPr>
          <w:rFonts w:ascii="Arial" w:hAnsi="Arial" w:cs="Arial"/>
          <w:b/>
          <w:bCs/>
          <w:sz w:val="22"/>
        </w:rPr>
        <w:t>353</w:t>
      </w:r>
      <w:r w:rsidRPr="007A1C4A">
        <w:rPr>
          <w:rFonts w:ascii="Arial" w:hAnsi="Arial" w:cs="Arial"/>
          <w:sz w:val="22"/>
        </w:rPr>
        <w:t>, (2016).</w:t>
      </w:r>
    </w:p>
    <w:p w14:paraId="6E144307"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7.</w:t>
      </w:r>
      <w:r w:rsidRPr="007A1C4A">
        <w:rPr>
          <w:rFonts w:ascii="Arial" w:hAnsi="Arial" w:cs="Arial"/>
          <w:sz w:val="22"/>
        </w:rPr>
        <w:tab/>
        <w:t xml:space="preserve">Aune, D. </w:t>
      </w:r>
      <w:r w:rsidRPr="007A1C4A">
        <w:rPr>
          <w:rFonts w:ascii="Arial" w:hAnsi="Arial" w:cs="Arial"/>
          <w:i/>
          <w:iCs/>
          <w:sz w:val="22"/>
        </w:rPr>
        <w:t>et al.</w:t>
      </w:r>
      <w:r w:rsidRPr="007A1C4A">
        <w:rPr>
          <w:rFonts w:ascii="Arial" w:hAnsi="Arial" w:cs="Arial"/>
          <w:sz w:val="22"/>
        </w:rPr>
        <w:t xml:space="preserve"> Nut consumption and risk of cardiovascular disease, total cancer, all-cause and cause-specific mortality: a systematic review and dose-response meta-analysis of prospective studies. </w:t>
      </w:r>
      <w:r w:rsidRPr="007A1C4A">
        <w:rPr>
          <w:rFonts w:ascii="Arial" w:hAnsi="Arial" w:cs="Arial"/>
          <w:i/>
          <w:iCs/>
          <w:sz w:val="22"/>
        </w:rPr>
        <w:t>BMC Medicine</w:t>
      </w:r>
      <w:r w:rsidRPr="007A1C4A">
        <w:rPr>
          <w:rFonts w:ascii="Arial" w:hAnsi="Arial" w:cs="Arial"/>
          <w:sz w:val="22"/>
        </w:rPr>
        <w:t xml:space="preserve"> </w:t>
      </w:r>
      <w:r w:rsidRPr="007A1C4A">
        <w:rPr>
          <w:rFonts w:ascii="Arial" w:hAnsi="Arial" w:cs="Arial"/>
          <w:b/>
          <w:bCs/>
          <w:sz w:val="22"/>
        </w:rPr>
        <w:t>14</w:t>
      </w:r>
      <w:r w:rsidRPr="007A1C4A">
        <w:rPr>
          <w:rFonts w:ascii="Arial" w:hAnsi="Arial" w:cs="Arial"/>
          <w:sz w:val="22"/>
        </w:rPr>
        <w:t>, 207 (2016).</w:t>
      </w:r>
    </w:p>
    <w:p w14:paraId="1A5C62B3"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8.</w:t>
      </w:r>
      <w:r w:rsidRPr="007A1C4A">
        <w:rPr>
          <w:rFonts w:ascii="Arial" w:hAnsi="Arial" w:cs="Arial"/>
          <w:sz w:val="22"/>
        </w:rPr>
        <w:tab/>
        <w:t xml:space="preserve">Afshin, A., Micha, R., </w:t>
      </w:r>
      <w:proofErr w:type="spellStart"/>
      <w:r w:rsidRPr="007A1C4A">
        <w:rPr>
          <w:rFonts w:ascii="Arial" w:hAnsi="Arial" w:cs="Arial"/>
          <w:sz w:val="22"/>
        </w:rPr>
        <w:t>Khatibzadeh</w:t>
      </w:r>
      <w:proofErr w:type="spellEnd"/>
      <w:r w:rsidRPr="007A1C4A">
        <w:rPr>
          <w:rFonts w:ascii="Arial" w:hAnsi="Arial" w:cs="Arial"/>
          <w:sz w:val="22"/>
        </w:rPr>
        <w:t xml:space="preserve">, S. &amp; </w:t>
      </w:r>
      <w:proofErr w:type="spellStart"/>
      <w:r w:rsidRPr="007A1C4A">
        <w:rPr>
          <w:rFonts w:ascii="Arial" w:hAnsi="Arial" w:cs="Arial"/>
          <w:sz w:val="22"/>
        </w:rPr>
        <w:t>Mozaffarian</w:t>
      </w:r>
      <w:proofErr w:type="spellEnd"/>
      <w:r w:rsidRPr="007A1C4A">
        <w:rPr>
          <w:rFonts w:ascii="Arial" w:hAnsi="Arial" w:cs="Arial"/>
          <w:sz w:val="22"/>
        </w:rPr>
        <w:t xml:space="preserve">, D. Consumption of nuts and legumes and risk of incident ischemic heart disease, stroke, and diabetes: a systematic review and meta-analysis. </w:t>
      </w:r>
      <w:r w:rsidRPr="007A1C4A">
        <w:rPr>
          <w:rFonts w:ascii="Arial" w:hAnsi="Arial" w:cs="Arial"/>
          <w:i/>
          <w:iCs/>
          <w:sz w:val="22"/>
        </w:rPr>
        <w:t>The American Journal of Clinical Nutrition</w:t>
      </w:r>
      <w:r w:rsidRPr="007A1C4A">
        <w:rPr>
          <w:rFonts w:ascii="Arial" w:hAnsi="Arial" w:cs="Arial"/>
          <w:sz w:val="22"/>
        </w:rPr>
        <w:t xml:space="preserve"> ajcn.076901 (2014).</w:t>
      </w:r>
    </w:p>
    <w:p w14:paraId="654329F1"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9.</w:t>
      </w:r>
      <w:r w:rsidRPr="007A1C4A">
        <w:rPr>
          <w:rFonts w:ascii="Arial" w:hAnsi="Arial" w:cs="Arial"/>
          <w:sz w:val="22"/>
        </w:rPr>
        <w:tab/>
        <w:t xml:space="preserve">Global BMI Mortality Collaboration </w:t>
      </w:r>
      <w:r w:rsidRPr="007A1C4A">
        <w:rPr>
          <w:rFonts w:ascii="Arial" w:hAnsi="Arial" w:cs="Arial"/>
          <w:i/>
          <w:iCs/>
          <w:sz w:val="22"/>
        </w:rPr>
        <w:t>et al.</w:t>
      </w:r>
      <w:r w:rsidRPr="007A1C4A">
        <w:rPr>
          <w:rFonts w:ascii="Arial" w:hAnsi="Arial" w:cs="Arial"/>
          <w:sz w:val="22"/>
        </w:rPr>
        <w:t xml:space="preserve"> Body-mass index and all-cause mortality: individual-participant-data meta-analysis of 239 prospective studies in four continents. </w:t>
      </w:r>
      <w:r w:rsidRPr="007A1C4A">
        <w:rPr>
          <w:rFonts w:ascii="Arial" w:hAnsi="Arial" w:cs="Arial"/>
          <w:i/>
          <w:iCs/>
          <w:sz w:val="22"/>
        </w:rPr>
        <w:t>The Lancet</w:t>
      </w:r>
      <w:r w:rsidRPr="007A1C4A">
        <w:rPr>
          <w:rFonts w:ascii="Arial" w:hAnsi="Arial" w:cs="Arial"/>
          <w:sz w:val="22"/>
        </w:rPr>
        <w:t xml:space="preserve"> </w:t>
      </w:r>
      <w:r w:rsidRPr="007A1C4A">
        <w:rPr>
          <w:rFonts w:ascii="Arial" w:hAnsi="Arial" w:cs="Arial"/>
          <w:b/>
          <w:bCs/>
          <w:sz w:val="22"/>
        </w:rPr>
        <w:t>388</w:t>
      </w:r>
      <w:r w:rsidRPr="007A1C4A">
        <w:rPr>
          <w:rFonts w:ascii="Arial" w:hAnsi="Arial" w:cs="Arial"/>
          <w:sz w:val="22"/>
        </w:rPr>
        <w:t>, 776–86 (2016).</w:t>
      </w:r>
    </w:p>
    <w:p w14:paraId="5CACF63D"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10.</w:t>
      </w:r>
      <w:r w:rsidRPr="007A1C4A">
        <w:rPr>
          <w:rFonts w:ascii="Arial" w:hAnsi="Arial" w:cs="Arial"/>
          <w:sz w:val="22"/>
        </w:rPr>
        <w:tab/>
        <w:t xml:space="preserve">Prospective Studies Collaboration </w:t>
      </w:r>
      <w:r w:rsidRPr="007A1C4A">
        <w:rPr>
          <w:rFonts w:ascii="Arial" w:hAnsi="Arial" w:cs="Arial"/>
          <w:i/>
          <w:iCs/>
          <w:sz w:val="22"/>
        </w:rPr>
        <w:t>et al.</w:t>
      </w:r>
      <w:r w:rsidRPr="007A1C4A">
        <w:rPr>
          <w:rFonts w:ascii="Arial" w:hAnsi="Arial" w:cs="Arial"/>
          <w:sz w:val="22"/>
        </w:rPr>
        <w:t xml:space="preserve"> Body-mass index and cause-specific mortality in 900 000 adults: collaborative analyses of 57 prospective studies. </w:t>
      </w:r>
      <w:r w:rsidRPr="007A1C4A">
        <w:rPr>
          <w:rFonts w:ascii="Arial" w:hAnsi="Arial" w:cs="Arial"/>
          <w:i/>
          <w:iCs/>
          <w:sz w:val="22"/>
        </w:rPr>
        <w:t>The Lancet</w:t>
      </w:r>
      <w:r w:rsidRPr="007A1C4A">
        <w:rPr>
          <w:rFonts w:ascii="Arial" w:hAnsi="Arial" w:cs="Arial"/>
          <w:sz w:val="22"/>
        </w:rPr>
        <w:t xml:space="preserve"> </w:t>
      </w:r>
      <w:r w:rsidRPr="007A1C4A">
        <w:rPr>
          <w:rFonts w:ascii="Arial" w:hAnsi="Arial" w:cs="Arial"/>
          <w:b/>
          <w:bCs/>
          <w:sz w:val="22"/>
        </w:rPr>
        <w:t>373</w:t>
      </w:r>
      <w:r w:rsidRPr="007A1C4A">
        <w:rPr>
          <w:rFonts w:ascii="Arial" w:hAnsi="Arial" w:cs="Arial"/>
          <w:sz w:val="22"/>
        </w:rPr>
        <w:t>, 1083–1096 (2009).</w:t>
      </w:r>
    </w:p>
    <w:p w14:paraId="726F6D61"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11.</w:t>
      </w:r>
      <w:r w:rsidRPr="007A1C4A">
        <w:rPr>
          <w:rFonts w:ascii="Arial" w:hAnsi="Arial" w:cs="Arial"/>
          <w:sz w:val="22"/>
        </w:rPr>
        <w:tab/>
        <w:t xml:space="preserve">Micha, R. </w:t>
      </w:r>
      <w:r w:rsidRPr="007A1C4A">
        <w:rPr>
          <w:rFonts w:ascii="Arial" w:hAnsi="Arial" w:cs="Arial"/>
          <w:i/>
          <w:iCs/>
          <w:sz w:val="22"/>
        </w:rPr>
        <w:t>et al.</w:t>
      </w:r>
      <w:r w:rsidRPr="007A1C4A">
        <w:rPr>
          <w:rFonts w:ascii="Arial" w:hAnsi="Arial" w:cs="Arial"/>
          <w:sz w:val="22"/>
        </w:rPr>
        <w:t xml:space="preserve"> Etiologic effects and optimal intakes of foods and nutrients for risk of cardiovascular diseases and diabetes: Systematic reviews and meta-analyses from the Nutrition and Chronic Diseases Expert Group (</w:t>
      </w:r>
      <w:proofErr w:type="spellStart"/>
      <w:r w:rsidRPr="007A1C4A">
        <w:rPr>
          <w:rFonts w:ascii="Arial" w:hAnsi="Arial" w:cs="Arial"/>
          <w:sz w:val="22"/>
        </w:rPr>
        <w:t>NutriCoDE</w:t>
      </w:r>
      <w:proofErr w:type="spellEnd"/>
      <w:r w:rsidRPr="007A1C4A">
        <w:rPr>
          <w:rFonts w:ascii="Arial" w:hAnsi="Arial" w:cs="Arial"/>
          <w:sz w:val="22"/>
        </w:rPr>
        <w:t xml:space="preserve">). </w:t>
      </w:r>
      <w:r w:rsidRPr="007A1C4A">
        <w:rPr>
          <w:rFonts w:ascii="Arial" w:hAnsi="Arial" w:cs="Arial"/>
          <w:i/>
          <w:iCs/>
          <w:sz w:val="22"/>
        </w:rPr>
        <w:t>PLOS ONE</w:t>
      </w:r>
      <w:r w:rsidRPr="007A1C4A">
        <w:rPr>
          <w:rFonts w:ascii="Arial" w:hAnsi="Arial" w:cs="Arial"/>
          <w:sz w:val="22"/>
        </w:rPr>
        <w:t xml:space="preserve"> </w:t>
      </w:r>
      <w:r w:rsidRPr="007A1C4A">
        <w:rPr>
          <w:rFonts w:ascii="Arial" w:hAnsi="Arial" w:cs="Arial"/>
          <w:b/>
          <w:bCs/>
          <w:sz w:val="22"/>
        </w:rPr>
        <w:t>12</w:t>
      </w:r>
      <w:r w:rsidRPr="007A1C4A">
        <w:rPr>
          <w:rFonts w:ascii="Arial" w:hAnsi="Arial" w:cs="Arial"/>
          <w:sz w:val="22"/>
        </w:rPr>
        <w:t>, e0175149 (2017).</w:t>
      </w:r>
    </w:p>
    <w:p w14:paraId="37C41FAB"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lastRenderedPageBreak/>
        <w:t>12.</w:t>
      </w:r>
      <w:r w:rsidRPr="007A1C4A">
        <w:rPr>
          <w:rFonts w:ascii="Arial" w:hAnsi="Arial" w:cs="Arial"/>
          <w:sz w:val="22"/>
        </w:rPr>
        <w:tab/>
        <w:t>World Cancer Research Fund/American Institute for Cancer Research. Diet, Nutrition, Physical Activity and Cancer: A Global Perspective. Continuous Update Project Expert Report. (2018).</w:t>
      </w:r>
    </w:p>
    <w:p w14:paraId="79FFBF81" w14:textId="77777777" w:rsidR="007A1C4A" w:rsidRPr="007A1C4A" w:rsidRDefault="007A1C4A" w:rsidP="007A1C4A">
      <w:pPr>
        <w:pStyle w:val="Bibliography"/>
        <w:spacing w:line="360" w:lineRule="auto"/>
        <w:rPr>
          <w:rFonts w:ascii="Arial" w:hAnsi="Arial" w:cs="Arial"/>
          <w:sz w:val="22"/>
        </w:rPr>
      </w:pPr>
      <w:r w:rsidRPr="007A1C4A">
        <w:rPr>
          <w:rFonts w:ascii="Arial" w:hAnsi="Arial" w:cs="Arial"/>
          <w:sz w:val="22"/>
        </w:rPr>
        <w:t>13.</w:t>
      </w:r>
      <w:r w:rsidRPr="007A1C4A">
        <w:rPr>
          <w:rFonts w:ascii="Arial" w:hAnsi="Arial" w:cs="Arial"/>
          <w:sz w:val="22"/>
        </w:rPr>
        <w:tab/>
        <w:t xml:space="preserve">GBD 2017 Diet Collaborators </w:t>
      </w:r>
      <w:r w:rsidRPr="007A1C4A">
        <w:rPr>
          <w:rFonts w:ascii="Arial" w:hAnsi="Arial" w:cs="Arial"/>
          <w:i/>
          <w:iCs/>
          <w:sz w:val="22"/>
        </w:rPr>
        <w:t>et al.</w:t>
      </w:r>
      <w:r w:rsidRPr="007A1C4A">
        <w:rPr>
          <w:rFonts w:ascii="Arial" w:hAnsi="Arial" w:cs="Arial"/>
          <w:sz w:val="22"/>
        </w:rPr>
        <w:t xml:space="preserve"> Health effects of dietary risks in 195 countries, 1990-2017: a systematic analysis for the Global Burden of Disease Study 2017. </w:t>
      </w:r>
      <w:r w:rsidRPr="007A1C4A">
        <w:rPr>
          <w:rFonts w:ascii="Arial" w:hAnsi="Arial" w:cs="Arial"/>
          <w:i/>
          <w:iCs/>
          <w:sz w:val="22"/>
        </w:rPr>
        <w:t>The Lancet</w:t>
      </w:r>
      <w:r w:rsidRPr="007A1C4A">
        <w:rPr>
          <w:rFonts w:ascii="Arial" w:hAnsi="Arial" w:cs="Arial"/>
          <w:sz w:val="22"/>
        </w:rPr>
        <w:t xml:space="preserve"> </w:t>
      </w:r>
      <w:r w:rsidRPr="007A1C4A">
        <w:rPr>
          <w:rFonts w:ascii="Arial" w:hAnsi="Arial" w:cs="Arial"/>
          <w:b/>
          <w:bCs/>
          <w:sz w:val="22"/>
        </w:rPr>
        <w:t>0</w:t>
      </w:r>
      <w:r w:rsidRPr="007A1C4A">
        <w:rPr>
          <w:rFonts w:ascii="Arial" w:hAnsi="Arial" w:cs="Arial"/>
          <w:sz w:val="22"/>
        </w:rPr>
        <w:t>, (2019).</w:t>
      </w:r>
    </w:p>
    <w:p w14:paraId="4DBD1BD4" w14:textId="5D05984E" w:rsidR="00F214BE" w:rsidRPr="00BB2546" w:rsidRDefault="00BB2546" w:rsidP="007A1C4A">
      <w:pPr>
        <w:spacing w:line="360" w:lineRule="auto"/>
        <w:rPr>
          <w:rFonts w:ascii="Arial" w:hAnsi="Arial" w:cs="Arial"/>
          <w:sz w:val="22"/>
          <w:szCs w:val="22"/>
        </w:rPr>
      </w:pPr>
      <w:r w:rsidRPr="00BB2546">
        <w:rPr>
          <w:rFonts w:ascii="Arial" w:hAnsi="Arial" w:cs="Arial"/>
          <w:sz w:val="22"/>
          <w:szCs w:val="22"/>
        </w:rPr>
        <w:fldChar w:fldCharType="end"/>
      </w:r>
    </w:p>
    <w:sectPr w:rsidR="00F214BE" w:rsidRPr="00BB2546">
      <w:footerReference w:type="even"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F31B2" w14:textId="77777777" w:rsidR="001B57BE" w:rsidRDefault="001B57BE" w:rsidP="00CE6757">
      <w:r>
        <w:separator/>
      </w:r>
    </w:p>
  </w:endnote>
  <w:endnote w:type="continuationSeparator" w:id="0">
    <w:p w14:paraId="164E72C9" w14:textId="77777777" w:rsidR="001B57BE" w:rsidRDefault="001B57BE" w:rsidP="00CE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947470"/>
      <w:docPartObj>
        <w:docPartGallery w:val="Page Numbers (Bottom of Page)"/>
        <w:docPartUnique/>
      </w:docPartObj>
    </w:sdtPr>
    <w:sdtContent>
      <w:p w14:paraId="4846D604" w14:textId="23D6D9DA" w:rsidR="00CE6757" w:rsidRDefault="00CE6757" w:rsidP="00C514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D38D4C1" w14:textId="77777777" w:rsidR="00CE6757" w:rsidRDefault="00CE6757" w:rsidP="00CE67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0694154"/>
      <w:docPartObj>
        <w:docPartGallery w:val="Page Numbers (Bottom of Page)"/>
        <w:docPartUnique/>
      </w:docPartObj>
    </w:sdtPr>
    <w:sdtContent>
      <w:p w14:paraId="62ECCB0A" w14:textId="05FA1785" w:rsidR="00CE6757" w:rsidRDefault="00CE6757" w:rsidP="00C514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A3D9F2" w14:textId="77777777" w:rsidR="00CE6757" w:rsidRDefault="00CE6757" w:rsidP="00CE67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0F6F9" w14:textId="77777777" w:rsidR="001B57BE" w:rsidRDefault="001B57BE" w:rsidP="00CE6757">
      <w:r>
        <w:separator/>
      </w:r>
    </w:p>
  </w:footnote>
  <w:footnote w:type="continuationSeparator" w:id="0">
    <w:p w14:paraId="095500D5" w14:textId="77777777" w:rsidR="001B57BE" w:rsidRDefault="001B57BE" w:rsidP="00CE67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B3"/>
    <w:rsid w:val="00050B8E"/>
    <w:rsid w:val="00056BB6"/>
    <w:rsid w:val="00083667"/>
    <w:rsid w:val="000A57EA"/>
    <w:rsid w:val="000D59A7"/>
    <w:rsid w:val="00187AAC"/>
    <w:rsid w:val="001B57BE"/>
    <w:rsid w:val="001F2305"/>
    <w:rsid w:val="00227581"/>
    <w:rsid w:val="00227EBC"/>
    <w:rsid w:val="00246653"/>
    <w:rsid w:val="002A48DD"/>
    <w:rsid w:val="002A661D"/>
    <w:rsid w:val="00321B43"/>
    <w:rsid w:val="003733FD"/>
    <w:rsid w:val="00403F3E"/>
    <w:rsid w:val="00405495"/>
    <w:rsid w:val="00436B66"/>
    <w:rsid w:val="00490944"/>
    <w:rsid w:val="00516C20"/>
    <w:rsid w:val="005364A3"/>
    <w:rsid w:val="005469B3"/>
    <w:rsid w:val="00557D3E"/>
    <w:rsid w:val="005B2B43"/>
    <w:rsid w:val="007A1C4A"/>
    <w:rsid w:val="007A73AB"/>
    <w:rsid w:val="007E2342"/>
    <w:rsid w:val="00933292"/>
    <w:rsid w:val="009A29E8"/>
    <w:rsid w:val="009B7AFC"/>
    <w:rsid w:val="00AA6141"/>
    <w:rsid w:val="00AE3F6D"/>
    <w:rsid w:val="00B964D4"/>
    <w:rsid w:val="00BB2546"/>
    <w:rsid w:val="00BC4A6C"/>
    <w:rsid w:val="00C565DB"/>
    <w:rsid w:val="00CC4F64"/>
    <w:rsid w:val="00CE6757"/>
    <w:rsid w:val="00E75A10"/>
    <w:rsid w:val="00EA06BD"/>
    <w:rsid w:val="00F214BE"/>
    <w:rsid w:val="00F52677"/>
    <w:rsid w:val="00F839A7"/>
    <w:rsid w:val="00FD28DE"/>
    <w:rsid w:val="00FD33F9"/>
    <w:rsid w:val="00FF2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F55991"/>
  <w15:chartTrackingRefBased/>
  <w15:docId w15:val="{CE7243C3-41A8-634E-A6F6-AAC64FB1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B3"/>
  </w:style>
  <w:style w:type="paragraph" w:styleId="Heading1">
    <w:name w:val="heading 1"/>
    <w:basedOn w:val="Normal"/>
    <w:next w:val="Normal"/>
    <w:link w:val="Heading1Char"/>
    <w:uiPriority w:val="9"/>
    <w:qFormat/>
    <w:rsid w:val="005469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69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69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69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69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69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9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9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9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69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69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69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69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69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9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9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9B3"/>
    <w:rPr>
      <w:rFonts w:eastAsiaTheme="majorEastAsia" w:cstheme="majorBidi"/>
      <w:color w:val="272727" w:themeColor="text1" w:themeTint="D8"/>
    </w:rPr>
  </w:style>
  <w:style w:type="paragraph" w:styleId="Title">
    <w:name w:val="Title"/>
    <w:basedOn w:val="Normal"/>
    <w:next w:val="Normal"/>
    <w:link w:val="TitleChar"/>
    <w:uiPriority w:val="10"/>
    <w:qFormat/>
    <w:rsid w:val="005469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9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69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69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69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69B3"/>
    <w:rPr>
      <w:i/>
      <w:iCs/>
      <w:color w:val="404040" w:themeColor="text1" w:themeTint="BF"/>
    </w:rPr>
  </w:style>
  <w:style w:type="paragraph" w:styleId="ListParagraph">
    <w:name w:val="List Paragraph"/>
    <w:basedOn w:val="Normal"/>
    <w:uiPriority w:val="34"/>
    <w:qFormat/>
    <w:rsid w:val="005469B3"/>
    <w:pPr>
      <w:ind w:left="720"/>
      <w:contextualSpacing/>
    </w:pPr>
  </w:style>
  <w:style w:type="character" w:styleId="IntenseEmphasis">
    <w:name w:val="Intense Emphasis"/>
    <w:basedOn w:val="DefaultParagraphFont"/>
    <w:uiPriority w:val="21"/>
    <w:qFormat/>
    <w:rsid w:val="005469B3"/>
    <w:rPr>
      <w:i/>
      <w:iCs/>
      <w:color w:val="0F4761" w:themeColor="accent1" w:themeShade="BF"/>
    </w:rPr>
  </w:style>
  <w:style w:type="paragraph" w:styleId="IntenseQuote">
    <w:name w:val="Intense Quote"/>
    <w:basedOn w:val="Normal"/>
    <w:next w:val="Normal"/>
    <w:link w:val="IntenseQuoteChar"/>
    <w:uiPriority w:val="30"/>
    <w:qFormat/>
    <w:rsid w:val="005469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69B3"/>
    <w:rPr>
      <w:i/>
      <w:iCs/>
      <w:color w:val="0F4761" w:themeColor="accent1" w:themeShade="BF"/>
    </w:rPr>
  </w:style>
  <w:style w:type="character" w:styleId="IntenseReference">
    <w:name w:val="Intense Reference"/>
    <w:basedOn w:val="DefaultParagraphFont"/>
    <w:uiPriority w:val="32"/>
    <w:qFormat/>
    <w:rsid w:val="005469B3"/>
    <w:rPr>
      <w:b/>
      <w:bCs/>
      <w:smallCaps/>
      <w:color w:val="0F4761" w:themeColor="accent1" w:themeShade="BF"/>
      <w:spacing w:val="5"/>
    </w:rPr>
  </w:style>
  <w:style w:type="paragraph" w:customStyle="1" w:styleId="SMcaption">
    <w:name w:val="SM caption"/>
    <w:basedOn w:val="Normal"/>
    <w:qFormat/>
    <w:rsid w:val="00BC4A6C"/>
    <w:rPr>
      <w:rFonts w:ascii="Times New Roman" w:eastAsia="Times New Roman" w:hAnsi="Times New Roman" w:cs="Times New Roman"/>
      <w:kern w:val="0"/>
      <w:szCs w:val="20"/>
      <w:lang w:val="en-US"/>
      <w14:ligatures w14:val="none"/>
    </w:rPr>
  </w:style>
  <w:style w:type="paragraph" w:styleId="TOCHeading">
    <w:name w:val="TOC Heading"/>
    <w:basedOn w:val="Heading1"/>
    <w:next w:val="Normal"/>
    <w:uiPriority w:val="39"/>
    <w:unhideWhenUsed/>
    <w:qFormat/>
    <w:rsid w:val="00CE6757"/>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CE6757"/>
    <w:pPr>
      <w:spacing w:before="120"/>
    </w:pPr>
    <w:rPr>
      <w:b/>
      <w:bCs/>
      <w:i/>
      <w:iCs/>
    </w:rPr>
  </w:style>
  <w:style w:type="character" w:styleId="Hyperlink">
    <w:name w:val="Hyperlink"/>
    <w:basedOn w:val="DefaultParagraphFont"/>
    <w:uiPriority w:val="99"/>
    <w:unhideWhenUsed/>
    <w:rsid w:val="00CE6757"/>
    <w:rPr>
      <w:color w:val="467886" w:themeColor="hyperlink"/>
      <w:u w:val="single"/>
    </w:rPr>
  </w:style>
  <w:style w:type="paragraph" w:styleId="TOC2">
    <w:name w:val="toc 2"/>
    <w:basedOn w:val="Normal"/>
    <w:next w:val="Normal"/>
    <w:autoRedefine/>
    <w:uiPriority w:val="39"/>
    <w:semiHidden/>
    <w:unhideWhenUsed/>
    <w:rsid w:val="00CE6757"/>
    <w:pPr>
      <w:spacing w:before="120"/>
      <w:ind w:left="240"/>
    </w:pPr>
    <w:rPr>
      <w:b/>
      <w:bCs/>
      <w:sz w:val="22"/>
      <w:szCs w:val="22"/>
    </w:rPr>
  </w:style>
  <w:style w:type="paragraph" w:styleId="TOC3">
    <w:name w:val="toc 3"/>
    <w:basedOn w:val="Normal"/>
    <w:next w:val="Normal"/>
    <w:autoRedefine/>
    <w:uiPriority w:val="39"/>
    <w:semiHidden/>
    <w:unhideWhenUsed/>
    <w:rsid w:val="00CE6757"/>
    <w:pPr>
      <w:ind w:left="480"/>
    </w:pPr>
    <w:rPr>
      <w:sz w:val="20"/>
      <w:szCs w:val="20"/>
    </w:rPr>
  </w:style>
  <w:style w:type="paragraph" w:styleId="TOC4">
    <w:name w:val="toc 4"/>
    <w:basedOn w:val="Normal"/>
    <w:next w:val="Normal"/>
    <w:autoRedefine/>
    <w:uiPriority w:val="39"/>
    <w:semiHidden/>
    <w:unhideWhenUsed/>
    <w:rsid w:val="00CE6757"/>
    <w:pPr>
      <w:ind w:left="720"/>
    </w:pPr>
    <w:rPr>
      <w:sz w:val="20"/>
      <w:szCs w:val="20"/>
    </w:rPr>
  </w:style>
  <w:style w:type="paragraph" w:styleId="TOC5">
    <w:name w:val="toc 5"/>
    <w:basedOn w:val="Normal"/>
    <w:next w:val="Normal"/>
    <w:autoRedefine/>
    <w:uiPriority w:val="39"/>
    <w:semiHidden/>
    <w:unhideWhenUsed/>
    <w:rsid w:val="00CE6757"/>
    <w:pPr>
      <w:ind w:left="960"/>
    </w:pPr>
    <w:rPr>
      <w:sz w:val="20"/>
      <w:szCs w:val="20"/>
    </w:rPr>
  </w:style>
  <w:style w:type="paragraph" w:styleId="TOC6">
    <w:name w:val="toc 6"/>
    <w:basedOn w:val="Normal"/>
    <w:next w:val="Normal"/>
    <w:autoRedefine/>
    <w:uiPriority w:val="39"/>
    <w:semiHidden/>
    <w:unhideWhenUsed/>
    <w:rsid w:val="00CE6757"/>
    <w:pPr>
      <w:ind w:left="1200"/>
    </w:pPr>
    <w:rPr>
      <w:sz w:val="20"/>
      <w:szCs w:val="20"/>
    </w:rPr>
  </w:style>
  <w:style w:type="paragraph" w:styleId="TOC7">
    <w:name w:val="toc 7"/>
    <w:basedOn w:val="Normal"/>
    <w:next w:val="Normal"/>
    <w:autoRedefine/>
    <w:uiPriority w:val="39"/>
    <w:semiHidden/>
    <w:unhideWhenUsed/>
    <w:rsid w:val="00CE6757"/>
    <w:pPr>
      <w:ind w:left="1440"/>
    </w:pPr>
    <w:rPr>
      <w:sz w:val="20"/>
      <w:szCs w:val="20"/>
    </w:rPr>
  </w:style>
  <w:style w:type="paragraph" w:styleId="TOC8">
    <w:name w:val="toc 8"/>
    <w:basedOn w:val="Normal"/>
    <w:next w:val="Normal"/>
    <w:autoRedefine/>
    <w:uiPriority w:val="39"/>
    <w:semiHidden/>
    <w:unhideWhenUsed/>
    <w:rsid w:val="00CE6757"/>
    <w:pPr>
      <w:ind w:left="1680"/>
    </w:pPr>
    <w:rPr>
      <w:sz w:val="20"/>
      <w:szCs w:val="20"/>
    </w:rPr>
  </w:style>
  <w:style w:type="paragraph" w:styleId="TOC9">
    <w:name w:val="toc 9"/>
    <w:basedOn w:val="Normal"/>
    <w:next w:val="Normal"/>
    <w:autoRedefine/>
    <w:uiPriority w:val="39"/>
    <w:semiHidden/>
    <w:unhideWhenUsed/>
    <w:rsid w:val="00CE6757"/>
    <w:pPr>
      <w:ind w:left="1920"/>
    </w:pPr>
    <w:rPr>
      <w:sz w:val="20"/>
      <w:szCs w:val="20"/>
    </w:rPr>
  </w:style>
  <w:style w:type="paragraph" w:styleId="Footer">
    <w:name w:val="footer"/>
    <w:basedOn w:val="Normal"/>
    <w:link w:val="FooterChar"/>
    <w:uiPriority w:val="99"/>
    <w:unhideWhenUsed/>
    <w:rsid w:val="00CE6757"/>
    <w:pPr>
      <w:tabs>
        <w:tab w:val="center" w:pos="4513"/>
        <w:tab w:val="right" w:pos="9026"/>
      </w:tabs>
    </w:pPr>
  </w:style>
  <w:style w:type="character" w:customStyle="1" w:styleId="FooterChar">
    <w:name w:val="Footer Char"/>
    <w:basedOn w:val="DefaultParagraphFont"/>
    <w:link w:val="Footer"/>
    <w:uiPriority w:val="99"/>
    <w:rsid w:val="00CE6757"/>
  </w:style>
  <w:style w:type="character" w:styleId="PageNumber">
    <w:name w:val="page number"/>
    <w:basedOn w:val="DefaultParagraphFont"/>
    <w:uiPriority w:val="99"/>
    <w:semiHidden/>
    <w:unhideWhenUsed/>
    <w:rsid w:val="00CE6757"/>
  </w:style>
  <w:style w:type="paragraph" w:styleId="Bibliography">
    <w:name w:val="Bibliography"/>
    <w:basedOn w:val="Normal"/>
    <w:next w:val="Normal"/>
    <w:uiPriority w:val="37"/>
    <w:unhideWhenUsed/>
    <w:rsid w:val="00BB2546"/>
    <w:pPr>
      <w:tabs>
        <w:tab w:val="left" w:pos="260"/>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F43D-BDFC-0D48-AFFB-1563EB03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14213</Words>
  <Characters>79171</Characters>
  <Application>Microsoft Office Word</Application>
  <DocSecurity>0</DocSecurity>
  <Lines>1388</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Springmann</dc:creator>
  <cp:keywords/>
  <dc:description/>
  <cp:lastModifiedBy>Marco Springmann</cp:lastModifiedBy>
  <cp:revision>2</cp:revision>
  <dcterms:created xsi:type="dcterms:W3CDTF">2025-12-30T01:18:00Z</dcterms:created>
  <dcterms:modified xsi:type="dcterms:W3CDTF">2025-12-30T01:18:00Z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id="PMXl1Sul"/&gt;&lt;style id="http://www.zotero.org/styles/nature" hasBibliography="1" bibliographyStyleHasBeenSet="1"/&gt;&lt;prefs&gt;&lt;pref name="fieldType" value="Field"/&gt;&lt;/prefs&gt;&lt;/data&gt;</vt:lpwstr>
  </property>
</Properties>
</file>