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2BF87" w14:textId="77777777" w:rsidR="00316483" w:rsidRPr="001013C5" w:rsidRDefault="00316483" w:rsidP="00316483">
      <w:pPr>
        <w:pStyle w:val="NormalWeb"/>
        <w:spacing w:after="420" w:line="360" w:lineRule="auto"/>
        <w:jc w:val="both"/>
        <w:rPr>
          <w:rFonts w:ascii="Arial" w:hAnsi="Arial" w:cs="Arial"/>
          <w:color w:val="222222"/>
          <w:lang w:val="en-US" w:bidi="en-US"/>
        </w:rPr>
      </w:pPr>
      <w:r w:rsidRPr="00C35182">
        <w:rPr>
          <w:rFonts w:ascii="Arial" w:hAnsi="Arial" w:cs="Arial"/>
          <w:b/>
          <w:bCs/>
          <w:color w:val="222222"/>
          <w:lang w:val="en-US" w:bidi="en-US"/>
        </w:rPr>
        <w:t>Supplementary Fig 1: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b/>
          <w:bCs/>
          <w:color w:val="222222"/>
          <w:lang w:val="en-US" w:bidi="en-US"/>
        </w:rPr>
        <w:t>(A)</w:t>
      </w:r>
      <w:r w:rsidRPr="001013C5">
        <w:rPr>
          <w:rFonts w:ascii="Arial" w:hAnsi="Arial" w:cs="Arial"/>
          <w:color w:val="222222"/>
          <w:lang w:val="en-US" w:bidi="en-US"/>
        </w:rPr>
        <w:t xml:space="preserve"> </w:t>
      </w:r>
      <w:r w:rsidRPr="000B7AFE">
        <w:rPr>
          <w:rFonts w:ascii="Arial" w:hAnsi="Arial" w:cs="Arial"/>
          <w:color w:val="222222"/>
          <w:lang w:val="en-US" w:bidi="en-US"/>
        </w:rPr>
        <w:t>Statistical correlation</w:t>
      </w:r>
      <w:r>
        <w:rPr>
          <w:rFonts w:ascii="Arial" w:hAnsi="Arial" w:cs="Arial"/>
          <w:color w:val="222222"/>
          <w:lang w:val="en-US" w:bidi="en-US"/>
        </w:rPr>
        <w:t xml:space="preserve"> (</w:t>
      </w:r>
      <w:r w:rsidRPr="002356A8">
        <w:rPr>
          <w:rFonts w:ascii="Arial" w:hAnsi="Arial" w:cs="Arial"/>
          <w:color w:val="222222"/>
        </w:rPr>
        <w:t>χ</w:t>
      </w:r>
      <w:r w:rsidRPr="002356A8">
        <w:rPr>
          <w:rFonts w:ascii="Arial" w:hAnsi="Arial" w:cs="Arial"/>
          <w:color w:val="222222"/>
          <w:vertAlign w:val="superscript"/>
          <w:lang w:val="en-US" w:bidi="en-US"/>
        </w:rPr>
        <w:t>2</w:t>
      </w:r>
      <w:r w:rsidRPr="002356A8">
        <w:rPr>
          <w:rFonts w:ascii="Arial" w:hAnsi="Arial" w:cs="Arial"/>
          <w:color w:val="222222"/>
          <w:lang w:val="en-US" w:bidi="en-US"/>
        </w:rPr>
        <w:t xml:space="preserve"> test</w:t>
      </w:r>
      <w:r>
        <w:rPr>
          <w:rFonts w:ascii="Arial" w:hAnsi="Arial" w:cs="Arial"/>
          <w:color w:val="222222"/>
          <w:lang w:val="en-US" w:bidi="en-US"/>
        </w:rPr>
        <w:t>)</w:t>
      </w:r>
      <w:r w:rsidRPr="000B7AFE"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color w:val="222222"/>
          <w:lang w:val="en-US" w:bidi="en-US"/>
        </w:rPr>
        <w:t>of circulating tumor cell (CTC) positivity with key clinical parameters, including tumor stage, patient age, gender, neoadjuvant chemotherapy, neoadjuvant radiotherapy, and tumor markers (CA 19-9, CEA). The heatmap visualizes the relationships between these factors across different patient groups.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b/>
          <w:bCs/>
          <w:color w:val="222222"/>
          <w:lang w:val="en-US" w:bidi="en-US"/>
        </w:rPr>
        <w:t>(B)</w:t>
      </w:r>
      <w:r w:rsidRPr="001013C5">
        <w:rPr>
          <w:rFonts w:ascii="Arial" w:hAnsi="Arial" w:cs="Arial"/>
          <w:color w:val="222222"/>
          <w:lang w:val="en-US" w:bidi="en-US"/>
        </w:rPr>
        <w:t xml:space="preserve"> </w:t>
      </w:r>
      <w:r w:rsidRPr="000B7AFE">
        <w:rPr>
          <w:rFonts w:ascii="Arial" w:hAnsi="Arial" w:cs="Arial"/>
          <w:color w:val="222222"/>
          <w:lang w:val="en-US" w:bidi="en-US"/>
        </w:rPr>
        <w:t>Statistical correlation</w:t>
      </w:r>
      <w:r>
        <w:rPr>
          <w:rFonts w:ascii="Arial" w:hAnsi="Arial" w:cs="Arial"/>
          <w:color w:val="222222"/>
          <w:lang w:val="en-US" w:bidi="en-US"/>
        </w:rPr>
        <w:t xml:space="preserve"> (</w:t>
      </w:r>
      <w:r w:rsidRPr="002356A8">
        <w:rPr>
          <w:rFonts w:ascii="Arial" w:hAnsi="Arial" w:cs="Arial"/>
          <w:color w:val="222222"/>
        </w:rPr>
        <w:t>χ</w:t>
      </w:r>
      <w:r w:rsidRPr="002356A8">
        <w:rPr>
          <w:rFonts w:ascii="Arial" w:hAnsi="Arial" w:cs="Arial"/>
          <w:color w:val="222222"/>
          <w:vertAlign w:val="superscript"/>
          <w:lang w:val="en-US" w:bidi="en-US"/>
        </w:rPr>
        <w:t>2</w:t>
      </w:r>
      <w:r w:rsidRPr="002356A8">
        <w:rPr>
          <w:rFonts w:ascii="Arial" w:hAnsi="Arial" w:cs="Arial"/>
          <w:color w:val="222222"/>
          <w:lang w:val="en-US" w:bidi="en-US"/>
        </w:rPr>
        <w:t xml:space="preserve"> test</w:t>
      </w:r>
      <w:r>
        <w:rPr>
          <w:rFonts w:ascii="Arial" w:hAnsi="Arial" w:cs="Arial"/>
          <w:color w:val="222222"/>
          <w:lang w:val="en-US" w:bidi="en-US"/>
        </w:rPr>
        <w:t>)</w:t>
      </w:r>
      <w:r w:rsidRPr="000B7AFE"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color w:val="222222"/>
          <w:lang w:val="en-US" w:bidi="en-US"/>
        </w:rPr>
        <w:t xml:space="preserve">of CTC positivity and PD-L1 expression in </w:t>
      </w:r>
      <w:r w:rsidRPr="00C35182">
        <w:rPr>
          <w:rFonts w:ascii="Arial" w:hAnsi="Arial" w:cs="Arial"/>
          <w:color w:val="222222"/>
          <w:lang w:val="en-US" w:bidi="en-US"/>
        </w:rPr>
        <w:t>esophageal cancer</w:t>
      </w:r>
      <w:r w:rsidRPr="001013C5">
        <w:rPr>
          <w:rFonts w:ascii="Arial" w:hAnsi="Arial" w:cs="Arial"/>
          <w:color w:val="222222"/>
          <w:lang w:val="en-US" w:bidi="en-US"/>
        </w:rPr>
        <w:t xml:space="preserve"> patients with clinical and molecular parameters, including tumor stage, gender, age, HER2 mutation, MSI status, immune infiltration, CA 19-9 (pre- and post-operation), CEA (pre-operation), and neoadjuvant chemotherapy or radio chemotherapy.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b/>
          <w:bCs/>
          <w:color w:val="222222"/>
          <w:lang w:val="en-US" w:bidi="en-US"/>
        </w:rPr>
        <w:t>(C)</w:t>
      </w:r>
      <w:r w:rsidRPr="001013C5">
        <w:rPr>
          <w:rFonts w:ascii="Arial" w:hAnsi="Arial" w:cs="Arial"/>
          <w:color w:val="222222"/>
          <w:lang w:val="en-US" w:bidi="en-US"/>
        </w:rPr>
        <w:t xml:space="preserve"> </w:t>
      </w:r>
      <w:r w:rsidRPr="000B7AFE">
        <w:rPr>
          <w:rFonts w:ascii="Arial" w:hAnsi="Arial" w:cs="Arial"/>
          <w:color w:val="222222"/>
          <w:lang w:val="en-US" w:bidi="en-US"/>
        </w:rPr>
        <w:t>Statistical correlation</w:t>
      </w:r>
      <w:r>
        <w:rPr>
          <w:rFonts w:ascii="Arial" w:hAnsi="Arial" w:cs="Arial"/>
          <w:color w:val="222222"/>
          <w:lang w:val="en-US" w:bidi="en-US"/>
        </w:rPr>
        <w:t xml:space="preserve"> (</w:t>
      </w:r>
      <w:r w:rsidRPr="002356A8">
        <w:rPr>
          <w:rFonts w:ascii="Arial" w:hAnsi="Arial" w:cs="Arial"/>
          <w:color w:val="222222"/>
        </w:rPr>
        <w:t>χ</w:t>
      </w:r>
      <w:r w:rsidRPr="002356A8">
        <w:rPr>
          <w:rFonts w:ascii="Arial" w:hAnsi="Arial" w:cs="Arial"/>
          <w:color w:val="222222"/>
          <w:vertAlign w:val="superscript"/>
          <w:lang w:val="en-US" w:bidi="en-US"/>
        </w:rPr>
        <w:t>2</w:t>
      </w:r>
      <w:r w:rsidRPr="002356A8">
        <w:rPr>
          <w:rFonts w:ascii="Arial" w:hAnsi="Arial" w:cs="Arial"/>
          <w:color w:val="222222"/>
          <w:lang w:val="en-US" w:bidi="en-US"/>
        </w:rPr>
        <w:t xml:space="preserve"> test</w:t>
      </w:r>
      <w:r>
        <w:rPr>
          <w:rFonts w:ascii="Arial" w:hAnsi="Arial" w:cs="Arial"/>
          <w:color w:val="222222"/>
          <w:lang w:val="en-US" w:bidi="en-US"/>
        </w:rPr>
        <w:t>)</w:t>
      </w:r>
      <w:r w:rsidRPr="000B7AFE"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color w:val="222222"/>
          <w:lang w:val="en-US" w:bidi="en-US"/>
        </w:rPr>
        <w:t xml:space="preserve">of CTC positivity and PD-L1 expression in </w:t>
      </w:r>
      <w:r w:rsidRPr="00C35182">
        <w:rPr>
          <w:rFonts w:ascii="Arial" w:hAnsi="Arial" w:cs="Arial"/>
          <w:color w:val="222222"/>
          <w:lang w:val="en-US" w:bidi="en-US"/>
        </w:rPr>
        <w:t>gastric cancer</w:t>
      </w:r>
      <w:r w:rsidRPr="001013C5">
        <w:rPr>
          <w:rFonts w:ascii="Arial" w:hAnsi="Arial" w:cs="Arial"/>
          <w:color w:val="222222"/>
          <w:lang w:val="en-US" w:bidi="en-US"/>
        </w:rPr>
        <w:t xml:space="preserve"> patients with clinical and molecular parameters, including tumor stage, gender, age, HER2 mutation, MSI status, immune infiltration, CA 19-9 (pre- and post-operation), CEA (pre-operation), and neoadjuvant chemotherapy.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b/>
          <w:bCs/>
          <w:color w:val="222222"/>
          <w:lang w:val="en-US" w:bidi="en-US"/>
        </w:rPr>
        <w:t>(D)</w:t>
      </w:r>
      <w:r w:rsidRPr="001013C5">
        <w:rPr>
          <w:rFonts w:ascii="Arial" w:hAnsi="Arial" w:cs="Arial"/>
          <w:color w:val="222222"/>
          <w:lang w:val="en-US" w:bidi="en-US"/>
        </w:rPr>
        <w:t xml:space="preserve"> </w:t>
      </w:r>
      <w:r w:rsidRPr="000B7AFE">
        <w:rPr>
          <w:rFonts w:ascii="Arial" w:hAnsi="Arial" w:cs="Arial"/>
          <w:color w:val="222222"/>
          <w:lang w:val="en-US" w:bidi="en-US"/>
        </w:rPr>
        <w:t>Statistical correlation</w:t>
      </w:r>
      <w:r>
        <w:rPr>
          <w:rFonts w:ascii="Arial" w:hAnsi="Arial" w:cs="Arial"/>
          <w:color w:val="222222"/>
          <w:lang w:val="en-US" w:bidi="en-US"/>
        </w:rPr>
        <w:t xml:space="preserve"> (</w:t>
      </w:r>
      <w:r w:rsidRPr="002356A8">
        <w:rPr>
          <w:rFonts w:ascii="Arial" w:hAnsi="Arial" w:cs="Arial"/>
          <w:color w:val="222222"/>
        </w:rPr>
        <w:t>χ</w:t>
      </w:r>
      <w:r w:rsidRPr="002356A8">
        <w:rPr>
          <w:rFonts w:ascii="Arial" w:hAnsi="Arial" w:cs="Arial"/>
          <w:color w:val="222222"/>
          <w:vertAlign w:val="superscript"/>
          <w:lang w:val="en-US" w:bidi="en-US"/>
        </w:rPr>
        <w:t>2</w:t>
      </w:r>
      <w:r w:rsidRPr="002356A8">
        <w:rPr>
          <w:rFonts w:ascii="Arial" w:hAnsi="Arial" w:cs="Arial"/>
          <w:color w:val="222222"/>
          <w:lang w:val="en-US" w:bidi="en-US"/>
        </w:rPr>
        <w:t xml:space="preserve"> test</w:t>
      </w:r>
      <w:r>
        <w:rPr>
          <w:rFonts w:ascii="Arial" w:hAnsi="Arial" w:cs="Arial"/>
          <w:color w:val="222222"/>
          <w:lang w:val="en-US" w:bidi="en-US"/>
        </w:rPr>
        <w:t>)</w:t>
      </w:r>
      <w:r w:rsidRPr="000B7AFE"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color w:val="222222"/>
          <w:lang w:val="en-US" w:bidi="en-US"/>
        </w:rPr>
        <w:t xml:space="preserve">of CTC positivity and PD-L1 expression in  </w:t>
      </w:r>
      <w:r w:rsidRPr="00C35182">
        <w:rPr>
          <w:rFonts w:ascii="Arial" w:hAnsi="Arial" w:cs="Arial"/>
          <w:color w:val="222222"/>
          <w:lang w:val="en-US" w:bidi="en-US"/>
        </w:rPr>
        <w:t>colorectal cancer</w:t>
      </w:r>
      <w:r w:rsidRPr="001013C5">
        <w:rPr>
          <w:rFonts w:ascii="Arial" w:hAnsi="Arial" w:cs="Arial"/>
          <w:color w:val="222222"/>
          <w:lang w:val="en-US" w:bidi="en-US"/>
        </w:rPr>
        <w:t xml:space="preserve"> patients </w:t>
      </w:r>
      <w:r>
        <w:rPr>
          <w:rFonts w:ascii="Arial" w:hAnsi="Arial" w:cs="Arial"/>
          <w:color w:val="222222"/>
          <w:lang w:val="en-US" w:bidi="en-US"/>
        </w:rPr>
        <w:t xml:space="preserve">(with or without liver metastasis) </w:t>
      </w:r>
      <w:r w:rsidRPr="001013C5">
        <w:rPr>
          <w:rFonts w:ascii="Arial" w:hAnsi="Arial" w:cs="Arial"/>
          <w:color w:val="222222"/>
          <w:lang w:val="en-US" w:bidi="en-US"/>
        </w:rPr>
        <w:t>with clinical and molecular parameters, including tumor stage, gender, age, HER2 mutation, MSI status, KRAS and BRAF mutations, immune infiltration, CA 19-9 (pre- and post-operation), CEA (pre- and post-operation), neoadjuvant chemotherapy and neoadjuvant radio chemotherapy.</w:t>
      </w:r>
    </w:p>
    <w:p w14:paraId="0C4A4575" w14:textId="77777777" w:rsidR="00316483" w:rsidRPr="009B4A01" w:rsidRDefault="00316483" w:rsidP="00316483">
      <w:pPr>
        <w:pStyle w:val="NormalWeb"/>
        <w:spacing w:after="420" w:line="360" w:lineRule="auto"/>
        <w:jc w:val="both"/>
        <w:rPr>
          <w:rFonts w:ascii="Arial" w:hAnsi="Arial" w:cs="Arial"/>
          <w:color w:val="222222"/>
          <w:lang w:val="en-US" w:bidi="en-US"/>
        </w:rPr>
      </w:pPr>
    </w:p>
    <w:p w14:paraId="185761D0" w14:textId="77777777" w:rsidR="00316483" w:rsidRPr="001013C5" w:rsidRDefault="00316483" w:rsidP="00316483">
      <w:pPr>
        <w:pStyle w:val="NormalWeb"/>
        <w:spacing w:after="420" w:line="360" w:lineRule="auto"/>
        <w:jc w:val="both"/>
        <w:rPr>
          <w:rFonts w:ascii="Arial" w:hAnsi="Arial" w:cs="Arial"/>
          <w:b/>
          <w:bCs/>
          <w:color w:val="222222"/>
          <w:lang w:val="en-US" w:bidi="en-US"/>
        </w:rPr>
      </w:pPr>
      <w:r w:rsidRPr="00D50570">
        <w:rPr>
          <w:rFonts w:ascii="Arial" w:hAnsi="Arial" w:cs="Arial"/>
          <w:b/>
          <w:bCs/>
          <w:color w:val="222222"/>
          <w:lang w:val="en-US" w:bidi="en-US"/>
        </w:rPr>
        <w:t xml:space="preserve">Supplementary Fig </w:t>
      </w:r>
      <w:r>
        <w:rPr>
          <w:rFonts w:ascii="Arial" w:hAnsi="Arial" w:cs="Arial"/>
          <w:b/>
          <w:bCs/>
          <w:color w:val="222222"/>
          <w:lang w:val="en-US" w:bidi="en-US"/>
        </w:rPr>
        <w:t>2</w:t>
      </w:r>
      <w:r w:rsidRPr="00D50570">
        <w:rPr>
          <w:rFonts w:ascii="Arial" w:hAnsi="Arial" w:cs="Arial"/>
          <w:b/>
          <w:bCs/>
          <w:color w:val="222222"/>
          <w:lang w:val="en-US" w:bidi="en-US"/>
        </w:rPr>
        <w:t>:</w:t>
      </w:r>
      <w:r>
        <w:rPr>
          <w:rFonts w:ascii="Arial" w:hAnsi="Arial" w:cs="Arial"/>
          <w:b/>
          <w:bCs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b/>
          <w:bCs/>
          <w:color w:val="222222"/>
          <w:lang w:val="en-US" w:bidi="en-US"/>
        </w:rPr>
        <w:t xml:space="preserve">(A) </w:t>
      </w:r>
      <w:r w:rsidRPr="00C35182">
        <w:rPr>
          <w:rFonts w:ascii="Arial" w:hAnsi="Arial" w:cs="Arial"/>
          <w:color w:val="222222"/>
          <w:lang w:val="en-US" w:bidi="en-US"/>
        </w:rPr>
        <w:t>Flow cytometry gating strategy for the identification of lymphocyte subpopulations, including CD3</w:t>
      </w:r>
      <w:r w:rsidRPr="00C35182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C35182">
        <w:rPr>
          <w:rFonts w:ascii="Arial" w:hAnsi="Arial" w:cs="Arial"/>
          <w:color w:val="222222"/>
          <w:lang w:val="en-US" w:bidi="en-US"/>
        </w:rPr>
        <w:t xml:space="preserve"> T cells, CD4</w:t>
      </w:r>
      <w:r w:rsidRPr="00C35182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C35182">
        <w:rPr>
          <w:rFonts w:ascii="Arial" w:hAnsi="Arial" w:cs="Arial"/>
          <w:color w:val="222222"/>
          <w:lang w:val="en-US" w:bidi="en-US"/>
        </w:rPr>
        <w:t xml:space="preserve"> and CD8</w:t>
      </w:r>
      <w:r w:rsidRPr="00C35182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C35182">
        <w:rPr>
          <w:rFonts w:ascii="Arial" w:hAnsi="Arial" w:cs="Arial"/>
          <w:color w:val="222222"/>
          <w:lang w:val="en-US" w:bidi="en-US"/>
        </w:rPr>
        <w:t xml:space="preserve"> T cells, PD-1</w:t>
      </w:r>
      <w:r w:rsidRPr="00C35182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C35182">
        <w:rPr>
          <w:rFonts w:ascii="Arial" w:hAnsi="Arial" w:cs="Arial"/>
          <w:color w:val="222222"/>
          <w:lang w:val="en-US" w:bidi="en-US"/>
        </w:rPr>
        <w:t xml:space="preserve"> CD8</w:t>
      </w:r>
      <w:r w:rsidRPr="00C35182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C35182">
        <w:rPr>
          <w:rFonts w:ascii="Arial" w:hAnsi="Arial" w:cs="Arial"/>
          <w:color w:val="222222"/>
          <w:lang w:val="en-US" w:bidi="en-US"/>
        </w:rPr>
        <w:t xml:space="preserve"> T cells, and CD4</w:t>
      </w:r>
      <w:r w:rsidRPr="00C35182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C35182">
        <w:rPr>
          <w:rFonts w:ascii="Arial" w:hAnsi="Arial" w:cs="Arial"/>
          <w:color w:val="222222"/>
          <w:lang w:val="en-US" w:bidi="en-US"/>
        </w:rPr>
        <w:t xml:space="preserve"> T-cell subsets (T</w:t>
      </w:r>
      <w:r>
        <w:rPr>
          <w:rFonts w:ascii="Arial" w:hAnsi="Arial" w:cs="Arial"/>
          <w:color w:val="222222"/>
          <w:vertAlign w:val="subscript"/>
          <w:lang w:val="en-US" w:bidi="en-US"/>
        </w:rPr>
        <w:t>REG</w:t>
      </w:r>
      <w:r w:rsidRPr="00C35182">
        <w:rPr>
          <w:rFonts w:ascii="Arial" w:hAnsi="Arial" w:cs="Arial"/>
          <w:color w:val="222222"/>
          <w:lang w:val="en-US" w:bidi="en-US"/>
        </w:rPr>
        <w:t>, T</w:t>
      </w:r>
      <w:r w:rsidRPr="00C35182">
        <w:rPr>
          <w:rFonts w:ascii="Arial" w:hAnsi="Arial" w:cs="Arial"/>
          <w:color w:val="222222"/>
          <w:vertAlign w:val="subscript"/>
          <w:lang w:val="en-US" w:bidi="en-US"/>
        </w:rPr>
        <w:t>H</w:t>
      </w:r>
      <w:r w:rsidRPr="00C35182">
        <w:rPr>
          <w:rFonts w:ascii="Arial" w:hAnsi="Arial" w:cs="Arial"/>
          <w:color w:val="222222"/>
          <w:lang w:val="en-US" w:bidi="en-US"/>
        </w:rPr>
        <w:t>1, T</w:t>
      </w:r>
      <w:r w:rsidRPr="00C35182">
        <w:rPr>
          <w:rFonts w:ascii="Arial" w:hAnsi="Arial" w:cs="Arial"/>
          <w:color w:val="222222"/>
          <w:vertAlign w:val="subscript"/>
          <w:lang w:val="en-US" w:bidi="en-US"/>
        </w:rPr>
        <w:t>H</w:t>
      </w:r>
      <w:r w:rsidRPr="00C35182">
        <w:rPr>
          <w:rFonts w:ascii="Arial" w:hAnsi="Arial" w:cs="Arial"/>
          <w:color w:val="222222"/>
          <w:lang w:val="en-US" w:bidi="en-US"/>
        </w:rPr>
        <w:t>2, T</w:t>
      </w:r>
      <w:r w:rsidRPr="00C35182">
        <w:rPr>
          <w:rFonts w:ascii="Arial" w:hAnsi="Arial" w:cs="Arial"/>
          <w:color w:val="222222"/>
          <w:vertAlign w:val="subscript"/>
          <w:lang w:val="en-US" w:bidi="en-US"/>
        </w:rPr>
        <w:t>H</w:t>
      </w:r>
      <w:r w:rsidRPr="00C35182">
        <w:rPr>
          <w:rFonts w:ascii="Arial" w:hAnsi="Arial" w:cs="Arial"/>
          <w:color w:val="222222"/>
          <w:lang w:val="en-US" w:bidi="en-US"/>
        </w:rPr>
        <w:t>17).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C35182">
        <w:rPr>
          <w:rFonts w:ascii="Arial" w:hAnsi="Arial" w:cs="Arial"/>
          <w:b/>
          <w:bCs/>
          <w:color w:val="222222"/>
          <w:lang w:val="en-US" w:bidi="en-US"/>
        </w:rPr>
        <w:t>(B)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0B7AFE">
        <w:rPr>
          <w:rFonts w:ascii="Arial" w:hAnsi="Arial" w:cs="Arial"/>
          <w:color w:val="222222"/>
          <w:lang w:val="en-US" w:bidi="en-US"/>
        </w:rPr>
        <w:t>Statistical correlation</w:t>
      </w:r>
      <w:r>
        <w:rPr>
          <w:rFonts w:ascii="Arial" w:hAnsi="Arial" w:cs="Arial"/>
          <w:color w:val="222222"/>
          <w:lang w:val="en-US" w:bidi="en-US"/>
        </w:rPr>
        <w:t xml:space="preserve"> (</w:t>
      </w:r>
      <w:r w:rsidRPr="002356A8">
        <w:rPr>
          <w:rFonts w:ascii="Arial" w:hAnsi="Arial" w:cs="Arial"/>
          <w:color w:val="222222"/>
        </w:rPr>
        <w:t>χ</w:t>
      </w:r>
      <w:r w:rsidRPr="002356A8">
        <w:rPr>
          <w:rFonts w:ascii="Arial" w:hAnsi="Arial" w:cs="Arial"/>
          <w:color w:val="222222"/>
          <w:vertAlign w:val="superscript"/>
          <w:lang w:val="en-US" w:bidi="en-US"/>
        </w:rPr>
        <w:t>2</w:t>
      </w:r>
      <w:r w:rsidRPr="002356A8">
        <w:rPr>
          <w:rFonts w:ascii="Arial" w:hAnsi="Arial" w:cs="Arial"/>
          <w:color w:val="222222"/>
          <w:lang w:val="en-US" w:bidi="en-US"/>
        </w:rPr>
        <w:t xml:space="preserve"> test</w:t>
      </w:r>
      <w:r>
        <w:rPr>
          <w:rFonts w:ascii="Arial" w:hAnsi="Arial" w:cs="Arial"/>
          <w:color w:val="222222"/>
          <w:lang w:val="en-US" w:bidi="en-US"/>
        </w:rPr>
        <w:t>)</w:t>
      </w:r>
      <w:r w:rsidRPr="000B7AFE"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color w:val="222222"/>
          <w:lang w:val="en-US" w:bidi="en-US"/>
        </w:rPr>
        <w:t>comparing tumor entity, circulating tumor cell (CTC) positivity, CTC count, and PD-L1</w:t>
      </w:r>
      <w:r w:rsidRPr="00C35182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1013C5">
        <w:rPr>
          <w:rFonts w:ascii="Arial" w:hAnsi="Arial" w:cs="Arial"/>
          <w:color w:val="222222"/>
          <w:lang w:val="en-US" w:bidi="en-US"/>
        </w:rPr>
        <w:t xml:space="preserve"> CTCs with immune cell populations. These include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color w:val="222222"/>
          <w:lang w:val="en-US" w:bidi="en-US"/>
        </w:rPr>
        <w:t>CD8</w:t>
      </w:r>
      <w:r w:rsidRPr="00D50570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1013C5">
        <w:rPr>
          <w:rFonts w:ascii="Arial" w:hAnsi="Arial" w:cs="Arial"/>
          <w:color w:val="222222"/>
          <w:lang w:val="en-US" w:bidi="en-US"/>
        </w:rPr>
        <w:t xml:space="preserve"> T cells and CD4</w:t>
      </w:r>
      <w:r w:rsidRPr="00D50570">
        <w:rPr>
          <w:rFonts w:ascii="Arial" w:hAnsi="Arial" w:cs="Arial"/>
          <w:color w:val="222222"/>
          <w:vertAlign w:val="superscript"/>
          <w:lang w:val="en-US" w:bidi="en-US"/>
        </w:rPr>
        <w:t>+</w:t>
      </w:r>
      <w:r w:rsidRPr="001013C5">
        <w:rPr>
          <w:rFonts w:ascii="Arial" w:hAnsi="Arial" w:cs="Arial"/>
          <w:color w:val="222222"/>
          <w:lang w:val="en-US" w:bidi="en-US"/>
        </w:rPr>
        <w:t xml:space="preserve"> T cells</w:t>
      </w:r>
      <w:r>
        <w:rPr>
          <w:rFonts w:ascii="Arial" w:hAnsi="Arial" w:cs="Arial"/>
          <w:color w:val="222222"/>
          <w:lang w:val="en-US" w:bidi="en-US"/>
        </w:rPr>
        <w:t xml:space="preserve"> with</w:t>
      </w:r>
      <w:r w:rsidRPr="001013C5">
        <w:rPr>
          <w:rFonts w:ascii="Arial" w:hAnsi="Arial" w:cs="Arial"/>
          <w:color w:val="222222"/>
          <w:lang w:val="en-US" w:bidi="en-US"/>
        </w:rPr>
        <w:t xml:space="preserve"> regulatory T cells (T</w:t>
      </w:r>
      <w:r>
        <w:rPr>
          <w:rFonts w:ascii="Arial" w:hAnsi="Arial" w:cs="Arial"/>
          <w:color w:val="222222"/>
          <w:vertAlign w:val="subscript"/>
          <w:lang w:val="en-US" w:bidi="en-US"/>
        </w:rPr>
        <w:t>REG</w:t>
      </w:r>
      <w:r w:rsidRPr="001013C5">
        <w:rPr>
          <w:rFonts w:ascii="Arial" w:hAnsi="Arial" w:cs="Arial"/>
          <w:color w:val="222222"/>
          <w:lang w:val="en-US" w:bidi="en-US"/>
        </w:rPr>
        <w:t xml:space="preserve">), </w:t>
      </w:r>
      <w:r w:rsidRPr="00D50570">
        <w:rPr>
          <w:rFonts w:ascii="Arial" w:hAnsi="Arial" w:cs="Arial"/>
          <w:color w:val="222222"/>
          <w:lang w:val="en-US" w:bidi="en-US"/>
        </w:rPr>
        <w:t>T</w:t>
      </w:r>
      <w:r w:rsidRPr="00D50570">
        <w:rPr>
          <w:rFonts w:ascii="Arial" w:hAnsi="Arial" w:cs="Arial"/>
          <w:color w:val="222222"/>
          <w:vertAlign w:val="subscript"/>
          <w:lang w:val="en-US" w:bidi="en-US"/>
        </w:rPr>
        <w:t>H</w:t>
      </w:r>
      <w:r w:rsidRPr="00D50570">
        <w:rPr>
          <w:rFonts w:ascii="Arial" w:hAnsi="Arial" w:cs="Arial"/>
          <w:color w:val="222222"/>
          <w:lang w:val="en-US" w:bidi="en-US"/>
        </w:rPr>
        <w:t>1, T</w:t>
      </w:r>
      <w:r w:rsidRPr="00D50570">
        <w:rPr>
          <w:rFonts w:ascii="Arial" w:hAnsi="Arial" w:cs="Arial"/>
          <w:color w:val="222222"/>
          <w:vertAlign w:val="subscript"/>
          <w:lang w:val="en-US" w:bidi="en-US"/>
        </w:rPr>
        <w:t>H</w:t>
      </w:r>
      <w:r w:rsidRPr="00D50570">
        <w:rPr>
          <w:rFonts w:ascii="Arial" w:hAnsi="Arial" w:cs="Arial"/>
          <w:color w:val="222222"/>
          <w:lang w:val="en-US" w:bidi="en-US"/>
        </w:rPr>
        <w:t>2, T</w:t>
      </w:r>
      <w:r w:rsidRPr="00D50570">
        <w:rPr>
          <w:rFonts w:ascii="Arial" w:hAnsi="Arial" w:cs="Arial"/>
          <w:color w:val="222222"/>
          <w:vertAlign w:val="subscript"/>
          <w:lang w:val="en-US" w:bidi="en-US"/>
        </w:rPr>
        <w:t>H</w:t>
      </w:r>
      <w:r w:rsidRPr="00D50570">
        <w:rPr>
          <w:rFonts w:ascii="Arial" w:hAnsi="Arial" w:cs="Arial"/>
          <w:color w:val="222222"/>
          <w:lang w:val="en-US" w:bidi="en-US"/>
        </w:rPr>
        <w:t>17</w:t>
      </w:r>
      <w:r>
        <w:rPr>
          <w:rFonts w:ascii="Arial" w:hAnsi="Arial" w:cs="Arial"/>
          <w:color w:val="222222"/>
          <w:lang w:val="en-US" w:bidi="en-US"/>
        </w:rPr>
        <w:t xml:space="preserve"> </w:t>
      </w:r>
      <w:r w:rsidRPr="001013C5">
        <w:rPr>
          <w:rFonts w:ascii="Arial" w:hAnsi="Arial" w:cs="Arial"/>
          <w:color w:val="222222"/>
          <w:lang w:val="en-US" w:bidi="en-US"/>
        </w:rPr>
        <w:t>subsets</w:t>
      </w:r>
      <w:r>
        <w:rPr>
          <w:rFonts w:ascii="Arial" w:hAnsi="Arial" w:cs="Arial"/>
          <w:color w:val="222222"/>
          <w:lang w:val="en-US" w:bidi="en-US"/>
        </w:rPr>
        <w:t xml:space="preserve">. </w:t>
      </w:r>
      <w:r w:rsidRPr="001013C5">
        <w:rPr>
          <w:rFonts w:ascii="Arial" w:hAnsi="Arial" w:cs="Arial"/>
          <w:color w:val="222222"/>
          <w:lang w:val="en-US" w:bidi="en-US"/>
        </w:rPr>
        <w:t>The heatmap illustrates the relationships between CTC characteristics and immune cell composition in peripheral blood mononuclear cells (PBMCs).</w:t>
      </w:r>
    </w:p>
    <w:p w14:paraId="6B5026E7" w14:textId="77777777" w:rsidR="00316483" w:rsidRDefault="00316483" w:rsidP="00316483">
      <w:pPr>
        <w:pStyle w:val="NormalWeb"/>
        <w:spacing w:after="420" w:line="360" w:lineRule="auto"/>
        <w:jc w:val="both"/>
        <w:rPr>
          <w:rFonts w:ascii="Arial" w:hAnsi="Arial" w:cs="Arial"/>
          <w:color w:val="222222"/>
          <w:lang w:val="en-US" w:bidi="en-US"/>
        </w:rPr>
      </w:pPr>
    </w:p>
    <w:p w14:paraId="31D2F3B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483"/>
    <w:rsid w:val="000C4033"/>
    <w:rsid w:val="00316483"/>
    <w:rsid w:val="004B42CB"/>
    <w:rsid w:val="00B85331"/>
    <w:rsid w:val="00CB4739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59C35"/>
  <w15:chartTrackingRefBased/>
  <w15:docId w15:val="{7732DB72-4340-4DE8-8860-D599E0F3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4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64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64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4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4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4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4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4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4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4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64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4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4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4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4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4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4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4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64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4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4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64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64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4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4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4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4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4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648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16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1758</Characters>
  <Application>Microsoft Office Word</Application>
  <DocSecurity>0</DocSecurity>
  <Lines>39</Lines>
  <Paragraphs>18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2026-01-12T09:34:00Z</dcterms:created>
  <dcterms:modified xsi:type="dcterms:W3CDTF">2026-01-12T09:35:00Z</dcterms:modified>
</cp:coreProperties>
</file>