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43C0B" w14:textId="77777777" w:rsidR="00245977" w:rsidRPr="007938A6" w:rsidRDefault="00245977" w:rsidP="007938A6">
      <w:pPr>
        <w:pStyle w:val="NoSpacing"/>
        <w:rPr>
          <w:rFonts w:ascii="Times New Roman" w:hAnsi="Times New Roman" w:cs="Times New Roman"/>
          <w:sz w:val="24"/>
          <w:szCs w:val="24"/>
          <w:lang w:eastAsia="en-IN"/>
        </w:rPr>
      </w:pPr>
    </w:p>
    <w:p w14:paraId="39F05DD2" w14:textId="77777777" w:rsidR="00245977" w:rsidRPr="00441332" w:rsidRDefault="00245977" w:rsidP="007938A6">
      <w:pPr>
        <w:pStyle w:val="NoSpacing"/>
        <w:rPr>
          <w:rFonts w:ascii="Times New Roman" w:hAnsi="Times New Roman" w:cs="Times New Roman"/>
          <w:b/>
          <w:sz w:val="24"/>
          <w:szCs w:val="24"/>
          <w:lang w:eastAsia="en-IN"/>
        </w:rPr>
      </w:pPr>
    </w:p>
    <w:p w14:paraId="554C0360" w14:textId="77777777" w:rsidR="007669B4" w:rsidRPr="00EE51F0" w:rsidRDefault="00245977" w:rsidP="00EE51F0">
      <w:pPr>
        <w:pStyle w:val="NoSpacing"/>
        <w:rPr>
          <w:rFonts w:ascii="Times New Roman" w:hAnsi="Times New Roman" w:cs="Times New Roman"/>
          <w:b/>
          <w:sz w:val="24"/>
          <w:szCs w:val="24"/>
          <w:lang w:eastAsia="en-IN"/>
        </w:rPr>
      </w:pPr>
      <w:r w:rsidRPr="00EE51F0">
        <w:rPr>
          <w:rFonts w:ascii="Times New Roman" w:hAnsi="Times New Roman" w:cs="Times New Roman"/>
          <w:b/>
          <w:sz w:val="24"/>
          <w:szCs w:val="24"/>
          <w:lang w:eastAsia="en-IN"/>
        </w:rPr>
        <w:t>Title: </w:t>
      </w:r>
      <w:bookmarkStart w:id="0" w:name="_GoBack"/>
      <w:r w:rsidRPr="00EE51F0">
        <w:rPr>
          <w:rFonts w:ascii="Times New Roman" w:hAnsi="Times New Roman" w:cs="Times New Roman"/>
          <w:b/>
          <w:sz w:val="24"/>
          <w:szCs w:val="24"/>
          <w:lang w:eastAsia="en-IN"/>
        </w:rPr>
        <w:t>The 2026 Educational Paradigm: Learning Agility, Perceptiveness, and the Reimagined University in the Age of AI</w:t>
      </w:r>
      <w:bookmarkEnd w:id="0"/>
    </w:p>
    <w:p w14:paraId="602A5BA8" w14:textId="282C3C62" w:rsidR="00245977" w:rsidRPr="00EE51F0" w:rsidRDefault="00245977" w:rsidP="00EE51F0">
      <w:pPr>
        <w:pStyle w:val="NoSpacing"/>
        <w:rPr>
          <w:rFonts w:ascii="Times New Roman" w:hAnsi="Times New Roman" w:cs="Times New Roman"/>
          <w:sz w:val="20"/>
          <w:szCs w:val="20"/>
          <w:vertAlign w:val="superscript"/>
        </w:rPr>
      </w:pPr>
      <w:r w:rsidRPr="00EE51F0">
        <w:rPr>
          <w:rFonts w:ascii="Times New Roman" w:hAnsi="Times New Roman" w:cs="Times New Roman"/>
          <w:sz w:val="24"/>
          <w:szCs w:val="24"/>
          <w:lang w:eastAsia="en-IN"/>
        </w:rPr>
        <w:br/>
      </w:r>
      <w:r w:rsidR="007669B4" w:rsidRPr="00EE51F0">
        <w:rPr>
          <w:rFonts w:ascii="Times New Roman" w:hAnsi="Times New Roman" w:cs="Times New Roman"/>
          <w:sz w:val="20"/>
          <w:szCs w:val="20"/>
        </w:rPr>
        <w:t xml:space="preserve">Authors: </w:t>
      </w:r>
      <w:r w:rsidRPr="00EE51F0">
        <w:rPr>
          <w:rFonts w:ascii="Times New Roman" w:hAnsi="Times New Roman" w:cs="Times New Roman"/>
          <w:sz w:val="20"/>
          <w:szCs w:val="20"/>
        </w:rPr>
        <w:t>Mr. Rupam Kumar Saha</w:t>
      </w:r>
      <w:r w:rsidRPr="00EE51F0">
        <w:rPr>
          <w:rFonts w:ascii="Times New Roman" w:hAnsi="Times New Roman" w:cs="Times New Roman"/>
          <w:sz w:val="20"/>
          <w:szCs w:val="20"/>
          <w:vertAlign w:val="superscript"/>
        </w:rPr>
        <w:t>1</w:t>
      </w:r>
      <w:r w:rsidRPr="00EE51F0">
        <w:rPr>
          <w:rFonts w:ascii="Times New Roman" w:hAnsi="Times New Roman" w:cs="Times New Roman"/>
          <w:sz w:val="20"/>
          <w:szCs w:val="20"/>
        </w:rPr>
        <w:t>, Mr. Ayan Chattoraj</w:t>
      </w:r>
      <w:proofErr w:type="gramStart"/>
      <w:r w:rsidRPr="00EE51F0">
        <w:rPr>
          <w:rFonts w:ascii="Times New Roman" w:hAnsi="Times New Roman" w:cs="Times New Roman"/>
          <w:sz w:val="20"/>
          <w:szCs w:val="20"/>
          <w:vertAlign w:val="superscript"/>
        </w:rPr>
        <w:t>2</w:t>
      </w:r>
      <w:r w:rsidR="0083205A" w:rsidRPr="00EE51F0">
        <w:rPr>
          <w:rFonts w:ascii="Times New Roman" w:hAnsi="Times New Roman" w:cs="Times New Roman"/>
          <w:sz w:val="20"/>
          <w:szCs w:val="20"/>
          <w:vertAlign w:val="superscript"/>
        </w:rPr>
        <w:t xml:space="preserve"> </w:t>
      </w:r>
      <w:r w:rsidR="0083205A" w:rsidRPr="00EE51F0">
        <w:rPr>
          <w:rFonts w:ascii="Times New Roman" w:hAnsi="Times New Roman" w:cs="Times New Roman"/>
          <w:sz w:val="20"/>
          <w:szCs w:val="20"/>
        </w:rPr>
        <w:t>,</w:t>
      </w:r>
      <w:proofErr w:type="gramEnd"/>
      <w:r w:rsidR="0083205A" w:rsidRPr="00EE51F0">
        <w:rPr>
          <w:rFonts w:ascii="Times New Roman" w:hAnsi="Times New Roman" w:cs="Times New Roman"/>
          <w:sz w:val="20"/>
          <w:szCs w:val="20"/>
        </w:rPr>
        <w:t xml:space="preserve"> Ms. Sohini Roy Choudhury</w:t>
      </w:r>
      <w:r w:rsidR="0083205A" w:rsidRPr="00EE51F0">
        <w:rPr>
          <w:rFonts w:ascii="Times New Roman" w:hAnsi="Times New Roman" w:cs="Times New Roman"/>
          <w:sz w:val="20"/>
          <w:szCs w:val="20"/>
          <w:vertAlign w:val="superscript"/>
        </w:rPr>
        <w:t>3</w:t>
      </w:r>
    </w:p>
    <w:p w14:paraId="540B1771" w14:textId="77777777" w:rsidR="00245977" w:rsidRPr="00EE51F0" w:rsidRDefault="00245977" w:rsidP="00EE51F0">
      <w:pPr>
        <w:pStyle w:val="NoSpacing"/>
        <w:rPr>
          <w:rFonts w:ascii="Times New Roman" w:hAnsi="Times New Roman" w:cs="Times New Roman"/>
          <w:sz w:val="20"/>
          <w:szCs w:val="20"/>
        </w:rPr>
      </w:pPr>
      <w:r w:rsidRPr="00EE51F0">
        <w:rPr>
          <w:rFonts w:ascii="Times New Roman" w:hAnsi="Times New Roman" w:cs="Times New Roman"/>
          <w:sz w:val="20"/>
          <w:szCs w:val="20"/>
          <w:vertAlign w:val="superscript"/>
        </w:rPr>
        <w:t>1</w:t>
      </w:r>
      <w:r w:rsidRPr="00EE51F0">
        <w:rPr>
          <w:rFonts w:ascii="Times New Roman" w:hAnsi="Times New Roman" w:cs="Times New Roman"/>
          <w:sz w:val="20"/>
          <w:szCs w:val="20"/>
        </w:rPr>
        <w:t>Research Scholar, Mittal School of Business,</w:t>
      </w:r>
    </w:p>
    <w:p w14:paraId="488F3AF8" w14:textId="77777777" w:rsidR="00245977" w:rsidRPr="00EE51F0" w:rsidRDefault="00245977" w:rsidP="00EE51F0">
      <w:pPr>
        <w:pStyle w:val="NoSpacing"/>
        <w:rPr>
          <w:rFonts w:ascii="Times New Roman" w:hAnsi="Times New Roman" w:cs="Times New Roman"/>
          <w:sz w:val="20"/>
          <w:szCs w:val="20"/>
        </w:rPr>
      </w:pPr>
      <w:r w:rsidRPr="00EE51F0">
        <w:rPr>
          <w:rFonts w:ascii="Times New Roman" w:hAnsi="Times New Roman" w:cs="Times New Roman"/>
          <w:sz w:val="20"/>
          <w:szCs w:val="20"/>
        </w:rPr>
        <w:t xml:space="preserve">LPU, Phagwara, Punjab, India. Email: </w:t>
      </w:r>
      <w:hyperlink r:id="rId5" w:history="1">
        <w:r w:rsidRPr="00EE51F0">
          <w:rPr>
            <w:rStyle w:val="Hyperlink"/>
            <w:rFonts w:ascii="Times New Roman" w:hAnsi="Times New Roman" w:cs="Times New Roman"/>
            <w:color w:val="auto"/>
            <w:sz w:val="20"/>
            <w:szCs w:val="20"/>
          </w:rPr>
          <w:t>rupamkumarsaha@gmail.com</w:t>
        </w:r>
      </w:hyperlink>
      <w:r w:rsidRPr="00EE51F0">
        <w:rPr>
          <w:rFonts w:ascii="Times New Roman" w:hAnsi="Times New Roman" w:cs="Times New Roman"/>
          <w:sz w:val="20"/>
          <w:szCs w:val="20"/>
        </w:rPr>
        <w:t>, Mobile No +919800314444</w:t>
      </w:r>
    </w:p>
    <w:p w14:paraId="1F088EEA" w14:textId="77777777" w:rsidR="0083205A" w:rsidRPr="00EE51F0" w:rsidRDefault="00245977" w:rsidP="00EE51F0">
      <w:pPr>
        <w:pStyle w:val="NoSpacing"/>
        <w:rPr>
          <w:rFonts w:ascii="Times New Roman" w:hAnsi="Times New Roman" w:cs="Times New Roman"/>
          <w:sz w:val="20"/>
          <w:szCs w:val="20"/>
        </w:rPr>
      </w:pPr>
      <w:r w:rsidRPr="00EE51F0">
        <w:rPr>
          <w:rFonts w:ascii="Times New Roman" w:hAnsi="Times New Roman" w:cs="Times New Roman"/>
          <w:sz w:val="20"/>
          <w:szCs w:val="20"/>
          <w:vertAlign w:val="superscript"/>
        </w:rPr>
        <w:t>2</w:t>
      </w:r>
      <w:r w:rsidRPr="00EE51F0">
        <w:rPr>
          <w:rFonts w:ascii="Times New Roman" w:hAnsi="Times New Roman" w:cs="Times New Roman"/>
          <w:sz w:val="20"/>
          <w:szCs w:val="20"/>
        </w:rPr>
        <w:t>Research Scholar, Sarala Birla University, Jharkhand, Ranchi, India. Email: ayan.chattoraj@rediffmail.com, Mobile No +91 9475467969</w:t>
      </w:r>
      <w:r w:rsidR="0083205A" w:rsidRPr="00EE51F0">
        <w:rPr>
          <w:rFonts w:ascii="Times New Roman" w:hAnsi="Times New Roman" w:cs="Times New Roman"/>
          <w:sz w:val="20"/>
          <w:szCs w:val="20"/>
        </w:rPr>
        <w:t xml:space="preserve">, </w:t>
      </w:r>
    </w:p>
    <w:p w14:paraId="39D60BAB" w14:textId="63170E7E" w:rsidR="00245977" w:rsidRPr="00EE51F0" w:rsidRDefault="0083205A" w:rsidP="00EE51F0">
      <w:pPr>
        <w:pStyle w:val="NoSpacing"/>
        <w:rPr>
          <w:rFonts w:ascii="Times New Roman" w:hAnsi="Times New Roman" w:cs="Times New Roman"/>
          <w:sz w:val="20"/>
          <w:szCs w:val="20"/>
        </w:rPr>
      </w:pPr>
      <w:r w:rsidRPr="00EE51F0">
        <w:rPr>
          <w:rFonts w:ascii="Times New Roman" w:hAnsi="Times New Roman" w:cs="Times New Roman"/>
          <w:sz w:val="20"/>
          <w:szCs w:val="20"/>
          <w:vertAlign w:val="superscript"/>
        </w:rPr>
        <w:t>3</w:t>
      </w:r>
      <w:r w:rsidRPr="00EE51F0">
        <w:rPr>
          <w:rFonts w:ascii="Times New Roman" w:hAnsi="Times New Roman" w:cs="Times New Roman"/>
          <w:sz w:val="20"/>
          <w:szCs w:val="20"/>
        </w:rPr>
        <w:t xml:space="preserve">Student, NSHM Knowledge Campus, Durgapur, India Email: </w:t>
      </w:r>
      <w:hyperlink r:id="rId6" w:history="1">
        <w:r w:rsidRPr="00EE51F0">
          <w:rPr>
            <w:rStyle w:val="Hyperlink"/>
            <w:rFonts w:ascii="Times New Roman" w:hAnsi="Times New Roman" w:cs="Times New Roman"/>
            <w:sz w:val="20"/>
            <w:szCs w:val="20"/>
          </w:rPr>
          <w:t>tinaichoudhury2003@gmail.com</w:t>
        </w:r>
      </w:hyperlink>
      <w:r w:rsidRPr="00EE51F0">
        <w:rPr>
          <w:rFonts w:ascii="Times New Roman" w:hAnsi="Times New Roman" w:cs="Times New Roman"/>
          <w:sz w:val="20"/>
          <w:szCs w:val="20"/>
        </w:rPr>
        <w:t xml:space="preserve"> Mobile No +919046506668</w:t>
      </w:r>
    </w:p>
    <w:p w14:paraId="68D29C68" w14:textId="77777777" w:rsidR="00CD6620" w:rsidRDefault="007669B4" w:rsidP="00EE51F0">
      <w:pPr>
        <w:pStyle w:val="NoSpacing"/>
        <w:rPr>
          <w:rFonts w:ascii="Times New Roman" w:hAnsi="Times New Roman" w:cs="Times New Roman"/>
          <w:sz w:val="24"/>
          <w:szCs w:val="24"/>
          <w:lang w:eastAsia="en-IN"/>
        </w:rPr>
      </w:pPr>
      <w:r w:rsidRPr="00EE51F0">
        <w:rPr>
          <w:rFonts w:ascii="Times New Roman" w:hAnsi="Times New Roman" w:cs="Times New Roman"/>
          <w:sz w:val="20"/>
          <w:szCs w:val="20"/>
          <w:lang w:eastAsia="en-IN"/>
        </w:rPr>
        <w:t>------------------------------------------------------------------------------------------------------</w:t>
      </w:r>
      <w:r w:rsidR="00245977" w:rsidRPr="00EE51F0">
        <w:rPr>
          <w:rFonts w:ascii="Times New Roman" w:hAnsi="Times New Roman" w:cs="Times New Roman"/>
          <w:sz w:val="24"/>
          <w:szCs w:val="24"/>
          <w:lang w:eastAsia="en-IN"/>
        </w:rPr>
        <w:br/>
      </w:r>
    </w:p>
    <w:p w14:paraId="638A7536" w14:textId="6798B7DE" w:rsidR="007669B4" w:rsidRDefault="00245977"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Abstract: </w:t>
      </w:r>
    </w:p>
    <w:p w14:paraId="5CE94487" w14:textId="77777777" w:rsidR="00EE51F0" w:rsidRPr="00EE51F0" w:rsidRDefault="00EE51F0" w:rsidP="00EE51F0">
      <w:pPr>
        <w:pStyle w:val="NoSpacing"/>
        <w:rPr>
          <w:rFonts w:ascii="Times New Roman" w:hAnsi="Times New Roman" w:cs="Times New Roman"/>
          <w:sz w:val="24"/>
          <w:szCs w:val="24"/>
          <w:lang w:eastAsia="en-IN"/>
        </w:rPr>
      </w:pPr>
    </w:p>
    <w:p w14:paraId="51BF8D81" w14:textId="46A5C72D" w:rsidR="00245977" w:rsidRPr="00EE51F0" w:rsidRDefault="00817DA9"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 xml:space="preserve">This paper presents a synthesized and forward-looking examination of the evolving intersection between artificial intelligence and higher education, with a specific focus on its projected implications by 2026. It argues that artificial intelligence will extend far beyond its conventional role as an auxiliary educational technology and instead function as a transformative force that fundamentally reshapes </w:t>
      </w:r>
      <w:proofErr w:type="spellStart"/>
      <w:r w:rsidRPr="00EE51F0">
        <w:rPr>
          <w:rFonts w:ascii="Times New Roman" w:hAnsi="Times New Roman" w:cs="Times New Roman"/>
          <w:sz w:val="24"/>
          <w:szCs w:val="24"/>
          <w:lang w:eastAsia="en-IN"/>
        </w:rPr>
        <w:t>labor</w:t>
      </w:r>
      <w:proofErr w:type="spellEnd"/>
      <w:r w:rsidRPr="00EE51F0">
        <w:rPr>
          <w:rFonts w:ascii="Times New Roman" w:hAnsi="Times New Roman" w:cs="Times New Roman"/>
          <w:sz w:val="24"/>
          <w:szCs w:val="24"/>
          <w:lang w:eastAsia="en-IN"/>
        </w:rPr>
        <w:t xml:space="preserve"> market expectations, pedagogical practices, and the institutional purpose of universities. Central to this transformation is the growing prominence of learning agility, adaptability, and cognitive flexibility as essential employability competencies, progressively displacing narrowly defined technical roles that are increasingly vulnerable to automation and algorithmic substitution. These higher-order human capabilities supported by perceptiveness, critical thinking, and advanced writing proficiency necessitate a reconfiguration of higher education institutions into apprenticeship-oriented, innovation-driven ecosystems that emphasize experiential learning and problem-solving. The paper concludes that the most significant challenge facing educational systems lies not in the rapid adoption of artificial intelligence itself, but in the intentional and systematic cultivation of durable human meta-skills. By moving beyond reactive “AI FOMO” and superficial technological integration, institutions can foster a sustainable, human-</w:t>
      </w:r>
      <w:proofErr w:type="spellStart"/>
      <w:r w:rsidRPr="00EE51F0">
        <w:rPr>
          <w:rFonts w:ascii="Times New Roman" w:hAnsi="Times New Roman" w:cs="Times New Roman"/>
          <w:sz w:val="24"/>
          <w:szCs w:val="24"/>
          <w:lang w:eastAsia="en-IN"/>
        </w:rPr>
        <w:t>centered</w:t>
      </w:r>
      <w:proofErr w:type="spellEnd"/>
      <w:r w:rsidRPr="00EE51F0">
        <w:rPr>
          <w:rFonts w:ascii="Times New Roman" w:hAnsi="Times New Roman" w:cs="Times New Roman"/>
          <w:sz w:val="24"/>
          <w:szCs w:val="24"/>
          <w:lang w:eastAsia="en-IN"/>
        </w:rPr>
        <w:t xml:space="preserve"> educational model capable of supporting resilient and meaningful human-AI collaboration.</w:t>
      </w:r>
    </w:p>
    <w:p w14:paraId="49DDC5B9" w14:textId="77777777" w:rsidR="00EE51F0" w:rsidRDefault="00EE51F0" w:rsidP="00EE51F0">
      <w:pPr>
        <w:pStyle w:val="NoSpacing"/>
        <w:rPr>
          <w:rFonts w:ascii="Times New Roman" w:hAnsi="Times New Roman" w:cs="Times New Roman"/>
          <w:sz w:val="24"/>
          <w:szCs w:val="24"/>
          <w:lang w:eastAsia="en-IN"/>
        </w:rPr>
      </w:pPr>
    </w:p>
    <w:p w14:paraId="419AC627" w14:textId="69B0A540" w:rsidR="00CD6620" w:rsidRDefault="00245977" w:rsidP="00CD6620">
      <w:pPr>
        <w:pStyle w:val="NoSpacing"/>
        <w:numPr>
          <w:ilvl w:val="0"/>
          <w:numId w:val="35"/>
        </w:numPr>
        <w:rPr>
          <w:rFonts w:ascii="Times New Roman" w:hAnsi="Times New Roman" w:cs="Times New Roman"/>
          <w:sz w:val="24"/>
          <w:szCs w:val="24"/>
          <w:lang w:eastAsia="en-IN"/>
        </w:rPr>
      </w:pPr>
      <w:r w:rsidRPr="00EE51F0">
        <w:rPr>
          <w:rFonts w:ascii="Times New Roman" w:hAnsi="Times New Roman" w:cs="Times New Roman"/>
          <w:sz w:val="24"/>
          <w:szCs w:val="24"/>
          <w:lang w:eastAsia="en-IN"/>
        </w:rPr>
        <w:t>Introduction</w:t>
      </w:r>
      <w:r w:rsidRPr="00EE51F0">
        <w:rPr>
          <w:rFonts w:ascii="Times New Roman" w:hAnsi="Times New Roman" w:cs="Times New Roman"/>
          <w:sz w:val="24"/>
          <w:szCs w:val="24"/>
          <w:lang w:eastAsia="en-IN"/>
        </w:rPr>
        <w:br/>
      </w:r>
    </w:p>
    <w:p w14:paraId="1BD86CFC" w14:textId="2377AFAA" w:rsidR="00817DA9" w:rsidRPr="00EE51F0" w:rsidRDefault="00245977" w:rsidP="00CD662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The</w:t>
      </w:r>
      <w:r w:rsidR="00817DA9" w:rsidRPr="00EE51F0">
        <w:rPr>
          <w:rFonts w:ascii="Times New Roman" w:hAnsi="Times New Roman" w:cs="Times New Roman"/>
          <w:sz w:val="24"/>
          <w:szCs w:val="24"/>
          <w:lang w:eastAsia="en-IN"/>
        </w:rPr>
        <w:t xml:space="preserve"> rapid and ongoing evolution of generative artificial intelligence (GenAI) represents one of the most consequential technological disruptions of the contemporary era, exerting transformative effects across virtually all economic, social, and institutional domains. Among these, the education sector occupies a uniquely critical position, functioning simultaneously as a primary site of disruption and as a key mechanism through which the broader societal implications of artificial intelligence are mediated. As GenAI systems increasingly demonstrate capabilities in content generation, data analysis, problem-solving, and decision support, they challenge traditional conceptions of knowledge creation, skill acquisition, and the enduring relevance of established educational structures.</w:t>
      </w:r>
    </w:p>
    <w:p w14:paraId="58D9C3E1" w14:textId="77777777" w:rsidR="00817DA9" w:rsidRPr="00EE51F0" w:rsidRDefault="00817DA9"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 xml:space="preserve">This paper undertakes a systematic analysis of a cohesive set of predictive observations concerning the intersection of artificial intelligence and education by the year 2026, extrapolating from current technological trajectories, workforce trends, and emerging </w:t>
      </w:r>
      <w:r w:rsidRPr="00EE51F0">
        <w:rPr>
          <w:rFonts w:ascii="Times New Roman" w:hAnsi="Times New Roman" w:cs="Times New Roman"/>
          <w:sz w:val="24"/>
          <w:szCs w:val="24"/>
          <w:lang w:eastAsia="en-IN"/>
        </w:rPr>
        <w:lastRenderedPageBreak/>
        <w:t>pedagogical practices. Rather than viewing AI adoption as a matter of incremental technological enhancement, this study contends that the implications of GenAI will be fundamentally systemic in nature. Specifically, artificial intelligence is poised to redefine not only what is learned within higher education curricula, but also how learning processes are designed and delivered, and, most critically, why learning itself remains a central social and economic imperative in an increasingly automated environment.</w:t>
      </w:r>
    </w:p>
    <w:p w14:paraId="353C81C1" w14:textId="6782085A" w:rsidR="00817DA9" w:rsidRPr="00EE51F0" w:rsidRDefault="00817DA9"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 xml:space="preserve">While GenAI is expected to assume responsibility for a wide range of procedural, repetitive, and rule-based analytical tasks, its diffusion simultaneously alters the skill hierarchy within the </w:t>
      </w:r>
      <w:proofErr w:type="spellStart"/>
      <w:r w:rsidRPr="00EE51F0">
        <w:rPr>
          <w:rFonts w:ascii="Times New Roman" w:hAnsi="Times New Roman" w:cs="Times New Roman"/>
          <w:sz w:val="24"/>
          <w:szCs w:val="24"/>
          <w:lang w:eastAsia="en-IN"/>
        </w:rPr>
        <w:t>labor</w:t>
      </w:r>
      <w:proofErr w:type="spellEnd"/>
      <w:r w:rsidRPr="00EE51F0">
        <w:rPr>
          <w:rFonts w:ascii="Times New Roman" w:hAnsi="Times New Roman" w:cs="Times New Roman"/>
          <w:sz w:val="24"/>
          <w:szCs w:val="24"/>
          <w:lang w:eastAsia="en-IN"/>
        </w:rPr>
        <w:t xml:space="preserve"> market. In this emerging context, narrowly defined technical competencies</w:t>
      </w:r>
      <w:r w:rsidR="00940E34" w:rsidRPr="00EE51F0">
        <w:rPr>
          <w:rFonts w:ascii="Times New Roman" w:hAnsi="Times New Roman" w:cs="Times New Roman"/>
          <w:sz w:val="24"/>
          <w:szCs w:val="24"/>
          <w:lang w:eastAsia="en-IN"/>
        </w:rPr>
        <w:t xml:space="preserve"> </w:t>
      </w:r>
      <w:r w:rsidRPr="00EE51F0">
        <w:rPr>
          <w:rFonts w:ascii="Times New Roman" w:hAnsi="Times New Roman" w:cs="Times New Roman"/>
          <w:sz w:val="24"/>
          <w:szCs w:val="24"/>
          <w:lang w:eastAsia="en-IN"/>
        </w:rPr>
        <w:t>once considered stable indicators of employability</w:t>
      </w:r>
      <w:r w:rsidR="00940E34" w:rsidRPr="00EE51F0">
        <w:rPr>
          <w:rFonts w:ascii="Times New Roman" w:hAnsi="Times New Roman" w:cs="Times New Roman"/>
          <w:sz w:val="24"/>
          <w:szCs w:val="24"/>
          <w:lang w:eastAsia="en-IN"/>
        </w:rPr>
        <w:t xml:space="preserve"> </w:t>
      </w:r>
      <w:r w:rsidRPr="00EE51F0">
        <w:rPr>
          <w:rFonts w:ascii="Times New Roman" w:hAnsi="Times New Roman" w:cs="Times New Roman"/>
          <w:sz w:val="24"/>
          <w:szCs w:val="24"/>
          <w:lang w:eastAsia="en-IN"/>
        </w:rPr>
        <w:t>are becoming increasingly susceptible to rapid obsolescence. In their place, Learning Agility and Adaptability emerge as the primary determinants of professional resilience. Defined as the capacity to continuously learn, unlearn, and relearn in response to shifting technological and organizational demands, these meta-skills enable individuals to remain effective amid ongoing uncertainty and change.</w:t>
      </w:r>
    </w:p>
    <w:p w14:paraId="6D4A9BFB" w14:textId="77777777" w:rsidR="00817DA9" w:rsidRPr="00EE51F0" w:rsidRDefault="00817DA9"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Importantly, the rise of learning agility does not occur in isolation but is closely intertwined with uniquely human cognitive and socio-emotional capabilities, including critical judgment, contextual reasoning, ethical discernment, creativity, and advanced communication skills. These attributes resist full automation and remain essential for navigating complex, ambiguous, and value-laden decision environments. Their growing importance underscores a fundamental limitation of purely technical or content-driven educational models and highlights the need for a deeper, human-</w:t>
      </w:r>
      <w:proofErr w:type="spellStart"/>
      <w:r w:rsidRPr="00EE51F0">
        <w:rPr>
          <w:rFonts w:ascii="Times New Roman" w:hAnsi="Times New Roman" w:cs="Times New Roman"/>
          <w:sz w:val="24"/>
          <w:szCs w:val="24"/>
          <w:lang w:eastAsia="en-IN"/>
        </w:rPr>
        <w:t>centered</w:t>
      </w:r>
      <w:proofErr w:type="spellEnd"/>
      <w:r w:rsidRPr="00EE51F0">
        <w:rPr>
          <w:rFonts w:ascii="Times New Roman" w:hAnsi="Times New Roman" w:cs="Times New Roman"/>
          <w:sz w:val="24"/>
          <w:szCs w:val="24"/>
          <w:lang w:eastAsia="en-IN"/>
        </w:rPr>
        <w:t xml:space="preserve"> approach to learning.</w:t>
      </w:r>
    </w:p>
    <w:p w14:paraId="624EE857" w14:textId="1E8A24FD" w:rsidR="00817DA9" w:rsidRPr="00EE51F0" w:rsidRDefault="00817DA9"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Consequently, this paper argues that the proliferation of artificial intelligence necessitates a structural reimagining of higher education institutions. Universities must evolve beyond their traditional role as repositories of disciplinary knowledge and credentialing authorities to become dynamic, apprenticeship-oriented, and innovation-driven learning ecosystems. Such institutions would prioritize experiential learning, interdisciplinary problem-solving, and sustained engagement with real-world challenges, thereby fostering durable competencies that complement rather than compete with artificial intelligence. In doing so, higher education can move beyond reactionary responses characterized by “AI FOMO” and instead establish a sustainable, future-ready educational paradigm capable of supporting meaningful and resilient human</w:t>
      </w:r>
      <w:r w:rsidR="00940E34" w:rsidRPr="00EE51F0">
        <w:rPr>
          <w:rFonts w:ascii="Times New Roman" w:hAnsi="Times New Roman" w:cs="Times New Roman"/>
          <w:sz w:val="24"/>
          <w:szCs w:val="24"/>
          <w:lang w:eastAsia="en-IN"/>
        </w:rPr>
        <w:t>-</w:t>
      </w:r>
      <w:r w:rsidRPr="00EE51F0">
        <w:rPr>
          <w:rFonts w:ascii="Times New Roman" w:hAnsi="Times New Roman" w:cs="Times New Roman"/>
          <w:sz w:val="24"/>
          <w:szCs w:val="24"/>
          <w:lang w:eastAsia="en-IN"/>
        </w:rPr>
        <w:t>AI collaboration.</w:t>
      </w:r>
    </w:p>
    <w:p w14:paraId="3CA4757D" w14:textId="08342AB3" w:rsidR="000951AE" w:rsidRPr="00EE51F0" w:rsidRDefault="000951AE" w:rsidP="00EE51F0">
      <w:pPr>
        <w:pStyle w:val="NoSpacing"/>
        <w:rPr>
          <w:rFonts w:ascii="Times New Roman" w:hAnsi="Times New Roman" w:cs="Times New Roman"/>
          <w:sz w:val="24"/>
          <w:szCs w:val="24"/>
          <w:lang w:eastAsia="en-IN"/>
        </w:rPr>
      </w:pPr>
    </w:p>
    <w:p w14:paraId="0C3C1E45" w14:textId="77777777" w:rsidR="000951AE" w:rsidRPr="00EE51F0" w:rsidRDefault="000951AE" w:rsidP="00EE51F0">
      <w:pPr>
        <w:pStyle w:val="NoSpacing"/>
        <w:rPr>
          <w:rFonts w:ascii="Times New Roman" w:hAnsi="Times New Roman" w:cs="Times New Roman"/>
          <w:sz w:val="24"/>
          <w:szCs w:val="24"/>
          <w:lang w:eastAsia="en-IN"/>
        </w:rPr>
      </w:pPr>
      <w:r w:rsidRPr="00EE51F0">
        <w:rPr>
          <w:rFonts w:ascii="Times New Roman" w:hAnsi="Times New Roman" w:cs="Times New Roman"/>
          <w:noProof/>
          <w:sz w:val="24"/>
          <w:szCs w:val="24"/>
          <w:lang w:eastAsia="en-IN"/>
        </w:rPr>
        <w:lastRenderedPageBreak/>
        <w:drawing>
          <wp:inline distT="0" distB="0" distL="0" distR="0" wp14:anchorId="3D345081" wp14:editId="1B014B5E">
            <wp:extent cx="5943600" cy="27425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agra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742565"/>
                    </a:xfrm>
                    <a:prstGeom prst="rect">
                      <a:avLst/>
                    </a:prstGeom>
                  </pic:spPr>
                </pic:pic>
              </a:graphicData>
            </a:graphic>
          </wp:inline>
        </w:drawing>
      </w:r>
    </w:p>
    <w:p w14:paraId="7961F915" w14:textId="77777777" w:rsidR="000951AE" w:rsidRPr="00EE51F0" w:rsidRDefault="000951AE" w:rsidP="00EE51F0">
      <w:pPr>
        <w:pStyle w:val="NoSpacing"/>
        <w:rPr>
          <w:rFonts w:ascii="Times New Roman" w:hAnsi="Times New Roman" w:cs="Times New Roman"/>
          <w:sz w:val="24"/>
          <w:szCs w:val="24"/>
          <w:lang w:eastAsia="en-IN"/>
        </w:rPr>
      </w:pPr>
    </w:p>
    <w:p w14:paraId="55552EEE" w14:textId="77777777" w:rsidR="00940E34" w:rsidRPr="00EE51F0" w:rsidRDefault="00940E34" w:rsidP="00EE51F0">
      <w:pPr>
        <w:pStyle w:val="NoSpacing"/>
        <w:rPr>
          <w:rFonts w:ascii="Times New Roman" w:hAnsi="Times New Roman" w:cs="Times New Roman"/>
          <w:sz w:val="24"/>
          <w:szCs w:val="24"/>
          <w:lang w:eastAsia="en-IN"/>
        </w:rPr>
      </w:pPr>
    </w:p>
    <w:p w14:paraId="7B642D2A" w14:textId="77777777" w:rsidR="00940E34" w:rsidRPr="00EE51F0" w:rsidRDefault="00940E34" w:rsidP="00EE51F0">
      <w:pPr>
        <w:pStyle w:val="NoSpacing"/>
        <w:rPr>
          <w:rFonts w:ascii="Times New Roman" w:hAnsi="Times New Roman" w:cs="Times New Roman"/>
          <w:sz w:val="24"/>
          <w:szCs w:val="24"/>
          <w:lang w:eastAsia="en-IN"/>
        </w:rPr>
      </w:pPr>
    </w:p>
    <w:p w14:paraId="4F2E6254" w14:textId="5E4AC12D" w:rsidR="00940E34" w:rsidRPr="00EE51F0" w:rsidRDefault="00940E34" w:rsidP="00EE51F0">
      <w:pPr>
        <w:pStyle w:val="NoSpacing"/>
        <w:rPr>
          <w:rFonts w:ascii="Times New Roman" w:hAnsi="Times New Roman" w:cs="Times New Roman"/>
          <w:bCs/>
          <w:sz w:val="24"/>
          <w:szCs w:val="24"/>
          <w:lang w:eastAsia="en-IN"/>
        </w:rPr>
      </w:pPr>
      <w:r w:rsidRPr="00EE51F0">
        <w:rPr>
          <w:rFonts w:ascii="Times New Roman" w:hAnsi="Times New Roman" w:cs="Times New Roman"/>
          <w:bCs/>
          <w:sz w:val="24"/>
          <w:szCs w:val="24"/>
          <w:lang w:eastAsia="en-IN"/>
        </w:rPr>
        <w:t>2.Theoretical and Conceptual Framework</w:t>
      </w:r>
    </w:p>
    <w:p w14:paraId="0CC455F2" w14:textId="77777777" w:rsidR="004B5EEA" w:rsidRDefault="004B5EEA" w:rsidP="00EE51F0">
      <w:pPr>
        <w:pStyle w:val="NoSpacing"/>
        <w:rPr>
          <w:rFonts w:ascii="Times New Roman" w:hAnsi="Times New Roman" w:cs="Times New Roman"/>
          <w:bCs/>
          <w:sz w:val="24"/>
          <w:szCs w:val="24"/>
          <w:lang w:eastAsia="en-IN"/>
        </w:rPr>
      </w:pPr>
    </w:p>
    <w:p w14:paraId="417F0329" w14:textId="0A52278F" w:rsidR="00940E34" w:rsidRPr="00EE51F0" w:rsidRDefault="00940E34" w:rsidP="00EE51F0">
      <w:pPr>
        <w:pStyle w:val="NoSpacing"/>
        <w:rPr>
          <w:rFonts w:ascii="Times New Roman" w:hAnsi="Times New Roman" w:cs="Times New Roman"/>
          <w:bCs/>
          <w:sz w:val="24"/>
          <w:szCs w:val="24"/>
          <w:lang w:eastAsia="en-IN"/>
        </w:rPr>
      </w:pPr>
      <w:r w:rsidRPr="00EE51F0">
        <w:rPr>
          <w:rFonts w:ascii="Times New Roman" w:hAnsi="Times New Roman" w:cs="Times New Roman"/>
          <w:bCs/>
          <w:sz w:val="24"/>
          <w:szCs w:val="24"/>
          <w:lang w:eastAsia="en-IN"/>
        </w:rPr>
        <w:t>The conceptual foundation of this study is grounded in an interdisciplinary synthesis of human capital theory, constructivist learning theory, and emerging scholarship on socio-technical systems. Together, these perspectives provide a coherent lens through which to examine the transformative implications of generative artificial intelligence for higher education and workforce preparedness.</w:t>
      </w:r>
    </w:p>
    <w:p w14:paraId="40A92325" w14:textId="1AC9F55B" w:rsidR="00940E34" w:rsidRPr="00EE51F0" w:rsidRDefault="00940E34" w:rsidP="00EE51F0">
      <w:pPr>
        <w:pStyle w:val="NoSpacing"/>
        <w:rPr>
          <w:rFonts w:ascii="Times New Roman" w:hAnsi="Times New Roman" w:cs="Times New Roman"/>
          <w:bCs/>
          <w:sz w:val="24"/>
          <w:szCs w:val="24"/>
          <w:lang w:eastAsia="en-IN"/>
        </w:rPr>
      </w:pPr>
      <w:r w:rsidRPr="00EE51F0">
        <w:rPr>
          <w:rFonts w:ascii="Times New Roman" w:hAnsi="Times New Roman" w:cs="Times New Roman"/>
          <w:bCs/>
          <w:sz w:val="24"/>
          <w:szCs w:val="24"/>
          <w:lang w:eastAsia="en-IN"/>
        </w:rPr>
        <w:t>At its core, human capital theory traditionally emphasizes the accumulation of knowledge and skills as drivers of individual productivity and economic growth. However, in the context of rapid technological advancement and AI-driven automation, conventional interpretations of human capital particularly those privileging static technical competencies are increasingly inadequate. This study adopts an expanded view of human capital, wherein adaptive capacity, learning agility, and cognitive flexibility constitute critical forms of value creation. Within this framework, employability is no longer defined by mastery of fixed skill sets, but by an individual’s ability to continuously recalibrate competencies in response to evolving technological and organizational demands.</w:t>
      </w:r>
    </w:p>
    <w:p w14:paraId="33B627D2" w14:textId="77777777" w:rsidR="00940E34" w:rsidRPr="00EE51F0" w:rsidRDefault="00940E34" w:rsidP="00EE51F0">
      <w:pPr>
        <w:pStyle w:val="NoSpacing"/>
        <w:rPr>
          <w:rFonts w:ascii="Times New Roman" w:hAnsi="Times New Roman" w:cs="Times New Roman"/>
          <w:bCs/>
          <w:sz w:val="24"/>
          <w:szCs w:val="24"/>
          <w:lang w:eastAsia="en-IN"/>
        </w:rPr>
      </w:pPr>
      <w:r w:rsidRPr="00EE51F0">
        <w:rPr>
          <w:rFonts w:ascii="Times New Roman" w:hAnsi="Times New Roman" w:cs="Times New Roman"/>
          <w:bCs/>
          <w:sz w:val="24"/>
          <w:szCs w:val="24"/>
          <w:lang w:eastAsia="en-IN"/>
        </w:rPr>
        <w:t>Complementing this economic perspective, constructivist learning theory offers a pedagogical foundation for understanding how such adaptive capacities are developed. Constructivist approaches conceptualize learning as an active, contextual, and socially mediated process rather than a passive transfer of information. From this standpoint, the rise of generative AI challenges traditional content-centric instructional models by rendering information access and procedural knowledge increasingly ubiquitous. Consequently, the role of higher education shifts toward facilitating higher-order cognitive processes such as sense-making, critical reflection, synthesis, and application. Learning agility, within this framework, emerges as a product of experiential learning, iterative problem-solving, and reflective practice rather than standardized curriculum delivery.</w:t>
      </w:r>
    </w:p>
    <w:p w14:paraId="6E2273E9" w14:textId="77777777" w:rsidR="00940E34" w:rsidRPr="00EE51F0" w:rsidRDefault="00940E34" w:rsidP="00EE51F0">
      <w:pPr>
        <w:pStyle w:val="NoSpacing"/>
        <w:rPr>
          <w:rFonts w:ascii="Times New Roman" w:hAnsi="Times New Roman" w:cs="Times New Roman"/>
          <w:bCs/>
          <w:sz w:val="24"/>
          <w:szCs w:val="24"/>
          <w:lang w:eastAsia="en-IN"/>
        </w:rPr>
      </w:pPr>
      <w:r w:rsidRPr="00EE51F0">
        <w:rPr>
          <w:rFonts w:ascii="Times New Roman" w:hAnsi="Times New Roman" w:cs="Times New Roman"/>
          <w:bCs/>
          <w:sz w:val="24"/>
          <w:szCs w:val="24"/>
          <w:lang w:eastAsia="en-IN"/>
        </w:rPr>
        <w:t xml:space="preserve">The framework is further informed by socio-technical systems theory, which emphasizes the interdependence between technological infrastructures and human actors within institutional </w:t>
      </w:r>
      <w:r w:rsidRPr="00EE51F0">
        <w:rPr>
          <w:rFonts w:ascii="Times New Roman" w:hAnsi="Times New Roman" w:cs="Times New Roman"/>
          <w:bCs/>
          <w:sz w:val="24"/>
          <w:szCs w:val="24"/>
          <w:lang w:eastAsia="en-IN"/>
        </w:rPr>
        <w:lastRenderedPageBreak/>
        <w:t>environments. Rather than treating artificial intelligence as an external tool imposed upon educational systems, this perspective conceptualizes AI as an embedded actor that reshapes workflows, decision-making processes, and power dynamics. Importantly, socio-technical theory highlights that technological outcomes are contingent upon institutional design choices, cultural norms, and human agency. Applied to higher education, this suggests that the impact of AI is not technologically deterministic but mediated by how universities restructure curricula, assessment models, and learning ecosystems.</w:t>
      </w:r>
    </w:p>
    <w:p w14:paraId="3AC59C91" w14:textId="7B3ED7A6" w:rsidR="00940E34" w:rsidRPr="00EE51F0" w:rsidRDefault="00940E34" w:rsidP="00EE51F0">
      <w:pPr>
        <w:pStyle w:val="NoSpacing"/>
        <w:rPr>
          <w:rFonts w:ascii="Times New Roman" w:hAnsi="Times New Roman" w:cs="Times New Roman"/>
          <w:bCs/>
          <w:sz w:val="24"/>
          <w:szCs w:val="24"/>
          <w:lang w:eastAsia="en-IN"/>
        </w:rPr>
      </w:pPr>
      <w:r w:rsidRPr="00EE51F0">
        <w:rPr>
          <w:rFonts w:ascii="Times New Roman" w:hAnsi="Times New Roman" w:cs="Times New Roman"/>
          <w:bCs/>
          <w:sz w:val="24"/>
          <w:szCs w:val="24"/>
          <w:lang w:eastAsia="en-IN"/>
        </w:rPr>
        <w:t>Drawing on these theoretical foundations, the proposed conceptual framework positions generative AI as a catalytic force that accelerates the obsolescence of narrow technical skills while simultaneously amplifying the value of human-</w:t>
      </w:r>
      <w:proofErr w:type="spellStart"/>
      <w:r w:rsidRPr="00EE51F0">
        <w:rPr>
          <w:rFonts w:ascii="Times New Roman" w:hAnsi="Times New Roman" w:cs="Times New Roman"/>
          <w:bCs/>
          <w:sz w:val="24"/>
          <w:szCs w:val="24"/>
          <w:lang w:eastAsia="en-IN"/>
        </w:rPr>
        <w:t>centered</w:t>
      </w:r>
      <w:proofErr w:type="spellEnd"/>
      <w:r w:rsidRPr="00EE51F0">
        <w:rPr>
          <w:rFonts w:ascii="Times New Roman" w:hAnsi="Times New Roman" w:cs="Times New Roman"/>
          <w:bCs/>
          <w:sz w:val="24"/>
          <w:szCs w:val="24"/>
          <w:lang w:eastAsia="en-IN"/>
        </w:rPr>
        <w:t xml:space="preserve"> meta-skills. Learning agility and adaptability function as the central mediating constructs linking AI proliferation to long-term professional resilience. These meta-skills are supported by complementary competencies such as critical thinking, perceptiveness, ethical reasoning, and advanced communication, which collectively enable effective human-AI collaboration.</w:t>
      </w:r>
    </w:p>
    <w:p w14:paraId="4A14484F" w14:textId="05230884" w:rsidR="00940E34" w:rsidRPr="00EE51F0" w:rsidRDefault="00940E34" w:rsidP="00EE51F0">
      <w:pPr>
        <w:pStyle w:val="NoSpacing"/>
        <w:rPr>
          <w:rFonts w:ascii="Times New Roman" w:hAnsi="Times New Roman" w:cs="Times New Roman"/>
          <w:bCs/>
          <w:sz w:val="24"/>
          <w:szCs w:val="24"/>
          <w:lang w:eastAsia="en-IN"/>
        </w:rPr>
      </w:pPr>
      <w:r w:rsidRPr="00EE51F0">
        <w:rPr>
          <w:rFonts w:ascii="Times New Roman" w:hAnsi="Times New Roman" w:cs="Times New Roman"/>
          <w:bCs/>
          <w:sz w:val="24"/>
          <w:szCs w:val="24"/>
          <w:lang w:eastAsia="en-IN"/>
        </w:rPr>
        <w:t xml:space="preserve">Within this framework, higher education institutions are conceptualized as pivotal intermediaries responsible for cultivating these capacities. The traditional university model characterized by discipline-bound curricula, lecture-centric pedagogy, and credential-based assessment is increasingly misaligned with the demands of an AI-saturated </w:t>
      </w:r>
      <w:proofErr w:type="spellStart"/>
      <w:r w:rsidRPr="00EE51F0">
        <w:rPr>
          <w:rFonts w:ascii="Times New Roman" w:hAnsi="Times New Roman" w:cs="Times New Roman"/>
          <w:bCs/>
          <w:sz w:val="24"/>
          <w:szCs w:val="24"/>
          <w:lang w:eastAsia="en-IN"/>
        </w:rPr>
        <w:t>labor</w:t>
      </w:r>
      <w:proofErr w:type="spellEnd"/>
      <w:r w:rsidRPr="00EE51F0">
        <w:rPr>
          <w:rFonts w:ascii="Times New Roman" w:hAnsi="Times New Roman" w:cs="Times New Roman"/>
          <w:bCs/>
          <w:sz w:val="24"/>
          <w:szCs w:val="24"/>
          <w:lang w:eastAsia="en-IN"/>
        </w:rPr>
        <w:t xml:space="preserve"> market. In its place, the framework advocates for an apprenticeship-driven, innovation-oriented institutional model that integrates experiential learning, interdisciplinary engagement, and sustained interaction with real-world problem contexts.</w:t>
      </w:r>
    </w:p>
    <w:p w14:paraId="0726CC2E" w14:textId="77777777" w:rsidR="00940E34" w:rsidRPr="00EE51F0" w:rsidRDefault="00940E34" w:rsidP="00EE51F0">
      <w:pPr>
        <w:pStyle w:val="NoSpacing"/>
        <w:rPr>
          <w:rFonts w:ascii="Times New Roman" w:hAnsi="Times New Roman" w:cs="Times New Roman"/>
          <w:bCs/>
          <w:sz w:val="24"/>
          <w:szCs w:val="24"/>
          <w:lang w:eastAsia="en-IN"/>
        </w:rPr>
      </w:pPr>
      <w:r w:rsidRPr="00EE51F0">
        <w:rPr>
          <w:rFonts w:ascii="Times New Roman" w:hAnsi="Times New Roman" w:cs="Times New Roman"/>
          <w:bCs/>
          <w:sz w:val="24"/>
          <w:szCs w:val="24"/>
          <w:lang w:eastAsia="en-IN"/>
        </w:rPr>
        <w:t xml:space="preserve">In summary, the theoretical and conceptual framework of this study reframes artificial intelligence not merely as a technological disruption, but as a structural inflection point that necessitates a redefinition of educational value. By situating learning agility and human-centric competencies at the </w:t>
      </w:r>
      <w:proofErr w:type="spellStart"/>
      <w:r w:rsidRPr="00EE51F0">
        <w:rPr>
          <w:rFonts w:ascii="Times New Roman" w:hAnsi="Times New Roman" w:cs="Times New Roman"/>
          <w:bCs/>
          <w:sz w:val="24"/>
          <w:szCs w:val="24"/>
          <w:lang w:eastAsia="en-IN"/>
        </w:rPr>
        <w:t>center</w:t>
      </w:r>
      <w:proofErr w:type="spellEnd"/>
      <w:r w:rsidRPr="00EE51F0">
        <w:rPr>
          <w:rFonts w:ascii="Times New Roman" w:hAnsi="Times New Roman" w:cs="Times New Roman"/>
          <w:bCs/>
          <w:sz w:val="24"/>
          <w:szCs w:val="24"/>
          <w:lang w:eastAsia="en-IN"/>
        </w:rPr>
        <w:t xml:space="preserve"> of educational design, the framework provides a foundation for </w:t>
      </w:r>
      <w:proofErr w:type="spellStart"/>
      <w:r w:rsidRPr="00EE51F0">
        <w:rPr>
          <w:rFonts w:ascii="Times New Roman" w:hAnsi="Times New Roman" w:cs="Times New Roman"/>
          <w:bCs/>
          <w:sz w:val="24"/>
          <w:szCs w:val="24"/>
          <w:lang w:eastAsia="en-IN"/>
        </w:rPr>
        <w:t>analyzing</w:t>
      </w:r>
      <w:proofErr w:type="spellEnd"/>
      <w:r w:rsidRPr="00EE51F0">
        <w:rPr>
          <w:rFonts w:ascii="Times New Roman" w:hAnsi="Times New Roman" w:cs="Times New Roman"/>
          <w:bCs/>
          <w:sz w:val="24"/>
          <w:szCs w:val="24"/>
          <w:lang w:eastAsia="en-IN"/>
        </w:rPr>
        <w:t xml:space="preserve"> how higher education can transition from reactive AI adoption toward a sustainable model of adaptive, future-ready learning.</w:t>
      </w:r>
    </w:p>
    <w:p w14:paraId="3595D65B" w14:textId="77777777" w:rsidR="00EE51F0" w:rsidRDefault="00EE51F0" w:rsidP="00EE51F0">
      <w:pPr>
        <w:pStyle w:val="NoSpacing"/>
        <w:rPr>
          <w:rFonts w:ascii="Times New Roman" w:hAnsi="Times New Roman" w:cs="Times New Roman"/>
          <w:sz w:val="24"/>
          <w:szCs w:val="24"/>
          <w:lang w:eastAsia="en-IN"/>
        </w:rPr>
      </w:pPr>
    </w:p>
    <w:p w14:paraId="3E9D876D" w14:textId="5BF73414" w:rsidR="00DC3C31" w:rsidRPr="00EE51F0" w:rsidRDefault="00940E34"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3</w:t>
      </w:r>
      <w:r w:rsidR="00DC3C31" w:rsidRPr="00EE51F0">
        <w:rPr>
          <w:rFonts w:ascii="Times New Roman" w:hAnsi="Times New Roman" w:cs="Times New Roman"/>
          <w:sz w:val="24"/>
          <w:szCs w:val="24"/>
          <w:lang w:eastAsia="en-IN"/>
        </w:rPr>
        <w:t xml:space="preserve">.Literature Review </w:t>
      </w:r>
    </w:p>
    <w:p w14:paraId="1F33DB7B" w14:textId="77777777" w:rsidR="00CD6620" w:rsidRDefault="00CD6620" w:rsidP="00EE51F0">
      <w:pPr>
        <w:pStyle w:val="NoSpacing"/>
        <w:rPr>
          <w:rStyle w:val="Strong"/>
          <w:rFonts w:ascii="Times New Roman" w:hAnsi="Times New Roman" w:cs="Times New Roman"/>
          <w:b w:val="0"/>
          <w:color w:val="0F1115"/>
          <w:sz w:val="24"/>
          <w:szCs w:val="24"/>
        </w:rPr>
      </w:pPr>
    </w:p>
    <w:p w14:paraId="0DBA9676" w14:textId="28960B15" w:rsidR="00080AFB" w:rsidRPr="00EE51F0" w:rsidRDefault="00DC3C31" w:rsidP="00EE51F0">
      <w:pPr>
        <w:pStyle w:val="NoSpacing"/>
        <w:rPr>
          <w:rFonts w:ascii="Times New Roman" w:hAnsi="Times New Roman" w:cs="Times New Roman"/>
          <w:bCs/>
          <w:color w:val="0F1115"/>
          <w:sz w:val="24"/>
          <w:szCs w:val="24"/>
        </w:rPr>
      </w:pPr>
      <w:r w:rsidRPr="00EE51F0">
        <w:rPr>
          <w:rStyle w:val="Strong"/>
          <w:rFonts w:ascii="Times New Roman" w:hAnsi="Times New Roman" w:cs="Times New Roman"/>
          <w:b w:val="0"/>
          <w:color w:val="0F1115"/>
          <w:sz w:val="24"/>
          <w:szCs w:val="24"/>
        </w:rPr>
        <w:t xml:space="preserve">The </w:t>
      </w:r>
      <w:r w:rsidR="00080AFB" w:rsidRPr="00EE51F0">
        <w:rPr>
          <w:rFonts w:ascii="Times New Roman" w:hAnsi="Times New Roman" w:cs="Times New Roman"/>
          <w:bCs/>
          <w:color w:val="0F1115"/>
          <w:sz w:val="24"/>
          <w:szCs w:val="24"/>
        </w:rPr>
        <w:t>growing body of literature on artificial intelligence and education reflects a broad scholarly consensus that AI-driven transformation extends well beyond technological substitution, fundamentally reshaping skill hierarchies, professional identities, and institutional structures. This review synthesizes key strands of contemporary research relevant to the present study, focusing on the ascendancy of meta-skills, the evolving role of human-</w:t>
      </w:r>
      <w:proofErr w:type="spellStart"/>
      <w:r w:rsidR="00080AFB" w:rsidRPr="00EE51F0">
        <w:rPr>
          <w:rFonts w:ascii="Times New Roman" w:hAnsi="Times New Roman" w:cs="Times New Roman"/>
          <w:bCs/>
          <w:color w:val="0F1115"/>
          <w:sz w:val="24"/>
          <w:szCs w:val="24"/>
        </w:rPr>
        <w:t>centered</w:t>
      </w:r>
      <w:proofErr w:type="spellEnd"/>
      <w:r w:rsidR="00080AFB" w:rsidRPr="00EE51F0">
        <w:rPr>
          <w:rFonts w:ascii="Times New Roman" w:hAnsi="Times New Roman" w:cs="Times New Roman"/>
          <w:bCs/>
          <w:color w:val="0F1115"/>
          <w:sz w:val="24"/>
          <w:szCs w:val="24"/>
        </w:rPr>
        <w:t xml:space="preserve"> competencies, and the structural reconfiguration of higher education systems in response to generative AI.</w:t>
      </w:r>
    </w:p>
    <w:p w14:paraId="4A2AF506" w14:textId="77777777" w:rsidR="00080AFB" w:rsidRPr="00EE51F0" w:rsidRDefault="00080AFB" w:rsidP="00EE51F0">
      <w:pPr>
        <w:pStyle w:val="NoSpacing"/>
        <w:rPr>
          <w:rFonts w:ascii="Times New Roman" w:hAnsi="Times New Roman" w:cs="Times New Roman"/>
          <w:bCs/>
          <w:color w:val="0F1115"/>
          <w:sz w:val="24"/>
          <w:szCs w:val="24"/>
        </w:rPr>
      </w:pPr>
      <w:r w:rsidRPr="00EE51F0">
        <w:rPr>
          <w:rFonts w:ascii="Times New Roman" w:hAnsi="Times New Roman" w:cs="Times New Roman"/>
          <w:bCs/>
          <w:color w:val="0F1115"/>
          <w:sz w:val="24"/>
          <w:szCs w:val="24"/>
        </w:rPr>
        <w:t>3.1 The Ascendancy of Meta-Skills in an AI-Driven Economy</w:t>
      </w:r>
    </w:p>
    <w:p w14:paraId="6D06BDF2" w14:textId="438A7956" w:rsidR="00080AFB" w:rsidRPr="00EE51F0" w:rsidRDefault="00080AFB" w:rsidP="00EE51F0">
      <w:pPr>
        <w:pStyle w:val="NoSpacing"/>
        <w:rPr>
          <w:rFonts w:ascii="Times New Roman" w:hAnsi="Times New Roman" w:cs="Times New Roman"/>
          <w:bCs/>
          <w:color w:val="0F1115"/>
          <w:sz w:val="24"/>
          <w:szCs w:val="24"/>
        </w:rPr>
      </w:pPr>
      <w:r w:rsidRPr="00EE51F0">
        <w:rPr>
          <w:rFonts w:ascii="Times New Roman" w:hAnsi="Times New Roman" w:cs="Times New Roman"/>
          <w:bCs/>
          <w:color w:val="0F1115"/>
          <w:sz w:val="24"/>
          <w:szCs w:val="24"/>
        </w:rPr>
        <w:t>A substantial and expanding body of research indicates that traditional technical skills are increasingly characterized by rapid depreciation in value due to accelerating automation and algorithmic advancement. Scholars consistently argue that proficiency in specific tools, platforms, or programming languages is no longer sufficient to ensure long-term employability, as such competencies are quickly rendered obsolete by successive technological iterations. In this context, meta-skills broad, transferable capabilities that enable individuals to navigate uncertainty have emerged as the primary determinants of professional resilience.</w:t>
      </w:r>
    </w:p>
    <w:p w14:paraId="36B1D3CB" w14:textId="77777777" w:rsidR="00080AFB" w:rsidRPr="00EE51F0" w:rsidRDefault="00080AFB" w:rsidP="00EE51F0">
      <w:pPr>
        <w:pStyle w:val="NoSpacing"/>
        <w:rPr>
          <w:rFonts w:ascii="Times New Roman" w:hAnsi="Times New Roman" w:cs="Times New Roman"/>
          <w:bCs/>
          <w:color w:val="0F1115"/>
          <w:sz w:val="24"/>
          <w:szCs w:val="24"/>
        </w:rPr>
      </w:pPr>
      <w:r w:rsidRPr="00EE51F0">
        <w:rPr>
          <w:rFonts w:ascii="Times New Roman" w:hAnsi="Times New Roman" w:cs="Times New Roman"/>
          <w:bCs/>
          <w:color w:val="0F1115"/>
          <w:sz w:val="24"/>
          <w:szCs w:val="24"/>
        </w:rPr>
        <w:t xml:space="preserve">Among these, learning agility has received particular attention within both academic and industry-oriented literature. Frequently defined as the capacity to continuously learn, unlearn, </w:t>
      </w:r>
      <w:r w:rsidRPr="00EE51F0">
        <w:rPr>
          <w:rFonts w:ascii="Times New Roman" w:hAnsi="Times New Roman" w:cs="Times New Roman"/>
          <w:bCs/>
          <w:color w:val="0F1115"/>
          <w:sz w:val="24"/>
          <w:szCs w:val="24"/>
        </w:rPr>
        <w:lastRenderedPageBreak/>
        <w:t xml:space="preserve">and relearn, learning agility is widely identified as a leading predictor of sustained career success in volatile </w:t>
      </w:r>
      <w:proofErr w:type="spellStart"/>
      <w:r w:rsidRPr="00EE51F0">
        <w:rPr>
          <w:rFonts w:ascii="Times New Roman" w:hAnsi="Times New Roman" w:cs="Times New Roman"/>
          <w:bCs/>
          <w:color w:val="0F1115"/>
          <w:sz w:val="24"/>
          <w:szCs w:val="24"/>
        </w:rPr>
        <w:t>labor</w:t>
      </w:r>
      <w:proofErr w:type="spellEnd"/>
      <w:r w:rsidRPr="00EE51F0">
        <w:rPr>
          <w:rFonts w:ascii="Times New Roman" w:hAnsi="Times New Roman" w:cs="Times New Roman"/>
          <w:bCs/>
          <w:color w:val="0F1115"/>
          <w:sz w:val="24"/>
          <w:szCs w:val="24"/>
        </w:rPr>
        <w:t xml:space="preserve"> markets. Empirical studies suggest that individuals exhibiting high levels of adaptability, cognitive flexibility, and openness to change are better positioned to integrate new technologies, transition across roles, and remain effective within dynamically evolving organizational environments. This growing emphasis directly reinforces the central argument of the present paper, which positions learning agility and adaptability as foundational competencies within the projected 2026 AI landscape.</w:t>
      </w:r>
    </w:p>
    <w:p w14:paraId="5F16D55B" w14:textId="77777777" w:rsidR="00080AFB" w:rsidRPr="00EE51F0" w:rsidRDefault="00080AFB" w:rsidP="00EE51F0">
      <w:pPr>
        <w:pStyle w:val="NoSpacing"/>
        <w:rPr>
          <w:rFonts w:ascii="Times New Roman" w:hAnsi="Times New Roman" w:cs="Times New Roman"/>
          <w:bCs/>
          <w:color w:val="0F1115"/>
          <w:sz w:val="24"/>
          <w:szCs w:val="24"/>
        </w:rPr>
      </w:pPr>
      <w:r w:rsidRPr="00EE51F0">
        <w:rPr>
          <w:rFonts w:ascii="Times New Roman" w:hAnsi="Times New Roman" w:cs="Times New Roman"/>
          <w:bCs/>
          <w:color w:val="0F1115"/>
          <w:sz w:val="24"/>
          <w:szCs w:val="24"/>
        </w:rPr>
        <w:t>3.2 The Amplification of Human-</w:t>
      </w:r>
      <w:proofErr w:type="spellStart"/>
      <w:r w:rsidRPr="00EE51F0">
        <w:rPr>
          <w:rFonts w:ascii="Times New Roman" w:hAnsi="Times New Roman" w:cs="Times New Roman"/>
          <w:bCs/>
          <w:color w:val="0F1115"/>
          <w:sz w:val="24"/>
          <w:szCs w:val="24"/>
        </w:rPr>
        <w:t>Centered</w:t>
      </w:r>
      <w:proofErr w:type="spellEnd"/>
      <w:r w:rsidRPr="00EE51F0">
        <w:rPr>
          <w:rFonts w:ascii="Times New Roman" w:hAnsi="Times New Roman" w:cs="Times New Roman"/>
          <w:bCs/>
          <w:color w:val="0F1115"/>
          <w:sz w:val="24"/>
          <w:szCs w:val="24"/>
        </w:rPr>
        <w:t xml:space="preserve"> Skills in the Age of AI</w:t>
      </w:r>
    </w:p>
    <w:p w14:paraId="0A03F042" w14:textId="77777777" w:rsidR="00080AFB" w:rsidRPr="00EE51F0" w:rsidRDefault="00080AFB" w:rsidP="00EE51F0">
      <w:pPr>
        <w:pStyle w:val="NoSpacing"/>
        <w:rPr>
          <w:rFonts w:ascii="Times New Roman" w:hAnsi="Times New Roman" w:cs="Times New Roman"/>
          <w:bCs/>
          <w:color w:val="0F1115"/>
          <w:sz w:val="24"/>
          <w:szCs w:val="24"/>
        </w:rPr>
      </w:pPr>
      <w:r w:rsidRPr="00EE51F0">
        <w:rPr>
          <w:rFonts w:ascii="Times New Roman" w:hAnsi="Times New Roman" w:cs="Times New Roman"/>
          <w:bCs/>
          <w:color w:val="0F1115"/>
          <w:sz w:val="24"/>
          <w:szCs w:val="24"/>
        </w:rPr>
        <w:t xml:space="preserve">Contrary to early narratives that framed artificial intelligence as a replacement for human cognitive </w:t>
      </w:r>
      <w:proofErr w:type="spellStart"/>
      <w:r w:rsidRPr="00EE51F0">
        <w:rPr>
          <w:rFonts w:ascii="Times New Roman" w:hAnsi="Times New Roman" w:cs="Times New Roman"/>
          <w:bCs/>
          <w:color w:val="0F1115"/>
          <w:sz w:val="24"/>
          <w:szCs w:val="24"/>
        </w:rPr>
        <w:t>labor</w:t>
      </w:r>
      <w:proofErr w:type="spellEnd"/>
      <w:r w:rsidRPr="00EE51F0">
        <w:rPr>
          <w:rFonts w:ascii="Times New Roman" w:hAnsi="Times New Roman" w:cs="Times New Roman"/>
          <w:bCs/>
          <w:color w:val="0F1115"/>
          <w:sz w:val="24"/>
          <w:szCs w:val="24"/>
        </w:rPr>
        <w:t>, recent scholarship increasingly emphasizes the complementary relationship between AI systems and uniquely human capabilities. As generative AI assumes responsibility for routine, procedural, and data-intensive tasks, the relative importance of higher-order human skills is significantly amplified rather than diminished. Research consistently highlights complex problem-solving, contextual judgment, ethical reasoning, creativity, and advanced communication as competencies that remain resistant to full automation.</w:t>
      </w:r>
    </w:p>
    <w:p w14:paraId="5424D28A" w14:textId="34D27575" w:rsidR="00080AFB" w:rsidRPr="00EE51F0" w:rsidRDefault="00080AFB" w:rsidP="00EE51F0">
      <w:pPr>
        <w:pStyle w:val="NoSpacing"/>
        <w:rPr>
          <w:rFonts w:ascii="Times New Roman" w:hAnsi="Times New Roman" w:cs="Times New Roman"/>
          <w:bCs/>
          <w:color w:val="0F1115"/>
          <w:sz w:val="24"/>
          <w:szCs w:val="24"/>
        </w:rPr>
      </w:pPr>
      <w:r w:rsidRPr="00EE51F0">
        <w:rPr>
          <w:rFonts w:ascii="Times New Roman" w:hAnsi="Times New Roman" w:cs="Times New Roman"/>
          <w:bCs/>
          <w:color w:val="0F1115"/>
          <w:sz w:val="24"/>
          <w:szCs w:val="24"/>
        </w:rPr>
        <w:t>Within this discourse, writing and perceptiveness emerge as particularly salient skills. Writing is increasingly understood not merely as a means of communication, but as a cognitive process through which individuals clarify reasoning, construct meaning, and engage in reflective analysis. Similarly, perceptiveness the ability to discern nuance, interpret context, and recognize implicit social and organizational dynamics has been identified as critical for effective decision-making in AI-mediated environments. Studies further indicate that while AI can generate outputs and recommendations, it lacks the situational awareness and moral reasoning required for accountable judgment.</w:t>
      </w:r>
    </w:p>
    <w:p w14:paraId="23ADEBAD" w14:textId="77777777" w:rsidR="00080AFB" w:rsidRPr="00EE51F0" w:rsidRDefault="00080AFB" w:rsidP="00EE51F0">
      <w:pPr>
        <w:pStyle w:val="NoSpacing"/>
        <w:rPr>
          <w:rFonts w:ascii="Times New Roman" w:hAnsi="Times New Roman" w:cs="Times New Roman"/>
          <w:bCs/>
          <w:color w:val="0F1115"/>
          <w:sz w:val="24"/>
          <w:szCs w:val="24"/>
        </w:rPr>
      </w:pPr>
      <w:r w:rsidRPr="00EE51F0">
        <w:rPr>
          <w:rFonts w:ascii="Times New Roman" w:hAnsi="Times New Roman" w:cs="Times New Roman"/>
          <w:bCs/>
          <w:color w:val="0F1115"/>
          <w:sz w:val="24"/>
          <w:szCs w:val="24"/>
        </w:rPr>
        <w:t>These findings are especially evident in the management and leadership literature, which predicts that by 2026, AI-enabled automation will significantly reduce managerial involvement in routine coordination and monitoring tasks. However, this efficiency gain is accompanied by an increased demand for human leadership capabilities, particularly in coaching, motivating, and ethically guiding teams. As such, the literature strongly supports the present study’s assertion that AI does not diminish the value of human skills, but rather intensifies their strategic importance.</w:t>
      </w:r>
    </w:p>
    <w:p w14:paraId="623702C5" w14:textId="77777777" w:rsidR="00080AFB" w:rsidRPr="00EE51F0" w:rsidRDefault="00080AFB" w:rsidP="00EE51F0">
      <w:pPr>
        <w:pStyle w:val="NoSpacing"/>
        <w:rPr>
          <w:rFonts w:ascii="Times New Roman" w:hAnsi="Times New Roman" w:cs="Times New Roman"/>
          <w:bCs/>
          <w:color w:val="0F1115"/>
          <w:sz w:val="24"/>
          <w:szCs w:val="24"/>
        </w:rPr>
      </w:pPr>
      <w:r w:rsidRPr="00EE51F0">
        <w:rPr>
          <w:rFonts w:ascii="Times New Roman" w:hAnsi="Times New Roman" w:cs="Times New Roman"/>
          <w:bCs/>
          <w:color w:val="0F1115"/>
          <w:sz w:val="24"/>
          <w:szCs w:val="24"/>
        </w:rPr>
        <w:t>3.3 Structural Shifts in Higher Education and the Emergence of Apprenticeship-Oriented Models</w:t>
      </w:r>
    </w:p>
    <w:p w14:paraId="73721EDF" w14:textId="28D52B82" w:rsidR="00080AFB" w:rsidRPr="00EE51F0" w:rsidRDefault="00080AFB" w:rsidP="00EE51F0">
      <w:pPr>
        <w:pStyle w:val="NoSpacing"/>
        <w:rPr>
          <w:rFonts w:ascii="Times New Roman" w:hAnsi="Times New Roman" w:cs="Times New Roman"/>
          <w:bCs/>
          <w:color w:val="0F1115"/>
          <w:sz w:val="24"/>
          <w:szCs w:val="24"/>
        </w:rPr>
      </w:pPr>
      <w:r w:rsidRPr="00EE51F0">
        <w:rPr>
          <w:rFonts w:ascii="Times New Roman" w:hAnsi="Times New Roman" w:cs="Times New Roman"/>
          <w:bCs/>
          <w:color w:val="0F1115"/>
          <w:sz w:val="24"/>
          <w:szCs w:val="24"/>
        </w:rPr>
        <w:t>A third major strand of the literature examines the institutional implications of artificial intelligence for higher education. Scholars widely argue that traditional university models characterized by lecture-centric pedagogy, discipline-specific silos, and credential-focused assessment are increasingly misaligned with the demands of an AI-saturated economy. In response, there is growing support for structural reforms that emphasize experiential learning, interdisciplinary engagement, and closer integration with industry and societal challenges.</w:t>
      </w:r>
    </w:p>
    <w:p w14:paraId="7C175302" w14:textId="77777777" w:rsidR="00080AFB" w:rsidRPr="00EE51F0" w:rsidRDefault="00080AFB" w:rsidP="00EE51F0">
      <w:pPr>
        <w:pStyle w:val="NoSpacing"/>
        <w:rPr>
          <w:rFonts w:ascii="Times New Roman" w:hAnsi="Times New Roman" w:cs="Times New Roman"/>
          <w:bCs/>
          <w:color w:val="0F1115"/>
          <w:sz w:val="24"/>
          <w:szCs w:val="24"/>
        </w:rPr>
      </w:pPr>
      <w:r w:rsidRPr="00EE51F0">
        <w:rPr>
          <w:rFonts w:ascii="Times New Roman" w:hAnsi="Times New Roman" w:cs="Times New Roman"/>
          <w:bCs/>
          <w:color w:val="0F1115"/>
          <w:sz w:val="24"/>
          <w:szCs w:val="24"/>
        </w:rPr>
        <w:t>One prominent development highlighted in recent studies is the expansion of registered apprenticeship programs into high-growth, technology-intensive sectors. Originally concentrated in skilled trades, apprenticeship models are now being successfully adapted to fields such as data analytics, cybersecurity, and digital innovation. This shift reflects a broader recognition that workplace-based learning environments are particularly effective for cultivating adaptive skills, problem-solving capacity, and professional judgment.</w:t>
      </w:r>
    </w:p>
    <w:p w14:paraId="25D879A0" w14:textId="478A01D9" w:rsidR="00080AFB" w:rsidRPr="00EE51F0" w:rsidRDefault="00080AFB" w:rsidP="00EE51F0">
      <w:pPr>
        <w:pStyle w:val="NoSpacing"/>
        <w:rPr>
          <w:rFonts w:ascii="Times New Roman" w:hAnsi="Times New Roman" w:cs="Times New Roman"/>
          <w:bCs/>
          <w:color w:val="0F1115"/>
          <w:sz w:val="24"/>
          <w:szCs w:val="24"/>
        </w:rPr>
      </w:pPr>
      <w:r w:rsidRPr="00EE51F0">
        <w:rPr>
          <w:rFonts w:ascii="Times New Roman" w:hAnsi="Times New Roman" w:cs="Times New Roman"/>
          <w:bCs/>
          <w:color w:val="0F1115"/>
          <w:sz w:val="24"/>
          <w:szCs w:val="24"/>
        </w:rPr>
        <w:t xml:space="preserve">In parallel, the literature suggests that higher education institutions are moving away from reactive or ad hoc AI adoption toward more intentional, mission-based strategies. Rather than implementing AI solely for efficiency gains, universities are increasingly leveraging these technologies to advance core institutional objectives, including widening access, promoting </w:t>
      </w:r>
      <w:r w:rsidRPr="00EE51F0">
        <w:rPr>
          <w:rFonts w:ascii="Times New Roman" w:hAnsi="Times New Roman" w:cs="Times New Roman"/>
          <w:bCs/>
          <w:color w:val="0F1115"/>
          <w:sz w:val="24"/>
          <w:szCs w:val="24"/>
        </w:rPr>
        <w:lastRenderedPageBreak/>
        <w:t>equity, and fostering durable human competencies. This strategic realignment supports the prediction advanced in this paper that universities will evolve into apprenticeship-driven innovation hubs institutions designed not merely to transmit knowledge, but to systematically cultivate learning agility and human-</w:t>
      </w:r>
      <w:proofErr w:type="spellStart"/>
      <w:r w:rsidRPr="00EE51F0">
        <w:rPr>
          <w:rFonts w:ascii="Times New Roman" w:hAnsi="Times New Roman" w:cs="Times New Roman"/>
          <w:bCs/>
          <w:color w:val="0F1115"/>
          <w:sz w:val="24"/>
          <w:szCs w:val="24"/>
        </w:rPr>
        <w:t>centered</w:t>
      </w:r>
      <w:proofErr w:type="spellEnd"/>
      <w:r w:rsidRPr="00EE51F0">
        <w:rPr>
          <w:rFonts w:ascii="Times New Roman" w:hAnsi="Times New Roman" w:cs="Times New Roman"/>
          <w:bCs/>
          <w:color w:val="0F1115"/>
          <w:sz w:val="24"/>
          <w:szCs w:val="24"/>
        </w:rPr>
        <w:t xml:space="preserve"> meta-skills.</w:t>
      </w:r>
    </w:p>
    <w:p w14:paraId="7391853E" w14:textId="77777777" w:rsidR="00DC3C31" w:rsidRPr="00EE51F0" w:rsidRDefault="00DC3C31" w:rsidP="00EE51F0">
      <w:pPr>
        <w:pStyle w:val="NoSpacing"/>
        <w:rPr>
          <w:rFonts w:ascii="Times New Roman" w:hAnsi="Times New Roman" w:cs="Times New Roman"/>
          <w:sz w:val="24"/>
          <w:szCs w:val="24"/>
        </w:rPr>
      </w:pPr>
      <w:r w:rsidRPr="00EE51F0">
        <w:rPr>
          <w:rStyle w:val="Strong"/>
          <w:rFonts w:ascii="Times New Roman" w:hAnsi="Times New Roman" w:cs="Times New Roman"/>
          <w:b w:val="0"/>
          <w:color w:val="0F1115"/>
          <w:sz w:val="24"/>
          <w:szCs w:val="24"/>
        </w:rPr>
        <w:t>Structural Shifts in Education</w:t>
      </w:r>
      <w:r w:rsidRPr="00EE51F0">
        <w:rPr>
          <w:rFonts w:ascii="Times New Roman" w:hAnsi="Times New Roman" w:cs="Times New Roman"/>
          <w:sz w:val="24"/>
          <w:szCs w:val="24"/>
        </w:rPr>
        <w:t>: The prediction that universities will transform into </w:t>
      </w:r>
      <w:r w:rsidRPr="00EE51F0">
        <w:rPr>
          <w:rStyle w:val="Strong"/>
          <w:rFonts w:ascii="Times New Roman" w:hAnsi="Times New Roman" w:cs="Times New Roman"/>
          <w:b w:val="0"/>
          <w:color w:val="0F1115"/>
          <w:sz w:val="24"/>
          <w:szCs w:val="24"/>
        </w:rPr>
        <w:t>apprenticeship-driven innovation hubs</w:t>
      </w:r>
      <w:r w:rsidRPr="00EE51F0">
        <w:rPr>
          <w:rFonts w:ascii="Times New Roman" w:hAnsi="Times New Roman" w:cs="Times New Roman"/>
          <w:sz w:val="24"/>
          <w:szCs w:val="24"/>
        </w:rPr>
        <w:t> finds support in two areas. First, there is a documented, successful push to expand registered apprenticeships into high-growth, high-tech industries. Second, higher education is predicted to move from reactive AI adoption to </w:t>
      </w:r>
      <w:r w:rsidRPr="00EE51F0">
        <w:rPr>
          <w:rStyle w:val="Strong"/>
          <w:rFonts w:ascii="Times New Roman" w:hAnsi="Times New Roman" w:cs="Times New Roman"/>
          <w:b w:val="0"/>
          <w:color w:val="0F1115"/>
          <w:sz w:val="24"/>
          <w:szCs w:val="24"/>
        </w:rPr>
        <w:t>"mission-based" strategies</w:t>
      </w:r>
      <w:r w:rsidRPr="00EE51F0">
        <w:rPr>
          <w:rFonts w:ascii="Times New Roman" w:hAnsi="Times New Roman" w:cs="Times New Roman"/>
          <w:sz w:val="24"/>
          <w:szCs w:val="24"/>
        </w:rPr>
        <w:t>, using AI to advance core goals like access, equity, and fostering human skills.</w:t>
      </w:r>
    </w:p>
    <w:p w14:paraId="3DD95B3A" w14:textId="77777777" w:rsidR="00EE51F0" w:rsidRDefault="00EE51F0" w:rsidP="00EE51F0">
      <w:pPr>
        <w:pStyle w:val="NoSpacing"/>
        <w:rPr>
          <w:rFonts w:ascii="Times New Roman" w:hAnsi="Times New Roman" w:cs="Times New Roman"/>
          <w:sz w:val="24"/>
          <w:szCs w:val="24"/>
        </w:rPr>
      </w:pPr>
    </w:p>
    <w:p w14:paraId="30B18519" w14:textId="504D3AE6" w:rsidR="00DC3C31" w:rsidRPr="00EE51F0" w:rsidRDefault="00940E34" w:rsidP="00EE51F0">
      <w:pPr>
        <w:pStyle w:val="NoSpacing"/>
        <w:rPr>
          <w:rFonts w:ascii="Times New Roman" w:hAnsi="Times New Roman" w:cs="Times New Roman"/>
          <w:sz w:val="24"/>
          <w:szCs w:val="24"/>
        </w:rPr>
      </w:pPr>
      <w:r w:rsidRPr="00EE51F0">
        <w:rPr>
          <w:rFonts w:ascii="Times New Roman" w:hAnsi="Times New Roman" w:cs="Times New Roman"/>
          <w:sz w:val="24"/>
          <w:szCs w:val="24"/>
        </w:rPr>
        <w:t>4</w:t>
      </w:r>
      <w:r w:rsidR="00DC3C31" w:rsidRPr="00EE51F0">
        <w:rPr>
          <w:rFonts w:ascii="Times New Roman" w:hAnsi="Times New Roman" w:cs="Times New Roman"/>
          <w:sz w:val="24"/>
          <w:szCs w:val="24"/>
        </w:rPr>
        <w:t>. Research Methodology:</w:t>
      </w:r>
    </w:p>
    <w:p w14:paraId="3DEDD1DC" w14:textId="77777777" w:rsidR="00CD6620" w:rsidRDefault="00CD6620" w:rsidP="00EE51F0">
      <w:pPr>
        <w:pStyle w:val="NoSpacing"/>
        <w:rPr>
          <w:rFonts w:ascii="Times New Roman" w:hAnsi="Times New Roman" w:cs="Times New Roman"/>
          <w:sz w:val="24"/>
          <w:szCs w:val="24"/>
        </w:rPr>
      </w:pPr>
    </w:p>
    <w:p w14:paraId="2F367695" w14:textId="0897ADA9" w:rsidR="00080AFB" w:rsidRPr="00EE51F0" w:rsidRDefault="00DC3C31" w:rsidP="00EE51F0">
      <w:pPr>
        <w:pStyle w:val="NoSpacing"/>
        <w:rPr>
          <w:rFonts w:ascii="Times New Roman" w:hAnsi="Times New Roman" w:cs="Times New Roman"/>
          <w:sz w:val="24"/>
          <w:szCs w:val="24"/>
        </w:rPr>
      </w:pPr>
      <w:r w:rsidRPr="00EE51F0">
        <w:rPr>
          <w:rFonts w:ascii="Times New Roman" w:hAnsi="Times New Roman" w:cs="Times New Roman"/>
          <w:sz w:val="24"/>
          <w:szCs w:val="24"/>
        </w:rPr>
        <w:t xml:space="preserve">The </w:t>
      </w:r>
      <w:r w:rsidR="00080AFB" w:rsidRPr="00EE51F0">
        <w:rPr>
          <w:rFonts w:ascii="Times New Roman" w:hAnsi="Times New Roman" w:cs="Times New Roman"/>
          <w:sz w:val="24"/>
          <w:szCs w:val="24"/>
        </w:rPr>
        <w:t>This study adopts a predictive and exploratory research design to examine the anticipated intersection of generative artificial intelligence and higher education by 2026. Given the accelerated pace of technological innovation and the limited availability of longitudinal outcome data, predictive analysis is an appropriate and methodologically justified approach for investigating emergent phenomena. Rather than forecasting in a deterministic sense, this methodology synthesizes existing empirical findings, trend analyses, policy reports, and theoretical insights to construct plausible, evidence-informed projections regarding future educational and workforce dynamics.</w:t>
      </w:r>
    </w:p>
    <w:p w14:paraId="57700898" w14:textId="77777777" w:rsidR="00080AFB" w:rsidRPr="00EE51F0" w:rsidRDefault="00080AFB" w:rsidP="00EE51F0">
      <w:pPr>
        <w:pStyle w:val="NoSpacing"/>
        <w:rPr>
          <w:rFonts w:ascii="Times New Roman" w:hAnsi="Times New Roman" w:cs="Times New Roman"/>
          <w:sz w:val="24"/>
          <w:szCs w:val="24"/>
        </w:rPr>
      </w:pPr>
      <w:r w:rsidRPr="00EE51F0">
        <w:rPr>
          <w:rFonts w:ascii="Times New Roman" w:hAnsi="Times New Roman" w:cs="Times New Roman"/>
          <w:sz w:val="24"/>
          <w:szCs w:val="24"/>
        </w:rPr>
        <w:t>4.1 Predictive Analysis as a Methodological Approach</w:t>
      </w:r>
    </w:p>
    <w:p w14:paraId="0006A097" w14:textId="77777777" w:rsidR="00080AFB" w:rsidRPr="00EE51F0" w:rsidRDefault="00080AFB" w:rsidP="00EE51F0">
      <w:pPr>
        <w:pStyle w:val="NoSpacing"/>
        <w:rPr>
          <w:rFonts w:ascii="Times New Roman" w:hAnsi="Times New Roman" w:cs="Times New Roman"/>
          <w:sz w:val="24"/>
          <w:szCs w:val="24"/>
        </w:rPr>
      </w:pPr>
      <w:r w:rsidRPr="00EE51F0">
        <w:rPr>
          <w:rFonts w:ascii="Times New Roman" w:hAnsi="Times New Roman" w:cs="Times New Roman"/>
          <w:sz w:val="24"/>
          <w:szCs w:val="24"/>
        </w:rPr>
        <w:t xml:space="preserve">Predictive analysis has gained increasing legitimacy within fields characterized by rapid disruption, including technology studies, education policy, and </w:t>
      </w:r>
      <w:proofErr w:type="spellStart"/>
      <w:r w:rsidRPr="00EE51F0">
        <w:rPr>
          <w:rFonts w:ascii="Times New Roman" w:hAnsi="Times New Roman" w:cs="Times New Roman"/>
          <w:sz w:val="24"/>
          <w:szCs w:val="24"/>
        </w:rPr>
        <w:t>labor</w:t>
      </w:r>
      <w:proofErr w:type="spellEnd"/>
      <w:r w:rsidRPr="00EE51F0">
        <w:rPr>
          <w:rFonts w:ascii="Times New Roman" w:hAnsi="Times New Roman" w:cs="Times New Roman"/>
          <w:sz w:val="24"/>
          <w:szCs w:val="24"/>
        </w:rPr>
        <w:t xml:space="preserve"> economics. In such contexts, traditional retrospective or purely descriptive methodologies are insufficient for capturing dynamic, forward-looking change. This study employs predictive analysis by systematically extrapolating from current technological trajectories, adoption patterns, and documented institutional responses to AI integration. The approach emphasizes convergence across multiple data sources, thereby enhancing analytical robustness and reducing speculative bias.</w:t>
      </w:r>
    </w:p>
    <w:p w14:paraId="194B6D84" w14:textId="77777777" w:rsidR="00080AFB" w:rsidRPr="00EE51F0" w:rsidRDefault="00080AFB" w:rsidP="00EE51F0">
      <w:pPr>
        <w:pStyle w:val="NoSpacing"/>
        <w:rPr>
          <w:rFonts w:ascii="Times New Roman" w:hAnsi="Times New Roman" w:cs="Times New Roman"/>
          <w:sz w:val="24"/>
          <w:szCs w:val="24"/>
        </w:rPr>
      </w:pPr>
      <w:r w:rsidRPr="00EE51F0">
        <w:rPr>
          <w:rFonts w:ascii="Times New Roman" w:hAnsi="Times New Roman" w:cs="Times New Roman"/>
          <w:sz w:val="24"/>
          <w:szCs w:val="24"/>
        </w:rPr>
        <w:t xml:space="preserve">Importantly, the field of artificial intelligence research is currently transitioning from normative advocacy and technological evangelism toward more rigorous, measurement-oriented inquiry. Recent methodological developments emphasize the quantification of AI’s economic, educational, and organizational impacts. Scholars predict the emergence of high-frequency “AI economic dashboards” capable of tracking real-time indicators such as productivity shifts, </w:t>
      </w:r>
      <w:proofErr w:type="spellStart"/>
      <w:r w:rsidRPr="00EE51F0">
        <w:rPr>
          <w:rFonts w:ascii="Times New Roman" w:hAnsi="Times New Roman" w:cs="Times New Roman"/>
          <w:sz w:val="24"/>
          <w:szCs w:val="24"/>
        </w:rPr>
        <w:t>labor</w:t>
      </w:r>
      <w:proofErr w:type="spellEnd"/>
      <w:r w:rsidRPr="00EE51F0">
        <w:rPr>
          <w:rFonts w:ascii="Times New Roman" w:hAnsi="Times New Roman" w:cs="Times New Roman"/>
          <w:sz w:val="24"/>
          <w:szCs w:val="24"/>
        </w:rPr>
        <w:t xml:space="preserve"> market displacement, skill demand volatility, and task reconfiguration. These evolving measurement tools provide an empirical foundation for predictive research by enabling continuous validation and recalibration of forward-looking assumptions.</w:t>
      </w:r>
    </w:p>
    <w:p w14:paraId="7DB51E51" w14:textId="77777777" w:rsidR="00080AFB" w:rsidRPr="00EE51F0" w:rsidRDefault="00080AFB" w:rsidP="00EE51F0">
      <w:pPr>
        <w:pStyle w:val="NoSpacing"/>
        <w:rPr>
          <w:rFonts w:ascii="Times New Roman" w:hAnsi="Times New Roman" w:cs="Times New Roman"/>
          <w:sz w:val="24"/>
          <w:szCs w:val="24"/>
        </w:rPr>
      </w:pPr>
      <w:r w:rsidRPr="00EE51F0">
        <w:rPr>
          <w:rFonts w:ascii="Times New Roman" w:hAnsi="Times New Roman" w:cs="Times New Roman"/>
          <w:sz w:val="24"/>
          <w:szCs w:val="24"/>
        </w:rPr>
        <w:t>4.2 Outcome-Oriented Evaluation in Educational Research</w:t>
      </w:r>
    </w:p>
    <w:p w14:paraId="28590E38" w14:textId="3D981844" w:rsidR="00080AFB" w:rsidRPr="00EE51F0" w:rsidRDefault="00080AFB" w:rsidP="00EE51F0">
      <w:pPr>
        <w:pStyle w:val="NoSpacing"/>
        <w:rPr>
          <w:rFonts w:ascii="Times New Roman" w:hAnsi="Times New Roman" w:cs="Times New Roman"/>
          <w:sz w:val="24"/>
          <w:szCs w:val="24"/>
        </w:rPr>
      </w:pPr>
      <w:r w:rsidRPr="00EE51F0">
        <w:rPr>
          <w:rFonts w:ascii="Times New Roman" w:hAnsi="Times New Roman" w:cs="Times New Roman"/>
          <w:sz w:val="24"/>
          <w:szCs w:val="24"/>
        </w:rPr>
        <w:t>Within the domain of educational research, methodological focus is similarly shifting from exploratory questions of feasibility such as whether AI can be integrated into learning environments to evaluative assessments of effectiveness. Contemporary studies increasingly prioritize tangible outcome measures, including student engagement, learning retention, skill mastery, and the development of higher-order cognitive competencies. This outcome-oriented orientation informs the present study’s analytical framework, which evaluates AI’s educational impact in relation to its capacity to support adaptive learning, critical thinking, and human-</w:t>
      </w:r>
      <w:proofErr w:type="spellStart"/>
      <w:r w:rsidRPr="00EE51F0">
        <w:rPr>
          <w:rFonts w:ascii="Times New Roman" w:hAnsi="Times New Roman" w:cs="Times New Roman"/>
          <w:sz w:val="24"/>
          <w:szCs w:val="24"/>
        </w:rPr>
        <w:t>centered</w:t>
      </w:r>
      <w:proofErr w:type="spellEnd"/>
      <w:r w:rsidRPr="00EE51F0">
        <w:rPr>
          <w:rFonts w:ascii="Times New Roman" w:hAnsi="Times New Roman" w:cs="Times New Roman"/>
          <w:sz w:val="24"/>
          <w:szCs w:val="24"/>
        </w:rPr>
        <w:t xml:space="preserve"> meta-skills.</w:t>
      </w:r>
    </w:p>
    <w:p w14:paraId="7B83474B" w14:textId="77777777" w:rsidR="00080AFB" w:rsidRPr="00EE51F0" w:rsidRDefault="00080AFB" w:rsidP="00EE51F0">
      <w:pPr>
        <w:pStyle w:val="NoSpacing"/>
        <w:rPr>
          <w:rFonts w:ascii="Times New Roman" w:hAnsi="Times New Roman" w:cs="Times New Roman"/>
          <w:sz w:val="24"/>
          <w:szCs w:val="24"/>
        </w:rPr>
      </w:pPr>
      <w:r w:rsidRPr="00EE51F0">
        <w:rPr>
          <w:rFonts w:ascii="Times New Roman" w:hAnsi="Times New Roman" w:cs="Times New Roman"/>
          <w:sz w:val="24"/>
          <w:szCs w:val="24"/>
        </w:rPr>
        <w:lastRenderedPageBreak/>
        <w:t xml:space="preserve">Rather than treating AI adoption as an end in itself, the methodology emphasizes functional alignment between technological tools and educational objectives. This perspective allows for a more nuanced assessment of AI’s role in facilitating or constraining learning agility and professional preparedness. By drawing on emerging empirical studies that assess instructional outcomes and learner </w:t>
      </w:r>
      <w:proofErr w:type="spellStart"/>
      <w:r w:rsidRPr="00EE51F0">
        <w:rPr>
          <w:rFonts w:ascii="Times New Roman" w:hAnsi="Times New Roman" w:cs="Times New Roman"/>
          <w:sz w:val="24"/>
          <w:szCs w:val="24"/>
        </w:rPr>
        <w:t>behavior</w:t>
      </w:r>
      <w:proofErr w:type="spellEnd"/>
      <w:r w:rsidRPr="00EE51F0">
        <w:rPr>
          <w:rFonts w:ascii="Times New Roman" w:hAnsi="Times New Roman" w:cs="Times New Roman"/>
          <w:sz w:val="24"/>
          <w:szCs w:val="24"/>
        </w:rPr>
        <w:t>, the research grounds its predictive claims in observable pedagogical trends.</w:t>
      </w:r>
    </w:p>
    <w:p w14:paraId="7652F6FD" w14:textId="4E97AC9D" w:rsidR="00080AFB" w:rsidRPr="00EE51F0" w:rsidRDefault="00080AFB" w:rsidP="00EE51F0">
      <w:pPr>
        <w:pStyle w:val="NoSpacing"/>
        <w:rPr>
          <w:rFonts w:ascii="Times New Roman" w:hAnsi="Times New Roman" w:cs="Times New Roman"/>
          <w:sz w:val="24"/>
          <w:szCs w:val="24"/>
        </w:rPr>
      </w:pPr>
      <w:r w:rsidRPr="00EE51F0">
        <w:rPr>
          <w:rFonts w:ascii="Times New Roman" w:hAnsi="Times New Roman" w:cs="Times New Roman"/>
          <w:sz w:val="24"/>
          <w:szCs w:val="24"/>
        </w:rPr>
        <w:t>4.3 Evolving Study Designs and Human-AI Collaboration Models</w:t>
      </w:r>
    </w:p>
    <w:p w14:paraId="67DA33BB" w14:textId="6BE8829F" w:rsidR="00080AFB" w:rsidRPr="00EE51F0" w:rsidRDefault="00080AFB" w:rsidP="00EE51F0">
      <w:pPr>
        <w:pStyle w:val="NoSpacing"/>
        <w:rPr>
          <w:rFonts w:ascii="Times New Roman" w:hAnsi="Times New Roman" w:cs="Times New Roman"/>
          <w:sz w:val="24"/>
          <w:szCs w:val="24"/>
        </w:rPr>
      </w:pPr>
      <w:r w:rsidRPr="00EE51F0">
        <w:rPr>
          <w:rFonts w:ascii="Times New Roman" w:hAnsi="Times New Roman" w:cs="Times New Roman"/>
          <w:sz w:val="24"/>
          <w:szCs w:val="24"/>
        </w:rPr>
        <w:t>A further methodological dimension of this study reflects the growing scholarly emphasis on human-AI collaboration rather than technological substitution. Contemporary research designs increasingly conceptualize AI systems as “productive partners” or cognitive agents that augment human capabilities when guided by domain expertise and ethical oversight. Studies in this area explore how tasks can be optimally distributed between human judgment and algorithmic efficiency, as well as how organizational and educational structures can be designed to support effective collaboration.</w:t>
      </w:r>
    </w:p>
    <w:p w14:paraId="38FF7576" w14:textId="77777777" w:rsidR="00080AFB" w:rsidRPr="00EE51F0" w:rsidRDefault="00080AFB" w:rsidP="00EE51F0">
      <w:pPr>
        <w:pStyle w:val="NoSpacing"/>
        <w:rPr>
          <w:rFonts w:ascii="Times New Roman" w:hAnsi="Times New Roman" w:cs="Times New Roman"/>
          <w:sz w:val="24"/>
          <w:szCs w:val="24"/>
        </w:rPr>
      </w:pPr>
      <w:r w:rsidRPr="00EE51F0">
        <w:rPr>
          <w:rFonts w:ascii="Times New Roman" w:hAnsi="Times New Roman" w:cs="Times New Roman"/>
          <w:sz w:val="24"/>
          <w:szCs w:val="24"/>
        </w:rPr>
        <w:t xml:space="preserve">In the context of higher education, this shift is reflected in the emergence of “AI-first” curricular models that embed AI literacy, ethical awareness, and adaptive skill development across all academic programs rather than confining them to specialized technical courses. The present study incorporates insights from these evolving research designs to </w:t>
      </w:r>
      <w:proofErr w:type="spellStart"/>
      <w:r w:rsidRPr="00EE51F0">
        <w:rPr>
          <w:rFonts w:ascii="Times New Roman" w:hAnsi="Times New Roman" w:cs="Times New Roman"/>
          <w:sz w:val="24"/>
          <w:szCs w:val="24"/>
        </w:rPr>
        <w:t>analyze</w:t>
      </w:r>
      <w:proofErr w:type="spellEnd"/>
      <w:r w:rsidRPr="00EE51F0">
        <w:rPr>
          <w:rFonts w:ascii="Times New Roman" w:hAnsi="Times New Roman" w:cs="Times New Roman"/>
          <w:sz w:val="24"/>
          <w:szCs w:val="24"/>
        </w:rPr>
        <w:t xml:space="preserve"> how educational institutions might structurally integrate AI in ways that enhance, rather than erode, human learning and agency.</w:t>
      </w:r>
    </w:p>
    <w:p w14:paraId="3B49F241" w14:textId="77777777" w:rsidR="00080AFB" w:rsidRPr="00EE51F0" w:rsidRDefault="00080AFB" w:rsidP="00EE51F0">
      <w:pPr>
        <w:pStyle w:val="NoSpacing"/>
        <w:rPr>
          <w:rFonts w:ascii="Times New Roman" w:hAnsi="Times New Roman" w:cs="Times New Roman"/>
          <w:sz w:val="24"/>
          <w:szCs w:val="24"/>
        </w:rPr>
      </w:pPr>
      <w:r w:rsidRPr="00EE51F0">
        <w:rPr>
          <w:rFonts w:ascii="Times New Roman" w:hAnsi="Times New Roman" w:cs="Times New Roman"/>
          <w:sz w:val="24"/>
          <w:szCs w:val="24"/>
        </w:rPr>
        <w:t>4.4 Methodological Limitations and Rigor</w:t>
      </w:r>
    </w:p>
    <w:p w14:paraId="1EDF7EE8" w14:textId="77777777" w:rsidR="00080AFB" w:rsidRPr="00EE51F0" w:rsidRDefault="00080AFB" w:rsidP="00EE51F0">
      <w:pPr>
        <w:pStyle w:val="NoSpacing"/>
        <w:rPr>
          <w:rFonts w:ascii="Times New Roman" w:hAnsi="Times New Roman" w:cs="Times New Roman"/>
          <w:sz w:val="24"/>
          <w:szCs w:val="24"/>
        </w:rPr>
      </w:pPr>
      <w:r w:rsidRPr="00EE51F0">
        <w:rPr>
          <w:rFonts w:ascii="Times New Roman" w:hAnsi="Times New Roman" w:cs="Times New Roman"/>
          <w:sz w:val="24"/>
          <w:szCs w:val="24"/>
        </w:rPr>
        <w:t xml:space="preserve">While predictive analysis inherently involves uncertainty, this study mitigates methodological limitations through triangulation across diverse sources, including peer-reviewed research, policy frameworks, and </w:t>
      </w:r>
      <w:proofErr w:type="spellStart"/>
      <w:r w:rsidRPr="00EE51F0">
        <w:rPr>
          <w:rFonts w:ascii="Times New Roman" w:hAnsi="Times New Roman" w:cs="Times New Roman"/>
          <w:sz w:val="24"/>
          <w:szCs w:val="24"/>
        </w:rPr>
        <w:t>labor</w:t>
      </w:r>
      <w:proofErr w:type="spellEnd"/>
      <w:r w:rsidRPr="00EE51F0">
        <w:rPr>
          <w:rFonts w:ascii="Times New Roman" w:hAnsi="Times New Roman" w:cs="Times New Roman"/>
          <w:sz w:val="24"/>
          <w:szCs w:val="24"/>
        </w:rPr>
        <w:t xml:space="preserve"> market analyses. By focusing on convergent trends rather than isolated innovations, the methodology prioritizes plausibility and analytical coherence over speculative forecasting. This approach ensures that the study’s conclusions remain grounded in empirical evidence while remaining responsive to the dynamic and emergent nature of AI-driven transformation.</w:t>
      </w:r>
    </w:p>
    <w:p w14:paraId="6BF818CD" w14:textId="7F145535" w:rsidR="00DC3C31" w:rsidRPr="00EE51F0" w:rsidRDefault="00DC3C31" w:rsidP="00EE51F0">
      <w:pPr>
        <w:pStyle w:val="NoSpacing"/>
        <w:rPr>
          <w:rFonts w:ascii="Times New Roman" w:hAnsi="Times New Roman" w:cs="Times New Roman"/>
          <w:sz w:val="24"/>
          <w:szCs w:val="24"/>
        </w:rPr>
      </w:pPr>
    </w:p>
    <w:p w14:paraId="65A1BB34" w14:textId="77777777" w:rsidR="00CD6620" w:rsidRDefault="00940E34"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5</w:t>
      </w:r>
      <w:r w:rsidR="00245977" w:rsidRPr="00EE51F0">
        <w:rPr>
          <w:rFonts w:ascii="Times New Roman" w:hAnsi="Times New Roman" w:cs="Times New Roman"/>
          <w:sz w:val="24"/>
          <w:szCs w:val="24"/>
          <w:lang w:eastAsia="en-IN"/>
        </w:rPr>
        <w:t>. The Paramount Meta-Skill: Learning Agility &amp; Adaptability</w:t>
      </w:r>
      <w:r w:rsidR="00245977" w:rsidRPr="00EE51F0">
        <w:rPr>
          <w:rFonts w:ascii="Times New Roman" w:hAnsi="Times New Roman" w:cs="Times New Roman"/>
          <w:sz w:val="24"/>
          <w:szCs w:val="24"/>
          <w:lang w:eastAsia="en-IN"/>
        </w:rPr>
        <w:br/>
      </w:r>
    </w:p>
    <w:p w14:paraId="6F33F535" w14:textId="20512FC1" w:rsidR="00080AFB" w:rsidRPr="00EE51F0" w:rsidRDefault="00245977"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 xml:space="preserve">The </w:t>
      </w:r>
      <w:r w:rsidR="00080AFB" w:rsidRPr="00EE51F0">
        <w:rPr>
          <w:rFonts w:ascii="Times New Roman" w:hAnsi="Times New Roman" w:cs="Times New Roman"/>
          <w:sz w:val="24"/>
          <w:szCs w:val="24"/>
          <w:lang w:eastAsia="en-IN"/>
        </w:rPr>
        <w:t>Projections for 2026 increasingly identify learning agility and adaptability as the defining professional competency, superseding proficiency in any single technological tool or platform. In contrast to transient trends such as interface-specific coding or platform-bound expertise, this meta-skill enables individuals to continuously navigate and master evolving AI-augmented workflows. As artificial intelligence absorbs routine analytical and execution-based tasks, static roles such as junior developers, data analysts, and digital marketing specialists are increasingly reconfigured or displaced.</w:t>
      </w:r>
    </w:p>
    <w:p w14:paraId="3752D982" w14:textId="4697B4B9" w:rsidR="00080AFB" w:rsidRPr="00EE51F0" w:rsidRDefault="00080AFB"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The rapid proliferation of AI tools, including advanced development environments and automation platforms, has significantly shortened the lifespan of technical interfaces. In this context, enduring value lies in the human capacity to quickly understand new systems, evaluate their relevance, and integrate them effectively into problem-solving processes. Learning agility captures this capacity by emphasizing cognitive flexibility, curiosity, and tolerance for ambiguity attributes that precede and enable effective technological engagement.</w:t>
      </w:r>
    </w:p>
    <w:p w14:paraId="006F0F65" w14:textId="77777777" w:rsidR="00080AFB" w:rsidRPr="00EE51F0" w:rsidRDefault="00080AFB"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 xml:space="preserve">Functionally, learning agility serves as the core mechanism of sustainable adaptation within an AI-driven ecosystem. While AI can generate outputs and optimize processes, human adaptability </w:t>
      </w:r>
      <w:r w:rsidRPr="00EE51F0">
        <w:rPr>
          <w:rFonts w:ascii="Times New Roman" w:hAnsi="Times New Roman" w:cs="Times New Roman"/>
          <w:sz w:val="24"/>
          <w:szCs w:val="24"/>
          <w:lang w:eastAsia="en-IN"/>
        </w:rPr>
        <w:lastRenderedPageBreak/>
        <w:t>remains essential for contextual interpretation, strategic alignment, and ethical judgment. Consequently, learning agility not only supports continuous skill acquisition but also amplifies the effectiveness of human–AI collaboration, positioning it as the central meta-skill underpinning professional resilience in the projected 2026 landscape.</w:t>
      </w:r>
    </w:p>
    <w:p w14:paraId="4CCA8664" w14:textId="3FAE4DE3" w:rsidR="00245977" w:rsidRPr="00EE51F0" w:rsidRDefault="00245977" w:rsidP="00EE51F0">
      <w:pPr>
        <w:pStyle w:val="NoSpacing"/>
        <w:rPr>
          <w:rFonts w:ascii="Times New Roman" w:hAnsi="Times New Roman" w:cs="Times New Roman"/>
          <w:sz w:val="24"/>
          <w:szCs w:val="24"/>
          <w:lang w:eastAsia="en-IN"/>
        </w:rPr>
      </w:pPr>
    </w:p>
    <w:p w14:paraId="607D7AC1" w14:textId="77777777" w:rsidR="00CD6620" w:rsidRDefault="00940E34"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6</w:t>
      </w:r>
      <w:r w:rsidR="00245977" w:rsidRPr="00EE51F0">
        <w:rPr>
          <w:rFonts w:ascii="Times New Roman" w:hAnsi="Times New Roman" w:cs="Times New Roman"/>
          <w:sz w:val="24"/>
          <w:szCs w:val="24"/>
          <w:lang w:eastAsia="en-IN"/>
        </w:rPr>
        <w:t>. The Enduring and Amplified Human Skills</w:t>
      </w:r>
      <w:r w:rsidR="00245977" w:rsidRPr="00EE51F0">
        <w:rPr>
          <w:rFonts w:ascii="Times New Roman" w:hAnsi="Times New Roman" w:cs="Times New Roman"/>
          <w:sz w:val="24"/>
          <w:szCs w:val="24"/>
          <w:lang w:eastAsia="en-IN"/>
        </w:rPr>
        <w:br/>
      </w:r>
    </w:p>
    <w:p w14:paraId="2A68DFC5" w14:textId="72C73D09" w:rsidR="00007B18" w:rsidRPr="00EE51F0" w:rsidRDefault="00007B18"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While artificial intelligence increasingly automates routine cognitive and communicative tasks, recent projections emphasize that certain human skills are not diminished but significantly amplified in value. Among these, writing and perceptiveness emerge as critical competencies that enable effective human–AI interaction and sustained innovation.</w:t>
      </w:r>
    </w:p>
    <w:p w14:paraId="145D3F1E" w14:textId="77777777" w:rsidR="00007B18" w:rsidRPr="00EE51F0" w:rsidRDefault="00007B18"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6.1 Writing as a Foundational Cognitive and Technical Skill</w:t>
      </w:r>
    </w:p>
    <w:p w14:paraId="584B1E5D" w14:textId="6E8CF72C" w:rsidR="00007B18" w:rsidRPr="00EE51F0" w:rsidRDefault="00007B18"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Contrary to assumptions that generative AI will render writing obsolete, contemporary analyses suggest that its importance will intensify in AI-mediated environments. Although AI systems can produce large volumes of text efficiently, such outputs are frequently generic, context-insensitive, and lacking emotional resonance. Effective communication particularly in leadership, strategic articulation, and decision-making continues to require a distinctly human understanding of audience motivations, aspirations, and interpretive frames.</w:t>
      </w:r>
    </w:p>
    <w:p w14:paraId="54D8C607" w14:textId="77777777" w:rsidR="00007B18" w:rsidRPr="00EE51F0" w:rsidRDefault="00007B18"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Moreover, the effective deployment of AI systems is itself contingent upon advanced writing capability. Prompt formulation, iterative refinement, and modular instruction design rely on clarity, precision, and logical sequencing, positioning writing as a prerequisite for technical execution rather than a peripheral soft skill. As such, writing functions as a core component of learning agility, translating adaptive capacity into actionable outcomes. Educational institutions must therefore reinforce persuasive, audience-aware, and strategically oriented writing through targeted instruction, including prompt engineering workshops and digital communication training.</w:t>
      </w:r>
    </w:p>
    <w:p w14:paraId="1B31D822" w14:textId="77777777" w:rsidR="00007B18" w:rsidRPr="00EE51F0" w:rsidRDefault="00007B18"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6.2 Perceptiveness as an Innovation and Judgment Skill</w:t>
      </w:r>
    </w:p>
    <w:p w14:paraId="623D3ECE" w14:textId="54DAB061" w:rsidR="00007B18" w:rsidRPr="00EE51F0" w:rsidRDefault="00007B18"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Perceptiveness defined as acute observation, pattern recognition, and sensitivity to contextual and ethical nuance is increasingly identified as a premier innovation skill in AI-augmented environments. As artificial intelligence assumes responsibility for large-scale data processing and pattern detection, human cognition is freed to engage in higher-order synthesis, interpretive judgment, and ethical evaluation.</w:t>
      </w:r>
    </w:p>
    <w:p w14:paraId="629F565A" w14:textId="77777777" w:rsidR="00007B18" w:rsidRPr="00EE51F0" w:rsidRDefault="00007B18"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Functionally, perceptiveness complements learning agility by guiding attention toward what is meaningful within complex systems. While learning agility governs the process of acquiring new knowledge, perceptiveness determines relevance, priority, and strategic direction. It enables individuals to identify emergent opportunities, anticipate unintended consequences, and navigate ambiguity beyond the reach of algorithmic analysis. Cultivating perceptiveness requires pedagogical approaches that prioritize experiential learning, interdisciplinary exposure, and reflective inquiry, reinforcing its role as a critical human capability in the evolving educational landscape.</w:t>
      </w:r>
    </w:p>
    <w:p w14:paraId="26E611C0" w14:textId="15C09BA8" w:rsidR="00245977" w:rsidRPr="00EE51F0" w:rsidRDefault="00245977" w:rsidP="00EE51F0">
      <w:pPr>
        <w:pStyle w:val="NoSpacing"/>
        <w:rPr>
          <w:rFonts w:ascii="Times New Roman" w:hAnsi="Times New Roman" w:cs="Times New Roman"/>
          <w:sz w:val="24"/>
          <w:szCs w:val="24"/>
          <w:lang w:eastAsia="en-IN"/>
        </w:rPr>
      </w:pPr>
    </w:p>
    <w:p w14:paraId="6343BFA0" w14:textId="77777777" w:rsidR="007938A6" w:rsidRPr="00EE51F0" w:rsidRDefault="007938A6" w:rsidP="00EE51F0">
      <w:pPr>
        <w:pStyle w:val="NoSpacing"/>
        <w:rPr>
          <w:rFonts w:ascii="Times New Roman" w:hAnsi="Times New Roman" w:cs="Times New Roman"/>
          <w:sz w:val="24"/>
          <w:szCs w:val="24"/>
          <w:lang w:eastAsia="en-IN"/>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08"/>
        <w:gridCol w:w="1996"/>
        <w:gridCol w:w="3514"/>
        <w:gridCol w:w="2042"/>
      </w:tblGrid>
      <w:tr w:rsidR="007938A6" w:rsidRPr="00EE51F0" w14:paraId="05E609FD" w14:textId="77777777" w:rsidTr="007938A6">
        <w:trPr>
          <w:tblHeader/>
        </w:trPr>
        <w:tc>
          <w:tcPr>
            <w:tcW w:w="0" w:type="auto"/>
            <w:tcBorders>
              <w:top w:val="nil"/>
            </w:tcBorders>
            <w:shd w:val="clear" w:color="auto" w:fill="FFFFFF"/>
            <w:tcMar>
              <w:top w:w="150" w:type="dxa"/>
              <w:left w:w="0" w:type="dxa"/>
              <w:bottom w:w="150" w:type="dxa"/>
              <w:right w:w="240" w:type="dxa"/>
            </w:tcMar>
            <w:vAlign w:val="center"/>
            <w:hideMark/>
          </w:tcPr>
          <w:p w14:paraId="391B44E7" w14:textId="77777777" w:rsidR="007938A6" w:rsidRPr="00EE51F0" w:rsidRDefault="007938A6" w:rsidP="00EE51F0">
            <w:pPr>
              <w:pStyle w:val="NoSpacing"/>
              <w:rPr>
                <w:rFonts w:ascii="Times New Roman" w:eastAsia="Times New Roman" w:hAnsi="Times New Roman" w:cs="Times New Roman"/>
                <w:color w:val="0F1115"/>
                <w:sz w:val="24"/>
                <w:szCs w:val="24"/>
                <w:lang w:eastAsia="en-IN"/>
              </w:rPr>
            </w:pPr>
            <w:r w:rsidRPr="00EE51F0">
              <w:rPr>
                <w:rFonts w:ascii="Times New Roman" w:eastAsia="Times New Roman" w:hAnsi="Times New Roman" w:cs="Times New Roman"/>
                <w:color w:val="0F1115"/>
                <w:sz w:val="24"/>
                <w:szCs w:val="24"/>
                <w:lang w:eastAsia="en-IN"/>
              </w:rPr>
              <w:lastRenderedPageBreak/>
              <w:t>Skill Category</w:t>
            </w:r>
          </w:p>
        </w:tc>
        <w:tc>
          <w:tcPr>
            <w:tcW w:w="0" w:type="auto"/>
            <w:tcBorders>
              <w:top w:val="nil"/>
            </w:tcBorders>
            <w:shd w:val="clear" w:color="auto" w:fill="FFFFFF"/>
            <w:tcMar>
              <w:top w:w="150" w:type="dxa"/>
              <w:left w:w="240" w:type="dxa"/>
              <w:bottom w:w="150" w:type="dxa"/>
              <w:right w:w="240" w:type="dxa"/>
            </w:tcMar>
            <w:vAlign w:val="center"/>
            <w:hideMark/>
          </w:tcPr>
          <w:p w14:paraId="662F1B58" w14:textId="77777777" w:rsidR="007938A6" w:rsidRPr="00EE51F0" w:rsidRDefault="007938A6" w:rsidP="00EE51F0">
            <w:pPr>
              <w:pStyle w:val="NoSpacing"/>
              <w:rPr>
                <w:rFonts w:ascii="Times New Roman" w:eastAsia="Times New Roman" w:hAnsi="Times New Roman" w:cs="Times New Roman"/>
                <w:color w:val="0F1115"/>
                <w:sz w:val="24"/>
                <w:szCs w:val="24"/>
                <w:lang w:eastAsia="en-IN"/>
              </w:rPr>
            </w:pPr>
            <w:r w:rsidRPr="00EE51F0">
              <w:rPr>
                <w:rFonts w:ascii="Times New Roman" w:eastAsia="Times New Roman" w:hAnsi="Times New Roman" w:cs="Times New Roman"/>
                <w:color w:val="0F1115"/>
                <w:sz w:val="24"/>
                <w:szCs w:val="24"/>
                <w:lang w:eastAsia="en-IN"/>
              </w:rPr>
              <w:t>Pre-AI / Declining Emphasis (Static)</w:t>
            </w:r>
          </w:p>
        </w:tc>
        <w:tc>
          <w:tcPr>
            <w:tcW w:w="0" w:type="auto"/>
            <w:tcBorders>
              <w:top w:val="nil"/>
            </w:tcBorders>
            <w:shd w:val="clear" w:color="auto" w:fill="FFFFFF"/>
            <w:tcMar>
              <w:top w:w="150" w:type="dxa"/>
              <w:left w:w="240" w:type="dxa"/>
              <w:bottom w:w="150" w:type="dxa"/>
              <w:right w:w="240" w:type="dxa"/>
            </w:tcMar>
            <w:vAlign w:val="center"/>
            <w:hideMark/>
          </w:tcPr>
          <w:p w14:paraId="3838FF79" w14:textId="77777777" w:rsidR="007938A6" w:rsidRPr="00EE51F0" w:rsidRDefault="007938A6" w:rsidP="00EE51F0">
            <w:pPr>
              <w:pStyle w:val="NoSpacing"/>
              <w:rPr>
                <w:rFonts w:ascii="Times New Roman" w:eastAsia="Times New Roman" w:hAnsi="Times New Roman" w:cs="Times New Roman"/>
                <w:color w:val="0F1115"/>
                <w:sz w:val="24"/>
                <w:szCs w:val="24"/>
                <w:lang w:eastAsia="en-IN"/>
              </w:rPr>
            </w:pPr>
            <w:r w:rsidRPr="00EE51F0">
              <w:rPr>
                <w:rFonts w:ascii="Times New Roman" w:eastAsia="Times New Roman" w:hAnsi="Times New Roman" w:cs="Times New Roman"/>
                <w:color w:val="0F1115"/>
                <w:sz w:val="24"/>
                <w:szCs w:val="24"/>
                <w:lang w:eastAsia="en-IN"/>
              </w:rPr>
              <w:t>2026 Paradigm / Ascending Primacy (Dynamic)</w:t>
            </w:r>
          </w:p>
        </w:tc>
        <w:tc>
          <w:tcPr>
            <w:tcW w:w="0" w:type="auto"/>
            <w:tcBorders>
              <w:top w:val="nil"/>
            </w:tcBorders>
            <w:shd w:val="clear" w:color="auto" w:fill="FFFFFF"/>
            <w:tcMar>
              <w:top w:w="150" w:type="dxa"/>
              <w:left w:w="240" w:type="dxa"/>
              <w:bottom w:w="150" w:type="dxa"/>
              <w:right w:w="240" w:type="dxa"/>
            </w:tcMar>
            <w:vAlign w:val="center"/>
            <w:hideMark/>
          </w:tcPr>
          <w:p w14:paraId="7DAD8C23" w14:textId="77777777" w:rsidR="007938A6" w:rsidRPr="00EE51F0" w:rsidRDefault="007938A6" w:rsidP="00EE51F0">
            <w:pPr>
              <w:pStyle w:val="NoSpacing"/>
              <w:rPr>
                <w:rFonts w:ascii="Times New Roman" w:eastAsia="Times New Roman" w:hAnsi="Times New Roman" w:cs="Times New Roman"/>
                <w:color w:val="0F1115"/>
                <w:sz w:val="24"/>
                <w:szCs w:val="24"/>
                <w:lang w:eastAsia="en-IN"/>
              </w:rPr>
            </w:pPr>
            <w:r w:rsidRPr="00EE51F0">
              <w:rPr>
                <w:rFonts w:ascii="Times New Roman" w:eastAsia="Times New Roman" w:hAnsi="Times New Roman" w:cs="Times New Roman"/>
                <w:color w:val="0F1115"/>
                <w:sz w:val="24"/>
                <w:szCs w:val="24"/>
                <w:lang w:eastAsia="en-IN"/>
              </w:rPr>
              <w:t>Rationale for Shift</w:t>
            </w:r>
          </w:p>
        </w:tc>
      </w:tr>
      <w:tr w:rsidR="007938A6" w:rsidRPr="00EE51F0" w14:paraId="623B3B3A" w14:textId="77777777" w:rsidTr="007938A6">
        <w:tc>
          <w:tcPr>
            <w:tcW w:w="0" w:type="auto"/>
            <w:shd w:val="clear" w:color="auto" w:fill="FFFFFF"/>
            <w:tcMar>
              <w:top w:w="150" w:type="dxa"/>
              <w:left w:w="0" w:type="dxa"/>
              <w:bottom w:w="150" w:type="dxa"/>
              <w:right w:w="240" w:type="dxa"/>
            </w:tcMar>
            <w:vAlign w:val="center"/>
            <w:hideMark/>
          </w:tcPr>
          <w:p w14:paraId="6519D858" w14:textId="77777777" w:rsidR="007938A6" w:rsidRPr="00EE51F0" w:rsidRDefault="007938A6" w:rsidP="00EE51F0">
            <w:pPr>
              <w:pStyle w:val="NoSpacing"/>
              <w:rPr>
                <w:rFonts w:ascii="Times New Roman" w:eastAsia="Times New Roman" w:hAnsi="Times New Roman" w:cs="Times New Roman"/>
                <w:color w:val="0F1115"/>
                <w:sz w:val="24"/>
                <w:szCs w:val="24"/>
                <w:lang w:eastAsia="en-IN"/>
              </w:rPr>
            </w:pPr>
            <w:r w:rsidRPr="00EE51F0">
              <w:rPr>
                <w:rFonts w:ascii="Times New Roman" w:eastAsia="Times New Roman" w:hAnsi="Times New Roman" w:cs="Times New Roman"/>
                <w:color w:val="0F1115"/>
                <w:sz w:val="24"/>
                <w:szCs w:val="24"/>
                <w:lang w:eastAsia="en-IN"/>
              </w:rPr>
              <w:t>Core Competency</w:t>
            </w:r>
          </w:p>
        </w:tc>
        <w:tc>
          <w:tcPr>
            <w:tcW w:w="0" w:type="auto"/>
            <w:shd w:val="clear" w:color="auto" w:fill="FFFFFF"/>
            <w:tcMar>
              <w:top w:w="150" w:type="dxa"/>
              <w:left w:w="240" w:type="dxa"/>
              <w:bottom w:w="150" w:type="dxa"/>
              <w:right w:w="240" w:type="dxa"/>
            </w:tcMar>
            <w:vAlign w:val="center"/>
            <w:hideMark/>
          </w:tcPr>
          <w:p w14:paraId="2B8D92F8" w14:textId="77777777" w:rsidR="007938A6" w:rsidRPr="00EE51F0" w:rsidRDefault="007938A6" w:rsidP="00EE51F0">
            <w:pPr>
              <w:pStyle w:val="NoSpacing"/>
              <w:rPr>
                <w:rFonts w:ascii="Times New Roman" w:eastAsia="Times New Roman" w:hAnsi="Times New Roman" w:cs="Times New Roman"/>
                <w:color w:val="0F1115"/>
                <w:sz w:val="24"/>
                <w:szCs w:val="24"/>
                <w:lang w:eastAsia="en-IN"/>
              </w:rPr>
            </w:pPr>
            <w:r w:rsidRPr="00EE51F0">
              <w:rPr>
                <w:rFonts w:ascii="Times New Roman" w:eastAsia="Times New Roman" w:hAnsi="Times New Roman" w:cs="Times New Roman"/>
                <w:color w:val="0F1115"/>
                <w:sz w:val="24"/>
                <w:szCs w:val="24"/>
                <w:lang w:eastAsia="en-IN"/>
              </w:rPr>
              <w:t>Proficiency in single software/tool</w:t>
            </w:r>
          </w:p>
        </w:tc>
        <w:tc>
          <w:tcPr>
            <w:tcW w:w="0" w:type="auto"/>
            <w:shd w:val="clear" w:color="auto" w:fill="FFFFFF"/>
            <w:tcMar>
              <w:top w:w="150" w:type="dxa"/>
              <w:left w:w="240" w:type="dxa"/>
              <w:bottom w:w="150" w:type="dxa"/>
              <w:right w:w="240" w:type="dxa"/>
            </w:tcMar>
            <w:vAlign w:val="center"/>
            <w:hideMark/>
          </w:tcPr>
          <w:p w14:paraId="714BF641" w14:textId="77777777" w:rsidR="007938A6" w:rsidRPr="00EE51F0" w:rsidRDefault="007938A6" w:rsidP="00EE51F0">
            <w:pPr>
              <w:pStyle w:val="NoSpacing"/>
              <w:rPr>
                <w:rFonts w:ascii="Times New Roman" w:eastAsia="Times New Roman" w:hAnsi="Times New Roman" w:cs="Times New Roman"/>
                <w:color w:val="0F1115"/>
                <w:sz w:val="24"/>
                <w:szCs w:val="24"/>
                <w:lang w:eastAsia="en-IN"/>
              </w:rPr>
            </w:pPr>
            <w:r w:rsidRPr="00EE51F0">
              <w:rPr>
                <w:rFonts w:ascii="Times New Roman" w:eastAsia="Times New Roman" w:hAnsi="Times New Roman" w:cs="Times New Roman"/>
                <w:color w:val="0F1115"/>
                <w:sz w:val="24"/>
                <w:szCs w:val="24"/>
                <w:lang w:eastAsia="en-IN"/>
              </w:rPr>
              <w:t>Learning Agility: Mastery of new workflows</w:t>
            </w:r>
          </w:p>
        </w:tc>
        <w:tc>
          <w:tcPr>
            <w:tcW w:w="0" w:type="auto"/>
            <w:shd w:val="clear" w:color="auto" w:fill="FFFFFF"/>
            <w:tcMar>
              <w:top w:w="150" w:type="dxa"/>
              <w:left w:w="240" w:type="dxa"/>
              <w:bottom w:w="150" w:type="dxa"/>
              <w:right w:w="0" w:type="dxa"/>
            </w:tcMar>
            <w:vAlign w:val="center"/>
            <w:hideMark/>
          </w:tcPr>
          <w:p w14:paraId="0A33045E" w14:textId="77777777" w:rsidR="007938A6" w:rsidRPr="00EE51F0" w:rsidRDefault="007938A6" w:rsidP="00EE51F0">
            <w:pPr>
              <w:pStyle w:val="NoSpacing"/>
              <w:rPr>
                <w:rFonts w:ascii="Times New Roman" w:eastAsia="Times New Roman" w:hAnsi="Times New Roman" w:cs="Times New Roman"/>
                <w:color w:val="0F1115"/>
                <w:sz w:val="24"/>
                <w:szCs w:val="24"/>
                <w:lang w:eastAsia="en-IN"/>
              </w:rPr>
            </w:pPr>
            <w:r w:rsidRPr="00EE51F0">
              <w:rPr>
                <w:rFonts w:ascii="Times New Roman" w:eastAsia="Times New Roman" w:hAnsi="Times New Roman" w:cs="Times New Roman"/>
                <w:color w:val="0F1115"/>
                <w:sz w:val="24"/>
                <w:szCs w:val="24"/>
                <w:lang w:eastAsia="en-IN"/>
              </w:rPr>
              <w:t>AI tools evolve; the ability to learn them is constant.</w:t>
            </w:r>
          </w:p>
        </w:tc>
      </w:tr>
      <w:tr w:rsidR="007938A6" w:rsidRPr="00EE51F0" w14:paraId="456D2533" w14:textId="77777777" w:rsidTr="007938A6">
        <w:tc>
          <w:tcPr>
            <w:tcW w:w="0" w:type="auto"/>
            <w:shd w:val="clear" w:color="auto" w:fill="FFFFFF"/>
            <w:tcMar>
              <w:top w:w="150" w:type="dxa"/>
              <w:left w:w="0" w:type="dxa"/>
              <w:bottom w:w="150" w:type="dxa"/>
              <w:right w:w="240" w:type="dxa"/>
            </w:tcMar>
            <w:vAlign w:val="center"/>
            <w:hideMark/>
          </w:tcPr>
          <w:p w14:paraId="155BF8F0" w14:textId="77777777" w:rsidR="007938A6" w:rsidRPr="00EE51F0" w:rsidRDefault="007938A6" w:rsidP="00EE51F0">
            <w:pPr>
              <w:pStyle w:val="NoSpacing"/>
              <w:rPr>
                <w:rFonts w:ascii="Times New Roman" w:eastAsia="Times New Roman" w:hAnsi="Times New Roman" w:cs="Times New Roman"/>
                <w:color w:val="0F1115"/>
                <w:sz w:val="24"/>
                <w:szCs w:val="24"/>
                <w:lang w:eastAsia="en-IN"/>
              </w:rPr>
            </w:pPr>
            <w:r w:rsidRPr="00EE51F0">
              <w:rPr>
                <w:rFonts w:ascii="Times New Roman" w:eastAsia="Times New Roman" w:hAnsi="Times New Roman" w:cs="Times New Roman"/>
                <w:color w:val="0F1115"/>
                <w:sz w:val="24"/>
                <w:szCs w:val="24"/>
                <w:lang w:eastAsia="en-IN"/>
              </w:rPr>
              <w:t>Analytical Skill</w:t>
            </w:r>
          </w:p>
        </w:tc>
        <w:tc>
          <w:tcPr>
            <w:tcW w:w="0" w:type="auto"/>
            <w:shd w:val="clear" w:color="auto" w:fill="FFFFFF"/>
            <w:tcMar>
              <w:top w:w="150" w:type="dxa"/>
              <w:left w:w="240" w:type="dxa"/>
              <w:bottom w:w="150" w:type="dxa"/>
              <w:right w:w="240" w:type="dxa"/>
            </w:tcMar>
            <w:vAlign w:val="center"/>
            <w:hideMark/>
          </w:tcPr>
          <w:p w14:paraId="0469D300" w14:textId="77777777" w:rsidR="007938A6" w:rsidRPr="00EE51F0" w:rsidRDefault="007938A6" w:rsidP="00EE51F0">
            <w:pPr>
              <w:pStyle w:val="NoSpacing"/>
              <w:rPr>
                <w:rFonts w:ascii="Times New Roman" w:eastAsia="Times New Roman" w:hAnsi="Times New Roman" w:cs="Times New Roman"/>
                <w:color w:val="0F1115"/>
                <w:sz w:val="24"/>
                <w:szCs w:val="24"/>
                <w:lang w:eastAsia="en-IN"/>
              </w:rPr>
            </w:pPr>
            <w:r w:rsidRPr="00EE51F0">
              <w:rPr>
                <w:rFonts w:ascii="Times New Roman" w:eastAsia="Times New Roman" w:hAnsi="Times New Roman" w:cs="Times New Roman"/>
                <w:color w:val="0F1115"/>
                <w:sz w:val="24"/>
                <w:szCs w:val="24"/>
                <w:lang w:eastAsia="en-IN"/>
              </w:rPr>
              <w:t>Routine data processing, reporting</w:t>
            </w:r>
          </w:p>
        </w:tc>
        <w:tc>
          <w:tcPr>
            <w:tcW w:w="0" w:type="auto"/>
            <w:shd w:val="clear" w:color="auto" w:fill="FFFFFF"/>
            <w:tcMar>
              <w:top w:w="150" w:type="dxa"/>
              <w:left w:w="240" w:type="dxa"/>
              <w:bottom w:w="150" w:type="dxa"/>
              <w:right w:w="240" w:type="dxa"/>
            </w:tcMar>
            <w:vAlign w:val="center"/>
            <w:hideMark/>
          </w:tcPr>
          <w:p w14:paraId="6AD0693C" w14:textId="77777777" w:rsidR="007938A6" w:rsidRPr="00EE51F0" w:rsidRDefault="007938A6" w:rsidP="00EE51F0">
            <w:pPr>
              <w:pStyle w:val="NoSpacing"/>
              <w:rPr>
                <w:rFonts w:ascii="Times New Roman" w:eastAsia="Times New Roman" w:hAnsi="Times New Roman" w:cs="Times New Roman"/>
                <w:color w:val="0F1115"/>
                <w:sz w:val="24"/>
                <w:szCs w:val="24"/>
                <w:lang w:eastAsia="en-IN"/>
              </w:rPr>
            </w:pPr>
            <w:r w:rsidRPr="00EE51F0">
              <w:rPr>
                <w:rFonts w:ascii="Times New Roman" w:eastAsia="Times New Roman" w:hAnsi="Times New Roman" w:cs="Times New Roman"/>
                <w:color w:val="0F1115"/>
                <w:sz w:val="24"/>
                <w:szCs w:val="24"/>
                <w:lang w:eastAsia="en-IN"/>
              </w:rPr>
              <w:t>Perceptiveness: Contextual judgment, pattern recognition</w:t>
            </w:r>
          </w:p>
        </w:tc>
        <w:tc>
          <w:tcPr>
            <w:tcW w:w="0" w:type="auto"/>
            <w:shd w:val="clear" w:color="auto" w:fill="FFFFFF"/>
            <w:tcMar>
              <w:top w:w="150" w:type="dxa"/>
              <w:left w:w="240" w:type="dxa"/>
              <w:bottom w:w="150" w:type="dxa"/>
              <w:right w:w="0" w:type="dxa"/>
            </w:tcMar>
            <w:vAlign w:val="center"/>
            <w:hideMark/>
          </w:tcPr>
          <w:p w14:paraId="58621284" w14:textId="77777777" w:rsidR="007938A6" w:rsidRPr="00EE51F0" w:rsidRDefault="007938A6" w:rsidP="00EE51F0">
            <w:pPr>
              <w:pStyle w:val="NoSpacing"/>
              <w:rPr>
                <w:rFonts w:ascii="Times New Roman" w:eastAsia="Times New Roman" w:hAnsi="Times New Roman" w:cs="Times New Roman"/>
                <w:color w:val="0F1115"/>
                <w:sz w:val="24"/>
                <w:szCs w:val="24"/>
                <w:lang w:eastAsia="en-IN"/>
              </w:rPr>
            </w:pPr>
            <w:r w:rsidRPr="00EE51F0">
              <w:rPr>
                <w:rFonts w:ascii="Times New Roman" w:eastAsia="Times New Roman" w:hAnsi="Times New Roman" w:cs="Times New Roman"/>
                <w:color w:val="0F1115"/>
                <w:sz w:val="24"/>
                <w:szCs w:val="24"/>
                <w:lang w:eastAsia="en-IN"/>
              </w:rPr>
              <w:t>AI handles data; humans provide meaning and ethical reasoning.</w:t>
            </w:r>
          </w:p>
        </w:tc>
      </w:tr>
      <w:tr w:rsidR="007938A6" w:rsidRPr="00EE51F0" w14:paraId="3B69943F" w14:textId="77777777" w:rsidTr="007938A6">
        <w:tc>
          <w:tcPr>
            <w:tcW w:w="0" w:type="auto"/>
            <w:shd w:val="clear" w:color="auto" w:fill="FFFFFF"/>
            <w:tcMar>
              <w:top w:w="150" w:type="dxa"/>
              <w:left w:w="0" w:type="dxa"/>
              <w:bottom w:w="150" w:type="dxa"/>
              <w:right w:w="240" w:type="dxa"/>
            </w:tcMar>
            <w:vAlign w:val="center"/>
            <w:hideMark/>
          </w:tcPr>
          <w:p w14:paraId="0738E7CD" w14:textId="77777777" w:rsidR="007938A6" w:rsidRPr="00EE51F0" w:rsidRDefault="007938A6" w:rsidP="00EE51F0">
            <w:pPr>
              <w:pStyle w:val="NoSpacing"/>
              <w:rPr>
                <w:rFonts w:ascii="Times New Roman" w:eastAsia="Times New Roman" w:hAnsi="Times New Roman" w:cs="Times New Roman"/>
                <w:color w:val="0F1115"/>
                <w:sz w:val="24"/>
                <w:szCs w:val="24"/>
                <w:lang w:eastAsia="en-IN"/>
              </w:rPr>
            </w:pPr>
            <w:r w:rsidRPr="00EE51F0">
              <w:rPr>
                <w:rFonts w:ascii="Times New Roman" w:eastAsia="Times New Roman" w:hAnsi="Times New Roman" w:cs="Times New Roman"/>
                <w:color w:val="0F1115"/>
                <w:sz w:val="24"/>
                <w:szCs w:val="24"/>
                <w:lang w:eastAsia="en-IN"/>
              </w:rPr>
              <w:t>Communication</w:t>
            </w:r>
          </w:p>
        </w:tc>
        <w:tc>
          <w:tcPr>
            <w:tcW w:w="0" w:type="auto"/>
            <w:shd w:val="clear" w:color="auto" w:fill="FFFFFF"/>
            <w:tcMar>
              <w:top w:w="150" w:type="dxa"/>
              <w:left w:w="240" w:type="dxa"/>
              <w:bottom w:w="150" w:type="dxa"/>
              <w:right w:w="240" w:type="dxa"/>
            </w:tcMar>
            <w:vAlign w:val="center"/>
            <w:hideMark/>
          </w:tcPr>
          <w:p w14:paraId="2D2167E2" w14:textId="77777777" w:rsidR="007938A6" w:rsidRPr="00EE51F0" w:rsidRDefault="007938A6" w:rsidP="00EE51F0">
            <w:pPr>
              <w:pStyle w:val="NoSpacing"/>
              <w:rPr>
                <w:rFonts w:ascii="Times New Roman" w:eastAsia="Times New Roman" w:hAnsi="Times New Roman" w:cs="Times New Roman"/>
                <w:color w:val="0F1115"/>
                <w:sz w:val="24"/>
                <w:szCs w:val="24"/>
                <w:lang w:eastAsia="en-IN"/>
              </w:rPr>
            </w:pPr>
            <w:r w:rsidRPr="00EE51F0">
              <w:rPr>
                <w:rFonts w:ascii="Times New Roman" w:eastAsia="Times New Roman" w:hAnsi="Times New Roman" w:cs="Times New Roman"/>
                <w:color w:val="0F1115"/>
                <w:sz w:val="24"/>
                <w:szCs w:val="24"/>
                <w:lang w:eastAsia="en-IN"/>
              </w:rPr>
              <w:t>Generic content generation</w:t>
            </w:r>
          </w:p>
        </w:tc>
        <w:tc>
          <w:tcPr>
            <w:tcW w:w="0" w:type="auto"/>
            <w:shd w:val="clear" w:color="auto" w:fill="FFFFFF"/>
            <w:tcMar>
              <w:top w:w="150" w:type="dxa"/>
              <w:left w:w="240" w:type="dxa"/>
              <w:bottom w:w="150" w:type="dxa"/>
              <w:right w:w="240" w:type="dxa"/>
            </w:tcMar>
            <w:vAlign w:val="center"/>
            <w:hideMark/>
          </w:tcPr>
          <w:p w14:paraId="759B1CB8" w14:textId="77777777" w:rsidR="007938A6" w:rsidRPr="00EE51F0" w:rsidRDefault="007938A6" w:rsidP="00EE51F0">
            <w:pPr>
              <w:pStyle w:val="NoSpacing"/>
              <w:rPr>
                <w:rFonts w:ascii="Times New Roman" w:eastAsia="Times New Roman" w:hAnsi="Times New Roman" w:cs="Times New Roman"/>
                <w:color w:val="0F1115"/>
                <w:sz w:val="24"/>
                <w:szCs w:val="24"/>
                <w:lang w:eastAsia="en-IN"/>
              </w:rPr>
            </w:pPr>
            <w:r w:rsidRPr="00EE51F0">
              <w:rPr>
                <w:rFonts w:ascii="Times New Roman" w:eastAsia="Times New Roman" w:hAnsi="Times New Roman" w:cs="Times New Roman"/>
                <w:color w:val="0F1115"/>
                <w:sz w:val="24"/>
                <w:szCs w:val="24"/>
                <w:lang w:eastAsia="en-IN"/>
              </w:rPr>
              <w:t>Strategic Writing: Persuasion, audience insight, prompt engineering</w:t>
            </w:r>
          </w:p>
        </w:tc>
        <w:tc>
          <w:tcPr>
            <w:tcW w:w="0" w:type="auto"/>
            <w:shd w:val="clear" w:color="auto" w:fill="FFFFFF"/>
            <w:tcMar>
              <w:top w:w="150" w:type="dxa"/>
              <w:left w:w="240" w:type="dxa"/>
              <w:bottom w:w="150" w:type="dxa"/>
              <w:right w:w="0" w:type="dxa"/>
            </w:tcMar>
            <w:vAlign w:val="center"/>
            <w:hideMark/>
          </w:tcPr>
          <w:p w14:paraId="5AA9B3F5" w14:textId="77777777" w:rsidR="007938A6" w:rsidRPr="00EE51F0" w:rsidRDefault="007938A6" w:rsidP="00EE51F0">
            <w:pPr>
              <w:pStyle w:val="NoSpacing"/>
              <w:rPr>
                <w:rFonts w:ascii="Times New Roman" w:eastAsia="Times New Roman" w:hAnsi="Times New Roman" w:cs="Times New Roman"/>
                <w:color w:val="0F1115"/>
                <w:sz w:val="24"/>
                <w:szCs w:val="24"/>
                <w:lang w:eastAsia="en-IN"/>
              </w:rPr>
            </w:pPr>
            <w:r w:rsidRPr="00EE51F0">
              <w:rPr>
                <w:rFonts w:ascii="Times New Roman" w:eastAsia="Times New Roman" w:hAnsi="Times New Roman" w:cs="Times New Roman"/>
                <w:color w:val="0F1115"/>
                <w:sz w:val="24"/>
                <w:szCs w:val="24"/>
                <w:lang w:eastAsia="en-IN"/>
              </w:rPr>
              <w:t>AI produces text; humans must direct it and connect emotionally.</w:t>
            </w:r>
          </w:p>
        </w:tc>
      </w:tr>
      <w:tr w:rsidR="007938A6" w:rsidRPr="00EE51F0" w14:paraId="63439C76" w14:textId="77777777" w:rsidTr="007938A6">
        <w:tc>
          <w:tcPr>
            <w:tcW w:w="0" w:type="auto"/>
            <w:shd w:val="clear" w:color="auto" w:fill="FFFFFF"/>
            <w:tcMar>
              <w:top w:w="150" w:type="dxa"/>
              <w:left w:w="0" w:type="dxa"/>
              <w:bottom w:w="150" w:type="dxa"/>
              <w:right w:w="240" w:type="dxa"/>
            </w:tcMar>
            <w:vAlign w:val="center"/>
            <w:hideMark/>
          </w:tcPr>
          <w:p w14:paraId="5C691159" w14:textId="77777777" w:rsidR="007938A6" w:rsidRPr="00EE51F0" w:rsidRDefault="007938A6" w:rsidP="00EE51F0">
            <w:pPr>
              <w:pStyle w:val="NoSpacing"/>
              <w:rPr>
                <w:rFonts w:ascii="Times New Roman" w:eastAsia="Times New Roman" w:hAnsi="Times New Roman" w:cs="Times New Roman"/>
                <w:color w:val="0F1115"/>
                <w:sz w:val="24"/>
                <w:szCs w:val="24"/>
                <w:lang w:eastAsia="en-IN"/>
              </w:rPr>
            </w:pPr>
            <w:r w:rsidRPr="00EE51F0">
              <w:rPr>
                <w:rFonts w:ascii="Times New Roman" w:eastAsia="Times New Roman" w:hAnsi="Times New Roman" w:cs="Times New Roman"/>
                <w:color w:val="0F1115"/>
                <w:sz w:val="24"/>
                <w:szCs w:val="24"/>
                <w:lang w:eastAsia="en-IN"/>
              </w:rPr>
              <w:t>Role Paradigm</w:t>
            </w:r>
          </w:p>
        </w:tc>
        <w:tc>
          <w:tcPr>
            <w:tcW w:w="0" w:type="auto"/>
            <w:shd w:val="clear" w:color="auto" w:fill="FFFFFF"/>
            <w:tcMar>
              <w:top w:w="150" w:type="dxa"/>
              <w:left w:w="240" w:type="dxa"/>
              <w:bottom w:w="150" w:type="dxa"/>
              <w:right w:w="240" w:type="dxa"/>
            </w:tcMar>
            <w:vAlign w:val="center"/>
            <w:hideMark/>
          </w:tcPr>
          <w:p w14:paraId="45CB62B7" w14:textId="77777777" w:rsidR="007938A6" w:rsidRPr="00EE51F0" w:rsidRDefault="007938A6" w:rsidP="00EE51F0">
            <w:pPr>
              <w:pStyle w:val="NoSpacing"/>
              <w:rPr>
                <w:rFonts w:ascii="Times New Roman" w:eastAsia="Times New Roman" w:hAnsi="Times New Roman" w:cs="Times New Roman"/>
                <w:color w:val="0F1115"/>
                <w:sz w:val="24"/>
                <w:szCs w:val="24"/>
                <w:lang w:eastAsia="en-IN"/>
              </w:rPr>
            </w:pPr>
            <w:r w:rsidRPr="00EE51F0">
              <w:rPr>
                <w:rFonts w:ascii="Times New Roman" w:eastAsia="Times New Roman" w:hAnsi="Times New Roman" w:cs="Times New Roman"/>
                <w:color w:val="0F1115"/>
                <w:sz w:val="24"/>
                <w:szCs w:val="24"/>
                <w:lang w:eastAsia="en-IN"/>
              </w:rPr>
              <w:t>Executor of defined tasks</w:t>
            </w:r>
          </w:p>
        </w:tc>
        <w:tc>
          <w:tcPr>
            <w:tcW w:w="0" w:type="auto"/>
            <w:shd w:val="clear" w:color="auto" w:fill="FFFFFF"/>
            <w:tcMar>
              <w:top w:w="150" w:type="dxa"/>
              <w:left w:w="240" w:type="dxa"/>
              <w:bottom w:w="150" w:type="dxa"/>
              <w:right w:w="240" w:type="dxa"/>
            </w:tcMar>
            <w:vAlign w:val="center"/>
            <w:hideMark/>
          </w:tcPr>
          <w:p w14:paraId="2696E917" w14:textId="77777777" w:rsidR="007938A6" w:rsidRPr="00EE51F0" w:rsidRDefault="007938A6" w:rsidP="00EE51F0">
            <w:pPr>
              <w:pStyle w:val="NoSpacing"/>
              <w:rPr>
                <w:rFonts w:ascii="Times New Roman" w:eastAsia="Times New Roman" w:hAnsi="Times New Roman" w:cs="Times New Roman"/>
                <w:color w:val="0F1115"/>
                <w:sz w:val="24"/>
                <w:szCs w:val="24"/>
                <w:lang w:eastAsia="en-IN"/>
              </w:rPr>
            </w:pPr>
            <w:r w:rsidRPr="00EE51F0">
              <w:rPr>
                <w:rFonts w:ascii="Times New Roman" w:eastAsia="Times New Roman" w:hAnsi="Times New Roman" w:cs="Times New Roman"/>
                <w:color w:val="0F1115"/>
                <w:sz w:val="24"/>
                <w:szCs w:val="24"/>
                <w:lang w:eastAsia="en-IN"/>
              </w:rPr>
              <w:t>Human-AI Collaborator: Director, integrator, critic</w:t>
            </w:r>
          </w:p>
        </w:tc>
        <w:tc>
          <w:tcPr>
            <w:tcW w:w="0" w:type="auto"/>
            <w:shd w:val="clear" w:color="auto" w:fill="FFFFFF"/>
            <w:tcMar>
              <w:top w:w="150" w:type="dxa"/>
              <w:left w:w="240" w:type="dxa"/>
              <w:bottom w:w="150" w:type="dxa"/>
              <w:right w:w="0" w:type="dxa"/>
            </w:tcMar>
            <w:vAlign w:val="center"/>
            <w:hideMark/>
          </w:tcPr>
          <w:p w14:paraId="0678CC55" w14:textId="77777777" w:rsidR="007938A6" w:rsidRPr="00EE51F0" w:rsidRDefault="007938A6" w:rsidP="00EE51F0">
            <w:pPr>
              <w:pStyle w:val="NoSpacing"/>
              <w:rPr>
                <w:rFonts w:ascii="Times New Roman" w:eastAsia="Times New Roman" w:hAnsi="Times New Roman" w:cs="Times New Roman"/>
                <w:color w:val="0F1115"/>
                <w:sz w:val="24"/>
                <w:szCs w:val="24"/>
                <w:lang w:eastAsia="en-IN"/>
              </w:rPr>
            </w:pPr>
            <w:r w:rsidRPr="00EE51F0">
              <w:rPr>
                <w:rFonts w:ascii="Times New Roman" w:eastAsia="Times New Roman" w:hAnsi="Times New Roman" w:cs="Times New Roman"/>
                <w:color w:val="0F1115"/>
                <w:sz w:val="24"/>
                <w:szCs w:val="24"/>
                <w:lang w:eastAsia="en-IN"/>
              </w:rPr>
              <w:t>Success hinges on effectively orchestrating AI capabilities.</w:t>
            </w:r>
          </w:p>
        </w:tc>
      </w:tr>
    </w:tbl>
    <w:p w14:paraId="33D654ED" w14:textId="77777777" w:rsidR="007938A6" w:rsidRPr="00EE51F0" w:rsidRDefault="007938A6" w:rsidP="00EE51F0">
      <w:pPr>
        <w:pStyle w:val="NoSpacing"/>
        <w:rPr>
          <w:rFonts w:ascii="Times New Roman" w:hAnsi="Times New Roman" w:cs="Times New Roman"/>
          <w:sz w:val="24"/>
          <w:szCs w:val="24"/>
          <w:lang w:eastAsia="en-IN"/>
        </w:rPr>
      </w:pPr>
    </w:p>
    <w:p w14:paraId="6C44DF12" w14:textId="77777777" w:rsidR="00EE51F0" w:rsidRDefault="00EE51F0" w:rsidP="00EE51F0">
      <w:pPr>
        <w:pStyle w:val="NoSpacing"/>
        <w:rPr>
          <w:rFonts w:ascii="Times New Roman" w:hAnsi="Times New Roman" w:cs="Times New Roman"/>
          <w:sz w:val="24"/>
          <w:szCs w:val="24"/>
          <w:lang w:eastAsia="en-IN"/>
        </w:rPr>
      </w:pPr>
    </w:p>
    <w:p w14:paraId="21D3EE79" w14:textId="0E72FC47" w:rsidR="00EE51F0" w:rsidRDefault="00007B18" w:rsidP="00EE51F0">
      <w:pPr>
        <w:pStyle w:val="NoSpacing"/>
        <w:rPr>
          <w:rFonts w:ascii="Times New Roman" w:hAnsi="Times New Roman" w:cs="Times New Roman"/>
          <w:sz w:val="24"/>
          <w:szCs w:val="24"/>
        </w:rPr>
      </w:pPr>
      <w:r w:rsidRPr="00EE51F0">
        <w:rPr>
          <w:rFonts w:ascii="Times New Roman" w:hAnsi="Times New Roman" w:cs="Times New Roman"/>
          <w:sz w:val="24"/>
          <w:szCs w:val="24"/>
          <w:lang w:eastAsia="en-IN"/>
        </w:rPr>
        <w:t>7. Structural Shifts in Higher Education</w:t>
      </w:r>
      <w:r w:rsidRPr="00EE51F0">
        <w:rPr>
          <w:rFonts w:ascii="Times New Roman" w:hAnsi="Times New Roman" w:cs="Times New Roman"/>
          <w:sz w:val="24"/>
          <w:szCs w:val="24"/>
          <w:lang w:eastAsia="en-IN"/>
        </w:rPr>
        <w:br/>
      </w:r>
    </w:p>
    <w:p w14:paraId="1E4E2409" w14:textId="11451218" w:rsidR="00007B18" w:rsidRPr="00EE51F0" w:rsidRDefault="00007B18" w:rsidP="00EE51F0">
      <w:pPr>
        <w:pStyle w:val="NoSpacing"/>
        <w:rPr>
          <w:rFonts w:ascii="Times New Roman" w:hAnsi="Times New Roman" w:cs="Times New Roman"/>
          <w:sz w:val="24"/>
          <w:szCs w:val="24"/>
        </w:rPr>
      </w:pPr>
      <w:r w:rsidRPr="00EE51F0">
        <w:rPr>
          <w:rFonts w:ascii="Times New Roman" w:hAnsi="Times New Roman" w:cs="Times New Roman"/>
          <w:sz w:val="24"/>
          <w:szCs w:val="24"/>
        </w:rPr>
        <w:t>The growing centrality of learning agility and perceptiveness necessitates a fundamental reorientation of higher education institutions. In an AI-saturated environment, universities can no longer function primarily as repositories of static knowledge. Instead, they are increasingly required to operate as adaptive systems that embed learners within evolving, real-world problem contexts. This transformation is reflected in three interrelated developments: the resurgence of apprenticeship-based learning, the repositioning of universities as innovation hubs, and the imperative to ensure equity and access within agile educational models.</w:t>
      </w:r>
    </w:p>
    <w:p w14:paraId="36C936A0" w14:textId="77777777" w:rsidR="00007B18" w:rsidRPr="00EE51F0" w:rsidRDefault="00007B18" w:rsidP="00EE51F0">
      <w:pPr>
        <w:pStyle w:val="NoSpacing"/>
        <w:rPr>
          <w:rFonts w:ascii="Times New Roman" w:hAnsi="Times New Roman" w:cs="Times New Roman"/>
          <w:bCs/>
          <w:sz w:val="24"/>
          <w:szCs w:val="24"/>
        </w:rPr>
      </w:pPr>
      <w:r w:rsidRPr="00EE51F0">
        <w:rPr>
          <w:rFonts w:ascii="Times New Roman" w:hAnsi="Times New Roman" w:cs="Times New Roman"/>
          <w:bCs/>
          <w:sz w:val="24"/>
          <w:szCs w:val="24"/>
        </w:rPr>
        <w:t>7.1 The Return of Apprenticeship as the Engine of Agility</w:t>
      </w:r>
    </w:p>
    <w:p w14:paraId="60416B4B" w14:textId="0C460CD4" w:rsidR="00007B18" w:rsidRPr="00EE51F0" w:rsidRDefault="00007B18" w:rsidP="00EE51F0">
      <w:pPr>
        <w:pStyle w:val="NoSpacing"/>
        <w:rPr>
          <w:rFonts w:ascii="Times New Roman" w:hAnsi="Times New Roman" w:cs="Times New Roman"/>
          <w:sz w:val="24"/>
          <w:szCs w:val="24"/>
        </w:rPr>
      </w:pPr>
      <w:r w:rsidRPr="00EE51F0">
        <w:rPr>
          <w:rFonts w:ascii="Times New Roman" w:hAnsi="Times New Roman" w:cs="Times New Roman"/>
          <w:sz w:val="24"/>
          <w:szCs w:val="24"/>
        </w:rPr>
        <w:t>Projections toward 2026 suggest a legitimate and sustained return of apprenticeships and long-term internships as core pedagogical mechanisms. These structures are particularly effective for cultivating learning agility, as they place learners in authentic, dynamic environments that demand continuous learning, rapid problem-solving, and contextual judgment. In this model, universities evolve into “networking institutions,” where institutional value increasingly lies in curating strong industry</w:t>
      </w:r>
      <w:r w:rsidR="005F2BB7" w:rsidRPr="00EE51F0">
        <w:rPr>
          <w:rFonts w:ascii="Times New Roman" w:hAnsi="Times New Roman" w:cs="Times New Roman"/>
          <w:sz w:val="24"/>
          <w:szCs w:val="24"/>
        </w:rPr>
        <w:t xml:space="preserve"> </w:t>
      </w:r>
      <w:r w:rsidRPr="00EE51F0">
        <w:rPr>
          <w:rFonts w:ascii="Times New Roman" w:hAnsi="Times New Roman" w:cs="Times New Roman"/>
          <w:sz w:val="24"/>
          <w:szCs w:val="24"/>
        </w:rPr>
        <w:t>academia interfaces and facilitating immersive engagement with real-world challenges.</w:t>
      </w:r>
    </w:p>
    <w:p w14:paraId="48BE0DE9" w14:textId="77777777" w:rsidR="00007B18" w:rsidRPr="00EE51F0" w:rsidRDefault="00007B18" w:rsidP="00EE51F0">
      <w:pPr>
        <w:pStyle w:val="NoSpacing"/>
        <w:rPr>
          <w:rFonts w:ascii="Times New Roman" w:hAnsi="Times New Roman" w:cs="Times New Roman"/>
          <w:sz w:val="24"/>
          <w:szCs w:val="24"/>
        </w:rPr>
      </w:pPr>
      <w:r w:rsidRPr="00EE51F0">
        <w:rPr>
          <w:rFonts w:ascii="Times New Roman" w:hAnsi="Times New Roman" w:cs="Times New Roman"/>
          <w:sz w:val="24"/>
          <w:szCs w:val="24"/>
        </w:rPr>
        <w:t xml:space="preserve">From an analytical standpoint, traditional classroom-based instruction struggles to develop adaptability, as it often emphasizes predetermined outcomes and stable knowledge domains. </w:t>
      </w:r>
      <w:r w:rsidRPr="00EE51F0">
        <w:rPr>
          <w:rFonts w:ascii="Times New Roman" w:hAnsi="Times New Roman" w:cs="Times New Roman"/>
          <w:sz w:val="24"/>
          <w:szCs w:val="24"/>
        </w:rPr>
        <w:lastRenderedPageBreak/>
        <w:t>Apprenticeship-based learning, by contrast, exposes students to uncertainty, iterative feedback, and evolving technological systems. This shift redefines universities as curators of adaptive learning experiences rather than mere transmitters of fixed content.</w:t>
      </w:r>
    </w:p>
    <w:p w14:paraId="3E28928A" w14:textId="77777777" w:rsidR="00007B18" w:rsidRPr="00EE51F0" w:rsidRDefault="00007B18" w:rsidP="00EE51F0">
      <w:pPr>
        <w:pStyle w:val="NoSpacing"/>
        <w:rPr>
          <w:rFonts w:ascii="Times New Roman" w:hAnsi="Times New Roman" w:cs="Times New Roman"/>
          <w:bCs/>
          <w:sz w:val="24"/>
          <w:szCs w:val="24"/>
        </w:rPr>
      </w:pPr>
      <w:r w:rsidRPr="00EE51F0">
        <w:rPr>
          <w:rFonts w:ascii="Times New Roman" w:hAnsi="Times New Roman" w:cs="Times New Roman"/>
          <w:bCs/>
          <w:sz w:val="24"/>
          <w:szCs w:val="24"/>
        </w:rPr>
        <w:t>7.2 Universities as Innovation Hubs</w:t>
      </w:r>
    </w:p>
    <w:p w14:paraId="358A8B61" w14:textId="64347D73" w:rsidR="00007B18" w:rsidRPr="00EE51F0" w:rsidRDefault="00007B18" w:rsidP="00EE51F0">
      <w:pPr>
        <w:pStyle w:val="NoSpacing"/>
        <w:rPr>
          <w:rFonts w:ascii="Times New Roman" w:hAnsi="Times New Roman" w:cs="Times New Roman"/>
          <w:sz w:val="24"/>
          <w:szCs w:val="24"/>
        </w:rPr>
      </w:pPr>
      <w:r w:rsidRPr="00EE51F0">
        <w:rPr>
          <w:rFonts w:ascii="Times New Roman" w:hAnsi="Times New Roman" w:cs="Times New Roman"/>
          <w:sz w:val="24"/>
          <w:szCs w:val="24"/>
        </w:rPr>
        <w:t>Concurrently, higher education institutions are sharpening their focus on translating academic research into economic and social value. This includes managing intellectual property, supporting start-up formation, encouraging faculty</w:t>
      </w:r>
      <w:r w:rsidR="005F2BB7" w:rsidRPr="00EE51F0">
        <w:rPr>
          <w:rFonts w:ascii="Times New Roman" w:hAnsi="Times New Roman" w:cs="Times New Roman"/>
          <w:sz w:val="24"/>
          <w:szCs w:val="24"/>
        </w:rPr>
        <w:t xml:space="preserve"> </w:t>
      </w:r>
      <w:r w:rsidRPr="00EE51F0">
        <w:rPr>
          <w:rFonts w:ascii="Times New Roman" w:hAnsi="Times New Roman" w:cs="Times New Roman"/>
          <w:sz w:val="24"/>
          <w:szCs w:val="24"/>
        </w:rPr>
        <w:t>student spin-offs, and embedding entrepreneurial thinking within curricula. Such activities inherently demand high levels of learning agility and perceptiveness, as participants must navigate ambiguity, risk, and interdisciplinary collaboration.</w:t>
      </w:r>
    </w:p>
    <w:p w14:paraId="1F11DA83" w14:textId="77777777" w:rsidR="00007B18" w:rsidRPr="00EE51F0" w:rsidRDefault="00007B18" w:rsidP="00EE51F0">
      <w:pPr>
        <w:pStyle w:val="NoSpacing"/>
        <w:rPr>
          <w:rFonts w:ascii="Times New Roman" w:hAnsi="Times New Roman" w:cs="Times New Roman"/>
          <w:sz w:val="24"/>
          <w:szCs w:val="24"/>
        </w:rPr>
      </w:pPr>
      <w:r w:rsidRPr="00EE51F0">
        <w:rPr>
          <w:rFonts w:ascii="Times New Roman" w:hAnsi="Times New Roman" w:cs="Times New Roman"/>
          <w:sz w:val="24"/>
          <w:szCs w:val="24"/>
        </w:rPr>
        <w:t xml:space="preserve">This transition expands institutional success metrics beyond conventional indicators such as </w:t>
      </w:r>
      <w:proofErr w:type="spellStart"/>
      <w:r w:rsidRPr="00EE51F0">
        <w:rPr>
          <w:rFonts w:ascii="Times New Roman" w:hAnsi="Times New Roman" w:cs="Times New Roman"/>
          <w:sz w:val="24"/>
          <w:szCs w:val="24"/>
        </w:rPr>
        <w:t>enrollment</w:t>
      </w:r>
      <w:proofErr w:type="spellEnd"/>
      <w:r w:rsidRPr="00EE51F0">
        <w:rPr>
          <w:rFonts w:ascii="Times New Roman" w:hAnsi="Times New Roman" w:cs="Times New Roman"/>
          <w:sz w:val="24"/>
          <w:szCs w:val="24"/>
        </w:rPr>
        <w:t xml:space="preserve"> and publication output to include innovation outcomes, commercialization pathways, and societal impact. The innovation hub model is itself adaptive in nature, requiring universities to operate at the intersection of knowledge production, market forces, and public purpose.</w:t>
      </w:r>
    </w:p>
    <w:p w14:paraId="0AF89801" w14:textId="77777777" w:rsidR="00007B18" w:rsidRPr="00EE51F0" w:rsidRDefault="00007B18" w:rsidP="00EE51F0">
      <w:pPr>
        <w:pStyle w:val="NoSpacing"/>
        <w:rPr>
          <w:rFonts w:ascii="Times New Roman" w:hAnsi="Times New Roman" w:cs="Times New Roman"/>
          <w:bCs/>
          <w:sz w:val="24"/>
          <w:szCs w:val="24"/>
        </w:rPr>
      </w:pPr>
      <w:r w:rsidRPr="00EE51F0">
        <w:rPr>
          <w:rFonts w:ascii="Times New Roman" w:hAnsi="Times New Roman" w:cs="Times New Roman"/>
          <w:bCs/>
          <w:sz w:val="24"/>
          <w:szCs w:val="24"/>
        </w:rPr>
        <w:t>7.3 Equity and Access in the Agile University</w:t>
      </w:r>
    </w:p>
    <w:p w14:paraId="7DEC0B9E" w14:textId="77777777" w:rsidR="00007B18" w:rsidRPr="00EE51F0" w:rsidRDefault="00007B18" w:rsidP="00EE51F0">
      <w:pPr>
        <w:pStyle w:val="NoSpacing"/>
        <w:rPr>
          <w:rFonts w:ascii="Times New Roman" w:hAnsi="Times New Roman" w:cs="Times New Roman"/>
          <w:sz w:val="24"/>
          <w:szCs w:val="24"/>
        </w:rPr>
      </w:pPr>
      <w:r w:rsidRPr="00EE51F0">
        <w:rPr>
          <w:rFonts w:ascii="Times New Roman" w:hAnsi="Times New Roman" w:cs="Times New Roman"/>
          <w:sz w:val="24"/>
          <w:szCs w:val="24"/>
        </w:rPr>
        <w:t>While apprenticeship-driven and innovation-focused models offer significant promise, they also raise pressing concerns regarding equity and inclusion. Without intentional design, these agile structures risk reinforcing existing socioeconomic and educational inequalities, potentially creating a two-tier system of access and opportunity.</w:t>
      </w:r>
    </w:p>
    <w:p w14:paraId="6386A182" w14:textId="45D60E0D" w:rsidR="00007B18" w:rsidRPr="00EE51F0" w:rsidRDefault="00007B18" w:rsidP="00EE51F0">
      <w:pPr>
        <w:pStyle w:val="NoSpacing"/>
        <w:rPr>
          <w:rFonts w:ascii="Times New Roman" w:hAnsi="Times New Roman" w:cs="Times New Roman"/>
          <w:sz w:val="24"/>
          <w:szCs w:val="24"/>
        </w:rPr>
      </w:pPr>
      <w:r w:rsidRPr="00EE51F0">
        <w:rPr>
          <w:rFonts w:ascii="Times New Roman" w:hAnsi="Times New Roman" w:cs="Times New Roman"/>
          <w:sz w:val="24"/>
          <w:szCs w:val="24"/>
        </w:rPr>
        <w:t>Key risks include reliance on informal professional networks for apprenticeship placement, which may disadvantage first-generation and underrepresented students; unpaid or underfunded experiential roles that exclude those with financial constraints; and AI-first curricula that assume universal access to advanced technology and connectivity. Additionally, project- and portfolio-based assessments</w:t>
      </w:r>
      <w:r w:rsidR="005F2BB7" w:rsidRPr="00EE51F0">
        <w:rPr>
          <w:rFonts w:ascii="Times New Roman" w:hAnsi="Times New Roman" w:cs="Times New Roman"/>
          <w:sz w:val="24"/>
          <w:szCs w:val="24"/>
        </w:rPr>
        <w:t xml:space="preserve"> </w:t>
      </w:r>
      <w:r w:rsidRPr="00EE51F0">
        <w:rPr>
          <w:rFonts w:ascii="Times New Roman" w:hAnsi="Times New Roman" w:cs="Times New Roman"/>
          <w:sz w:val="24"/>
          <w:szCs w:val="24"/>
        </w:rPr>
        <w:t>while more authentic</w:t>
      </w:r>
      <w:r w:rsidR="005F2BB7" w:rsidRPr="00EE51F0">
        <w:rPr>
          <w:rFonts w:ascii="Times New Roman" w:hAnsi="Times New Roman" w:cs="Times New Roman"/>
          <w:sz w:val="24"/>
          <w:szCs w:val="24"/>
        </w:rPr>
        <w:t xml:space="preserve"> </w:t>
      </w:r>
      <w:r w:rsidRPr="00EE51F0">
        <w:rPr>
          <w:rFonts w:ascii="Times New Roman" w:hAnsi="Times New Roman" w:cs="Times New Roman"/>
          <w:sz w:val="24"/>
          <w:szCs w:val="24"/>
        </w:rPr>
        <w:t xml:space="preserve">may </w:t>
      </w:r>
      <w:proofErr w:type="spellStart"/>
      <w:r w:rsidRPr="00EE51F0">
        <w:rPr>
          <w:rFonts w:ascii="Times New Roman" w:hAnsi="Times New Roman" w:cs="Times New Roman"/>
          <w:sz w:val="24"/>
          <w:szCs w:val="24"/>
        </w:rPr>
        <w:t>favor</w:t>
      </w:r>
      <w:proofErr w:type="spellEnd"/>
      <w:r w:rsidRPr="00EE51F0">
        <w:rPr>
          <w:rFonts w:ascii="Times New Roman" w:hAnsi="Times New Roman" w:cs="Times New Roman"/>
          <w:sz w:val="24"/>
          <w:szCs w:val="24"/>
        </w:rPr>
        <w:t xml:space="preserve"> students with prior exposure to professional environments.</w:t>
      </w:r>
    </w:p>
    <w:p w14:paraId="3EEEF4D5" w14:textId="77777777" w:rsidR="00007B18" w:rsidRPr="00EE51F0" w:rsidRDefault="00007B18" w:rsidP="00EE51F0">
      <w:pPr>
        <w:pStyle w:val="NoSpacing"/>
        <w:rPr>
          <w:rFonts w:ascii="Times New Roman" w:hAnsi="Times New Roman" w:cs="Times New Roman"/>
          <w:sz w:val="24"/>
          <w:szCs w:val="24"/>
        </w:rPr>
      </w:pPr>
      <w:r w:rsidRPr="00EE51F0">
        <w:rPr>
          <w:rFonts w:ascii="Times New Roman" w:hAnsi="Times New Roman" w:cs="Times New Roman"/>
          <w:sz w:val="24"/>
          <w:szCs w:val="24"/>
        </w:rPr>
        <w:t>To address these challenges, equity must be embedded as a foundational principle of institutional transformation. Funded apprenticeship pathways, structured mentorship and networking programs, and hybrid or virtual experiential models can democratize access to high-quality learning experiences. Curriculum design should include scaffolded pathways that explicitly develop learning agility and perceptiveness, alongside Universal Design for Learning and culturally responsive pedagogical approaches.</w:t>
      </w:r>
    </w:p>
    <w:p w14:paraId="70336BD6" w14:textId="77777777" w:rsidR="00007B18" w:rsidRPr="00EE51F0" w:rsidRDefault="00007B18" w:rsidP="00EE51F0">
      <w:pPr>
        <w:pStyle w:val="NoSpacing"/>
        <w:rPr>
          <w:rFonts w:ascii="Times New Roman" w:hAnsi="Times New Roman" w:cs="Times New Roman"/>
          <w:sz w:val="24"/>
          <w:szCs w:val="24"/>
        </w:rPr>
      </w:pPr>
      <w:r w:rsidRPr="00EE51F0">
        <w:rPr>
          <w:rFonts w:ascii="Times New Roman" w:hAnsi="Times New Roman" w:cs="Times New Roman"/>
          <w:sz w:val="24"/>
          <w:szCs w:val="24"/>
        </w:rPr>
        <w:t>Technological inclusivity is equally essential. Institutions must ensure access to devices, connectivity, and foundational AI literacy for all students, while prioritizing open educational resources and low-cost tools. Finally, universities should adopt equity-sensitive success metrics, disaggregating participation and outcome data and recognizing diverse expressions of adaptability and innovation.</w:t>
      </w:r>
    </w:p>
    <w:p w14:paraId="7FBCF67C" w14:textId="77777777" w:rsidR="00007B18" w:rsidRPr="00EE51F0" w:rsidRDefault="00007B18" w:rsidP="00EE51F0">
      <w:pPr>
        <w:pStyle w:val="NoSpacing"/>
        <w:rPr>
          <w:rFonts w:ascii="Times New Roman" w:hAnsi="Times New Roman" w:cs="Times New Roman"/>
          <w:bCs/>
          <w:sz w:val="24"/>
          <w:szCs w:val="24"/>
        </w:rPr>
      </w:pPr>
      <w:r w:rsidRPr="00EE51F0">
        <w:rPr>
          <w:rFonts w:ascii="Times New Roman" w:hAnsi="Times New Roman" w:cs="Times New Roman"/>
          <w:bCs/>
          <w:sz w:val="24"/>
          <w:szCs w:val="24"/>
        </w:rPr>
        <w:t>7.4 Emerging Models in Practice</w:t>
      </w:r>
    </w:p>
    <w:p w14:paraId="0F48FC18" w14:textId="77777777" w:rsidR="00007B18" w:rsidRPr="00EE51F0" w:rsidRDefault="00007B18" w:rsidP="00EE51F0">
      <w:pPr>
        <w:pStyle w:val="NoSpacing"/>
        <w:rPr>
          <w:rFonts w:ascii="Times New Roman" w:hAnsi="Times New Roman" w:cs="Times New Roman"/>
          <w:sz w:val="24"/>
          <w:szCs w:val="24"/>
        </w:rPr>
      </w:pPr>
      <w:r w:rsidRPr="00EE51F0">
        <w:rPr>
          <w:rFonts w:ascii="Times New Roman" w:hAnsi="Times New Roman" w:cs="Times New Roman"/>
          <w:sz w:val="24"/>
          <w:szCs w:val="24"/>
        </w:rPr>
        <w:t>Although the full realization of the agile, apprenticeship-driven university remains emergent, early institutional experiments integrating experiential learning, AI-embedded curricula, and inclusive innovation initiatives provide valuable insights. These models demonstrate that the reimagined university is not a distant abstraction, but an evolving reality shaped by intentional design choices and institutional commitment.</w:t>
      </w:r>
    </w:p>
    <w:p w14:paraId="4084DDD1" w14:textId="7DFBE0BC" w:rsidR="00007B18" w:rsidRPr="00EE51F0" w:rsidRDefault="00007B18" w:rsidP="00EE51F0">
      <w:pPr>
        <w:pStyle w:val="NoSpacing"/>
        <w:rPr>
          <w:rFonts w:ascii="Times New Roman" w:hAnsi="Times New Roman" w:cs="Times New Roman"/>
          <w:sz w:val="24"/>
          <w:szCs w:val="24"/>
        </w:rPr>
      </w:pPr>
    </w:p>
    <w:p w14:paraId="131B8E57" w14:textId="6F057954" w:rsidR="006C2A35" w:rsidRPr="00EE51F0" w:rsidRDefault="006C2A35" w:rsidP="00EE51F0">
      <w:pPr>
        <w:pStyle w:val="NoSpacing"/>
        <w:rPr>
          <w:rFonts w:ascii="Times New Roman" w:hAnsi="Times New Roman" w:cs="Times New Roman"/>
          <w:sz w:val="24"/>
          <w:szCs w:val="24"/>
        </w:rPr>
      </w:pPr>
      <w:r w:rsidRPr="00EE51F0">
        <w:rPr>
          <w:rFonts w:ascii="Times New Roman" w:hAnsi="Times New Roman" w:cs="Times New Roman"/>
          <w:sz w:val="24"/>
          <w:szCs w:val="24"/>
        </w:rPr>
        <w:t>The following brief case studies illustrate how principles of learning agility, industry integration, and equitable access are being tested and scaled in real-world settings.</w:t>
      </w:r>
    </w:p>
    <w:p w14:paraId="23305987" w14:textId="77777777" w:rsidR="006C2A35" w:rsidRPr="00EE51F0" w:rsidRDefault="006C2A35" w:rsidP="00EE51F0">
      <w:pPr>
        <w:pStyle w:val="NoSpacing"/>
        <w:rPr>
          <w:rFonts w:ascii="Times New Roman" w:hAnsi="Times New Roman" w:cs="Times New Roman"/>
          <w:sz w:val="24"/>
          <w:szCs w:val="24"/>
        </w:rPr>
      </w:pPr>
      <w:r w:rsidRPr="00EE51F0">
        <w:rPr>
          <w:rStyle w:val="Strong"/>
          <w:rFonts w:ascii="Times New Roman" w:hAnsi="Times New Roman" w:cs="Times New Roman"/>
          <w:b w:val="0"/>
          <w:bCs w:val="0"/>
          <w:color w:val="0F1115"/>
          <w:sz w:val="24"/>
          <w:szCs w:val="24"/>
        </w:rPr>
        <w:t>Case Study 1: Northeastern University’s Experiential Network (NX) – USA</w:t>
      </w:r>
    </w:p>
    <w:p w14:paraId="10E7532F" w14:textId="77777777" w:rsidR="006C2A35" w:rsidRPr="00EE51F0" w:rsidRDefault="006C2A35" w:rsidP="00EE51F0">
      <w:pPr>
        <w:pStyle w:val="NoSpacing"/>
        <w:rPr>
          <w:rFonts w:ascii="Times New Roman" w:hAnsi="Times New Roman" w:cs="Times New Roman"/>
          <w:sz w:val="24"/>
          <w:szCs w:val="24"/>
        </w:rPr>
      </w:pPr>
      <w:r w:rsidRPr="00EE51F0">
        <w:rPr>
          <w:rStyle w:val="Strong"/>
          <w:rFonts w:ascii="Times New Roman" w:hAnsi="Times New Roman" w:cs="Times New Roman"/>
          <w:color w:val="0F1115"/>
          <w:sz w:val="24"/>
          <w:szCs w:val="24"/>
        </w:rPr>
        <w:lastRenderedPageBreak/>
        <w:t>Model:</w:t>
      </w:r>
      <w:r w:rsidRPr="00EE51F0">
        <w:rPr>
          <w:rFonts w:ascii="Times New Roman" w:hAnsi="Times New Roman" w:cs="Times New Roman"/>
          <w:sz w:val="24"/>
          <w:szCs w:val="24"/>
        </w:rPr>
        <w:t> University-wide, scalable experiential learning integrated into curriculum</w:t>
      </w:r>
      <w:r w:rsidRPr="00EE51F0">
        <w:rPr>
          <w:rFonts w:ascii="Times New Roman" w:hAnsi="Times New Roman" w:cs="Times New Roman"/>
          <w:sz w:val="24"/>
          <w:szCs w:val="24"/>
        </w:rPr>
        <w:br/>
      </w:r>
      <w:r w:rsidRPr="00EE51F0">
        <w:rPr>
          <w:rStyle w:val="Strong"/>
          <w:rFonts w:ascii="Times New Roman" w:hAnsi="Times New Roman" w:cs="Times New Roman"/>
          <w:color w:val="0F1115"/>
          <w:sz w:val="24"/>
          <w:szCs w:val="24"/>
        </w:rPr>
        <w:t>Key Features:</w:t>
      </w:r>
    </w:p>
    <w:p w14:paraId="156EDBF6" w14:textId="77777777" w:rsidR="006C2A35" w:rsidRPr="00EE51F0" w:rsidRDefault="006C2A35" w:rsidP="00EE51F0">
      <w:pPr>
        <w:pStyle w:val="NoSpacing"/>
        <w:rPr>
          <w:rFonts w:ascii="Times New Roman" w:hAnsi="Times New Roman" w:cs="Times New Roman"/>
          <w:sz w:val="24"/>
          <w:szCs w:val="24"/>
        </w:rPr>
      </w:pPr>
      <w:r w:rsidRPr="00EE51F0">
        <w:rPr>
          <w:rStyle w:val="Strong"/>
          <w:rFonts w:ascii="Times New Roman" w:hAnsi="Times New Roman" w:cs="Times New Roman"/>
          <w:color w:val="0F1115"/>
          <w:sz w:val="24"/>
          <w:szCs w:val="24"/>
        </w:rPr>
        <w:t>Co-op 2.0:</w:t>
      </w:r>
      <w:r w:rsidRPr="00EE51F0">
        <w:rPr>
          <w:rFonts w:ascii="Times New Roman" w:hAnsi="Times New Roman" w:cs="Times New Roman"/>
          <w:sz w:val="24"/>
          <w:szCs w:val="24"/>
        </w:rPr>
        <w:t> Building on its long-standing co-op program, Northeastern has developed the </w:t>
      </w:r>
      <w:r w:rsidRPr="00EE51F0">
        <w:rPr>
          <w:rStyle w:val="Emphasis"/>
          <w:rFonts w:ascii="Times New Roman" w:hAnsi="Times New Roman" w:cs="Times New Roman"/>
          <w:color w:val="0F1115"/>
          <w:sz w:val="24"/>
          <w:szCs w:val="24"/>
        </w:rPr>
        <w:t>Experiential Network (NX)</w:t>
      </w:r>
      <w:r w:rsidRPr="00EE51F0">
        <w:rPr>
          <w:rFonts w:ascii="Times New Roman" w:hAnsi="Times New Roman" w:cs="Times New Roman"/>
          <w:sz w:val="24"/>
          <w:szCs w:val="24"/>
        </w:rPr>
        <w:t>, a digital platform that connects students with short-term, virtual, project-based work opportunities with global companies.</w:t>
      </w:r>
    </w:p>
    <w:p w14:paraId="58F93472" w14:textId="77777777" w:rsidR="006C2A35" w:rsidRPr="00EE51F0" w:rsidRDefault="006C2A35" w:rsidP="00EE51F0">
      <w:pPr>
        <w:pStyle w:val="NoSpacing"/>
        <w:rPr>
          <w:rFonts w:ascii="Times New Roman" w:hAnsi="Times New Roman" w:cs="Times New Roman"/>
          <w:sz w:val="24"/>
          <w:szCs w:val="24"/>
        </w:rPr>
      </w:pPr>
      <w:r w:rsidRPr="00EE51F0">
        <w:rPr>
          <w:rStyle w:val="Strong"/>
          <w:rFonts w:ascii="Times New Roman" w:hAnsi="Times New Roman" w:cs="Times New Roman"/>
          <w:color w:val="0F1115"/>
          <w:sz w:val="24"/>
          <w:szCs w:val="24"/>
        </w:rPr>
        <w:t>Micro-Experiences:</w:t>
      </w:r>
      <w:r w:rsidRPr="00EE51F0">
        <w:rPr>
          <w:rFonts w:ascii="Times New Roman" w:hAnsi="Times New Roman" w:cs="Times New Roman"/>
          <w:sz w:val="24"/>
          <w:szCs w:val="24"/>
        </w:rPr>
        <w:t> Students can complete 4–6 week “sprints” on real business challenges (e.g., data analysis for a startup, UX design for a nonprofit) while enrolled in courses, earning academic credit.</w:t>
      </w:r>
    </w:p>
    <w:p w14:paraId="6B5DEF93" w14:textId="77777777" w:rsidR="006C2A35" w:rsidRPr="00EE51F0" w:rsidRDefault="006C2A35" w:rsidP="00EE51F0">
      <w:pPr>
        <w:pStyle w:val="NoSpacing"/>
        <w:rPr>
          <w:rFonts w:ascii="Times New Roman" w:hAnsi="Times New Roman" w:cs="Times New Roman"/>
          <w:sz w:val="24"/>
          <w:szCs w:val="24"/>
        </w:rPr>
      </w:pPr>
      <w:r w:rsidRPr="00EE51F0">
        <w:rPr>
          <w:rStyle w:val="Strong"/>
          <w:rFonts w:ascii="Times New Roman" w:hAnsi="Times New Roman" w:cs="Times New Roman"/>
          <w:color w:val="0F1115"/>
          <w:sz w:val="24"/>
          <w:szCs w:val="24"/>
        </w:rPr>
        <w:t>AI-Enhanced Matching:</w:t>
      </w:r>
      <w:r w:rsidRPr="00EE51F0">
        <w:rPr>
          <w:rFonts w:ascii="Times New Roman" w:hAnsi="Times New Roman" w:cs="Times New Roman"/>
          <w:sz w:val="24"/>
          <w:szCs w:val="24"/>
        </w:rPr>
        <w:t> The platform uses algorithms to match student skills and interests with projects, facilitating large-scale personalization and access.</w:t>
      </w:r>
    </w:p>
    <w:p w14:paraId="0DBCC567" w14:textId="77777777" w:rsidR="006C2A35" w:rsidRPr="00EE51F0" w:rsidRDefault="006C2A35" w:rsidP="00EE51F0">
      <w:pPr>
        <w:pStyle w:val="NoSpacing"/>
        <w:rPr>
          <w:rFonts w:ascii="Times New Roman" w:hAnsi="Times New Roman" w:cs="Times New Roman"/>
          <w:sz w:val="24"/>
          <w:szCs w:val="24"/>
        </w:rPr>
      </w:pPr>
      <w:r w:rsidRPr="00EE51F0">
        <w:rPr>
          <w:rStyle w:val="Strong"/>
          <w:rFonts w:ascii="Times New Roman" w:hAnsi="Times New Roman" w:cs="Times New Roman"/>
          <w:color w:val="0F1115"/>
          <w:sz w:val="24"/>
          <w:szCs w:val="24"/>
        </w:rPr>
        <w:t>Equity Focus:</w:t>
      </w:r>
      <w:r w:rsidRPr="00EE51F0">
        <w:rPr>
          <w:rFonts w:ascii="Times New Roman" w:hAnsi="Times New Roman" w:cs="Times New Roman"/>
          <w:sz w:val="24"/>
          <w:szCs w:val="24"/>
        </w:rPr>
        <w:t> Projects are unpaid but credit-bearing, removing financial barriers. The virtual format allows students with caregiving responsibilities, disabilities, or limited mobility to participate.</w:t>
      </w:r>
    </w:p>
    <w:p w14:paraId="1DEDC295" w14:textId="77777777" w:rsidR="006C2A35" w:rsidRPr="00EE51F0" w:rsidRDefault="006C2A35" w:rsidP="00EE51F0">
      <w:pPr>
        <w:pStyle w:val="NoSpacing"/>
        <w:rPr>
          <w:rFonts w:ascii="Times New Roman" w:hAnsi="Times New Roman" w:cs="Times New Roman"/>
          <w:sz w:val="24"/>
          <w:szCs w:val="24"/>
        </w:rPr>
      </w:pPr>
      <w:r w:rsidRPr="00EE51F0">
        <w:rPr>
          <w:rStyle w:val="Strong"/>
          <w:rFonts w:ascii="Times New Roman" w:hAnsi="Times New Roman" w:cs="Times New Roman"/>
          <w:color w:val="0F1115"/>
          <w:sz w:val="24"/>
          <w:szCs w:val="24"/>
        </w:rPr>
        <w:t>Agility Outcomes:</w:t>
      </w:r>
    </w:p>
    <w:p w14:paraId="454E9084" w14:textId="77777777" w:rsidR="006C2A35" w:rsidRPr="00EE51F0" w:rsidRDefault="006C2A35" w:rsidP="00EE51F0">
      <w:pPr>
        <w:pStyle w:val="NoSpacing"/>
        <w:rPr>
          <w:rFonts w:ascii="Times New Roman" w:hAnsi="Times New Roman" w:cs="Times New Roman"/>
          <w:sz w:val="24"/>
          <w:szCs w:val="24"/>
        </w:rPr>
      </w:pPr>
      <w:r w:rsidRPr="00EE51F0">
        <w:rPr>
          <w:rFonts w:ascii="Times New Roman" w:hAnsi="Times New Roman" w:cs="Times New Roman"/>
          <w:sz w:val="24"/>
          <w:szCs w:val="24"/>
        </w:rPr>
        <w:t>Students repeatedly cycle through learning → applying → reflecting, building meta-skills in real time.</w:t>
      </w:r>
    </w:p>
    <w:p w14:paraId="720AEF3E" w14:textId="77777777" w:rsidR="006C2A35" w:rsidRPr="00EE51F0" w:rsidRDefault="006C2A35" w:rsidP="00EE51F0">
      <w:pPr>
        <w:pStyle w:val="NoSpacing"/>
        <w:rPr>
          <w:rFonts w:ascii="Times New Roman" w:hAnsi="Times New Roman" w:cs="Times New Roman"/>
          <w:sz w:val="24"/>
          <w:szCs w:val="24"/>
        </w:rPr>
      </w:pPr>
      <w:r w:rsidRPr="00EE51F0">
        <w:rPr>
          <w:rFonts w:ascii="Times New Roman" w:hAnsi="Times New Roman" w:cs="Times New Roman"/>
          <w:sz w:val="24"/>
          <w:szCs w:val="24"/>
        </w:rPr>
        <w:t>Exposure to diverse industries and problem types cultivates perceptiveness and adaptive thinking.</w:t>
      </w:r>
    </w:p>
    <w:p w14:paraId="28890ED1" w14:textId="77777777" w:rsidR="006C2A35" w:rsidRPr="00EE51F0" w:rsidRDefault="006C2A35" w:rsidP="00EE51F0">
      <w:pPr>
        <w:pStyle w:val="NoSpacing"/>
        <w:rPr>
          <w:rFonts w:ascii="Times New Roman" w:hAnsi="Times New Roman" w:cs="Times New Roman"/>
          <w:sz w:val="24"/>
          <w:szCs w:val="24"/>
        </w:rPr>
      </w:pPr>
      <w:r w:rsidRPr="00EE51F0">
        <w:rPr>
          <w:rStyle w:val="Strong"/>
          <w:rFonts w:ascii="Times New Roman" w:hAnsi="Times New Roman" w:cs="Times New Roman"/>
          <w:color w:val="0F1115"/>
          <w:sz w:val="24"/>
          <w:szCs w:val="24"/>
        </w:rPr>
        <w:t>Metric:</w:t>
      </w:r>
      <w:r w:rsidRPr="00EE51F0">
        <w:rPr>
          <w:rFonts w:ascii="Times New Roman" w:hAnsi="Times New Roman" w:cs="Times New Roman"/>
          <w:sz w:val="24"/>
          <w:szCs w:val="24"/>
        </w:rPr>
        <w:t> Over 12,000 student-project matches made annually, with strong participation from first-generation and international students.</w:t>
      </w:r>
    </w:p>
    <w:p w14:paraId="2D0A33FB" w14:textId="77777777" w:rsidR="006C2A35" w:rsidRPr="00EE51F0" w:rsidRDefault="006C2A35" w:rsidP="00EE51F0">
      <w:pPr>
        <w:pStyle w:val="NoSpacing"/>
        <w:rPr>
          <w:rFonts w:ascii="Times New Roman" w:hAnsi="Times New Roman" w:cs="Times New Roman"/>
          <w:sz w:val="24"/>
          <w:szCs w:val="24"/>
        </w:rPr>
      </w:pPr>
      <w:r w:rsidRPr="00EE51F0">
        <w:rPr>
          <w:rStyle w:val="Strong"/>
          <w:rFonts w:ascii="Times New Roman" w:hAnsi="Times New Roman" w:cs="Times New Roman"/>
          <w:color w:val="0F1115"/>
          <w:sz w:val="24"/>
          <w:szCs w:val="24"/>
        </w:rPr>
        <w:t>Relevance to Paper’s Thesis:</w:t>
      </w:r>
      <w:r w:rsidRPr="00EE51F0">
        <w:rPr>
          <w:rFonts w:ascii="Times New Roman" w:hAnsi="Times New Roman" w:cs="Times New Roman"/>
          <w:sz w:val="24"/>
          <w:szCs w:val="24"/>
        </w:rPr>
        <w:br/>
        <w:t>NX operationalizes the “university as networking institution” model, curating adaptive experiences at scale while intentionally designing for access—a live example of the “Hub &amp; Curator” blueprint in action.</w:t>
      </w:r>
    </w:p>
    <w:p w14:paraId="7B78E5AB" w14:textId="77777777" w:rsidR="006C2A35" w:rsidRPr="00EE51F0" w:rsidRDefault="006C2A35" w:rsidP="00EE51F0">
      <w:pPr>
        <w:pStyle w:val="NoSpacing"/>
        <w:rPr>
          <w:rFonts w:ascii="Times New Roman" w:hAnsi="Times New Roman" w:cs="Times New Roman"/>
          <w:sz w:val="24"/>
          <w:szCs w:val="24"/>
        </w:rPr>
      </w:pPr>
      <w:r w:rsidRPr="00EE51F0">
        <w:rPr>
          <w:rStyle w:val="Strong"/>
          <w:rFonts w:ascii="Times New Roman" w:hAnsi="Times New Roman" w:cs="Times New Roman"/>
          <w:b w:val="0"/>
          <w:bCs w:val="0"/>
          <w:color w:val="0F1115"/>
          <w:sz w:val="24"/>
          <w:szCs w:val="24"/>
        </w:rPr>
        <w:t>Case Study 2: Africa College of Technology (ACT) – Rwanda (Hypothetical Composite Model)</w:t>
      </w:r>
    </w:p>
    <w:p w14:paraId="680FC7E1" w14:textId="77777777" w:rsidR="006C2A35" w:rsidRPr="00EE51F0" w:rsidRDefault="006C2A35" w:rsidP="00EE51F0">
      <w:pPr>
        <w:pStyle w:val="NoSpacing"/>
        <w:rPr>
          <w:rFonts w:ascii="Times New Roman" w:hAnsi="Times New Roman" w:cs="Times New Roman"/>
          <w:sz w:val="24"/>
          <w:szCs w:val="24"/>
        </w:rPr>
      </w:pPr>
      <w:r w:rsidRPr="00EE51F0">
        <w:rPr>
          <w:rStyle w:val="Strong"/>
          <w:rFonts w:ascii="Times New Roman" w:hAnsi="Times New Roman" w:cs="Times New Roman"/>
          <w:color w:val="0F1115"/>
          <w:sz w:val="24"/>
          <w:szCs w:val="24"/>
        </w:rPr>
        <w:t>Model:</w:t>
      </w:r>
      <w:r w:rsidRPr="00EE51F0">
        <w:rPr>
          <w:rFonts w:ascii="Times New Roman" w:hAnsi="Times New Roman" w:cs="Times New Roman"/>
          <w:sz w:val="24"/>
          <w:szCs w:val="24"/>
        </w:rPr>
        <w:t> Public-private innovation hub with mandatory apprenticeship tracks</w:t>
      </w:r>
      <w:r w:rsidRPr="00EE51F0">
        <w:rPr>
          <w:rFonts w:ascii="Times New Roman" w:hAnsi="Times New Roman" w:cs="Times New Roman"/>
          <w:sz w:val="24"/>
          <w:szCs w:val="24"/>
        </w:rPr>
        <w:br/>
      </w:r>
      <w:r w:rsidRPr="00EE51F0">
        <w:rPr>
          <w:rStyle w:val="Strong"/>
          <w:rFonts w:ascii="Times New Roman" w:hAnsi="Times New Roman" w:cs="Times New Roman"/>
          <w:color w:val="0F1115"/>
          <w:sz w:val="24"/>
          <w:szCs w:val="24"/>
        </w:rPr>
        <w:t>Key Features:</w:t>
      </w:r>
    </w:p>
    <w:p w14:paraId="4073FF32" w14:textId="77777777" w:rsidR="006C2A35" w:rsidRPr="00EE51F0" w:rsidRDefault="006C2A35" w:rsidP="00EE51F0">
      <w:pPr>
        <w:pStyle w:val="NoSpacing"/>
        <w:rPr>
          <w:rFonts w:ascii="Times New Roman" w:hAnsi="Times New Roman" w:cs="Times New Roman"/>
          <w:sz w:val="24"/>
          <w:szCs w:val="24"/>
        </w:rPr>
      </w:pPr>
      <w:r w:rsidRPr="00EE51F0">
        <w:rPr>
          <w:rStyle w:val="Strong"/>
          <w:rFonts w:ascii="Times New Roman" w:hAnsi="Times New Roman" w:cs="Times New Roman"/>
          <w:color w:val="0F1115"/>
          <w:sz w:val="24"/>
          <w:szCs w:val="24"/>
        </w:rPr>
        <w:t>Triple Helix Structure:</w:t>
      </w:r>
      <w:r w:rsidRPr="00EE51F0">
        <w:rPr>
          <w:rFonts w:ascii="Times New Roman" w:hAnsi="Times New Roman" w:cs="Times New Roman"/>
          <w:sz w:val="24"/>
          <w:szCs w:val="24"/>
        </w:rPr>
        <w:t> ACT was founded through a partnership between the Rwandan government, the African Union, and tech multinationals (e.g., Google, Siemens).</w:t>
      </w:r>
    </w:p>
    <w:p w14:paraId="3D11EFB0" w14:textId="77777777" w:rsidR="006C2A35" w:rsidRPr="00EE51F0" w:rsidRDefault="006C2A35" w:rsidP="00EE51F0">
      <w:pPr>
        <w:pStyle w:val="NoSpacing"/>
        <w:rPr>
          <w:rFonts w:ascii="Times New Roman" w:hAnsi="Times New Roman" w:cs="Times New Roman"/>
          <w:sz w:val="24"/>
          <w:szCs w:val="24"/>
        </w:rPr>
      </w:pPr>
      <w:r w:rsidRPr="00EE51F0">
        <w:rPr>
          <w:rStyle w:val="Strong"/>
          <w:rFonts w:ascii="Times New Roman" w:hAnsi="Times New Roman" w:cs="Times New Roman"/>
          <w:color w:val="0F1115"/>
          <w:sz w:val="24"/>
          <w:szCs w:val="24"/>
        </w:rPr>
        <w:t>Learn-Earn-Launch Pathway:</w:t>
      </w:r>
      <w:r w:rsidRPr="00EE51F0">
        <w:rPr>
          <w:rFonts w:ascii="Times New Roman" w:hAnsi="Times New Roman" w:cs="Times New Roman"/>
          <w:sz w:val="24"/>
          <w:szCs w:val="24"/>
        </w:rPr>
        <w:t> All students follow a structured three-phase journey:</w:t>
      </w:r>
    </w:p>
    <w:p w14:paraId="74251A8F" w14:textId="77777777" w:rsidR="006C2A35" w:rsidRPr="00EE51F0" w:rsidRDefault="006C2A35" w:rsidP="00EE51F0">
      <w:pPr>
        <w:pStyle w:val="NoSpacing"/>
        <w:rPr>
          <w:rFonts w:ascii="Times New Roman" w:hAnsi="Times New Roman" w:cs="Times New Roman"/>
          <w:sz w:val="24"/>
          <w:szCs w:val="24"/>
        </w:rPr>
      </w:pPr>
      <w:r w:rsidRPr="00EE51F0">
        <w:rPr>
          <w:rStyle w:val="Strong"/>
          <w:rFonts w:ascii="Times New Roman" w:hAnsi="Times New Roman" w:cs="Times New Roman"/>
          <w:color w:val="0F1115"/>
          <w:sz w:val="24"/>
          <w:szCs w:val="24"/>
        </w:rPr>
        <w:t>Learn:</w:t>
      </w:r>
      <w:r w:rsidRPr="00EE51F0">
        <w:rPr>
          <w:rFonts w:ascii="Times New Roman" w:hAnsi="Times New Roman" w:cs="Times New Roman"/>
          <w:sz w:val="24"/>
          <w:szCs w:val="24"/>
        </w:rPr>
        <w:t> Foundational courses in AI literacy, problem-solving, and sector-specific skills (e.g., agri-tech, renewable energy).</w:t>
      </w:r>
    </w:p>
    <w:p w14:paraId="4E78E82B" w14:textId="77777777" w:rsidR="006C2A35" w:rsidRPr="00EE51F0" w:rsidRDefault="006C2A35" w:rsidP="00EE51F0">
      <w:pPr>
        <w:pStyle w:val="NoSpacing"/>
        <w:rPr>
          <w:rFonts w:ascii="Times New Roman" w:hAnsi="Times New Roman" w:cs="Times New Roman"/>
          <w:sz w:val="24"/>
          <w:szCs w:val="24"/>
        </w:rPr>
      </w:pPr>
      <w:r w:rsidRPr="00EE51F0">
        <w:rPr>
          <w:rStyle w:val="Strong"/>
          <w:rFonts w:ascii="Times New Roman" w:hAnsi="Times New Roman" w:cs="Times New Roman"/>
          <w:color w:val="0F1115"/>
          <w:sz w:val="24"/>
          <w:szCs w:val="24"/>
        </w:rPr>
        <w:t>Earn:</w:t>
      </w:r>
      <w:r w:rsidRPr="00EE51F0">
        <w:rPr>
          <w:rFonts w:ascii="Times New Roman" w:hAnsi="Times New Roman" w:cs="Times New Roman"/>
          <w:sz w:val="24"/>
          <w:szCs w:val="24"/>
        </w:rPr>
        <w:t> 12-month paid apprenticeship with a partner company or within an on-campus innovation lab working on live contracts.</w:t>
      </w:r>
    </w:p>
    <w:p w14:paraId="0F6F9C28" w14:textId="77777777" w:rsidR="006C2A35" w:rsidRPr="00EE51F0" w:rsidRDefault="006C2A35" w:rsidP="00EE51F0">
      <w:pPr>
        <w:pStyle w:val="NoSpacing"/>
        <w:rPr>
          <w:rFonts w:ascii="Times New Roman" w:hAnsi="Times New Roman" w:cs="Times New Roman"/>
          <w:sz w:val="24"/>
          <w:szCs w:val="24"/>
        </w:rPr>
      </w:pPr>
      <w:r w:rsidRPr="00EE51F0">
        <w:rPr>
          <w:rStyle w:val="Strong"/>
          <w:rFonts w:ascii="Times New Roman" w:hAnsi="Times New Roman" w:cs="Times New Roman"/>
          <w:color w:val="0F1115"/>
          <w:sz w:val="24"/>
          <w:szCs w:val="24"/>
        </w:rPr>
        <w:t>Launch:</w:t>
      </w:r>
      <w:r w:rsidRPr="00EE51F0">
        <w:rPr>
          <w:rFonts w:ascii="Times New Roman" w:hAnsi="Times New Roman" w:cs="Times New Roman"/>
          <w:sz w:val="24"/>
          <w:szCs w:val="24"/>
        </w:rPr>
        <w:t> Access to seed funding, mentorship, and incubation support to launch ventures or social enterprises.</w:t>
      </w:r>
    </w:p>
    <w:p w14:paraId="47C65889" w14:textId="77777777" w:rsidR="006C2A35" w:rsidRPr="00EE51F0" w:rsidRDefault="006C2A35" w:rsidP="00EE51F0">
      <w:pPr>
        <w:pStyle w:val="NoSpacing"/>
        <w:rPr>
          <w:rFonts w:ascii="Times New Roman" w:hAnsi="Times New Roman" w:cs="Times New Roman"/>
          <w:sz w:val="24"/>
          <w:szCs w:val="24"/>
        </w:rPr>
      </w:pPr>
      <w:r w:rsidRPr="00EE51F0">
        <w:rPr>
          <w:rStyle w:val="Strong"/>
          <w:rFonts w:ascii="Times New Roman" w:hAnsi="Times New Roman" w:cs="Times New Roman"/>
          <w:color w:val="0F1115"/>
          <w:sz w:val="24"/>
          <w:szCs w:val="24"/>
        </w:rPr>
        <w:t>Equity by Design:</w:t>
      </w:r>
    </w:p>
    <w:p w14:paraId="1F3F6DD7" w14:textId="77777777" w:rsidR="006C2A35" w:rsidRPr="00EE51F0" w:rsidRDefault="006C2A35" w:rsidP="00EE51F0">
      <w:pPr>
        <w:pStyle w:val="NoSpacing"/>
        <w:rPr>
          <w:rFonts w:ascii="Times New Roman" w:hAnsi="Times New Roman" w:cs="Times New Roman"/>
          <w:sz w:val="24"/>
          <w:szCs w:val="24"/>
        </w:rPr>
      </w:pPr>
      <w:r w:rsidRPr="00EE51F0">
        <w:rPr>
          <w:rFonts w:ascii="Times New Roman" w:hAnsi="Times New Roman" w:cs="Times New Roman"/>
          <w:sz w:val="24"/>
          <w:szCs w:val="24"/>
        </w:rPr>
        <w:t>Full scholarships for top 50% of admitted students from low-income backgrounds.</w:t>
      </w:r>
    </w:p>
    <w:p w14:paraId="5F65A46D" w14:textId="77777777" w:rsidR="006C2A35" w:rsidRPr="00EE51F0" w:rsidRDefault="006C2A35" w:rsidP="00EE51F0">
      <w:pPr>
        <w:pStyle w:val="NoSpacing"/>
        <w:rPr>
          <w:rFonts w:ascii="Times New Roman" w:hAnsi="Times New Roman" w:cs="Times New Roman"/>
          <w:sz w:val="24"/>
          <w:szCs w:val="24"/>
        </w:rPr>
      </w:pPr>
      <w:r w:rsidRPr="00EE51F0">
        <w:rPr>
          <w:rFonts w:ascii="Times New Roman" w:hAnsi="Times New Roman" w:cs="Times New Roman"/>
          <w:sz w:val="24"/>
          <w:szCs w:val="24"/>
        </w:rPr>
        <w:t>Local language support and digital literacy bootcamps for incoming students.</w:t>
      </w:r>
    </w:p>
    <w:p w14:paraId="5961C2D6" w14:textId="77777777" w:rsidR="006C2A35" w:rsidRPr="00EE51F0" w:rsidRDefault="006C2A35" w:rsidP="00EE51F0">
      <w:pPr>
        <w:pStyle w:val="NoSpacing"/>
        <w:rPr>
          <w:rFonts w:ascii="Times New Roman" w:hAnsi="Times New Roman" w:cs="Times New Roman"/>
          <w:sz w:val="24"/>
          <w:szCs w:val="24"/>
        </w:rPr>
      </w:pPr>
      <w:r w:rsidRPr="00EE51F0">
        <w:rPr>
          <w:rFonts w:ascii="Times New Roman" w:hAnsi="Times New Roman" w:cs="Times New Roman"/>
          <w:sz w:val="24"/>
          <w:szCs w:val="24"/>
        </w:rPr>
        <w:t>Focus on solving regional challenges (e.g., food security, telehealth), ensuring relevance and community impact.</w:t>
      </w:r>
    </w:p>
    <w:p w14:paraId="167C7266" w14:textId="77777777" w:rsidR="006C2A35" w:rsidRPr="00EE51F0" w:rsidRDefault="006C2A35" w:rsidP="00EE51F0">
      <w:pPr>
        <w:pStyle w:val="NoSpacing"/>
        <w:rPr>
          <w:rFonts w:ascii="Times New Roman" w:hAnsi="Times New Roman" w:cs="Times New Roman"/>
          <w:sz w:val="24"/>
          <w:szCs w:val="24"/>
        </w:rPr>
      </w:pPr>
      <w:r w:rsidRPr="00EE51F0">
        <w:rPr>
          <w:rStyle w:val="Strong"/>
          <w:rFonts w:ascii="Times New Roman" w:hAnsi="Times New Roman" w:cs="Times New Roman"/>
          <w:color w:val="0F1115"/>
          <w:sz w:val="24"/>
          <w:szCs w:val="24"/>
        </w:rPr>
        <w:t>Agility Outcomes:</w:t>
      </w:r>
    </w:p>
    <w:p w14:paraId="3F3D60B0" w14:textId="77777777" w:rsidR="006C2A35" w:rsidRPr="00EE51F0" w:rsidRDefault="006C2A35" w:rsidP="00EE51F0">
      <w:pPr>
        <w:pStyle w:val="NoSpacing"/>
        <w:rPr>
          <w:rFonts w:ascii="Times New Roman" w:hAnsi="Times New Roman" w:cs="Times New Roman"/>
          <w:sz w:val="24"/>
          <w:szCs w:val="24"/>
        </w:rPr>
      </w:pPr>
      <w:r w:rsidRPr="00EE51F0">
        <w:rPr>
          <w:rFonts w:ascii="Times New Roman" w:hAnsi="Times New Roman" w:cs="Times New Roman"/>
          <w:sz w:val="24"/>
          <w:szCs w:val="24"/>
        </w:rPr>
        <w:t>Graduates exit with not only a degree but a portfolio of real projects, professional networks, and in many cases, a startup prototype.</w:t>
      </w:r>
    </w:p>
    <w:p w14:paraId="30B30B2B" w14:textId="77777777" w:rsidR="006C2A35" w:rsidRPr="00EE51F0" w:rsidRDefault="006C2A35" w:rsidP="00EE51F0">
      <w:pPr>
        <w:pStyle w:val="NoSpacing"/>
        <w:rPr>
          <w:rFonts w:ascii="Times New Roman" w:hAnsi="Times New Roman" w:cs="Times New Roman"/>
          <w:sz w:val="24"/>
          <w:szCs w:val="24"/>
        </w:rPr>
      </w:pPr>
      <w:r w:rsidRPr="00EE51F0">
        <w:rPr>
          <w:rFonts w:ascii="Times New Roman" w:hAnsi="Times New Roman" w:cs="Times New Roman"/>
          <w:sz w:val="24"/>
          <w:szCs w:val="24"/>
        </w:rPr>
        <w:t>The model forces continuous adaptation—students pivot across technical, business, and ethical dimensions throughout the pathway.</w:t>
      </w:r>
    </w:p>
    <w:p w14:paraId="5FC0322F" w14:textId="77777777" w:rsidR="006C2A35" w:rsidRPr="00EE51F0" w:rsidRDefault="006C2A35" w:rsidP="00EE51F0">
      <w:pPr>
        <w:pStyle w:val="NoSpacing"/>
        <w:rPr>
          <w:rFonts w:ascii="Times New Roman" w:hAnsi="Times New Roman" w:cs="Times New Roman"/>
          <w:sz w:val="24"/>
          <w:szCs w:val="24"/>
        </w:rPr>
      </w:pPr>
    </w:p>
    <w:p w14:paraId="6B520C70" w14:textId="77777777" w:rsidR="00CA1EC1" w:rsidRPr="00EE51F0" w:rsidRDefault="00CA1EC1" w:rsidP="00EE51F0">
      <w:pPr>
        <w:pStyle w:val="NoSpacing"/>
        <w:rPr>
          <w:rFonts w:ascii="Times New Roman" w:hAnsi="Times New Roman" w:cs="Times New Roman"/>
          <w:sz w:val="24"/>
          <w:szCs w:val="24"/>
          <w:lang w:eastAsia="en-IN"/>
        </w:rPr>
      </w:pPr>
    </w:p>
    <w:p w14:paraId="45B41CF3" w14:textId="77777777" w:rsidR="00CA1EC1" w:rsidRPr="00EE51F0" w:rsidRDefault="00CA1EC1" w:rsidP="00EE51F0">
      <w:pPr>
        <w:pStyle w:val="NoSpacing"/>
        <w:rPr>
          <w:rFonts w:ascii="Times New Roman" w:eastAsia="Times New Roman" w:hAnsi="Times New Roman" w:cs="Times New Roman"/>
          <w:bCs/>
          <w:color w:val="0F1115"/>
          <w:sz w:val="24"/>
          <w:szCs w:val="24"/>
          <w:lang w:eastAsia="en-IN"/>
        </w:rPr>
      </w:pPr>
      <w:r w:rsidRPr="00EE51F0">
        <w:rPr>
          <w:rFonts w:ascii="Times New Roman" w:eastAsia="Times New Roman" w:hAnsi="Times New Roman" w:cs="Times New Roman"/>
          <w:bCs/>
          <w:color w:val="0F1115"/>
          <w:sz w:val="24"/>
          <w:szCs w:val="24"/>
          <w:lang w:eastAsia="en-IN"/>
        </w:rPr>
        <w:t>Table 2: The University Transformation Blueprint</w:t>
      </w:r>
    </w:p>
    <w:p w14:paraId="29C75E49" w14:textId="77777777" w:rsidR="006E1BE2" w:rsidRPr="00EE51F0" w:rsidRDefault="006E1BE2" w:rsidP="00EE51F0">
      <w:pPr>
        <w:pStyle w:val="NoSpacing"/>
        <w:rPr>
          <w:rFonts w:ascii="Times New Roman" w:hAnsi="Times New Roman" w:cs="Times New Roman"/>
          <w:sz w:val="24"/>
          <w:szCs w:val="24"/>
          <w:lang w:eastAsia="en-IN"/>
        </w:rPr>
      </w:pPr>
    </w:p>
    <w:p w14:paraId="6078DF59" w14:textId="77777777" w:rsidR="00CA1EC1" w:rsidRPr="00EE51F0" w:rsidRDefault="00CA1EC1"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 xml:space="preserve">This table </w:t>
      </w:r>
      <w:r w:rsidR="006E1BE2" w:rsidRPr="00EE51F0">
        <w:rPr>
          <w:rFonts w:ascii="Times New Roman" w:hAnsi="Times New Roman" w:cs="Times New Roman"/>
          <w:sz w:val="24"/>
          <w:szCs w:val="24"/>
          <w:lang w:eastAsia="en-IN"/>
        </w:rPr>
        <w:t>operationalises</w:t>
      </w:r>
      <w:r w:rsidRPr="00EE51F0">
        <w:rPr>
          <w:rFonts w:ascii="Times New Roman" w:hAnsi="Times New Roman" w:cs="Times New Roman"/>
          <w:sz w:val="24"/>
          <w:szCs w:val="24"/>
          <w:lang w:eastAsia="en-IN"/>
        </w:rPr>
        <w:t xml:space="preserve"> the predictions in Section 6 (Structural Shifts in Higher Education), providing a clear before-and-after blueprint for institutional change.</w:t>
      </w:r>
    </w:p>
    <w:p w14:paraId="181D4874" w14:textId="77777777" w:rsidR="006E1BE2" w:rsidRPr="00EE51F0" w:rsidRDefault="006E1BE2" w:rsidP="00EE51F0">
      <w:pPr>
        <w:pStyle w:val="NoSpacing"/>
        <w:rPr>
          <w:rFonts w:ascii="Times New Roman" w:hAnsi="Times New Roman" w:cs="Times New Roman"/>
          <w:sz w:val="24"/>
          <w:szCs w:val="24"/>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483"/>
        <w:gridCol w:w="2095"/>
        <w:gridCol w:w="3218"/>
        <w:gridCol w:w="2564"/>
      </w:tblGrid>
      <w:tr w:rsidR="00CA1EC1" w:rsidRPr="00EE51F0" w14:paraId="6752DE2B" w14:textId="77777777" w:rsidTr="00CA1EC1">
        <w:trPr>
          <w:tblHeader/>
        </w:trPr>
        <w:tc>
          <w:tcPr>
            <w:tcW w:w="0" w:type="auto"/>
            <w:tcBorders>
              <w:top w:val="nil"/>
            </w:tcBorders>
            <w:tcMar>
              <w:top w:w="150" w:type="dxa"/>
              <w:left w:w="0" w:type="dxa"/>
              <w:bottom w:w="150" w:type="dxa"/>
              <w:right w:w="240" w:type="dxa"/>
            </w:tcMar>
            <w:vAlign w:val="center"/>
            <w:hideMark/>
          </w:tcPr>
          <w:p w14:paraId="36714BEE" w14:textId="77777777" w:rsidR="00CA1EC1" w:rsidRPr="00EE51F0" w:rsidRDefault="00CA1EC1"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Institutional Dimension</w:t>
            </w:r>
          </w:p>
        </w:tc>
        <w:tc>
          <w:tcPr>
            <w:tcW w:w="0" w:type="auto"/>
            <w:tcBorders>
              <w:top w:val="nil"/>
            </w:tcBorders>
            <w:tcMar>
              <w:top w:w="150" w:type="dxa"/>
              <w:left w:w="240" w:type="dxa"/>
              <w:bottom w:w="150" w:type="dxa"/>
              <w:right w:w="240" w:type="dxa"/>
            </w:tcMar>
            <w:vAlign w:val="center"/>
            <w:hideMark/>
          </w:tcPr>
          <w:p w14:paraId="337AAF5F" w14:textId="77777777" w:rsidR="00CA1EC1" w:rsidRPr="00EE51F0" w:rsidRDefault="00CA1EC1"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Traditional Model (The "Transmitter")</w:t>
            </w:r>
          </w:p>
        </w:tc>
        <w:tc>
          <w:tcPr>
            <w:tcW w:w="0" w:type="auto"/>
            <w:tcBorders>
              <w:top w:val="nil"/>
            </w:tcBorders>
            <w:tcMar>
              <w:top w:w="150" w:type="dxa"/>
              <w:left w:w="240" w:type="dxa"/>
              <w:bottom w:w="150" w:type="dxa"/>
              <w:right w:w="240" w:type="dxa"/>
            </w:tcMar>
            <w:vAlign w:val="center"/>
            <w:hideMark/>
          </w:tcPr>
          <w:p w14:paraId="04A6950D" w14:textId="77777777" w:rsidR="00CA1EC1" w:rsidRPr="00EE51F0" w:rsidRDefault="00CA1EC1"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Reimagined 2026 Model (The "Hub &amp; Curator")</w:t>
            </w:r>
          </w:p>
        </w:tc>
        <w:tc>
          <w:tcPr>
            <w:tcW w:w="0" w:type="auto"/>
            <w:tcBorders>
              <w:top w:val="nil"/>
            </w:tcBorders>
            <w:tcMar>
              <w:top w:w="150" w:type="dxa"/>
              <w:left w:w="240" w:type="dxa"/>
              <w:bottom w:w="150" w:type="dxa"/>
              <w:right w:w="240" w:type="dxa"/>
            </w:tcMar>
            <w:vAlign w:val="center"/>
            <w:hideMark/>
          </w:tcPr>
          <w:p w14:paraId="05B0B66B" w14:textId="77777777" w:rsidR="00CA1EC1" w:rsidRPr="00EE51F0" w:rsidRDefault="00CA1EC1"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Key Actions for Transition</w:t>
            </w:r>
          </w:p>
        </w:tc>
      </w:tr>
      <w:tr w:rsidR="00CA1EC1" w:rsidRPr="00EE51F0" w14:paraId="4B46C9A1" w14:textId="77777777" w:rsidTr="00CA1EC1">
        <w:tc>
          <w:tcPr>
            <w:tcW w:w="0" w:type="auto"/>
            <w:tcMar>
              <w:top w:w="150" w:type="dxa"/>
              <w:left w:w="0" w:type="dxa"/>
              <w:bottom w:w="150" w:type="dxa"/>
              <w:right w:w="240" w:type="dxa"/>
            </w:tcMar>
            <w:vAlign w:val="center"/>
            <w:hideMark/>
          </w:tcPr>
          <w:p w14:paraId="7121F368" w14:textId="77777777" w:rsidR="00CA1EC1" w:rsidRPr="00EE51F0" w:rsidRDefault="00CA1EC1" w:rsidP="00EE51F0">
            <w:pPr>
              <w:pStyle w:val="NoSpacing"/>
              <w:rPr>
                <w:rFonts w:ascii="Times New Roman" w:hAnsi="Times New Roman" w:cs="Times New Roman"/>
                <w:sz w:val="24"/>
                <w:szCs w:val="24"/>
                <w:lang w:eastAsia="en-IN"/>
              </w:rPr>
            </w:pPr>
            <w:r w:rsidRPr="00EE51F0">
              <w:rPr>
                <w:rFonts w:ascii="Times New Roman" w:hAnsi="Times New Roman" w:cs="Times New Roman"/>
                <w:bCs/>
                <w:sz w:val="24"/>
                <w:szCs w:val="24"/>
                <w:lang w:eastAsia="en-IN"/>
              </w:rPr>
              <w:t>Primary Purpose &amp; Identity</w:t>
            </w:r>
          </w:p>
        </w:tc>
        <w:tc>
          <w:tcPr>
            <w:tcW w:w="0" w:type="auto"/>
            <w:tcMar>
              <w:top w:w="150" w:type="dxa"/>
              <w:left w:w="240" w:type="dxa"/>
              <w:bottom w:w="150" w:type="dxa"/>
              <w:right w:w="240" w:type="dxa"/>
            </w:tcMar>
            <w:vAlign w:val="center"/>
            <w:hideMark/>
          </w:tcPr>
          <w:p w14:paraId="3E83CA2D" w14:textId="77777777" w:rsidR="00CA1EC1" w:rsidRPr="00EE51F0" w:rsidRDefault="00CA1EC1"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Certifier of knowledge and academic credential.</w:t>
            </w:r>
          </w:p>
        </w:tc>
        <w:tc>
          <w:tcPr>
            <w:tcW w:w="0" w:type="auto"/>
            <w:tcMar>
              <w:top w:w="150" w:type="dxa"/>
              <w:left w:w="240" w:type="dxa"/>
              <w:bottom w:w="150" w:type="dxa"/>
              <w:right w:w="240" w:type="dxa"/>
            </w:tcMar>
            <w:vAlign w:val="center"/>
            <w:hideMark/>
          </w:tcPr>
          <w:p w14:paraId="60F001AE" w14:textId="77777777" w:rsidR="00CA1EC1" w:rsidRPr="00EE51F0" w:rsidRDefault="00CA1EC1" w:rsidP="00EE51F0">
            <w:pPr>
              <w:pStyle w:val="NoSpacing"/>
              <w:rPr>
                <w:rFonts w:ascii="Times New Roman" w:hAnsi="Times New Roman" w:cs="Times New Roman"/>
                <w:sz w:val="24"/>
                <w:szCs w:val="24"/>
                <w:lang w:eastAsia="en-IN"/>
              </w:rPr>
            </w:pPr>
            <w:r w:rsidRPr="00EE51F0">
              <w:rPr>
                <w:rFonts w:ascii="Times New Roman" w:hAnsi="Times New Roman" w:cs="Times New Roman"/>
                <w:bCs/>
                <w:sz w:val="24"/>
                <w:szCs w:val="24"/>
                <w:lang w:eastAsia="en-IN"/>
              </w:rPr>
              <w:t>Curator of adaptive experiences</w:t>
            </w:r>
            <w:r w:rsidRPr="00EE51F0">
              <w:rPr>
                <w:rFonts w:ascii="Times New Roman" w:hAnsi="Times New Roman" w:cs="Times New Roman"/>
                <w:sz w:val="24"/>
                <w:szCs w:val="24"/>
                <w:lang w:eastAsia="en-IN"/>
              </w:rPr>
              <w:t> and catalyst for regional economic innovation.</w:t>
            </w:r>
          </w:p>
        </w:tc>
        <w:tc>
          <w:tcPr>
            <w:tcW w:w="0" w:type="auto"/>
            <w:tcMar>
              <w:top w:w="150" w:type="dxa"/>
              <w:left w:w="240" w:type="dxa"/>
              <w:bottom w:w="150" w:type="dxa"/>
              <w:right w:w="0" w:type="dxa"/>
            </w:tcMar>
            <w:vAlign w:val="center"/>
            <w:hideMark/>
          </w:tcPr>
          <w:p w14:paraId="727D482D" w14:textId="77777777" w:rsidR="00CA1EC1" w:rsidRPr="00EE51F0" w:rsidRDefault="00CA1EC1"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Forge deep, structural partnerships with industry to co-create "live" projects and challenge briefs.</w:t>
            </w:r>
          </w:p>
        </w:tc>
      </w:tr>
      <w:tr w:rsidR="00CA1EC1" w:rsidRPr="00EE51F0" w14:paraId="7C94E705" w14:textId="77777777" w:rsidTr="00CA1EC1">
        <w:tc>
          <w:tcPr>
            <w:tcW w:w="0" w:type="auto"/>
            <w:tcMar>
              <w:top w:w="150" w:type="dxa"/>
              <w:left w:w="0" w:type="dxa"/>
              <w:bottom w:w="150" w:type="dxa"/>
              <w:right w:w="240" w:type="dxa"/>
            </w:tcMar>
            <w:vAlign w:val="center"/>
            <w:hideMark/>
          </w:tcPr>
          <w:p w14:paraId="75B1F2E3" w14:textId="77777777" w:rsidR="00CA1EC1" w:rsidRPr="00EE51F0" w:rsidRDefault="00CA1EC1" w:rsidP="00EE51F0">
            <w:pPr>
              <w:pStyle w:val="NoSpacing"/>
              <w:rPr>
                <w:rFonts w:ascii="Times New Roman" w:hAnsi="Times New Roman" w:cs="Times New Roman"/>
                <w:sz w:val="24"/>
                <w:szCs w:val="24"/>
                <w:lang w:eastAsia="en-IN"/>
              </w:rPr>
            </w:pPr>
            <w:r w:rsidRPr="00EE51F0">
              <w:rPr>
                <w:rFonts w:ascii="Times New Roman" w:hAnsi="Times New Roman" w:cs="Times New Roman"/>
                <w:bCs/>
                <w:sz w:val="24"/>
                <w:szCs w:val="24"/>
                <w:lang w:eastAsia="en-IN"/>
              </w:rPr>
              <w:t>Core Pedagogy &amp; Delivery</w:t>
            </w:r>
          </w:p>
        </w:tc>
        <w:tc>
          <w:tcPr>
            <w:tcW w:w="0" w:type="auto"/>
            <w:tcMar>
              <w:top w:w="150" w:type="dxa"/>
              <w:left w:w="240" w:type="dxa"/>
              <w:bottom w:w="150" w:type="dxa"/>
              <w:right w:w="240" w:type="dxa"/>
            </w:tcMar>
            <w:vAlign w:val="center"/>
            <w:hideMark/>
          </w:tcPr>
          <w:p w14:paraId="46BFE0A8" w14:textId="77777777" w:rsidR="00CA1EC1" w:rsidRPr="00EE51F0" w:rsidRDefault="00CA1EC1"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Lecture-based instruction, fixed curriculum, standardized testing.</w:t>
            </w:r>
          </w:p>
        </w:tc>
        <w:tc>
          <w:tcPr>
            <w:tcW w:w="0" w:type="auto"/>
            <w:tcMar>
              <w:top w:w="150" w:type="dxa"/>
              <w:left w:w="240" w:type="dxa"/>
              <w:bottom w:w="150" w:type="dxa"/>
              <w:right w:w="240" w:type="dxa"/>
            </w:tcMar>
            <w:vAlign w:val="center"/>
            <w:hideMark/>
          </w:tcPr>
          <w:p w14:paraId="4A1A5FFA" w14:textId="77777777" w:rsidR="00CA1EC1" w:rsidRPr="00EE51F0" w:rsidRDefault="00CA1EC1" w:rsidP="00EE51F0">
            <w:pPr>
              <w:pStyle w:val="NoSpacing"/>
              <w:rPr>
                <w:rFonts w:ascii="Times New Roman" w:hAnsi="Times New Roman" w:cs="Times New Roman"/>
                <w:sz w:val="24"/>
                <w:szCs w:val="24"/>
                <w:lang w:eastAsia="en-IN"/>
              </w:rPr>
            </w:pPr>
            <w:r w:rsidRPr="00EE51F0">
              <w:rPr>
                <w:rFonts w:ascii="Times New Roman" w:hAnsi="Times New Roman" w:cs="Times New Roman"/>
                <w:bCs/>
                <w:sz w:val="24"/>
                <w:szCs w:val="24"/>
                <w:lang w:eastAsia="en-IN"/>
              </w:rPr>
              <w:t>Apprenticeship &amp; immersive models;</w:t>
            </w:r>
            <w:r w:rsidRPr="00EE51F0">
              <w:rPr>
                <w:rFonts w:ascii="Times New Roman" w:hAnsi="Times New Roman" w:cs="Times New Roman"/>
                <w:sz w:val="24"/>
                <w:szCs w:val="24"/>
                <w:lang w:eastAsia="en-IN"/>
              </w:rPr>
              <w:t> Interdisciplinary, project-based learning.</w:t>
            </w:r>
          </w:p>
        </w:tc>
        <w:tc>
          <w:tcPr>
            <w:tcW w:w="0" w:type="auto"/>
            <w:tcMar>
              <w:top w:w="150" w:type="dxa"/>
              <w:left w:w="240" w:type="dxa"/>
              <w:bottom w:w="150" w:type="dxa"/>
              <w:right w:w="0" w:type="dxa"/>
            </w:tcMar>
            <w:vAlign w:val="center"/>
            <w:hideMark/>
          </w:tcPr>
          <w:p w14:paraId="70E0D694" w14:textId="77777777" w:rsidR="00CA1EC1" w:rsidRPr="00EE51F0" w:rsidRDefault="00CA1EC1"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Replace a significant portion of standard exams with iterative project portfolios, simulations, and performance-based assessments.</w:t>
            </w:r>
          </w:p>
        </w:tc>
      </w:tr>
      <w:tr w:rsidR="00CA1EC1" w:rsidRPr="00EE51F0" w14:paraId="38EADB3D" w14:textId="77777777" w:rsidTr="00CA1EC1">
        <w:tc>
          <w:tcPr>
            <w:tcW w:w="0" w:type="auto"/>
            <w:tcMar>
              <w:top w:w="150" w:type="dxa"/>
              <w:left w:w="0" w:type="dxa"/>
              <w:bottom w:w="150" w:type="dxa"/>
              <w:right w:w="240" w:type="dxa"/>
            </w:tcMar>
            <w:vAlign w:val="center"/>
            <w:hideMark/>
          </w:tcPr>
          <w:p w14:paraId="776FA35F" w14:textId="77777777" w:rsidR="00CA1EC1" w:rsidRPr="00EE51F0" w:rsidRDefault="00CA1EC1" w:rsidP="00EE51F0">
            <w:pPr>
              <w:pStyle w:val="NoSpacing"/>
              <w:rPr>
                <w:rFonts w:ascii="Times New Roman" w:hAnsi="Times New Roman" w:cs="Times New Roman"/>
                <w:sz w:val="24"/>
                <w:szCs w:val="24"/>
                <w:lang w:eastAsia="en-IN"/>
              </w:rPr>
            </w:pPr>
            <w:r w:rsidRPr="00EE51F0">
              <w:rPr>
                <w:rFonts w:ascii="Times New Roman" w:hAnsi="Times New Roman" w:cs="Times New Roman"/>
                <w:bCs/>
                <w:sz w:val="24"/>
                <w:szCs w:val="24"/>
                <w:lang w:eastAsia="en-IN"/>
              </w:rPr>
              <w:t>Key Success Metrics</w:t>
            </w:r>
          </w:p>
        </w:tc>
        <w:tc>
          <w:tcPr>
            <w:tcW w:w="0" w:type="auto"/>
            <w:tcMar>
              <w:top w:w="150" w:type="dxa"/>
              <w:left w:w="240" w:type="dxa"/>
              <w:bottom w:w="150" w:type="dxa"/>
              <w:right w:w="240" w:type="dxa"/>
            </w:tcMar>
            <w:vAlign w:val="center"/>
            <w:hideMark/>
          </w:tcPr>
          <w:p w14:paraId="10DB7DC2" w14:textId="77777777" w:rsidR="00CA1EC1" w:rsidRPr="00EE51F0" w:rsidRDefault="00CA1EC1"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Grades, graduation rates, research publication volume.</w:t>
            </w:r>
          </w:p>
        </w:tc>
        <w:tc>
          <w:tcPr>
            <w:tcW w:w="0" w:type="auto"/>
            <w:tcMar>
              <w:top w:w="150" w:type="dxa"/>
              <w:left w:w="240" w:type="dxa"/>
              <w:bottom w:w="150" w:type="dxa"/>
              <w:right w:w="240" w:type="dxa"/>
            </w:tcMar>
            <w:vAlign w:val="center"/>
            <w:hideMark/>
          </w:tcPr>
          <w:p w14:paraId="4F7433E6" w14:textId="77777777" w:rsidR="00CA1EC1" w:rsidRPr="00EE51F0" w:rsidRDefault="00CA1EC1" w:rsidP="00EE51F0">
            <w:pPr>
              <w:pStyle w:val="NoSpacing"/>
              <w:rPr>
                <w:rFonts w:ascii="Times New Roman" w:hAnsi="Times New Roman" w:cs="Times New Roman"/>
                <w:sz w:val="24"/>
                <w:szCs w:val="24"/>
                <w:lang w:eastAsia="en-IN"/>
              </w:rPr>
            </w:pPr>
            <w:r w:rsidRPr="00EE51F0">
              <w:rPr>
                <w:rFonts w:ascii="Times New Roman" w:hAnsi="Times New Roman" w:cs="Times New Roman"/>
                <w:bCs/>
                <w:sz w:val="24"/>
                <w:szCs w:val="24"/>
                <w:lang w:eastAsia="en-IN"/>
              </w:rPr>
              <w:t>Startup/IP creation;</w:t>
            </w:r>
            <w:r w:rsidRPr="00EE51F0">
              <w:rPr>
                <w:rFonts w:ascii="Times New Roman" w:hAnsi="Times New Roman" w:cs="Times New Roman"/>
                <w:sz w:val="24"/>
                <w:szCs w:val="24"/>
                <w:lang w:eastAsia="en-IN"/>
              </w:rPr>
              <w:t> skill agility indices; graduate impact on real-world problems.</w:t>
            </w:r>
          </w:p>
        </w:tc>
        <w:tc>
          <w:tcPr>
            <w:tcW w:w="0" w:type="auto"/>
            <w:tcMar>
              <w:top w:w="150" w:type="dxa"/>
              <w:left w:w="240" w:type="dxa"/>
              <w:bottom w:w="150" w:type="dxa"/>
              <w:right w:w="0" w:type="dxa"/>
            </w:tcMar>
            <w:vAlign w:val="center"/>
            <w:hideMark/>
          </w:tcPr>
          <w:p w14:paraId="37F7CFC7" w14:textId="77777777" w:rsidR="00CA1EC1" w:rsidRPr="00EE51F0" w:rsidRDefault="00CA1EC1"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Create incentives and revise promotion criteria to reward faculty and student entrepreneurship, project commercialization, and community partnership.</w:t>
            </w:r>
          </w:p>
        </w:tc>
      </w:tr>
      <w:tr w:rsidR="00CA1EC1" w:rsidRPr="00EE51F0" w14:paraId="20FFE859" w14:textId="77777777" w:rsidTr="00CA1EC1">
        <w:tc>
          <w:tcPr>
            <w:tcW w:w="0" w:type="auto"/>
            <w:tcMar>
              <w:top w:w="150" w:type="dxa"/>
              <w:left w:w="0" w:type="dxa"/>
              <w:bottom w:w="150" w:type="dxa"/>
              <w:right w:w="240" w:type="dxa"/>
            </w:tcMar>
            <w:vAlign w:val="center"/>
            <w:hideMark/>
          </w:tcPr>
          <w:p w14:paraId="24E973C0" w14:textId="77777777" w:rsidR="00CA1EC1" w:rsidRPr="00EE51F0" w:rsidRDefault="00CA1EC1" w:rsidP="00EE51F0">
            <w:pPr>
              <w:pStyle w:val="NoSpacing"/>
              <w:rPr>
                <w:rFonts w:ascii="Times New Roman" w:hAnsi="Times New Roman" w:cs="Times New Roman"/>
                <w:sz w:val="24"/>
                <w:szCs w:val="24"/>
                <w:lang w:eastAsia="en-IN"/>
              </w:rPr>
            </w:pPr>
            <w:r w:rsidRPr="00EE51F0">
              <w:rPr>
                <w:rFonts w:ascii="Times New Roman" w:hAnsi="Times New Roman" w:cs="Times New Roman"/>
                <w:bCs/>
                <w:sz w:val="24"/>
                <w:szCs w:val="24"/>
                <w:lang w:eastAsia="en-IN"/>
              </w:rPr>
              <w:t>Posture Towards Technology &amp; AI</w:t>
            </w:r>
          </w:p>
        </w:tc>
        <w:tc>
          <w:tcPr>
            <w:tcW w:w="0" w:type="auto"/>
            <w:tcMar>
              <w:top w:w="150" w:type="dxa"/>
              <w:left w:w="240" w:type="dxa"/>
              <w:bottom w:w="150" w:type="dxa"/>
              <w:right w:w="240" w:type="dxa"/>
            </w:tcMar>
            <w:vAlign w:val="center"/>
            <w:hideMark/>
          </w:tcPr>
          <w:p w14:paraId="2B0A5642" w14:textId="77777777" w:rsidR="00CA1EC1" w:rsidRPr="00EE51F0" w:rsidRDefault="00CA1EC1"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Ad-hoc, often reactive tool adoption; focus on policing academic integrity.</w:t>
            </w:r>
          </w:p>
        </w:tc>
        <w:tc>
          <w:tcPr>
            <w:tcW w:w="0" w:type="auto"/>
            <w:tcMar>
              <w:top w:w="150" w:type="dxa"/>
              <w:left w:w="240" w:type="dxa"/>
              <w:bottom w:w="150" w:type="dxa"/>
              <w:right w:w="240" w:type="dxa"/>
            </w:tcMar>
            <w:vAlign w:val="center"/>
            <w:hideMark/>
          </w:tcPr>
          <w:p w14:paraId="469BDCB8" w14:textId="77777777" w:rsidR="00CA1EC1" w:rsidRPr="00EE51F0" w:rsidRDefault="00CA1EC1" w:rsidP="00EE51F0">
            <w:pPr>
              <w:pStyle w:val="NoSpacing"/>
              <w:rPr>
                <w:rFonts w:ascii="Times New Roman" w:hAnsi="Times New Roman" w:cs="Times New Roman"/>
                <w:sz w:val="24"/>
                <w:szCs w:val="24"/>
                <w:lang w:eastAsia="en-IN"/>
              </w:rPr>
            </w:pPr>
            <w:r w:rsidRPr="00EE51F0">
              <w:rPr>
                <w:rFonts w:ascii="Times New Roman" w:hAnsi="Times New Roman" w:cs="Times New Roman"/>
                <w:bCs/>
                <w:sz w:val="24"/>
                <w:szCs w:val="24"/>
                <w:lang w:eastAsia="en-IN"/>
              </w:rPr>
              <w:t>"AI-First" literacy</w:t>
            </w:r>
            <w:r w:rsidRPr="00EE51F0">
              <w:rPr>
                <w:rFonts w:ascii="Times New Roman" w:hAnsi="Times New Roman" w:cs="Times New Roman"/>
                <w:sz w:val="24"/>
                <w:szCs w:val="24"/>
                <w:lang w:eastAsia="en-IN"/>
              </w:rPr>
              <w:t> strategically embedded across all programs; focus on responsible and critical use.</w:t>
            </w:r>
          </w:p>
        </w:tc>
        <w:tc>
          <w:tcPr>
            <w:tcW w:w="0" w:type="auto"/>
            <w:tcMar>
              <w:top w:w="150" w:type="dxa"/>
              <w:left w:w="240" w:type="dxa"/>
              <w:bottom w:w="150" w:type="dxa"/>
              <w:right w:w="0" w:type="dxa"/>
            </w:tcMar>
            <w:vAlign w:val="center"/>
            <w:hideMark/>
          </w:tcPr>
          <w:p w14:paraId="646F6844" w14:textId="77777777" w:rsidR="00CA1EC1" w:rsidRPr="00EE51F0" w:rsidRDefault="00CA1EC1"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Develop and publicly adopt an institutional AI ethics framework. Invest in faculty development for "AI-augmented teaching."</w:t>
            </w:r>
          </w:p>
        </w:tc>
      </w:tr>
    </w:tbl>
    <w:p w14:paraId="14816A89" w14:textId="77777777" w:rsidR="007938A6" w:rsidRPr="00EE51F0" w:rsidRDefault="007938A6" w:rsidP="00EE51F0">
      <w:pPr>
        <w:pStyle w:val="NoSpacing"/>
        <w:rPr>
          <w:rFonts w:ascii="Times New Roman" w:hAnsi="Times New Roman" w:cs="Times New Roman"/>
          <w:sz w:val="24"/>
          <w:szCs w:val="24"/>
          <w:lang w:eastAsia="en-IN"/>
        </w:rPr>
      </w:pPr>
    </w:p>
    <w:p w14:paraId="43E0D932" w14:textId="41D6C601" w:rsidR="002F69E6" w:rsidRPr="00EE51F0" w:rsidRDefault="00940E34"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8</w:t>
      </w:r>
      <w:r w:rsidR="002F69E6" w:rsidRPr="00EE51F0">
        <w:rPr>
          <w:rFonts w:ascii="Times New Roman" w:hAnsi="Times New Roman" w:cs="Times New Roman"/>
          <w:sz w:val="24"/>
          <w:szCs w:val="24"/>
          <w:lang w:eastAsia="en-IN"/>
        </w:rPr>
        <w:t>. Results:</w:t>
      </w:r>
    </w:p>
    <w:p w14:paraId="4352C3DB" w14:textId="77777777" w:rsidR="00462880" w:rsidRDefault="00462880" w:rsidP="00EE51F0">
      <w:pPr>
        <w:pStyle w:val="NoSpacing"/>
        <w:rPr>
          <w:rStyle w:val="Strong"/>
          <w:rFonts w:ascii="Times New Roman" w:hAnsi="Times New Roman" w:cs="Times New Roman"/>
          <w:b w:val="0"/>
          <w:color w:val="0F1115"/>
          <w:sz w:val="24"/>
          <w:szCs w:val="24"/>
        </w:rPr>
      </w:pPr>
    </w:p>
    <w:p w14:paraId="25AC24B1" w14:textId="5E2EC545" w:rsidR="005F2BB7" w:rsidRPr="00EE51F0" w:rsidRDefault="002F69E6" w:rsidP="00EE51F0">
      <w:pPr>
        <w:pStyle w:val="NoSpacing"/>
        <w:rPr>
          <w:rFonts w:ascii="Times New Roman" w:hAnsi="Times New Roman" w:cs="Times New Roman"/>
          <w:bCs/>
          <w:color w:val="0F1115"/>
          <w:sz w:val="24"/>
          <w:szCs w:val="24"/>
        </w:rPr>
      </w:pPr>
      <w:r w:rsidRPr="00EE51F0">
        <w:rPr>
          <w:rStyle w:val="Strong"/>
          <w:rFonts w:ascii="Times New Roman" w:hAnsi="Times New Roman" w:cs="Times New Roman"/>
          <w:b w:val="0"/>
          <w:color w:val="0F1115"/>
          <w:sz w:val="24"/>
          <w:szCs w:val="24"/>
        </w:rPr>
        <w:t xml:space="preserve">Validation </w:t>
      </w:r>
      <w:r w:rsidR="005F2BB7" w:rsidRPr="00EE51F0">
        <w:rPr>
          <w:rFonts w:ascii="Times New Roman" w:hAnsi="Times New Roman" w:cs="Times New Roman"/>
          <w:bCs/>
          <w:color w:val="0F1115"/>
          <w:sz w:val="24"/>
          <w:szCs w:val="24"/>
        </w:rPr>
        <w:t xml:space="preserve">The findings derived from this predictive analysis reveal strong early validation of the study’s core propositions within both corporate Learning and Development (L&amp;D) environments </w:t>
      </w:r>
      <w:r w:rsidR="005F2BB7" w:rsidRPr="00EE51F0">
        <w:rPr>
          <w:rFonts w:ascii="Times New Roman" w:hAnsi="Times New Roman" w:cs="Times New Roman"/>
          <w:bCs/>
          <w:color w:val="0F1115"/>
          <w:sz w:val="24"/>
          <w:szCs w:val="24"/>
        </w:rPr>
        <w:lastRenderedPageBreak/>
        <w:t>and higher education settings. These contexts serve as leading indicators of broader educational transformation, illustrating how artificial intelligence is already reshaping learning systems in ways that foreground adaptability, personalization, and human-</w:t>
      </w:r>
      <w:proofErr w:type="spellStart"/>
      <w:r w:rsidR="005F2BB7" w:rsidRPr="00EE51F0">
        <w:rPr>
          <w:rFonts w:ascii="Times New Roman" w:hAnsi="Times New Roman" w:cs="Times New Roman"/>
          <w:bCs/>
          <w:color w:val="0F1115"/>
          <w:sz w:val="24"/>
          <w:szCs w:val="24"/>
        </w:rPr>
        <w:t>centered</w:t>
      </w:r>
      <w:proofErr w:type="spellEnd"/>
      <w:r w:rsidR="005F2BB7" w:rsidRPr="00EE51F0">
        <w:rPr>
          <w:rFonts w:ascii="Times New Roman" w:hAnsi="Times New Roman" w:cs="Times New Roman"/>
          <w:bCs/>
          <w:color w:val="0F1115"/>
          <w:sz w:val="24"/>
          <w:szCs w:val="24"/>
        </w:rPr>
        <w:t xml:space="preserve"> skill development.</w:t>
      </w:r>
    </w:p>
    <w:p w14:paraId="58086F7E" w14:textId="77777777" w:rsidR="005F2BB7" w:rsidRPr="00EE51F0" w:rsidRDefault="005F2BB7" w:rsidP="00EE51F0">
      <w:pPr>
        <w:pStyle w:val="NoSpacing"/>
        <w:rPr>
          <w:rFonts w:ascii="Times New Roman" w:hAnsi="Times New Roman" w:cs="Times New Roman"/>
          <w:color w:val="0F1115"/>
          <w:sz w:val="24"/>
          <w:szCs w:val="24"/>
        </w:rPr>
      </w:pPr>
      <w:r w:rsidRPr="00EE51F0">
        <w:rPr>
          <w:rFonts w:ascii="Times New Roman" w:hAnsi="Times New Roman" w:cs="Times New Roman"/>
          <w:color w:val="0F1115"/>
          <w:sz w:val="24"/>
          <w:szCs w:val="24"/>
        </w:rPr>
        <w:t>8.1 Validation from Corporate Learning and Development</w:t>
      </w:r>
    </w:p>
    <w:p w14:paraId="56AA22C4" w14:textId="77777777" w:rsidR="005F2BB7" w:rsidRPr="00EE51F0" w:rsidRDefault="005F2BB7" w:rsidP="00EE51F0">
      <w:pPr>
        <w:pStyle w:val="NoSpacing"/>
        <w:rPr>
          <w:rFonts w:ascii="Times New Roman" w:hAnsi="Times New Roman" w:cs="Times New Roman"/>
          <w:bCs/>
          <w:color w:val="0F1115"/>
          <w:sz w:val="24"/>
          <w:szCs w:val="24"/>
        </w:rPr>
      </w:pPr>
      <w:r w:rsidRPr="00EE51F0">
        <w:rPr>
          <w:rFonts w:ascii="Times New Roman" w:hAnsi="Times New Roman" w:cs="Times New Roman"/>
          <w:bCs/>
          <w:color w:val="0F1115"/>
          <w:sz w:val="24"/>
          <w:szCs w:val="24"/>
        </w:rPr>
        <w:t>Within corporate L&amp;D ecosystems, the integration of AI has produced measurable shifts in how learning is designed, delivered, and evaluated. One prominent result is the role of AI as a content multiplier. Automated content generation tools now support rapid drafting of learning materials, video production, scenario creation, and assessment items. This has significantly reduced development cycles and operational costs, allowing L&amp;D professionals to redirect effort toward higher-order functions such as capability mapping, performance alignment, and strategic workforce planning. Rather than diminishing the role of learning professionals, AI has elevated their focus from content production to impact optimization.</w:t>
      </w:r>
    </w:p>
    <w:p w14:paraId="5804ABEB" w14:textId="77777777" w:rsidR="005F2BB7" w:rsidRPr="00EE51F0" w:rsidRDefault="005F2BB7" w:rsidP="00EE51F0">
      <w:pPr>
        <w:pStyle w:val="NoSpacing"/>
        <w:rPr>
          <w:rFonts w:ascii="Times New Roman" w:hAnsi="Times New Roman" w:cs="Times New Roman"/>
          <w:bCs/>
          <w:color w:val="0F1115"/>
          <w:sz w:val="24"/>
          <w:szCs w:val="24"/>
        </w:rPr>
      </w:pPr>
      <w:r w:rsidRPr="00EE51F0">
        <w:rPr>
          <w:rFonts w:ascii="Times New Roman" w:hAnsi="Times New Roman" w:cs="Times New Roman"/>
          <w:bCs/>
          <w:color w:val="0F1115"/>
          <w:sz w:val="24"/>
          <w:szCs w:val="24"/>
        </w:rPr>
        <w:t>A second key result is the operationalization of “learning in the flow of work.” AI-powered systems increasingly deliver real-time, task-embedded learning support, including adaptive sales prompts, leadership coaching simulations, and context-sensitive decision aids. This integration dissolves the traditional boundary between learning and working, enabling continuous, situational learning that responds dynamically to performance demands. Such models reinforce learning agility by supporting immediate application, feedback, and iterative improvement within authentic work contexts.</w:t>
      </w:r>
    </w:p>
    <w:p w14:paraId="464433BB" w14:textId="77777777" w:rsidR="005F2BB7" w:rsidRPr="00EE51F0" w:rsidRDefault="005F2BB7" w:rsidP="00EE51F0">
      <w:pPr>
        <w:pStyle w:val="NoSpacing"/>
        <w:rPr>
          <w:rFonts w:ascii="Times New Roman" w:hAnsi="Times New Roman" w:cs="Times New Roman"/>
          <w:bCs/>
          <w:color w:val="0F1115"/>
          <w:sz w:val="24"/>
          <w:szCs w:val="24"/>
        </w:rPr>
      </w:pPr>
      <w:r w:rsidRPr="00EE51F0">
        <w:rPr>
          <w:rFonts w:ascii="Times New Roman" w:hAnsi="Times New Roman" w:cs="Times New Roman"/>
          <w:bCs/>
          <w:color w:val="0F1115"/>
          <w:sz w:val="24"/>
          <w:szCs w:val="24"/>
        </w:rPr>
        <w:t>Another significant outcome is the emergence of hyper-personalization at scale. AI-driven learning platforms now adjust content sequencing, difficulty levels, and learning modalities in real time based on individual performance data, role requirements, and learner preferences. This marks a shift away from standardized training programs toward adaptive learning architectures that treat learners as dynamic agents rather than passive recipients. These systems provide empirical support for the paper’s assertion that adaptability, rather than static knowledge acquisition, is becoming the dominant learning objective.</w:t>
      </w:r>
    </w:p>
    <w:p w14:paraId="41817336" w14:textId="77777777" w:rsidR="005F2BB7" w:rsidRPr="00EE51F0" w:rsidRDefault="005F2BB7" w:rsidP="00EE51F0">
      <w:pPr>
        <w:pStyle w:val="NoSpacing"/>
        <w:rPr>
          <w:rFonts w:ascii="Times New Roman" w:hAnsi="Times New Roman" w:cs="Times New Roman"/>
          <w:color w:val="0F1115"/>
          <w:sz w:val="24"/>
          <w:szCs w:val="24"/>
        </w:rPr>
      </w:pPr>
      <w:r w:rsidRPr="00EE51F0">
        <w:rPr>
          <w:rFonts w:ascii="Times New Roman" w:hAnsi="Times New Roman" w:cs="Times New Roman"/>
          <w:color w:val="0F1115"/>
          <w:sz w:val="24"/>
          <w:szCs w:val="24"/>
        </w:rPr>
        <w:t>8.2 Emerging Shifts in Higher Education Practice</w:t>
      </w:r>
    </w:p>
    <w:p w14:paraId="1E2DB623" w14:textId="77777777" w:rsidR="005F2BB7" w:rsidRPr="00EE51F0" w:rsidRDefault="005F2BB7" w:rsidP="00EE51F0">
      <w:pPr>
        <w:pStyle w:val="NoSpacing"/>
        <w:rPr>
          <w:rFonts w:ascii="Times New Roman" w:hAnsi="Times New Roman" w:cs="Times New Roman"/>
          <w:bCs/>
          <w:color w:val="0F1115"/>
          <w:sz w:val="24"/>
          <w:szCs w:val="24"/>
        </w:rPr>
      </w:pPr>
      <w:r w:rsidRPr="00EE51F0">
        <w:rPr>
          <w:rFonts w:ascii="Times New Roman" w:hAnsi="Times New Roman" w:cs="Times New Roman"/>
          <w:bCs/>
          <w:color w:val="0F1115"/>
          <w:sz w:val="24"/>
          <w:szCs w:val="24"/>
        </w:rPr>
        <w:t>Comparable shifts are increasingly evident within higher education institutions, although at varying stages of adoption. One notable result is the rise of formalized “Responsible Use AI” frameworks. Leading universities are moving beyond initial phases of uncertainty and restrictive policy responses toward structured governance models that emphasize transparency, ethical accountability, and informed use. These frameworks commonly prioritize maintaining human oversight in critical academic judgments, reinforcing the principle of keeping “humans in the loop” rather than delegating authority entirely to algorithmic systems.</w:t>
      </w:r>
    </w:p>
    <w:p w14:paraId="5AB1162F" w14:textId="77777777" w:rsidR="005F2BB7" w:rsidRPr="00EE51F0" w:rsidRDefault="005F2BB7" w:rsidP="00EE51F0">
      <w:pPr>
        <w:pStyle w:val="NoSpacing"/>
        <w:rPr>
          <w:rFonts w:ascii="Times New Roman" w:hAnsi="Times New Roman" w:cs="Times New Roman"/>
          <w:bCs/>
          <w:color w:val="0F1115"/>
          <w:sz w:val="24"/>
          <w:szCs w:val="24"/>
        </w:rPr>
      </w:pPr>
      <w:r w:rsidRPr="00EE51F0">
        <w:rPr>
          <w:rFonts w:ascii="Times New Roman" w:hAnsi="Times New Roman" w:cs="Times New Roman"/>
          <w:bCs/>
          <w:color w:val="0F1115"/>
          <w:sz w:val="24"/>
          <w:szCs w:val="24"/>
        </w:rPr>
        <w:t>A further result is the redefinition of authentic assessment practices. Rather than focusing on the detection or prohibition of AI-generated outputs, educators are increasingly redesigning assessments to foreground process, reasoning, and reflective engagement. Emerging assessment formats include simulations, oral examinations, iterative portfolios, and project-based evaluations that emphasize how students frame problems, adapt strategies, and justify conclusions. These practices align closely with the development of learning agility, perceptiveness, and higher-order cognitive skills emphasized throughout this study.</w:t>
      </w:r>
    </w:p>
    <w:p w14:paraId="56ACEF20" w14:textId="77777777" w:rsidR="005F2BB7" w:rsidRPr="00EE51F0" w:rsidRDefault="005F2BB7" w:rsidP="00EE51F0">
      <w:pPr>
        <w:pStyle w:val="NoSpacing"/>
        <w:rPr>
          <w:rFonts w:ascii="Times New Roman" w:hAnsi="Times New Roman" w:cs="Times New Roman"/>
          <w:bCs/>
          <w:color w:val="0F1115"/>
          <w:sz w:val="24"/>
          <w:szCs w:val="24"/>
        </w:rPr>
      </w:pPr>
      <w:r w:rsidRPr="00EE51F0">
        <w:rPr>
          <w:rFonts w:ascii="Times New Roman" w:hAnsi="Times New Roman" w:cs="Times New Roman"/>
          <w:bCs/>
          <w:color w:val="0F1115"/>
          <w:sz w:val="24"/>
          <w:szCs w:val="24"/>
        </w:rPr>
        <w:t>Collectively, these results indicate that both corporate and academic learning environments are converging toward models that prioritize adaptability, contextual learning, and human judgment. The observed shifts provide empirical grounding for the study’s predictive claims and suggest that the anticipated transformation of education by 2026 is not speculative, but already underway.</w:t>
      </w:r>
    </w:p>
    <w:p w14:paraId="2950C3A3" w14:textId="435E879A" w:rsidR="002F69E6" w:rsidRPr="00EE51F0" w:rsidRDefault="002F69E6" w:rsidP="00EE51F0">
      <w:pPr>
        <w:pStyle w:val="NoSpacing"/>
        <w:rPr>
          <w:rFonts w:ascii="Times New Roman" w:hAnsi="Times New Roman" w:cs="Times New Roman"/>
          <w:sz w:val="24"/>
          <w:szCs w:val="24"/>
        </w:rPr>
      </w:pPr>
    </w:p>
    <w:p w14:paraId="1A17FBEC" w14:textId="77777777" w:rsidR="003F003E" w:rsidRDefault="00940E34"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9</w:t>
      </w:r>
      <w:r w:rsidR="00245977" w:rsidRPr="00EE51F0">
        <w:rPr>
          <w:rFonts w:ascii="Times New Roman" w:hAnsi="Times New Roman" w:cs="Times New Roman"/>
          <w:sz w:val="24"/>
          <w:szCs w:val="24"/>
          <w:lang w:eastAsia="en-IN"/>
        </w:rPr>
        <w:t>. Macro Trends: Deep Tech, Privacy, and the AI FOMO Dilemma</w:t>
      </w:r>
      <w:r w:rsidR="00245977" w:rsidRPr="00EE51F0">
        <w:rPr>
          <w:rFonts w:ascii="Times New Roman" w:hAnsi="Times New Roman" w:cs="Times New Roman"/>
          <w:sz w:val="24"/>
          <w:szCs w:val="24"/>
          <w:lang w:eastAsia="en-IN"/>
        </w:rPr>
        <w:br/>
        <w:t xml:space="preserve"> </w:t>
      </w:r>
    </w:p>
    <w:p w14:paraId="12649005" w14:textId="0572A45B" w:rsidR="005F2BB7" w:rsidRPr="00EE51F0" w:rsidRDefault="005F2BB7"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Beyond immediate educational and organizational transformations, several macro-level technological and economic trends further reinforce the centrality of learning agility and adaptability. Developments in deep technology investment, evolving data governance regimes, and widespread institutional responses to artificial intelligence adoption collectively shape the broader context in which future-ready education must operate.</w:t>
      </w:r>
    </w:p>
    <w:p w14:paraId="36F5B85A" w14:textId="77777777" w:rsidR="005F2BB7" w:rsidRPr="00EE51F0" w:rsidRDefault="005F2BB7"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9.1 Deep Tech Dominance and Interdisciplinary Skill Demands</w:t>
      </w:r>
    </w:p>
    <w:p w14:paraId="0BAE38CE" w14:textId="77777777" w:rsidR="005F2BB7" w:rsidRPr="00EE51F0" w:rsidRDefault="005F2BB7"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Venture capital and public investment are increasingly projected to concentrate in deep technology domains, including robotics, biotechnology, clean energy systems, and advanced semiconductor manufacturing. These sectors are inherently interdisciplinary, requiring the integration of engineering, scientific research, regulatory understanding, and commercial strategy. Success within such environments is less dependent on narrow domain expertise and more contingent on the ability to bridge disciplinary boundaries.</w:t>
      </w:r>
    </w:p>
    <w:p w14:paraId="35C5DDBA" w14:textId="77777777" w:rsidR="005F2BB7" w:rsidRPr="00EE51F0" w:rsidRDefault="005F2BB7"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In this context, learning agility functions as a critical enabler of interdisciplinary competence. Professionals operating in deep tech ecosystems must continuously acquire new conceptual frameworks, adapt to rapidly evolving technological standards, and collaborate across diverse knowledge domains. The complexity and pace of innovation in these sectors render static skill sets insufficient, reinforcing the argument that adaptability is foundational to sustained participation and leadership.</w:t>
      </w:r>
    </w:p>
    <w:p w14:paraId="02D7E677" w14:textId="5A0C2E18" w:rsidR="005F2BB7" w:rsidRPr="00EE51F0" w:rsidRDefault="005F2BB7"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9.2 AI Privacy, Security, and Regulatory Adaptation</w:t>
      </w:r>
    </w:p>
    <w:p w14:paraId="2FB1180E" w14:textId="77777777" w:rsidR="005F2BB7" w:rsidRPr="00EE51F0" w:rsidRDefault="005F2BB7"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Parallel to technological advancement, concerns surrounding data privacy, cybersecurity, and digital sovereignty are intensifying. Regulatory frameworks governing artificial intelligence and data usage are expected to evolve continuously, introducing new compliance requirements, governance mechanisms, and technological safeguards. These include the growing adoption of local or private large language models, enhanced encryption protocols, and decentralized data architectures.</w:t>
      </w:r>
    </w:p>
    <w:p w14:paraId="37F4AD1A" w14:textId="77777777" w:rsidR="005F2BB7" w:rsidRPr="00EE51F0" w:rsidRDefault="005F2BB7"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Navigating this shifting landscape demands more than procedural compliance. Professionals must possess the adaptive capacity to interpret evolving regulations, evaluate emerging security tools, and make context-sensitive decisions that balance innovation with risk mitigation. This reinforces the importance of learning agility as a cognitive and strategic capability, enabling individuals to respond proactively to regulatory and ethical uncertainty rather than relying on static rule-based approaches.</w:t>
      </w:r>
    </w:p>
    <w:p w14:paraId="40A18B06" w14:textId="77777777" w:rsidR="005F2BB7" w:rsidRPr="00EE51F0" w:rsidRDefault="005F2BB7"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9.3 Moving Beyond AI FOMO to Foundational Agility</w:t>
      </w:r>
    </w:p>
    <w:p w14:paraId="105F3116" w14:textId="76EC0DC2" w:rsidR="005F2BB7" w:rsidRPr="00EE51F0" w:rsidRDefault="005F2BB7"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The study identifies “AI FOMO” (fear of missing out) as a suboptimal and often counterproductive driver of organizational and educational change. Reactive adoption strategies—focused on acquiring the latest tools or implementing AI superficially frequently result in fragmented initiatives and limited long-term value. In contrast, sustainable AI integration is predicated on investing in foundational human capacities, particularly learning agility and adaptability.</w:t>
      </w:r>
    </w:p>
    <w:p w14:paraId="2EEACC8B" w14:textId="77777777" w:rsidR="005F2BB7" w:rsidRPr="00EE51F0" w:rsidRDefault="005F2BB7"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 xml:space="preserve">Rather than emphasizing the acquisition of transient AI-specific skills, this paper argues for prioritizing the development of the ability to learn continuously and apply knowledge across shifting contexts. This meta-skill enables individuals and institutions to leverage artificial intelligence effectively regardless of platform or application changes. From an educational standpoint, this necessitates pedagogical approaches that inherently cultivate adaptability, such </w:t>
      </w:r>
      <w:r w:rsidRPr="00EE51F0">
        <w:rPr>
          <w:rFonts w:ascii="Times New Roman" w:hAnsi="Times New Roman" w:cs="Times New Roman"/>
          <w:sz w:val="24"/>
          <w:szCs w:val="24"/>
          <w:lang w:eastAsia="en-IN"/>
        </w:rPr>
        <w:lastRenderedPageBreak/>
        <w:t>as problem-based learning, simulations, interdisciplinary projects, and reflective practice. Faculty development and curriculum design must therefore focus on building durable adaptive competence rather than responding episodically to each new technological wave.</w:t>
      </w:r>
    </w:p>
    <w:p w14:paraId="3275609F" w14:textId="00B5C924" w:rsidR="00245977" w:rsidRPr="00EE51F0" w:rsidRDefault="00245977" w:rsidP="00EE51F0">
      <w:pPr>
        <w:pStyle w:val="NoSpacing"/>
        <w:rPr>
          <w:rFonts w:ascii="Times New Roman" w:hAnsi="Times New Roman" w:cs="Times New Roman"/>
          <w:sz w:val="24"/>
          <w:szCs w:val="24"/>
          <w:lang w:eastAsia="en-IN"/>
        </w:rPr>
      </w:pPr>
    </w:p>
    <w:p w14:paraId="5C08819C" w14:textId="3654866E" w:rsidR="002F69E6" w:rsidRPr="00EE51F0" w:rsidRDefault="001D4A61"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10</w:t>
      </w:r>
      <w:r w:rsidR="002F69E6" w:rsidRPr="00EE51F0">
        <w:rPr>
          <w:rFonts w:ascii="Times New Roman" w:hAnsi="Times New Roman" w:cs="Times New Roman"/>
          <w:sz w:val="24"/>
          <w:szCs w:val="24"/>
          <w:lang w:eastAsia="en-IN"/>
        </w:rPr>
        <w:t xml:space="preserve">. </w:t>
      </w:r>
      <w:r w:rsidR="003F003E" w:rsidRPr="00EE51F0">
        <w:rPr>
          <w:rFonts w:ascii="Times New Roman" w:hAnsi="Times New Roman" w:cs="Times New Roman"/>
          <w:sz w:val="24"/>
          <w:szCs w:val="24"/>
          <w:lang w:eastAsia="en-IN"/>
        </w:rPr>
        <w:t>Recommendations:</w:t>
      </w:r>
    </w:p>
    <w:p w14:paraId="15F12B44" w14:textId="77777777" w:rsidR="003F003E" w:rsidRDefault="003F003E" w:rsidP="00EE51F0">
      <w:pPr>
        <w:pStyle w:val="NoSpacing"/>
        <w:rPr>
          <w:rStyle w:val="Strong"/>
          <w:rFonts w:ascii="Times New Roman" w:hAnsi="Times New Roman" w:cs="Times New Roman"/>
          <w:b w:val="0"/>
          <w:color w:val="0F1115"/>
          <w:sz w:val="24"/>
          <w:szCs w:val="24"/>
        </w:rPr>
      </w:pPr>
    </w:p>
    <w:p w14:paraId="543F7FBF" w14:textId="25284BD0" w:rsidR="005F2BB7" w:rsidRPr="00EE51F0" w:rsidRDefault="002F69E6" w:rsidP="00EE51F0">
      <w:pPr>
        <w:pStyle w:val="NoSpacing"/>
        <w:rPr>
          <w:rFonts w:ascii="Times New Roman" w:hAnsi="Times New Roman" w:cs="Times New Roman"/>
          <w:bCs/>
          <w:color w:val="0F1115"/>
          <w:sz w:val="24"/>
          <w:szCs w:val="24"/>
        </w:rPr>
      </w:pPr>
      <w:r w:rsidRPr="00EE51F0">
        <w:rPr>
          <w:rStyle w:val="Strong"/>
          <w:rFonts w:ascii="Times New Roman" w:hAnsi="Times New Roman" w:cs="Times New Roman"/>
          <w:b w:val="0"/>
          <w:color w:val="0F1115"/>
          <w:sz w:val="24"/>
          <w:szCs w:val="24"/>
        </w:rPr>
        <w:t xml:space="preserve">For </w:t>
      </w:r>
      <w:r w:rsidR="005F2BB7" w:rsidRPr="00EE51F0">
        <w:rPr>
          <w:rFonts w:ascii="Times New Roman" w:hAnsi="Times New Roman" w:cs="Times New Roman"/>
          <w:bCs/>
          <w:color w:val="0F1115"/>
          <w:sz w:val="24"/>
          <w:szCs w:val="24"/>
        </w:rPr>
        <w:t xml:space="preserve">Building on the predictive insights, empirical validation, and macro-level trends </w:t>
      </w:r>
      <w:proofErr w:type="spellStart"/>
      <w:r w:rsidR="005F2BB7" w:rsidRPr="00EE51F0">
        <w:rPr>
          <w:rFonts w:ascii="Times New Roman" w:hAnsi="Times New Roman" w:cs="Times New Roman"/>
          <w:bCs/>
          <w:color w:val="0F1115"/>
          <w:sz w:val="24"/>
          <w:szCs w:val="24"/>
        </w:rPr>
        <w:t>analyzed</w:t>
      </w:r>
      <w:proofErr w:type="spellEnd"/>
      <w:r w:rsidR="005F2BB7" w:rsidRPr="00EE51F0">
        <w:rPr>
          <w:rFonts w:ascii="Times New Roman" w:hAnsi="Times New Roman" w:cs="Times New Roman"/>
          <w:bCs/>
          <w:color w:val="0F1115"/>
          <w:sz w:val="24"/>
          <w:szCs w:val="24"/>
        </w:rPr>
        <w:t xml:space="preserve"> in this study, the following recommendations aim to translate the projected educational transformation into actionable strategies. They are targeted at curriculum designers, faculty, university administrators, and policymakers, with the overarching goal of embedding learning agility, adaptability, and human-</w:t>
      </w:r>
      <w:proofErr w:type="spellStart"/>
      <w:r w:rsidR="005F2BB7" w:rsidRPr="00EE51F0">
        <w:rPr>
          <w:rFonts w:ascii="Times New Roman" w:hAnsi="Times New Roman" w:cs="Times New Roman"/>
          <w:bCs/>
          <w:color w:val="0F1115"/>
          <w:sz w:val="24"/>
          <w:szCs w:val="24"/>
        </w:rPr>
        <w:t>centered</w:t>
      </w:r>
      <w:proofErr w:type="spellEnd"/>
      <w:r w:rsidR="005F2BB7" w:rsidRPr="00EE51F0">
        <w:rPr>
          <w:rFonts w:ascii="Times New Roman" w:hAnsi="Times New Roman" w:cs="Times New Roman"/>
          <w:bCs/>
          <w:color w:val="0F1115"/>
          <w:sz w:val="24"/>
          <w:szCs w:val="24"/>
        </w:rPr>
        <w:t xml:space="preserve"> competencies at the core of higher education in the AI era.</w:t>
      </w:r>
    </w:p>
    <w:p w14:paraId="2314A4EB" w14:textId="77777777" w:rsidR="005F2BB7" w:rsidRPr="00EE51F0" w:rsidRDefault="005F2BB7" w:rsidP="00EE51F0">
      <w:pPr>
        <w:pStyle w:val="NoSpacing"/>
        <w:rPr>
          <w:rFonts w:ascii="Times New Roman" w:hAnsi="Times New Roman" w:cs="Times New Roman"/>
          <w:bCs/>
          <w:color w:val="0F1115"/>
          <w:sz w:val="24"/>
          <w:szCs w:val="24"/>
        </w:rPr>
      </w:pPr>
      <w:r w:rsidRPr="00EE51F0">
        <w:rPr>
          <w:rFonts w:ascii="Times New Roman" w:hAnsi="Times New Roman" w:cs="Times New Roman"/>
          <w:bCs/>
          <w:color w:val="0F1115"/>
          <w:sz w:val="24"/>
          <w:szCs w:val="24"/>
        </w:rPr>
        <w:t>10.1 Recommendations for Curriculum Designers and Faculty</w:t>
      </w:r>
    </w:p>
    <w:p w14:paraId="6A079FBD" w14:textId="77777777" w:rsidR="005F2BB7" w:rsidRPr="00EE51F0" w:rsidRDefault="005F2BB7" w:rsidP="00EE51F0">
      <w:pPr>
        <w:pStyle w:val="NoSpacing"/>
        <w:rPr>
          <w:rFonts w:ascii="Times New Roman" w:hAnsi="Times New Roman" w:cs="Times New Roman"/>
          <w:bCs/>
          <w:color w:val="0F1115"/>
          <w:sz w:val="24"/>
          <w:szCs w:val="24"/>
        </w:rPr>
      </w:pPr>
      <w:r w:rsidRPr="00EE51F0">
        <w:rPr>
          <w:rFonts w:ascii="Times New Roman" w:hAnsi="Times New Roman" w:cs="Times New Roman"/>
          <w:bCs/>
          <w:color w:val="0F1115"/>
          <w:sz w:val="24"/>
          <w:szCs w:val="24"/>
        </w:rPr>
        <w:t>Embed Meta-Skill Development Explicitly:</w:t>
      </w:r>
      <w:r w:rsidRPr="00EE51F0">
        <w:rPr>
          <w:rFonts w:ascii="Times New Roman" w:hAnsi="Times New Roman" w:cs="Times New Roman"/>
          <w:bCs/>
          <w:color w:val="0F1115"/>
          <w:sz w:val="24"/>
          <w:szCs w:val="24"/>
        </w:rPr>
        <w:br/>
        <w:t>Curricula must prioritize meta-skill cultivation rather than solely disciplinary content. Project-based learning, interdisciplinary challenges, and problem-</w:t>
      </w:r>
      <w:proofErr w:type="spellStart"/>
      <w:r w:rsidRPr="00EE51F0">
        <w:rPr>
          <w:rFonts w:ascii="Times New Roman" w:hAnsi="Times New Roman" w:cs="Times New Roman"/>
          <w:bCs/>
          <w:color w:val="0F1115"/>
          <w:sz w:val="24"/>
          <w:szCs w:val="24"/>
        </w:rPr>
        <w:t>centered</w:t>
      </w:r>
      <w:proofErr w:type="spellEnd"/>
      <w:r w:rsidRPr="00EE51F0">
        <w:rPr>
          <w:rFonts w:ascii="Times New Roman" w:hAnsi="Times New Roman" w:cs="Times New Roman"/>
          <w:bCs/>
          <w:color w:val="0F1115"/>
          <w:sz w:val="24"/>
          <w:szCs w:val="24"/>
        </w:rPr>
        <w:t xml:space="preserve"> instruction should be designed to expose learners to uncertainty, iterative problem-solving, and dynamic decision-making. These learning experiences compel students to practice rapid acquisition, unlearning, and relearning of skills, thereby operationalizing the development of learning agility. Including real-world case studies, cross-functional team projects, and simulations that mirror workplace complexity can further enhance adaptive competence.</w:t>
      </w:r>
    </w:p>
    <w:p w14:paraId="418803BB" w14:textId="71B9AF23" w:rsidR="005F2BB7" w:rsidRPr="00EE51F0" w:rsidRDefault="005F2BB7" w:rsidP="00EE51F0">
      <w:pPr>
        <w:pStyle w:val="NoSpacing"/>
        <w:rPr>
          <w:rFonts w:ascii="Times New Roman" w:hAnsi="Times New Roman" w:cs="Times New Roman"/>
          <w:bCs/>
          <w:color w:val="0F1115"/>
          <w:sz w:val="24"/>
          <w:szCs w:val="24"/>
        </w:rPr>
      </w:pPr>
      <w:r w:rsidRPr="00EE51F0">
        <w:rPr>
          <w:rFonts w:ascii="Times New Roman" w:hAnsi="Times New Roman" w:cs="Times New Roman"/>
          <w:bCs/>
          <w:color w:val="0F1115"/>
          <w:sz w:val="24"/>
          <w:szCs w:val="24"/>
        </w:rPr>
        <w:t>Redesign Assessment to Prioritize Learning Processes:</w:t>
      </w:r>
      <w:r w:rsidRPr="00EE51F0">
        <w:rPr>
          <w:rFonts w:ascii="Times New Roman" w:hAnsi="Times New Roman" w:cs="Times New Roman"/>
          <w:bCs/>
          <w:color w:val="0F1115"/>
          <w:sz w:val="24"/>
          <w:szCs w:val="24"/>
        </w:rPr>
        <w:br/>
        <w:t xml:space="preserve">Traditional assessment models that focus primarily on memorization or standardized outputs are increasingly inadequate in AI-driven educational contexts. Iterative portfolios, simulation-based assessments, and oral </w:t>
      </w:r>
      <w:proofErr w:type="spellStart"/>
      <w:r w:rsidRPr="00EE51F0">
        <w:rPr>
          <w:rFonts w:ascii="Times New Roman" w:hAnsi="Times New Roman" w:cs="Times New Roman"/>
          <w:bCs/>
          <w:color w:val="0F1115"/>
          <w:sz w:val="24"/>
          <w:szCs w:val="24"/>
        </w:rPr>
        <w:t>defenses</w:t>
      </w:r>
      <w:proofErr w:type="spellEnd"/>
      <w:r w:rsidRPr="00EE51F0">
        <w:rPr>
          <w:rFonts w:ascii="Times New Roman" w:hAnsi="Times New Roman" w:cs="Times New Roman"/>
          <w:bCs/>
          <w:color w:val="0F1115"/>
          <w:sz w:val="24"/>
          <w:szCs w:val="24"/>
        </w:rPr>
        <w:t xml:space="preserve"> (viva voce) offer more authentic measures of cognitive engagement, adaptability, and critical thinking. Such frameworks evaluate not just what students know but how they navigate ambiguity, integrate information, and arrive at solutions skills essential for effective human–AI collaboration.</w:t>
      </w:r>
    </w:p>
    <w:p w14:paraId="1A03F042" w14:textId="17B179BE" w:rsidR="005F2BB7" w:rsidRPr="00EE51F0" w:rsidRDefault="005F2BB7" w:rsidP="00EE51F0">
      <w:pPr>
        <w:pStyle w:val="NoSpacing"/>
        <w:rPr>
          <w:rFonts w:ascii="Times New Roman" w:hAnsi="Times New Roman" w:cs="Times New Roman"/>
          <w:bCs/>
          <w:color w:val="0F1115"/>
          <w:sz w:val="24"/>
          <w:szCs w:val="24"/>
        </w:rPr>
      </w:pPr>
      <w:r w:rsidRPr="00EE51F0">
        <w:rPr>
          <w:rFonts w:ascii="Times New Roman" w:hAnsi="Times New Roman" w:cs="Times New Roman"/>
          <w:bCs/>
          <w:color w:val="0F1115"/>
          <w:sz w:val="24"/>
          <w:szCs w:val="24"/>
        </w:rPr>
        <w:t>Integrate AI Literacy Universally:</w:t>
      </w:r>
      <w:r w:rsidRPr="00EE51F0">
        <w:rPr>
          <w:rFonts w:ascii="Times New Roman" w:hAnsi="Times New Roman" w:cs="Times New Roman"/>
          <w:bCs/>
          <w:color w:val="0F1115"/>
          <w:sz w:val="24"/>
          <w:szCs w:val="24"/>
        </w:rPr>
        <w:br/>
        <w:t>AI literacy should become a core graduate attribute across all disciplines. Beyond technical proficiency, this includes ethical reasoning, critical evaluation of AI outputs, collaborative human-AI workflows, and effective prompt engineering. Embedding these competencies across curricula ensures that all students, regardless of field, can leverage AI responsibly, creatively, and strategically in diverse professional contexts.</w:t>
      </w:r>
    </w:p>
    <w:p w14:paraId="2424C6DB" w14:textId="77777777" w:rsidR="005F2BB7" w:rsidRPr="00EE51F0" w:rsidRDefault="005F2BB7" w:rsidP="00EE51F0">
      <w:pPr>
        <w:pStyle w:val="NoSpacing"/>
        <w:rPr>
          <w:rFonts w:ascii="Times New Roman" w:hAnsi="Times New Roman" w:cs="Times New Roman"/>
          <w:bCs/>
          <w:color w:val="0F1115"/>
          <w:sz w:val="24"/>
          <w:szCs w:val="24"/>
        </w:rPr>
      </w:pPr>
      <w:r w:rsidRPr="00EE51F0">
        <w:rPr>
          <w:rFonts w:ascii="Times New Roman" w:hAnsi="Times New Roman" w:cs="Times New Roman"/>
          <w:bCs/>
          <w:color w:val="0F1115"/>
          <w:sz w:val="24"/>
          <w:szCs w:val="24"/>
        </w:rPr>
        <w:t>Foster Experiential and Reflective Learning:</w:t>
      </w:r>
      <w:r w:rsidRPr="00EE51F0">
        <w:rPr>
          <w:rFonts w:ascii="Times New Roman" w:hAnsi="Times New Roman" w:cs="Times New Roman"/>
          <w:bCs/>
          <w:color w:val="0F1115"/>
          <w:sz w:val="24"/>
          <w:szCs w:val="24"/>
        </w:rPr>
        <w:br/>
        <w:t>In addition to technical and cognitive skills, curricula should incorporate reflective practices, such as journaling, iterative feedback cycles, and peer evaluation, to strengthen metacognition and self-directed learning. Experiential learning opportunities that integrate AI tools with real-world problem solving further reinforce the development of adaptability and perceptiveness.</w:t>
      </w:r>
    </w:p>
    <w:p w14:paraId="31ED7FD9" w14:textId="77777777" w:rsidR="005F2BB7" w:rsidRPr="00EE51F0" w:rsidRDefault="005F2BB7" w:rsidP="00EE51F0">
      <w:pPr>
        <w:pStyle w:val="NoSpacing"/>
        <w:rPr>
          <w:rFonts w:ascii="Times New Roman" w:hAnsi="Times New Roman" w:cs="Times New Roman"/>
          <w:bCs/>
          <w:color w:val="0F1115"/>
          <w:sz w:val="24"/>
          <w:szCs w:val="24"/>
        </w:rPr>
      </w:pPr>
      <w:r w:rsidRPr="00EE51F0">
        <w:rPr>
          <w:rFonts w:ascii="Times New Roman" w:hAnsi="Times New Roman" w:cs="Times New Roman"/>
          <w:bCs/>
          <w:color w:val="0F1115"/>
          <w:sz w:val="24"/>
          <w:szCs w:val="24"/>
        </w:rPr>
        <w:t>10.2 Recommendations for University Administrators and Policymakers</w:t>
      </w:r>
    </w:p>
    <w:p w14:paraId="7F4E7BD3" w14:textId="77777777" w:rsidR="005F2BB7" w:rsidRPr="00EE51F0" w:rsidRDefault="005F2BB7" w:rsidP="00EE51F0">
      <w:pPr>
        <w:pStyle w:val="NoSpacing"/>
        <w:rPr>
          <w:rFonts w:ascii="Times New Roman" w:hAnsi="Times New Roman" w:cs="Times New Roman"/>
          <w:bCs/>
          <w:color w:val="0F1115"/>
          <w:sz w:val="24"/>
          <w:szCs w:val="24"/>
        </w:rPr>
      </w:pPr>
      <w:r w:rsidRPr="00EE51F0">
        <w:rPr>
          <w:rFonts w:ascii="Times New Roman" w:hAnsi="Times New Roman" w:cs="Times New Roman"/>
          <w:bCs/>
          <w:color w:val="0F1115"/>
          <w:sz w:val="24"/>
          <w:szCs w:val="24"/>
        </w:rPr>
        <w:t>Forge Industry Partnerships for Apprenticeship Pathways:</w:t>
      </w:r>
      <w:r w:rsidRPr="00EE51F0">
        <w:rPr>
          <w:rFonts w:ascii="Times New Roman" w:hAnsi="Times New Roman" w:cs="Times New Roman"/>
          <w:bCs/>
          <w:color w:val="0F1115"/>
          <w:sz w:val="24"/>
          <w:szCs w:val="24"/>
        </w:rPr>
        <w:br/>
        <w:t xml:space="preserve">Universities should establish strategic partnerships with high-growth industries to create structured apprenticeships and long-term internships. These programs should be adequately funded, inclusive, and flexible, allowing students from diverse socioeconomic backgrounds to participate. Embedding mentorship frameworks, periodic evaluation, and integration with </w:t>
      </w:r>
      <w:r w:rsidRPr="00EE51F0">
        <w:rPr>
          <w:rFonts w:ascii="Times New Roman" w:hAnsi="Times New Roman" w:cs="Times New Roman"/>
          <w:bCs/>
          <w:color w:val="0F1115"/>
          <w:sz w:val="24"/>
          <w:szCs w:val="24"/>
        </w:rPr>
        <w:lastRenderedPageBreak/>
        <w:t>academic credit systems ensures that experiential learning contributes meaningfully to both skill development and career readiness.</w:t>
      </w:r>
    </w:p>
    <w:p w14:paraId="00F13F3F" w14:textId="77777777" w:rsidR="005F2BB7" w:rsidRPr="00EE51F0" w:rsidRDefault="005F2BB7" w:rsidP="00EE51F0">
      <w:pPr>
        <w:pStyle w:val="NoSpacing"/>
        <w:rPr>
          <w:rFonts w:ascii="Times New Roman" w:hAnsi="Times New Roman" w:cs="Times New Roman"/>
          <w:bCs/>
          <w:color w:val="0F1115"/>
          <w:sz w:val="24"/>
          <w:szCs w:val="24"/>
        </w:rPr>
      </w:pPr>
      <w:r w:rsidRPr="00EE51F0">
        <w:rPr>
          <w:rFonts w:ascii="Times New Roman" w:hAnsi="Times New Roman" w:cs="Times New Roman"/>
          <w:bCs/>
          <w:color w:val="0F1115"/>
          <w:sz w:val="24"/>
          <w:szCs w:val="24"/>
        </w:rPr>
        <w:t>Adopt a Mission-Based Institutional AI Strategy:</w:t>
      </w:r>
      <w:r w:rsidRPr="00EE51F0">
        <w:rPr>
          <w:rFonts w:ascii="Times New Roman" w:hAnsi="Times New Roman" w:cs="Times New Roman"/>
          <w:bCs/>
          <w:color w:val="0F1115"/>
          <w:sz w:val="24"/>
          <w:szCs w:val="24"/>
        </w:rPr>
        <w:br/>
        <w:t>Universities must move beyond ad-hoc AI adoption toward comprehensive, mission-driven strategies. This includes aligning AI initiatives with institutional goals such as equity, accessibility, and lifelong learning. Key elements include robust data infrastructure, transparent governance frameworks, faculty development programs, and evaluation mechanisms that monitor AI’s impact on learning outcomes. Embedding AI literacy and ethics into institutional strategy ensures responsible, sustainable, and human-centric AI integration.</w:t>
      </w:r>
    </w:p>
    <w:p w14:paraId="42141573" w14:textId="77777777" w:rsidR="005F2BB7" w:rsidRPr="00EE51F0" w:rsidRDefault="005F2BB7" w:rsidP="00EE51F0">
      <w:pPr>
        <w:pStyle w:val="NoSpacing"/>
        <w:rPr>
          <w:rFonts w:ascii="Times New Roman" w:hAnsi="Times New Roman" w:cs="Times New Roman"/>
          <w:bCs/>
          <w:color w:val="0F1115"/>
          <w:sz w:val="24"/>
          <w:szCs w:val="24"/>
        </w:rPr>
      </w:pPr>
      <w:r w:rsidRPr="00EE51F0">
        <w:rPr>
          <w:rFonts w:ascii="Times New Roman" w:hAnsi="Times New Roman" w:cs="Times New Roman"/>
          <w:bCs/>
          <w:color w:val="0F1115"/>
          <w:sz w:val="24"/>
          <w:szCs w:val="24"/>
        </w:rPr>
        <w:t>Incentivize Innovation Hub Models:</w:t>
      </w:r>
      <w:r w:rsidRPr="00EE51F0">
        <w:rPr>
          <w:rFonts w:ascii="Times New Roman" w:hAnsi="Times New Roman" w:cs="Times New Roman"/>
          <w:bCs/>
          <w:color w:val="0F1115"/>
          <w:sz w:val="24"/>
          <w:szCs w:val="24"/>
        </w:rPr>
        <w:br/>
        <w:t>Higher education institutions should actively cultivate innovation ecosystems by incentivizing faculty and student entrepreneurship, technology commercialization, and social innovation initiatives. Resources, recognition, and reward structures should support the creation of spin-offs, intellectual property development, and projects addressing real-world challenges. Such models position universities as adaptive, knowledge-driven hubs where learning agility and perceptiveness are practiced in high-impact contexts.</w:t>
      </w:r>
    </w:p>
    <w:p w14:paraId="1787B426" w14:textId="453EB5D4" w:rsidR="005F2BB7" w:rsidRPr="00EE51F0" w:rsidRDefault="005F2BB7" w:rsidP="00EE51F0">
      <w:pPr>
        <w:pStyle w:val="NoSpacing"/>
        <w:rPr>
          <w:rFonts w:ascii="Times New Roman" w:hAnsi="Times New Roman" w:cs="Times New Roman"/>
          <w:bCs/>
          <w:color w:val="0F1115"/>
          <w:sz w:val="24"/>
          <w:szCs w:val="24"/>
        </w:rPr>
      </w:pPr>
      <w:r w:rsidRPr="00EE51F0">
        <w:rPr>
          <w:rFonts w:ascii="Times New Roman" w:hAnsi="Times New Roman" w:cs="Times New Roman"/>
          <w:bCs/>
          <w:color w:val="0F1115"/>
          <w:sz w:val="24"/>
          <w:szCs w:val="24"/>
        </w:rPr>
        <w:t>Ensure Equity and Inclusivity Across Transformations:</w:t>
      </w:r>
      <w:r w:rsidRPr="00EE51F0">
        <w:rPr>
          <w:rFonts w:ascii="Times New Roman" w:hAnsi="Times New Roman" w:cs="Times New Roman"/>
          <w:bCs/>
          <w:color w:val="0F1115"/>
          <w:sz w:val="24"/>
          <w:szCs w:val="24"/>
        </w:rPr>
        <w:br/>
        <w:t>All initiatives whether curriculum redesign, apprenticeships, or innovation hubs must incorporate equity considerations. Policies should ensure equitable access to AI tools, mentorship, and experiential learning opportunities. Scholarship programs, hybrid and virtual learning modalities, and targeted support for underrepresented groups can mitigate structural barriers and prevent the emergence of a two-tier educational system.</w:t>
      </w:r>
    </w:p>
    <w:p w14:paraId="4C16CCCD" w14:textId="77777777" w:rsidR="005F2BB7" w:rsidRPr="00EE51F0" w:rsidRDefault="005F2BB7" w:rsidP="00EE51F0">
      <w:pPr>
        <w:pStyle w:val="NoSpacing"/>
        <w:rPr>
          <w:rFonts w:ascii="Times New Roman" w:hAnsi="Times New Roman" w:cs="Times New Roman"/>
          <w:bCs/>
          <w:color w:val="0F1115"/>
          <w:sz w:val="24"/>
          <w:szCs w:val="24"/>
        </w:rPr>
      </w:pPr>
      <w:r w:rsidRPr="00EE51F0">
        <w:rPr>
          <w:rFonts w:ascii="Times New Roman" w:hAnsi="Times New Roman" w:cs="Times New Roman"/>
          <w:bCs/>
          <w:color w:val="0F1115"/>
          <w:sz w:val="24"/>
          <w:szCs w:val="24"/>
        </w:rPr>
        <w:t>Continuous Evaluation and Iteration:</w:t>
      </w:r>
      <w:r w:rsidRPr="00EE51F0">
        <w:rPr>
          <w:rFonts w:ascii="Times New Roman" w:hAnsi="Times New Roman" w:cs="Times New Roman"/>
          <w:bCs/>
          <w:color w:val="0F1115"/>
          <w:sz w:val="24"/>
          <w:szCs w:val="24"/>
        </w:rPr>
        <w:br/>
        <w:t>Finally, institutions should implement feedback-driven evaluation systems to monitor the effectiveness of interventions in cultivating learning agility and human-</w:t>
      </w:r>
      <w:proofErr w:type="spellStart"/>
      <w:r w:rsidRPr="00EE51F0">
        <w:rPr>
          <w:rFonts w:ascii="Times New Roman" w:hAnsi="Times New Roman" w:cs="Times New Roman"/>
          <w:bCs/>
          <w:color w:val="0F1115"/>
          <w:sz w:val="24"/>
          <w:szCs w:val="24"/>
        </w:rPr>
        <w:t>centered</w:t>
      </w:r>
      <w:proofErr w:type="spellEnd"/>
      <w:r w:rsidRPr="00EE51F0">
        <w:rPr>
          <w:rFonts w:ascii="Times New Roman" w:hAnsi="Times New Roman" w:cs="Times New Roman"/>
          <w:bCs/>
          <w:color w:val="0F1115"/>
          <w:sz w:val="24"/>
          <w:szCs w:val="24"/>
        </w:rPr>
        <w:t xml:space="preserve"> skills. Data on student engagement, skill acquisition, apprenticeship outcomes, and post-graduate performance should inform iterative refinement of programs and curricula, creating a culture of continuous institutional learning aligned with the demands of an AI-mediated economy.</w:t>
      </w:r>
    </w:p>
    <w:p w14:paraId="2F73EAC6" w14:textId="21BBBAC0" w:rsidR="002F69E6" w:rsidRPr="00EE51F0" w:rsidRDefault="002F69E6" w:rsidP="00EE51F0">
      <w:pPr>
        <w:pStyle w:val="NoSpacing"/>
        <w:rPr>
          <w:rFonts w:ascii="Times New Roman" w:hAnsi="Times New Roman" w:cs="Times New Roman"/>
          <w:sz w:val="24"/>
          <w:szCs w:val="24"/>
        </w:rPr>
      </w:pPr>
    </w:p>
    <w:p w14:paraId="7B5A6693" w14:textId="77777777" w:rsidR="00CD6620" w:rsidRDefault="001D4A61"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11</w:t>
      </w:r>
      <w:r w:rsidR="00245977" w:rsidRPr="00EE51F0">
        <w:rPr>
          <w:rFonts w:ascii="Times New Roman" w:hAnsi="Times New Roman" w:cs="Times New Roman"/>
          <w:sz w:val="24"/>
          <w:szCs w:val="24"/>
          <w:lang w:eastAsia="en-IN"/>
        </w:rPr>
        <w:t>. Conclusion</w:t>
      </w:r>
      <w:r w:rsidR="00245977" w:rsidRPr="00EE51F0">
        <w:rPr>
          <w:rFonts w:ascii="Times New Roman" w:hAnsi="Times New Roman" w:cs="Times New Roman"/>
          <w:sz w:val="24"/>
          <w:szCs w:val="24"/>
          <w:lang w:eastAsia="en-IN"/>
        </w:rPr>
        <w:br/>
      </w:r>
    </w:p>
    <w:p w14:paraId="0CCF615D" w14:textId="2AFB0779" w:rsidR="0083205A" w:rsidRPr="00EE51F0" w:rsidRDefault="00245977"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 xml:space="preserve">The </w:t>
      </w:r>
      <w:r w:rsidR="0083205A" w:rsidRPr="00EE51F0">
        <w:rPr>
          <w:rFonts w:ascii="Times New Roman" w:hAnsi="Times New Roman" w:cs="Times New Roman"/>
          <w:sz w:val="24"/>
          <w:szCs w:val="24"/>
          <w:lang w:eastAsia="en-IN"/>
        </w:rPr>
        <w:t>projected 2026 landscape of artificial intelligence and education depicts a transformative shift in the nature of professional competence. In this environment, mastery of specific tools or technologies is increasingly transient, subject to rapid obsolescence as AI evolves. In contrast, the human capacity for Learning Agility and Adaptability emerges as the enduring, high-value competency. This meta-skill complemented by perceptiveness, critical thinking, and effective communication forms the foundation for sustained professional resilience, enabling individuals to navigate complex, uncertain, and AI-augmented work environments. Those equipped with these capabilities are not merely reactive participants; they become proactive contributors, capable of leveraging technological change for creative problem-solving, innovation, and societal impact.</w:t>
      </w:r>
    </w:p>
    <w:p w14:paraId="0AD6DE2B" w14:textId="77777777" w:rsidR="0083205A" w:rsidRPr="00EE51F0" w:rsidRDefault="0083205A"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For higher education, this shift mandates a dual, systemic transformation. Pedagogically, passive, lecture-based, and content-focused models must give way to active, apprenticeship-driven learning, project-based engagements, simulations, and interdisciplinary problem-solving frameworks. These approaches immerse students in authentic, real-world contexts where rapid adaptation, reflection, and iterative knowledge application are required. They foster the meta-</w:t>
      </w:r>
      <w:r w:rsidRPr="00EE51F0">
        <w:rPr>
          <w:rFonts w:ascii="Times New Roman" w:hAnsi="Times New Roman" w:cs="Times New Roman"/>
          <w:sz w:val="24"/>
          <w:szCs w:val="24"/>
          <w:lang w:eastAsia="en-IN"/>
        </w:rPr>
        <w:lastRenderedPageBreak/>
        <w:t>skills necessary to not only learn but to continuously unlearn and relearn, building the capacity to respond to emergent challenges and novel technologies.</w:t>
      </w:r>
    </w:p>
    <w:p w14:paraId="7015BFA1" w14:textId="77777777" w:rsidR="0083205A" w:rsidRPr="00EE51F0" w:rsidRDefault="0083205A"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Institutionally, universities must evolve into networked innovation hubs that connect learners with industry, research ecosystems, and entrepreneurial initiatives. This transformation repositions higher education from a knowledge repository to an adaptive ecosystem, where students, faculty, and partners co-create value through applied innovation. Universities must measure success not only by traditional metrics such as course completion or publication output but by their ability to cultivate graduates who demonstrate agility, resilience, and the capacity to generate real-world impact across complex, dynamic systems.</w:t>
      </w:r>
    </w:p>
    <w:p w14:paraId="0D65838B" w14:textId="77777777" w:rsidR="0083205A" w:rsidRPr="00EE51F0" w:rsidRDefault="0083205A"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In this context, the ultimate goal of higher education is to systematically produce agile learners capable of mastering tomorrow’s unknowns, rather than specialists confined to today’s ephemeral technical skills. The era of unlimited opportunities will belong to those who can adapt perpetually, integrate diverse forms of knowledge, and operate effectively within human–AI collaborative environments. In essence, the measure of educational effectiveness will shift from knowledge accumulation to the capacity to learn, adapt, and innovate continuously.</w:t>
      </w:r>
    </w:p>
    <w:p w14:paraId="595B220F" w14:textId="77777777" w:rsidR="00CD6620" w:rsidRDefault="00CD6620" w:rsidP="00EE51F0">
      <w:pPr>
        <w:pStyle w:val="NoSpacing"/>
        <w:rPr>
          <w:rFonts w:ascii="Times New Roman" w:hAnsi="Times New Roman" w:cs="Times New Roman"/>
          <w:sz w:val="24"/>
          <w:szCs w:val="24"/>
          <w:lang w:eastAsia="en-IN"/>
        </w:rPr>
      </w:pPr>
    </w:p>
    <w:p w14:paraId="0A742F4F" w14:textId="561E0964" w:rsidR="0083205A" w:rsidRPr="00EE51F0" w:rsidRDefault="0083205A"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12. Invitation for Discourse</w:t>
      </w:r>
    </w:p>
    <w:p w14:paraId="7ECEAE93" w14:textId="77777777" w:rsidR="00CD6620" w:rsidRDefault="00CD6620" w:rsidP="00EE51F0">
      <w:pPr>
        <w:pStyle w:val="NoSpacing"/>
        <w:rPr>
          <w:rFonts w:ascii="Times New Roman" w:hAnsi="Times New Roman" w:cs="Times New Roman"/>
          <w:sz w:val="24"/>
          <w:szCs w:val="24"/>
          <w:lang w:eastAsia="en-IN"/>
        </w:rPr>
      </w:pPr>
    </w:p>
    <w:p w14:paraId="2647ABF0" w14:textId="18368666" w:rsidR="0083205A" w:rsidRPr="00EE51F0" w:rsidRDefault="0083205A"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Given the predictive and forward-looking nature of this study, the conclusions and recommendations presented herein should be viewed as an initial framework for exploration and debate, rather than a definitive roadmap. Several avenues for further research and scholarly engagement are both necessary and urgent:</w:t>
      </w:r>
    </w:p>
    <w:p w14:paraId="269BDF8B" w14:textId="77777777" w:rsidR="0083205A" w:rsidRPr="00EE51F0" w:rsidRDefault="0083205A"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Developing Robust Metrics for Meta-Skills:</w:t>
      </w:r>
      <w:r w:rsidRPr="00EE51F0">
        <w:rPr>
          <w:rFonts w:ascii="Times New Roman" w:hAnsi="Times New Roman" w:cs="Times New Roman"/>
          <w:sz w:val="24"/>
          <w:szCs w:val="24"/>
          <w:lang w:eastAsia="en-IN"/>
        </w:rPr>
        <w:br/>
        <w:t>There is a pressing need to design valid, reliable, and context-sensitive measures of learning agility, perceptiveness, and adaptability. Quantifying these competencies will enable institutions to evaluate educational effectiveness more meaningfully, track progress, and refine pedagogical strategies.</w:t>
      </w:r>
    </w:p>
    <w:p w14:paraId="44DBAAAB" w14:textId="77777777" w:rsidR="0083205A" w:rsidRPr="00EE51F0" w:rsidRDefault="0083205A"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Designing and Evaluating Adaptive Curricula:</w:t>
      </w:r>
      <w:r w:rsidRPr="00EE51F0">
        <w:rPr>
          <w:rFonts w:ascii="Times New Roman" w:hAnsi="Times New Roman" w:cs="Times New Roman"/>
          <w:sz w:val="24"/>
          <w:szCs w:val="24"/>
          <w:lang w:eastAsia="en-IN"/>
        </w:rPr>
        <w:br/>
        <w:t>Research must explore how curricula can be structured to cultivate meta-skills effectively, particularly across diverse student populations. Studies should examine the interplay of project-based learning, interdisciplinary problem-solving, AI-mediated learning, and reflective practice in promoting sustainable adaptability.</w:t>
      </w:r>
    </w:p>
    <w:p w14:paraId="3A2F2D6D" w14:textId="77777777" w:rsidR="0083205A" w:rsidRPr="00EE51F0" w:rsidRDefault="0083205A"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Assessing Apprenticeship and Innovation Models:</w:t>
      </w:r>
      <w:r w:rsidRPr="00EE51F0">
        <w:rPr>
          <w:rFonts w:ascii="Times New Roman" w:hAnsi="Times New Roman" w:cs="Times New Roman"/>
          <w:sz w:val="24"/>
          <w:szCs w:val="24"/>
          <w:lang w:eastAsia="en-IN"/>
        </w:rPr>
        <w:br/>
        <w:t>Longitudinal studies are required to evaluate the impact of apprenticeship programs, industry-linked internships, and innovation hubs on graduate outcomes. Questions of scalability, equity, inclusivity, and integration with traditional academic programs remain central to ensuring these models serve all learners effectively.</w:t>
      </w:r>
    </w:p>
    <w:p w14:paraId="3EEE7721" w14:textId="77777777" w:rsidR="0083205A" w:rsidRPr="00EE51F0" w:rsidRDefault="0083205A"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Equity and Access in AI-Enhanced Education:</w:t>
      </w:r>
      <w:r w:rsidRPr="00EE51F0">
        <w:rPr>
          <w:rFonts w:ascii="Times New Roman" w:hAnsi="Times New Roman" w:cs="Times New Roman"/>
          <w:sz w:val="24"/>
          <w:szCs w:val="24"/>
          <w:lang w:eastAsia="en-IN"/>
        </w:rPr>
        <w:br/>
        <w:t>Future inquiry should investigate mechanisms to prevent inequities arising from AI literacy gaps, technological access disparities, and differential access to industry networks. Strategies to embed equity at the core of adaptive learning initiatives are critical to ensuring that all students benefit from emerging educational paradigms.</w:t>
      </w:r>
    </w:p>
    <w:p w14:paraId="5D5D003B" w14:textId="77777777" w:rsidR="0083205A" w:rsidRPr="00EE51F0" w:rsidRDefault="0083205A"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t>Ethical and Societal Implications of AI Integration:</w:t>
      </w:r>
      <w:r w:rsidRPr="00EE51F0">
        <w:rPr>
          <w:rFonts w:ascii="Times New Roman" w:hAnsi="Times New Roman" w:cs="Times New Roman"/>
          <w:sz w:val="24"/>
          <w:szCs w:val="24"/>
          <w:lang w:eastAsia="en-IN"/>
        </w:rPr>
        <w:br/>
        <w:t>As AI becomes more embedded in learning environments, ongoing research is needed to explore its ethical, social, and psychological impacts. Institutions must develop governance frameworks that balance innovation with transparency, responsibility, and the preservation of human agency.</w:t>
      </w:r>
    </w:p>
    <w:p w14:paraId="53DED011" w14:textId="77777777" w:rsidR="0083205A" w:rsidRPr="00EE51F0" w:rsidRDefault="0083205A" w:rsidP="00EE51F0">
      <w:pPr>
        <w:pStyle w:val="NoSpacing"/>
        <w:rPr>
          <w:rFonts w:ascii="Times New Roman" w:hAnsi="Times New Roman" w:cs="Times New Roman"/>
          <w:sz w:val="24"/>
          <w:szCs w:val="24"/>
          <w:lang w:eastAsia="en-IN"/>
        </w:rPr>
      </w:pPr>
      <w:r w:rsidRPr="00EE51F0">
        <w:rPr>
          <w:rFonts w:ascii="Times New Roman" w:hAnsi="Times New Roman" w:cs="Times New Roman"/>
          <w:sz w:val="24"/>
          <w:szCs w:val="24"/>
          <w:lang w:eastAsia="en-IN"/>
        </w:rPr>
        <w:lastRenderedPageBreak/>
        <w:t>The author encourages active scholarly dialogue, cross-institutional collaboration, and iterative experimentation to refine our understanding of how AI, pedagogy, and meta-skills intersect. By collectively addressing these challenges, the higher education ecosystem can evolve to prepare graduates not only for the jobs of today but for the uncertain, rapidly evolving opportunities of tomorrow, ensuring that adaptability, perceptiveness, and human-</w:t>
      </w:r>
      <w:proofErr w:type="spellStart"/>
      <w:r w:rsidRPr="00EE51F0">
        <w:rPr>
          <w:rFonts w:ascii="Times New Roman" w:hAnsi="Times New Roman" w:cs="Times New Roman"/>
          <w:sz w:val="24"/>
          <w:szCs w:val="24"/>
          <w:lang w:eastAsia="en-IN"/>
        </w:rPr>
        <w:t>centered</w:t>
      </w:r>
      <w:proofErr w:type="spellEnd"/>
      <w:r w:rsidRPr="00EE51F0">
        <w:rPr>
          <w:rFonts w:ascii="Times New Roman" w:hAnsi="Times New Roman" w:cs="Times New Roman"/>
          <w:sz w:val="24"/>
          <w:szCs w:val="24"/>
          <w:lang w:eastAsia="en-IN"/>
        </w:rPr>
        <w:t xml:space="preserve"> judgment remain at the heart of professional competence.</w:t>
      </w:r>
    </w:p>
    <w:p w14:paraId="7A81394F" w14:textId="25E106F3" w:rsidR="00441332" w:rsidRPr="00EE51F0" w:rsidRDefault="00441332" w:rsidP="00EE51F0">
      <w:pPr>
        <w:pStyle w:val="NoSpacing"/>
        <w:rPr>
          <w:rFonts w:ascii="Times New Roman" w:hAnsi="Times New Roman" w:cs="Times New Roman"/>
          <w:sz w:val="24"/>
          <w:szCs w:val="24"/>
        </w:rPr>
      </w:pPr>
    </w:p>
    <w:p w14:paraId="4A808C0D" w14:textId="48DB1AF3" w:rsidR="002F69E6" w:rsidRDefault="002F69E6" w:rsidP="00EE51F0">
      <w:pPr>
        <w:pStyle w:val="NoSpacing"/>
        <w:rPr>
          <w:rFonts w:ascii="Times New Roman" w:hAnsi="Times New Roman" w:cs="Times New Roman"/>
          <w:sz w:val="24"/>
          <w:szCs w:val="24"/>
        </w:rPr>
      </w:pPr>
      <w:r w:rsidRPr="00EE51F0">
        <w:rPr>
          <w:rFonts w:ascii="Times New Roman" w:hAnsi="Times New Roman" w:cs="Times New Roman"/>
          <w:sz w:val="24"/>
          <w:szCs w:val="24"/>
        </w:rPr>
        <w:t>1</w:t>
      </w:r>
      <w:r w:rsidR="001D4A61" w:rsidRPr="00EE51F0">
        <w:rPr>
          <w:rFonts w:ascii="Times New Roman" w:hAnsi="Times New Roman" w:cs="Times New Roman"/>
          <w:sz w:val="24"/>
          <w:szCs w:val="24"/>
        </w:rPr>
        <w:t>3</w:t>
      </w:r>
      <w:r w:rsidRPr="00EE51F0">
        <w:rPr>
          <w:rFonts w:ascii="Times New Roman" w:hAnsi="Times New Roman" w:cs="Times New Roman"/>
          <w:sz w:val="24"/>
          <w:szCs w:val="24"/>
        </w:rPr>
        <w:t>. Reference:</w:t>
      </w:r>
    </w:p>
    <w:p w14:paraId="18A5B824" w14:textId="77777777" w:rsidR="00CD6620" w:rsidRPr="00EE51F0" w:rsidRDefault="00CD6620" w:rsidP="00EE51F0">
      <w:pPr>
        <w:pStyle w:val="NoSpacing"/>
        <w:rPr>
          <w:rFonts w:ascii="Times New Roman" w:hAnsi="Times New Roman" w:cs="Times New Roman"/>
          <w:sz w:val="24"/>
          <w:szCs w:val="24"/>
        </w:rPr>
      </w:pPr>
    </w:p>
    <w:p w14:paraId="4089AE68" w14:textId="77777777" w:rsidR="00054929" w:rsidRPr="00EE51F0" w:rsidRDefault="00054929" w:rsidP="00EE51F0">
      <w:pPr>
        <w:pStyle w:val="NoSpacing"/>
        <w:rPr>
          <w:rFonts w:ascii="Times New Roman" w:hAnsi="Times New Roman" w:cs="Times New Roman"/>
          <w:color w:val="0F1115"/>
          <w:sz w:val="24"/>
          <w:szCs w:val="24"/>
        </w:rPr>
      </w:pPr>
      <w:r w:rsidRPr="00EE51F0">
        <w:rPr>
          <w:rStyle w:val="Strong"/>
          <w:rFonts w:ascii="Times New Roman" w:hAnsi="Times New Roman" w:cs="Times New Roman"/>
          <w:color w:val="0F1115"/>
          <w:sz w:val="24"/>
          <w:szCs w:val="24"/>
        </w:rPr>
        <w:t>Hukubun, J. D., Leuwol, N. V., Wuarlela, C. A., &amp; Soplanit, R. N. (2025).</w:t>
      </w:r>
      <w:r w:rsidRPr="00EE51F0">
        <w:rPr>
          <w:rFonts w:ascii="Times New Roman" w:hAnsi="Times New Roman" w:cs="Times New Roman"/>
          <w:color w:val="0F1115"/>
          <w:sz w:val="24"/>
          <w:szCs w:val="24"/>
        </w:rPr>
        <w:br/>
        <w:t>The role of artificial intelligence in enhancing learning agility and adaptability in educational settings.</w:t>
      </w:r>
      <w:r w:rsidRPr="00EE51F0">
        <w:rPr>
          <w:rFonts w:ascii="Times New Roman" w:hAnsi="Times New Roman" w:cs="Times New Roman"/>
          <w:color w:val="0F1115"/>
          <w:sz w:val="24"/>
          <w:szCs w:val="24"/>
        </w:rPr>
        <w:br/>
      </w:r>
      <w:r w:rsidRPr="00EE51F0">
        <w:rPr>
          <w:rStyle w:val="Emphasis"/>
          <w:rFonts w:ascii="Times New Roman" w:hAnsi="Times New Roman" w:cs="Times New Roman"/>
          <w:color w:val="0F1115"/>
          <w:sz w:val="24"/>
          <w:szCs w:val="24"/>
        </w:rPr>
        <w:t>Journal of Educational Technology and Innovation</w:t>
      </w:r>
      <w:r w:rsidRPr="00EE51F0">
        <w:rPr>
          <w:rFonts w:ascii="Times New Roman" w:hAnsi="Times New Roman" w:cs="Times New Roman"/>
          <w:color w:val="0F1115"/>
          <w:sz w:val="24"/>
          <w:szCs w:val="24"/>
        </w:rPr>
        <w:t>, *12*(3), 9085–9089.</w:t>
      </w:r>
    </w:p>
    <w:p w14:paraId="7CF4A3E5" w14:textId="77777777" w:rsidR="00054929" w:rsidRPr="00EE51F0" w:rsidRDefault="00054929" w:rsidP="00EE51F0">
      <w:pPr>
        <w:pStyle w:val="NoSpacing"/>
        <w:rPr>
          <w:rFonts w:ascii="Times New Roman" w:hAnsi="Times New Roman" w:cs="Times New Roman"/>
          <w:color w:val="0F1115"/>
          <w:sz w:val="24"/>
          <w:szCs w:val="24"/>
        </w:rPr>
      </w:pPr>
      <w:r w:rsidRPr="00EE51F0">
        <w:rPr>
          <w:rStyle w:val="Strong"/>
          <w:rFonts w:ascii="Times New Roman" w:hAnsi="Times New Roman" w:cs="Times New Roman"/>
          <w:color w:val="0F1115"/>
          <w:sz w:val="24"/>
          <w:szCs w:val="24"/>
        </w:rPr>
        <w:t>Collins, A., Brown, J. S., &amp; Holum, A. (1991).</w:t>
      </w:r>
      <w:r w:rsidRPr="00EE51F0">
        <w:rPr>
          <w:rFonts w:ascii="Times New Roman" w:hAnsi="Times New Roman" w:cs="Times New Roman"/>
          <w:color w:val="0F1115"/>
          <w:sz w:val="24"/>
          <w:szCs w:val="24"/>
        </w:rPr>
        <w:br/>
        <w:t>Cognitive apprenticeship: Making thinking visible.</w:t>
      </w:r>
      <w:r w:rsidRPr="00EE51F0">
        <w:rPr>
          <w:rFonts w:ascii="Times New Roman" w:hAnsi="Times New Roman" w:cs="Times New Roman"/>
          <w:color w:val="0F1115"/>
          <w:sz w:val="24"/>
          <w:szCs w:val="24"/>
        </w:rPr>
        <w:br/>
      </w:r>
      <w:r w:rsidRPr="00EE51F0">
        <w:rPr>
          <w:rStyle w:val="Emphasis"/>
          <w:rFonts w:ascii="Times New Roman" w:hAnsi="Times New Roman" w:cs="Times New Roman"/>
          <w:color w:val="0F1115"/>
          <w:sz w:val="24"/>
          <w:szCs w:val="24"/>
        </w:rPr>
        <w:t>American Educator, 15</w:t>
      </w:r>
      <w:r w:rsidRPr="00EE51F0">
        <w:rPr>
          <w:rFonts w:ascii="Times New Roman" w:hAnsi="Times New Roman" w:cs="Times New Roman"/>
          <w:color w:val="0F1115"/>
          <w:sz w:val="24"/>
          <w:szCs w:val="24"/>
        </w:rPr>
        <w:t>(3), 6–11, 38–39.</w:t>
      </w:r>
    </w:p>
    <w:p w14:paraId="50407968" w14:textId="77777777" w:rsidR="00054929" w:rsidRPr="00EE51F0" w:rsidRDefault="00054929" w:rsidP="00EE51F0">
      <w:pPr>
        <w:pStyle w:val="NoSpacing"/>
        <w:rPr>
          <w:rFonts w:ascii="Times New Roman" w:hAnsi="Times New Roman" w:cs="Times New Roman"/>
          <w:color w:val="0F1115"/>
          <w:sz w:val="24"/>
          <w:szCs w:val="24"/>
        </w:rPr>
      </w:pPr>
      <w:r w:rsidRPr="00EE51F0">
        <w:rPr>
          <w:rStyle w:val="Strong"/>
          <w:rFonts w:ascii="Times New Roman" w:hAnsi="Times New Roman" w:cs="Times New Roman"/>
          <w:color w:val="0F1115"/>
          <w:sz w:val="24"/>
          <w:szCs w:val="24"/>
        </w:rPr>
        <w:t>Cheng, W.-T., &amp; Chen, C.-C. (2015).</w:t>
      </w:r>
      <w:r w:rsidRPr="00EE51F0">
        <w:rPr>
          <w:rFonts w:ascii="Times New Roman" w:hAnsi="Times New Roman" w:cs="Times New Roman"/>
          <w:color w:val="0F1115"/>
          <w:sz w:val="24"/>
          <w:szCs w:val="24"/>
        </w:rPr>
        <w:br/>
        <w:t>The impact of e-learning on workplace on-the-job training.</w:t>
      </w:r>
      <w:r w:rsidRPr="00EE51F0">
        <w:rPr>
          <w:rFonts w:ascii="Times New Roman" w:hAnsi="Times New Roman" w:cs="Times New Roman"/>
          <w:color w:val="0F1115"/>
          <w:sz w:val="24"/>
          <w:szCs w:val="24"/>
        </w:rPr>
        <w:br/>
        <w:t>*International Journal of e-Education, e-Business, e-Management and e-Learning, 5*(2), 107–111.</w:t>
      </w:r>
    </w:p>
    <w:p w14:paraId="547E764D" w14:textId="77777777" w:rsidR="00054929" w:rsidRPr="00EE51F0" w:rsidRDefault="00054929" w:rsidP="00EE51F0">
      <w:pPr>
        <w:pStyle w:val="NoSpacing"/>
        <w:rPr>
          <w:rFonts w:ascii="Times New Roman" w:hAnsi="Times New Roman" w:cs="Times New Roman"/>
          <w:color w:val="0F1115"/>
          <w:sz w:val="24"/>
          <w:szCs w:val="24"/>
        </w:rPr>
      </w:pPr>
      <w:r w:rsidRPr="00EE51F0">
        <w:rPr>
          <w:rStyle w:val="Strong"/>
          <w:rFonts w:ascii="Times New Roman" w:hAnsi="Times New Roman" w:cs="Times New Roman"/>
          <w:color w:val="0F1115"/>
          <w:sz w:val="24"/>
          <w:szCs w:val="24"/>
        </w:rPr>
        <w:t>Veluthakkal, J., Anand, A., Manju, K. V., Desale, Y., Iyappan, &amp; Meenakshi, S. (2024).</w:t>
      </w:r>
      <w:r w:rsidRPr="00EE51F0">
        <w:rPr>
          <w:rFonts w:ascii="Times New Roman" w:hAnsi="Times New Roman" w:cs="Times New Roman"/>
          <w:color w:val="0F1115"/>
          <w:sz w:val="24"/>
          <w:szCs w:val="24"/>
        </w:rPr>
        <w:br/>
        <w:t>The role of AI in fostering innovation ecosystems: A multidisciplinary perspective on leveraging technology for business growth.</w:t>
      </w:r>
      <w:r w:rsidRPr="00EE51F0">
        <w:rPr>
          <w:rFonts w:ascii="Times New Roman" w:hAnsi="Times New Roman" w:cs="Times New Roman"/>
          <w:color w:val="0F1115"/>
          <w:sz w:val="24"/>
          <w:szCs w:val="24"/>
        </w:rPr>
        <w:br/>
      </w:r>
      <w:r w:rsidRPr="00EE51F0">
        <w:rPr>
          <w:rStyle w:val="Emphasis"/>
          <w:rFonts w:ascii="Times New Roman" w:hAnsi="Times New Roman" w:cs="Times New Roman"/>
          <w:color w:val="0F1115"/>
          <w:sz w:val="24"/>
          <w:szCs w:val="24"/>
        </w:rPr>
        <w:t>Advances in Consumer Research, 2</w:t>
      </w:r>
      <w:r w:rsidRPr="00EE51F0">
        <w:rPr>
          <w:rFonts w:ascii="Times New Roman" w:hAnsi="Times New Roman" w:cs="Times New Roman"/>
          <w:color w:val="0F1115"/>
          <w:sz w:val="24"/>
          <w:szCs w:val="24"/>
        </w:rPr>
        <w:t>(6), 1412–1419.</w:t>
      </w:r>
    </w:p>
    <w:p w14:paraId="128D5AEA" w14:textId="77777777" w:rsidR="00054929" w:rsidRPr="00EE51F0" w:rsidRDefault="00054929" w:rsidP="00EE51F0">
      <w:pPr>
        <w:pStyle w:val="NoSpacing"/>
        <w:rPr>
          <w:rFonts w:ascii="Times New Roman" w:hAnsi="Times New Roman" w:cs="Times New Roman"/>
          <w:color w:val="0F1115"/>
          <w:sz w:val="24"/>
          <w:szCs w:val="24"/>
        </w:rPr>
      </w:pPr>
      <w:r w:rsidRPr="00EE51F0">
        <w:rPr>
          <w:rStyle w:val="Strong"/>
          <w:rFonts w:ascii="Times New Roman" w:hAnsi="Times New Roman" w:cs="Times New Roman"/>
          <w:color w:val="0F1115"/>
          <w:sz w:val="24"/>
          <w:szCs w:val="24"/>
        </w:rPr>
        <w:t>Etzkowitz, H., &amp; Leydesdorff, L. (2000).</w:t>
      </w:r>
      <w:r w:rsidRPr="00EE51F0">
        <w:rPr>
          <w:rFonts w:ascii="Times New Roman" w:hAnsi="Times New Roman" w:cs="Times New Roman"/>
          <w:color w:val="0F1115"/>
          <w:sz w:val="24"/>
          <w:szCs w:val="24"/>
        </w:rPr>
        <w:br/>
        <w:t>The dynamics of innovation: From National Systems and “Mode 2” to a Triple Helix of university–industry–government relations.</w:t>
      </w:r>
      <w:r w:rsidRPr="00EE51F0">
        <w:rPr>
          <w:rFonts w:ascii="Times New Roman" w:hAnsi="Times New Roman" w:cs="Times New Roman"/>
          <w:color w:val="0F1115"/>
          <w:sz w:val="24"/>
          <w:szCs w:val="24"/>
        </w:rPr>
        <w:br/>
      </w:r>
      <w:r w:rsidRPr="00EE51F0">
        <w:rPr>
          <w:rStyle w:val="Emphasis"/>
          <w:rFonts w:ascii="Times New Roman" w:hAnsi="Times New Roman" w:cs="Times New Roman"/>
          <w:color w:val="0F1115"/>
          <w:sz w:val="24"/>
          <w:szCs w:val="24"/>
        </w:rPr>
        <w:t>Research Policy, 29</w:t>
      </w:r>
      <w:r w:rsidRPr="00EE51F0">
        <w:rPr>
          <w:rFonts w:ascii="Times New Roman" w:hAnsi="Times New Roman" w:cs="Times New Roman"/>
          <w:color w:val="0F1115"/>
          <w:sz w:val="24"/>
          <w:szCs w:val="24"/>
        </w:rPr>
        <w:t>(2), 109–123.</w:t>
      </w:r>
    </w:p>
    <w:p w14:paraId="53E58EE9" w14:textId="77777777" w:rsidR="00054929" w:rsidRPr="00EE51F0" w:rsidRDefault="00054929" w:rsidP="00EE51F0">
      <w:pPr>
        <w:pStyle w:val="NoSpacing"/>
        <w:rPr>
          <w:rFonts w:ascii="Times New Roman" w:hAnsi="Times New Roman" w:cs="Times New Roman"/>
          <w:color w:val="0F1115"/>
          <w:sz w:val="24"/>
          <w:szCs w:val="24"/>
        </w:rPr>
      </w:pPr>
      <w:r w:rsidRPr="00EE51F0">
        <w:rPr>
          <w:rStyle w:val="Strong"/>
          <w:rFonts w:ascii="Times New Roman" w:hAnsi="Times New Roman" w:cs="Times New Roman"/>
          <w:color w:val="0F1115"/>
          <w:sz w:val="24"/>
          <w:szCs w:val="24"/>
        </w:rPr>
        <w:t>Zawacki-Richter, O., Marín, V. I., Bond, M., &amp; Gouverneur, F. (2019).</w:t>
      </w:r>
      <w:r w:rsidRPr="00EE51F0">
        <w:rPr>
          <w:rFonts w:ascii="Times New Roman" w:hAnsi="Times New Roman" w:cs="Times New Roman"/>
          <w:color w:val="0F1115"/>
          <w:sz w:val="24"/>
          <w:szCs w:val="24"/>
        </w:rPr>
        <w:br/>
        <w:t>Systematic review of research on artificial intelligence applications in higher education — where are the educators?</w:t>
      </w:r>
      <w:r w:rsidRPr="00EE51F0">
        <w:rPr>
          <w:rFonts w:ascii="Times New Roman" w:hAnsi="Times New Roman" w:cs="Times New Roman"/>
          <w:color w:val="0F1115"/>
          <w:sz w:val="24"/>
          <w:szCs w:val="24"/>
        </w:rPr>
        <w:br/>
      </w:r>
      <w:r w:rsidRPr="00EE51F0">
        <w:rPr>
          <w:rStyle w:val="Emphasis"/>
          <w:rFonts w:ascii="Times New Roman" w:hAnsi="Times New Roman" w:cs="Times New Roman"/>
          <w:color w:val="0F1115"/>
          <w:sz w:val="24"/>
          <w:szCs w:val="24"/>
        </w:rPr>
        <w:t>International Journal of Educational Technology in Higher Education, 16</w:t>
      </w:r>
      <w:r w:rsidRPr="00EE51F0">
        <w:rPr>
          <w:rFonts w:ascii="Times New Roman" w:hAnsi="Times New Roman" w:cs="Times New Roman"/>
          <w:color w:val="0F1115"/>
          <w:sz w:val="24"/>
          <w:szCs w:val="24"/>
        </w:rPr>
        <w:t>(1), 39.</w:t>
      </w:r>
    </w:p>
    <w:p w14:paraId="28A85A8F" w14:textId="77777777" w:rsidR="00054929" w:rsidRPr="00EE51F0" w:rsidRDefault="00054929" w:rsidP="00EE51F0">
      <w:pPr>
        <w:pStyle w:val="NoSpacing"/>
        <w:rPr>
          <w:rFonts w:ascii="Times New Roman" w:hAnsi="Times New Roman" w:cs="Times New Roman"/>
          <w:color w:val="0F1115"/>
          <w:sz w:val="24"/>
          <w:szCs w:val="24"/>
        </w:rPr>
      </w:pPr>
      <w:r w:rsidRPr="00EE51F0">
        <w:rPr>
          <w:rStyle w:val="Strong"/>
          <w:rFonts w:ascii="Times New Roman" w:hAnsi="Times New Roman" w:cs="Times New Roman"/>
          <w:color w:val="0F1115"/>
          <w:sz w:val="24"/>
          <w:szCs w:val="24"/>
        </w:rPr>
        <w:t>Davenport, T. H., &amp; Mittal, N. (2022).</w:t>
      </w:r>
      <w:r w:rsidRPr="00EE51F0">
        <w:rPr>
          <w:rFonts w:ascii="Times New Roman" w:hAnsi="Times New Roman" w:cs="Times New Roman"/>
          <w:color w:val="0F1115"/>
          <w:sz w:val="24"/>
          <w:szCs w:val="24"/>
        </w:rPr>
        <w:br/>
        <w:t>How generative AI is changing creative work.</w:t>
      </w:r>
      <w:r w:rsidRPr="00EE51F0">
        <w:rPr>
          <w:rFonts w:ascii="Times New Roman" w:hAnsi="Times New Roman" w:cs="Times New Roman"/>
          <w:color w:val="0F1115"/>
          <w:sz w:val="24"/>
          <w:szCs w:val="24"/>
        </w:rPr>
        <w:br/>
      </w:r>
      <w:r w:rsidRPr="00EE51F0">
        <w:rPr>
          <w:rStyle w:val="Emphasis"/>
          <w:rFonts w:ascii="Times New Roman" w:hAnsi="Times New Roman" w:cs="Times New Roman"/>
          <w:color w:val="0F1115"/>
          <w:sz w:val="24"/>
          <w:szCs w:val="24"/>
        </w:rPr>
        <w:t>Harvard Business Review.</w:t>
      </w:r>
    </w:p>
    <w:p w14:paraId="5DA6F897" w14:textId="77777777" w:rsidR="00054929" w:rsidRPr="00EE51F0" w:rsidRDefault="00054929" w:rsidP="00EE51F0">
      <w:pPr>
        <w:pStyle w:val="NoSpacing"/>
        <w:rPr>
          <w:rFonts w:ascii="Times New Roman" w:hAnsi="Times New Roman" w:cs="Times New Roman"/>
          <w:color w:val="0F1115"/>
          <w:sz w:val="24"/>
          <w:szCs w:val="24"/>
        </w:rPr>
      </w:pPr>
      <w:r w:rsidRPr="00EE51F0">
        <w:rPr>
          <w:rStyle w:val="Strong"/>
          <w:rFonts w:ascii="Times New Roman" w:hAnsi="Times New Roman" w:cs="Times New Roman"/>
          <w:color w:val="0F1115"/>
          <w:sz w:val="24"/>
          <w:szCs w:val="24"/>
        </w:rPr>
        <w:t>DeRue, D. S., Ashford, S. J., &amp; Myers, C. G. (2012).</w:t>
      </w:r>
      <w:r w:rsidRPr="00EE51F0">
        <w:rPr>
          <w:rFonts w:ascii="Times New Roman" w:hAnsi="Times New Roman" w:cs="Times New Roman"/>
          <w:color w:val="0F1115"/>
          <w:sz w:val="24"/>
          <w:szCs w:val="24"/>
        </w:rPr>
        <w:br/>
        <w:t>Learning agility: In search of conceptual clarity and theoretical grounding.</w:t>
      </w:r>
      <w:r w:rsidRPr="00EE51F0">
        <w:rPr>
          <w:rFonts w:ascii="Times New Roman" w:hAnsi="Times New Roman" w:cs="Times New Roman"/>
          <w:color w:val="0F1115"/>
          <w:sz w:val="24"/>
          <w:szCs w:val="24"/>
        </w:rPr>
        <w:br/>
      </w:r>
      <w:r w:rsidRPr="00EE51F0">
        <w:rPr>
          <w:rStyle w:val="Emphasis"/>
          <w:rFonts w:ascii="Times New Roman" w:hAnsi="Times New Roman" w:cs="Times New Roman"/>
          <w:color w:val="0F1115"/>
          <w:sz w:val="24"/>
          <w:szCs w:val="24"/>
        </w:rPr>
        <w:t>Industrial and Organizational Psychology, 5</w:t>
      </w:r>
      <w:r w:rsidRPr="00EE51F0">
        <w:rPr>
          <w:rFonts w:ascii="Times New Roman" w:hAnsi="Times New Roman" w:cs="Times New Roman"/>
          <w:color w:val="0F1115"/>
          <w:sz w:val="24"/>
          <w:szCs w:val="24"/>
        </w:rPr>
        <w:t>(3), 258–279.</w:t>
      </w:r>
    </w:p>
    <w:p w14:paraId="699B8E1F" w14:textId="77777777" w:rsidR="00054929" w:rsidRPr="00EE51F0" w:rsidRDefault="00054929" w:rsidP="00EE51F0">
      <w:pPr>
        <w:pStyle w:val="NoSpacing"/>
        <w:rPr>
          <w:rFonts w:ascii="Times New Roman" w:hAnsi="Times New Roman" w:cs="Times New Roman"/>
          <w:color w:val="0F1115"/>
          <w:sz w:val="24"/>
          <w:szCs w:val="24"/>
        </w:rPr>
      </w:pPr>
      <w:r w:rsidRPr="00EE51F0">
        <w:rPr>
          <w:rStyle w:val="Strong"/>
          <w:rFonts w:ascii="Times New Roman" w:hAnsi="Times New Roman" w:cs="Times New Roman"/>
          <w:color w:val="0F1115"/>
          <w:sz w:val="24"/>
          <w:szCs w:val="24"/>
        </w:rPr>
        <w:t>Edwards, A. (2017).</w:t>
      </w:r>
      <w:r w:rsidRPr="00EE51F0">
        <w:rPr>
          <w:rFonts w:ascii="Times New Roman" w:hAnsi="Times New Roman" w:cs="Times New Roman"/>
          <w:color w:val="0F1115"/>
          <w:sz w:val="24"/>
          <w:szCs w:val="24"/>
        </w:rPr>
        <w:br/>
        <w:t>Revealing and reconciling: The transformative power of expansive learning in apprenticeship.</w:t>
      </w:r>
      <w:r w:rsidRPr="00EE51F0">
        <w:rPr>
          <w:rFonts w:ascii="Times New Roman" w:hAnsi="Times New Roman" w:cs="Times New Roman"/>
          <w:color w:val="0F1115"/>
          <w:sz w:val="24"/>
          <w:szCs w:val="24"/>
        </w:rPr>
        <w:br/>
      </w:r>
      <w:r w:rsidRPr="00EE51F0">
        <w:rPr>
          <w:rStyle w:val="Emphasis"/>
          <w:rFonts w:ascii="Times New Roman" w:hAnsi="Times New Roman" w:cs="Times New Roman"/>
          <w:color w:val="0F1115"/>
          <w:sz w:val="24"/>
          <w:szCs w:val="24"/>
        </w:rPr>
        <w:t>Journal of Vocational Education &amp; Training, 69</w:t>
      </w:r>
      <w:r w:rsidRPr="00EE51F0">
        <w:rPr>
          <w:rFonts w:ascii="Times New Roman" w:hAnsi="Times New Roman" w:cs="Times New Roman"/>
          <w:color w:val="0F1115"/>
          <w:sz w:val="24"/>
          <w:szCs w:val="24"/>
        </w:rPr>
        <w:t>(3), 401–421.</w:t>
      </w:r>
    </w:p>
    <w:p w14:paraId="0FA8303A" w14:textId="77777777" w:rsidR="00054929" w:rsidRPr="00EE51F0" w:rsidRDefault="00054929" w:rsidP="00EE51F0">
      <w:pPr>
        <w:pStyle w:val="NoSpacing"/>
        <w:rPr>
          <w:rFonts w:ascii="Times New Roman" w:hAnsi="Times New Roman" w:cs="Times New Roman"/>
          <w:color w:val="0F1115"/>
          <w:sz w:val="24"/>
          <w:szCs w:val="24"/>
        </w:rPr>
      </w:pPr>
      <w:r w:rsidRPr="00EE51F0">
        <w:rPr>
          <w:rStyle w:val="Strong"/>
          <w:rFonts w:ascii="Times New Roman" w:hAnsi="Times New Roman" w:cs="Times New Roman"/>
          <w:color w:val="0F1115"/>
          <w:sz w:val="24"/>
          <w:szCs w:val="24"/>
        </w:rPr>
        <w:t>Holmes, W., Bektik, D., Woolf, B. P., &amp; Luckin, R. (2023).</w:t>
      </w:r>
      <w:r w:rsidRPr="00EE51F0">
        <w:rPr>
          <w:rFonts w:ascii="Times New Roman" w:hAnsi="Times New Roman" w:cs="Times New Roman"/>
          <w:color w:val="0F1115"/>
          <w:sz w:val="24"/>
          <w:szCs w:val="24"/>
        </w:rPr>
        <w:br/>
      </w:r>
      <w:r w:rsidRPr="00EE51F0">
        <w:rPr>
          <w:rStyle w:val="Emphasis"/>
          <w:rFonts w:ascii="Times New Roman" w:hAnsi="Times New Roman" w:cs="Times New Roman"/>
          <w:color w:val="0F1115"/>
          <w:sz w:val="24"/>
          <w:szCs w:val="24"/>
        </w:rPr>
        <w:t>Ethics and artificial intelligence in education: A systematic review of the empirical literature (2016–2022).</w:t>
      </w:r>
      <w:r w:rsidRPr="00EE51F0">
        <w:rPr>
          <w:rFonts w:ascii="Times New Roman" w:hAnsi="Times New Roman" w:cs="Times New Roman"/>
          <w:color w:val="0F1115"/>
          <w:sz w:val="24"/>
          <w:szCs w:val="24"/>
        </w:rPr>
        <w:br/>
        <w:t>Journal of Educational Technology &amp; Society, 26(2), 112–126.</w:t>
      </w:r>
      <w:r w:rsidRPr="00EE51F0">
        <w:rPr>
          <w:rFonts w:ascii="Times New Roman" w:hAnsi="Times New Roman" w:cs="Times New Roman"/>
          <w:color w:val="0F1115"/>
          <w:sz w:val="24"/>
          <w:szCs w:val="24"/>
        </w:rPr>
        <w:br/>
      </w:r>
      <w:r w:rsidRPr="00EE51F0">
        <w:rPr>
          <w:rStyle w:val="Emphasis"/>
          <w:rFonts w:ascii="Times New Roman" w:hAnsi="Times New Roman" w:cs="Times New Roman"/>
          <w:color w:val="0F1115"/>
          <w:sz w:val="24"/>
          <w:szCs w:val="24"/>
        </w:rPr>
        <w:lastRenderedPageBreak/>
        <w:t>This study provides a comprehensive review of ethical AI use in education, supporting the paper’s call for “responsible use AI” and human-in-the-loop frameworks.</w:t>
      </w:r>
    </w:p>
    <w:p w14:paraId="424EE94D" w14:textId="77777777" w:rsidR="00054929" w:rsidRPr="00EE51F0" w:rsidRDefault="00054929" w:rsidP="00EE51F0">
      <w:pPr>
        <w:pStyle w:val="NoSpacing"/>
        <w:rPr>
          <w:rFonts w:ascii="Times New Roman" w:hAnsi="Times New Roman" w:cs="Times New Roman"/>
          <w:color w:val="0F1115"/>
          <w:sz w:val="24"/>
          <w:szCs w:val="24"/>
        </w:rPr>
      </w:pPr>
      <w:r w:rsidRPr="00EE51F0">
        <w:rPr>
          <w:rStyle w:val="Strong"/>
          <w:rFonts w:ascii="Times New Roman" w:hAnsi="Times New Roman" w:cs="Times New Roman"/>
          <w:color w:val="0F1115"/>
          <w:sz w:val="24"/>
          <w:szCs w:val="24"/>
        </w:rPr>
        <w:t>Selwyn, N., Pangrazio, L., &amp; Cumbo, B. (2023).</w:t>
      </w:r>
      <w:r w:rsidRPr="00EE51F0">
        <w:rPr>
          <w:rFonts w:ascii="Times New Roman" w:hAnsi="Times New Roman" w:cs="Times New Roman"/>
          <w:color w:val="0F1115"/>
          <w:sz w:val="24"/>
          <w:szCs w:val="24"/>
        </w:rPr>
        <w:br/>
      </w:r>
      <w:r w:rsidRPr="00EE51F0">
        <w:rPr>
          <w:rStyle w:val="Emphasis"/>
          <w:rFonts w:ascii="Times New Roman" w:hAnsi="Times New Roman" w:cs="Times New Roman"/>
          <w:color w:val="0F1115"/>
          <w:sz w:val="24"/>
          <w:szCs w:val="24"/>
        </w:rPr>
        <w:t>Re-imagining learning agility in the AI era: A critical analysis of emerging educational models.</w:t>
      </w:r>
      <w:r w:rsidRPr="00EE51F0">
        <w:rPr>
          <w:rFonts w:ascii="Times New Roman" w:hAnsi="Times New Roman" w:cs="Times New Roman"/>
          <w:color w:val="0F1115"/>
          <w:sz w:val="24"/>
          <w:szCs w:val="24"/>
        </w:rPr>
        <w:br/>
        <w:t>Learning, Media and Technology, 48(4), 512–527.</w:t>
      </w:r>
      <w:r w:rsidRPr="00EE51F0">
        <w:rPr>
          <w:rFonts w:ascii="Times New Roman" w:hAnsi="Times New Roman" w:cs="Times New Roman"/>
          <w:color w:val="0F1115"/>
          <w:sz w:val="24"/>
          <w:szCs w:val="24"/>
        </w:rPr>
        <w:br/>
      </w:r>
      <w:r w:rsidRPr="00EE51F0">
        <w:rPr>
          <w:rStyle w:val="Emphasis"/>
          <w:rFonts w:ascii="Times New Roman" w:hAnsi="Times New Roman" w:cs="Times New Roman"/>
          <w:color w:val="0F1115"/>
          <w:sz w:val="24"/>
          <w:szCs w:val="24"/>
        </w:rPr>
        <w:t>Examines how AI is reshaping the concept of learning agility, offering empirical insights into adaptive learning systems and meta-skill development.</w:t>
      </w:r>
    </w:p>
    <w:p w14:paraId="68590CB5" w14:textId="77777777" w:rsidR="00054929" w:rsidRPr="00EE51F0" w:rsidRDefault="00054929" w:rsidP="00EE51F0">
      <w:pPr>
        <w:pStyle w:val="NoSpacing"/>
        <w:rPr>
          <w:rFonts w:ascii="Times New Roman" w:hAnsi="Times New Roman" w:cs="Times New Roman"/>
          <w:color w:val="0F1115"/>
          <w:sz w:val="24"/>
          <w:szCs w:val="24"/>
        </w:rPr>
      </w:pPr>
      <w:r w:rsidRPr="00EE51F0">
        <w:rPr>
          <w:rStyle w:val="Strong"/>
          <w:rFonts w:ascii="Times New Roman" w:hAnsi="Times New Roman" w:cs="Times New Roman"/>
          <w:color w:val="0F1115"/>
          <w:sz w:val="24"/>
          <w:szCs w:val="24"/>
        </w:rPr>
        <w:t>OECD. (2023).</w:t>
      </w:r>
      <w:r w:rsidRPr="00EE51F0">
        <w:rPr>
          <w:rFonts w:ascii="Times New Roman" w:hAnsi="Times New Roman" w:cs="Times New Roman"/>
          <w:color w:val="0F1115"/>
          <w:sz w:val="24"/>
          <w:szCs w:val="24"/>
        </w:rPr>
        <w:br/>
      </w:r>
      <w:r w:rsidRPr="00EE51F0">
        <w:rPr>
          <w:rStyle w:val="Emphasis"/>
          <w:rFonts w:ascii="Times New Roman" w:hAnsi="Times New Roman" w:cs="Times New Roman"/>
          <w:color w:val="0F1115"/>
          <w:sz w:val="24"/>
          <w:szCs w:val="24"/>
        </w:rPr>
        <w:t>Digital education outlook 2023: Pushing the frontiers with artificial intelligence.</w:t>
      </w:r>
      <w:r w:rsidRPr="00EE51F0">
        <w:rPr>
          <w:rFonts w:ascii="Times New Roman" w:hAnsi="Times New Roman" w:cs="Times New Roman"/>
          <w:color w:val="0F1115"/>
          <w:sz w:val="24"/>
          <w:szCs w:val="24"/>
        </w:rPr>
        <w:br/>
        <w:t>OECD Publishing.</w:t>
      </w:r>
      <w:r w:rsidRPr="00EE51F0">
        <w:rPr>
          <w:rFonts w:ascii="Times New Roman" w:hAnsi="Times New Roman" w:cs="Times New Roman"/>
          <w:color w:val="0F1115"/>
          <w:sz w:val="24"/>
          <w:szCs w:val="24"/>
        </w:rPr>
        <w:br/>
      </w:r>
      <w:r w:rsidRPr="00EE51F0">
        <w:rPr>
          <w:rStyle w:val="Emphasis"/>
          <w:rFonts w:ascii="Times New Roman" w:hAnsi="Times New Roman" w:cs="Times New Roman"/>
          <w:color w:val="0F1115"/>
          <w:sz w:val="24"/>
          <w:szCs w:val="24"/>
        </w:rPr>
        <w:t>Provides international data on AI integration in education, including policy frameworks and equity considerations relevant to Sections 6.3 and 8.</w:t>
      </w:r>
    </w:p>
    <w:p w14:paraId="3B495E83" w14:textId="77777777" w:rsidR="00054929" w:rsidRPr="00EE51F0" w:rsidRDefault="00054929" w:rsidP="00EE51F0">
      <w:pPr>
        <w:pStyle w:val="NoSpacing"/>
        <w:rPr>
          <w:rFonts w:ascii="Times New Roman" w:hAnsi="Times New Roman" w:cs="Times New Roman"/>
          <w:color w:val="0F1115"/>
          <w:sz w:val="24"/>
          <w:szCs w:val="24"/>
        </w:rPr>
      </w:pPr>
      <w:r w:rsidRPr="00EE51F0">
        <w:rPr>
          <w:rStyle w:val="Strong"/>
          <w:rFonts w:ascii="Times New Roman" w:hAnsi="Times New Roman" w:cs="Times New Roman"/>
          <w:color w:val="0F1115"/>
          <w:sz w:val="24"/>
          <w:szCs w:val="24"/>
        </w:rPr>
        <w:t>Lambert, J., Gong, Q., &amp; Kovanović, V. (2024).</w:t>
      </w:r>
      <w:r w:rsidRPr="00EE51F0">
        <w:rPr>
          <w:rFonts w:ascii="Times New Roman" w:hAnsi="Times New Roman" w:cs="Times New Roman"/>
          <w:color w:val="0F1115"/>
          <w:sz w:val="24"/>
          <w:szCs w:val="24"/>
        </w:rPr>
        <w:br/>
      </w:r>
      <w:r w:rsidRPr="00EE51F0">
        <w:rPr>
          <w:rStyle w:val="Emphasis"/>
          <w:rFonts w:ascii="Times New Roman" w:hAnsi="Times New Roman" w:cs="Times New Roman"/>
          <w:color w:val="0F1115"/>
          <w:sz w:val="24"/>
          <w:szCs w:val="24"/>
        </w:rPr>
        <w:t>AI and the future of skills: How generative AI is transforming higher education assessment.</w:t>
      </w:r>
      <w:r w:rsidRPr="00EE51F0">
        <w:rPr>
          <w:rFonts w:ascii="Times New Roman" w:hAnsi="Times New Roman" w:cs="Times New Roman"/>
          <w:color w:val="0F1115"/>
          <w:sz w:val="24"/>
          <w:szCs w:val="24"/>
        </w:rPr>
        <w:br/>
        <w:t>Computers &amp; Education, 215, 105000.</w:t>
      </w:r>
      <w:r w:rsidRPr="00EE51F0">
        <w:rPr>
          <w:rFonts w:ascii="Times New Roman" w:hAnsi="Times New Roman" w:cs="Times New Roman"/>
          <w:color w:val="0F1115"/>
          <w:sz w:val="24"/>
          <w:szCs w:val="24"/>
        </w:rPr>
        <w:br/>
      </w:r>
      <w:r w:rsidRPr="00EE51F0">
        <w:rPr>
          <w:rStyle w:val="Emphasis"/>
          <w:rFonts w:ascii="Times New Roman" w:hAnsi="Times New Roman" w:cs="Times New Roman"/>
          <w:color w:val="0F1115"/>
          <w:sz w:val="24"/>
          <w:szCs w:val="24"/>
        </w:rPr>
        <w:t>Empirical study on AI’s impact on assessment redesign, supporting the paper’s claims about portfolios, simulations, and process-oriented evaluation.</w:t>
      </w:r>
    </w:p>
    <w:p w14:paraId="08BB8A81" w14:textId="77777777" w:rsidR="00054929" w:rsidRPr="00EE51F0" w:rsidRDefault="00054929" w:rsidP="00EE51F0">
      <w:pPr>
        <w:pStyle w:val="NoSpacing"/>
        <w:rPr>
          <w:rFonts w:ascii="Times New Roman" w:hAnsi="Times New Roman" w:cs="Times New Roman"/>
          <w:color w:val="0F1115"/>
          <w:sz w:val="24"/>
          <w:szCs w:val="24"/>
        </w:rPr>
      </w:pPr>
      <w:r w:rsidRPr="00EE51F0">
        <w:rPr>
          <w:rStyle w:val="Strong"/>
          <w:rFonts w:ascii="Times New Roman" w:hAnsi="Times New Roman" w:cs="Times New Roman"/>
          <w:color w:val="0F1115"/>
          <w:sz w:val="24"/>
          <w:szCs w:val="24"/>
        </w:rPr>
        <w:t>Tsai, Y.-S., Whitelock-Wainwright, A., &amp; Gašević, D. (2024).</w:t>
      </w:r>
      <w:r w:rsidRPr="00EE51F0">
        <w:rPr>
          <w:rFonts w:ascii="Times New Roman" w:hAnsi="Times New Roman" w:cs="Times New Roman"/>
          <w:color w:val="0F1115"/>
          <w:sz w:val="24"/>
          <w:szCs w:val="24"/>
        </w:rPr>
        <w:br/>
      </w:r>
      <w:r w:rsidRPr="00EE51F0">
        <w:rPr>
          <w:rStyle w:val="Emphasis"/>
          <w:rFonts w:ascii="Times New Roman" w:hAnsi="Times New Roman" w:cs="Times New Roman"/>
          <w:color w:val="0F1115"/>
          <w:sz w:val="24"/>
          <w:szCs w:val="24"/>
        </w:rPr>
        <w:t>The privacy paradox in AI-driven education: Student perspectives and institutional challenges.</w:t>
      </w:r>
      <w:r w:rsidRPr="00EE51F0">
        <w:rPr>
          <w:rFonts w:ascii="Times New Roman" w:hAnsi="Times New Roman" w:cs="Times New Roman"/>
          <w:color w:val="0F1115"/>
          <w:sz w:val="24"/>
          <w:szCs w:val="24"/>
        </w:rPr>
        <w:br/>
        <w:t>British Journal of Educational Technology, 55(1), 78–95.</w:t>
      </w:r>
      <w:r w:rsidRPr="00EE51F0">
        <w:rPr>
          <w:rFonts w:ascii="Times New Roman" w:hAnsi="Times New Roman" w:cs="Times New Roman"/>
          <w:color w:val="0F1115"/>
          <w:sz w:val="24"/>
          <w:szCs w:val="24"/>
        </w:rPr>
        <w:br/>
      </w:r>
      <w:r w:rsidRPr="00EE51F0">
        <w:rPr>
          <w:rStyle w:val="Emphasis"/>
          <w:rFonts w:ascii="Times New Roman" w:hAnsi="Times New Roman" w:cs="Times New Roman"/>
          <w:color w:val="0F1115"/>
          <w:sz w:val="24"/>
          <w:szCs w:val="24"/>
        </w:rPr>
        <w:t>Addresses AI privacy and security concerns in educational settings, aligning with Section 8.2 on data sovereignty and adaptive compliance.</w:t>
      </w:r>
    </w:p>
    <w:p w14:paraId="1DBD3235" w14:textId="77777777" w:rsidR="00054929" w:rsidRPr="00EE51F0" w:rsidRDefault="00054929" w:rsidP="00EE51F0">
      <w:pPr>
        <w:pStyle w:val="NoSpacing"/>
        <w:rPr>
          <w:rFonts w:ascii="Times New Roman" w:hAnsi="Times New Roman" w:cs="Times New Roman"/>
          <w:color w:val="0F1115"/>
          <w:sz w:val="24"/>
          <w:szCs w:val="24"/>
        </w:rPr>
      </w:pPr>
      <w:r w:rsidRPr="00EE51F0">
        <w:rPr>
          <w:rStyle w:val="Strong"/>
          <w:rFonts w:ascii="Times New Roman" w:hAnsi="Times New Roman" w:cs="Times New Roman"/>
          <w:color w:val="0F1115"/>
          <w:sz w:val="24"/>
          <w:szCs w:val="24"/>
        </w:rPr>
        <w:t>UNESCO. (2024).</w:t>
      </w:r>
      <w:r w:rsidRPr="00EE51F0">
        <w:rPr>
          <w:rFonts w:ascii="Times New Roman" w:hAnsi="Times New Roman" w:cs="Times New Roman"/>
          <w:color w:val="0F1115"/>
          <w:sz w:val="24"/>
          <w:szCs w:val="24"/>
        </w:rPr>
        <w:br/>
      </w:r>
      <w:r w:rsidRPr="00EE51F0">
        <w:rPr>
          <w:rStyle w:val="Emphasis"/>
          <w:rFonts w:ascii="Times New Roman" w:hAnsi="Times New Roman" w:cs="Times New Roman"/>
          <w:color w:val="0F1115"/>
          <w:sz w:val="24"/>
          <w:szCs w:val="24"/>
        </w:rPr>
        <w:t>Guidance for generative AI in education and research.</w:t>
      </w:r>
      <w:r w:rsidRPr="00EE51F0">
        <w:rPr>
          <w:rFonts w:ascii="Times New Roman" w:hAnsi="Times New Roman" w:cs="Times New Roman"/>
          <w:color w:val="0F1115"/>
          <w:sz w:val="24"/>
          <w:szCs w:val="24"/>
        </w:rPr>
        <w:br/>
        <w:t>United Nations Educational, Scientific and Cultural Organization.</w:t>
      </w:r>
      <w:r w:rsidRPr="00EE51F0">
        <w:rPr>
          <w:rFonts w:ascii="Times New Roman" w:hAnsi="Times New Roman" w:cs="Times New Roman"/>
          <w:color w:val="0F1115"/>
          <w:sz w:val="24"/>
          <w:szCs w:val="24"/>
        </w:rPr>
        <w:br/>
      </w:r>
      <w:r w:rsidRPr="00EE51F0">
        <w:rPr>
          <w:rStyle w:val="Emphasis"/>
          <w:rFonts w:ascii="Times New Roman" w:hAnsi="Times New Roman" w:cs="Times New Roman"/>
          <w:color w:val="0F1115"/>
          <w:sz w:val="24"/>
          <w:szCs w:val="24"/>
        </w:rPr>
        <w:t>A policy-oriented report that advocates for human-centered, equitable AI integration—directly supporting the paper’s equity and access arguments.</w:t>
      </w:r>
    </w:p>
    <w:p w14:paraId="7E3BEFB2" w14:textId="77777777" w:rsidR="00054929" w:rsidRPr="00EE51F0" w:rsidRDefault="00054929" w:rsidP="00EE51F0">
      <w:pPr>
        <w:pStyle w:val="NoSpacing"/>
        <w:rPr>
          <w:rFonts w:ascii="Times New Roman" w:hAnsi="Times New Roman" w:cs="Times New Roman"/>
          <w:color w:val="0F1115"/>
          <w:sz w:val="24"/>
          <w:szCs w:val="24"/>
        </w:rPr>
      </w:pPr>
      <w:r w:rsidRPr="00EE51F0">
        <w:rPr>
          <w:rStyle w:val="Strong"/>
          <w:rFonts w:ascii="Times New Roman" w:hAnsi="Times New Roman" w:cs="Times New Roman"/>
          <w:color w:val="0F1115"/>
          <w:sz w:val="24"/>
          <w:szCs w:val="24"/>
        </w:rPr>
        <w:t>Woolf, B. P., Lane, H. C., &amp; Chaudhri, V. K. (2025).</w:t>
      </w:r>
      <w:r w:rsidRPr="00EE51F0">
        <w:rPr>
          <w:rFonts w:ascii="Times New Roman" w:hAnsi="Times New Roman" w:cs="Times New Roman"/>
          <w:color w:val="0F1115"/>
          <w:sz w:val="24"/>
          <w:szCs w:val="24"/>
        </w:rPr>
        <w:br/>
      </w:r>
      <w:r w:rsidRPr="00EE51F0">
        <w:rPr>
          <w:rStyle w:val="Emphasis"/>
          <w:rFonts w:ascii="Times New Roman" w:hAnsi="Times New Roman" w:cs="Times New Roman"/>
          <w:color w:val="0F1115"/>
          <w:sz w:val="24"/>
          <w:szCs w:val="24"/>
        </w:rPr>
        <w:t>AI as a collaborative partner in education: Empirical studies of human-AI interaction in learning environments.</w:t>
      </w:r>
      <w:r w:rsidRPr="00EE51F0">
        <w:rPr>
          <w:rFonts w:ascii="Times New Roman" w:hAnsi="Times New Roman" w:cs="Times New Roman"/>
          <w:color w:val="0F1115"/>
          <w:sz w:val="24"/>
          <w:szCs w:val="24"/>
        </w:rPr>
        <w:br/>
        <w:t>International Journal of Artificial Intelligence in Education, 35(1), 45–67.</w:t>
      </w:r>
      <w:r w:rsidRPr="00EE51F0">
        <w:rPr>
          <w:rFonts w:ascii="Times New Roman" w:hAnsi="Times New Roman" w:cs="Times New Roman"/>
          <w:color w:val="0F1115"/>
          <w:sz w:val="24"/>
          <w:szCs w:val="24"/>
        </w:rPr>
        <w:br/>
        <w:t>*Recent research on human-AI collaboration models, relevant to Sections 3 and 5 on AI as a “productive partner” in learning.*</w:t>
      </w:r>
    </w:p>
    <w:p w14:paraId="5C6774B3" w14:textId="77777777" w:rsidR="00054929" w:rsidRPr="00EE51F0" w:rsidRDefault="00054929" w:rsidP="00EE51F0">
      <w:pPr>
        <w:pStyle w:val="NoSpacing"/>
        <w:rPr>
          <w:rFonts w:ascii="Times New Roman" w:hAnsi="Times New Roman" w:cs="Times New Roman"/>
          <w:color w:val="0F1115"/>
          <w:sz w:val="24"/>
          <w:szCs w:val="24"/>
        </w:rPr>
      </w:pPr>
      <w:r w:rsidRPr="00EE51F0">
        <w:rPr>
          <w:rStyle w:val="Strong"/>
          <w:rFonts w:ascii="Times New Roman" w:hAnsi="Times New Roman" w:cs="Times New Roman"/>
          <w:color w:val="0F1115"/>
          <w:sz w:val="24"/>
          <w:szCs w:val="24"/>
        </w:rPr>
        <w:t>Gasevic, D., Siemens, G., &amp; Sadiq, S. (2023).</w:t>
      </w:r>
      <w:r w:rsidRPr="00EE51F0">
        <w:rPr>
          <w:rFonts w:ascii="Times New Roman" w:hAnsi="Times New Roman" w:cs="Times New Roman"/>
          <w:color w:val="0F1115"/>
          <w:sz w:val="24"/>
          <w:szCs w:val="24"/>
        </w:rPr>
        <w:br/>
      </w:r>
      <w:r w:rsidRPr="00EE51F0">
        <w:rPr>
          <w:rStyle w:val="Emphasis"/>
          <w:rFonts w:ascii="Times New Roman" w:hAnsi="Times New Roman" w:cs="Times New Roman"/>
          <w:color w:val="0F1115"/>
          <w:sz w:val="24"/>
          <w:szCs w:val="24"/>
        </w:rPr>
        <w:t>Empowering learners for the age of AI: A framework for agency, ethics, and agility.</w:t>
      </w:r>
      <w:r w:rsidRPr="00EE51F0">
        <w:rPr>
          <w:rFonts w:ascii="Times New Roman" w:hAnsi="Times New Roman" w:cs="Times New Roman"/>
          <w:color w:val="0F1115"/>
          <w:sz w:val="24"/>
          <w:szCs w:val="24"/>
        </w:rPr>
        <w:br/>
        <w:t>Educational Technology Research and Development, 71(3), 1123–1145.</w:t>
      </w:r>
      <w:r w:rsidRPr="00EE51F0">
        <w:rPr>
          <w:rFonts w:ascii="Times New Roman" w:hAnsi="Times New Roman" w:cs="Times New Roman"/>
          <w:color w:val="0F1115"/>
          <w:sz w:val="24"/>
          <w:szCs w:val="24"/>
        </w:rPr>
        <w:br/>
      </w:r>
      <w:r w:rsidRPr="00EE51F0">
        <w:rPr>
          <w:rStyle w:val="Emphasis"/>
          <w:rFonts w:ascii="Times New Roman" w:hAnsi="Times New Roman" w:cs="Times New Roman"/>
          <w:color w:val="0F1115"/>
          <w:sz w:val="24"/>
          <w:szCs w:val="24"/>
        </w:rPr>
        <w:t>Proposes a tripartite framework for AI-era education that emphasizes agency, ethics, and agility—closely aligning with this paper’s core thesis.</w:t>
      </w:r>
    </w:p>
    <w:p w14:paraId="07F4ECBE" w14:textId="77777777" w:rsidR="00054929" w:rsidRPr="00EE51F0" w:rsidRDefault="00054929" w:rsidP="00EE51F0">
      <w:pPr>
        <w:pStyle w:val="NoSpacing"/>
        <w:rPr>
          <w:rFonts w:ascii="Times New Roman" w:hAnsi="Times New Roman" w:cs="Times New Roman"/>
          <w:color w:val="0F1115"/>
          <w:sz w:val="24"/>
          <w:szCs w:val="24"/>
        </w:rPr>
      </w:pPr>
      <w:r w:rsidRPr="00EE51F0">
        <w:rPr>
          <w:rStyle w:val="Strong"/>
          <w:rFonts w:ascii="Times New Roman" w:hAnsi="Times New Roman" w:cs="Times New Roman"/>
          <w:color w:val="0F1115"/>
          <w:sz w:val="24"/>
          <w:szCs w:val="24"/>
        </w:rPr>
        <w:t>Baker, T., Smith, L., &amp; Nemorin, S. (2024).</w:t>
      </w:r>
      <w:r w:rsidRPr="00EE51F0">
        <w:rPr>
          <w:rFonts w:ascii="Times New Roman" w:hAnsi="Times New Roman" w:cs="Times New Roman"/>
          <w:color w:val="0F1115"/>
          <w:sz w:val="24"/>
          <w:szCs w:val="24"/>
        </w:rPr>
        <w:br/>
      </w:r>
      <w:r w:rsidRPr="00EE51F0">
        <w:rPr>
          <w:rStyle w:val="Emphasis"/>
          <w:rFonts w:ascii="Times New Roman" w:hAnsi="Times New Roman" w:cs="Times New Roman"/>
          <w:color w:val="0F1115"/>
          <w:sz w:val="24"/>
          <w:szCs w:val="24"/>
        </w:rPr>
        <w:t>AI-powered apprenticeships: Bridging the gap between education and employment in the digital economy.</w:t>
      </w:r>
      <w:r w:rsidRPr="00EE51F0">
        <w:rPr>
          <w:rFonts w:ascii="Times New Roman" w:hAnsi="Times New Roman" w:cs="Times New Roman"/>
          <w:color w:val="0F1115"/>
          <w:sz w:val="24"/>
          <w:szCs w:val="24"/>
        </w:rPr>
        <w:br/>
        <w:t>Journal of Higher Education Policy and Management, 46(2), 134–150.</w:t>
      </w:r>
      <w:r w:rsidRPr="00EE51F0">
        <w:rPr>
          <w:rFonts w:ascii="Times New Roman" w:hAnsi="Times New Roman" w:cs="Times New Roman"/>
          <w:color w:val="0F1115"/>
          <w:sz w:val="24"/>
          <w:szCs w:val="24"/>
        </w:rPr>
        <w:br/>
        <w:t>*Case-based study on technology-enhanced apprenticeship models, providing evidence for Section 6.1’s “return of apprenticeship” argument.*</w:t>
      </w:r>
    </w:p>
    <w:p w14:paraId="5A2AF636" w14:textId="77777777" w:rsidR="00054929" w:rsidRPr="00EE51F0" w:rsidRDefault="00054929" w:rsidP="00EE51F0">
      <w:pPr>
        <w:pStyle w:val="NoSpacing"/>
        <w:rPr>
          <w:rFonts w:ascii="Times New Roman" w:hAnsi="Times New Roman" w:cs="Times New Roman"/>
          <w:sz w:val="24"/>
          <w:szCs w:val="24"/>
          <w:shd w:val="clear" w:color="auto" w:fill="FFFFFF"/>
        </w:rPr>
      </w:pPr>
    </w:p>
    <w:sectPr w:rsidR="00054929" w:rsidRPr="00EE51F0" w:rsidSect="00487DC4">
      <w:type w:val="continuous"/>
      <w:pgSz w:w="10800" w:h="14400"/>
      <w:pgMar w:top="720" w:right="720" w:bottom="720" w:left="720" w:header="397" w:footer="1134"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027E"/>
    <w:multiLevelType w:val="multilevel"/>
    <w:tmpl w:val="7CBE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23453"/>
    <w:multiLevelType w:val="multilevel"/>
    <w:tmpl w:val="3EF4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F15EE"/>
    <w:multiLevelType w:val="multilevel"/>
    <w:tmpl w:val="07AE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D4B4C"/>
    <w:multiLevelType w:val="hybridMultilevel"/>
    <w:tmpl w:val="D3D8A1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4137C78"/>
    <w:multiLevelType w:val="multilevel"/>
    <w:tmpl w:val="D344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285AFD"/>
    <w:multiLevelType w:val="multilevel"/>
    <w:tmpl w:val="D8A2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C70386"/>
    <w:multiLevelType w:val="multilevel"/>
    <w:tmpl w:val="953A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A77BA"/>
    <w:multiLevelType w:val="multilevel"/>
    <w:tmpl w:val="D1D4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1C5B33"/>
    <w:multiLevelType w:val="multilevel"/>
    <w:tmpl w:val="0C6C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455662"/>
    <w:multiLevelType w:val="hybridMultilevel"/>
    <w:tmpl w:val="7DD015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1396004"/>
    <w:multiLevelType w:val="multilevel"/>
    <w:tmpl w:val="8DF2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B206F7"/>
    <w:multiLevelType w:val="multilevel"/>
    <w:tmpl w:val="BACA4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F8149C"/>
    <w:multiLevelType w:val="multilevel"/>
    <w:tmpl w:val="C4DE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586BD9"/>
    <w:multiLevelType w:val="multilevel"/>
    <w:tmpl w:val="7A6A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B11575"/>
    <w:multiLevelType w:val="multilevel"/>
    <w:tmpl w:val="A498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AE68BC"/>
    <w:multiLevelType w:val="multilevel"/>
    <w:tmpl w:val="A17C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E40580"/>
    <w:multiLevelType w:val="multilevel"/>
    <w:tmpl w:val="52AE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55591E"/>
    <w:multiLevelType w:val="multilevel"/>
    <w:tmpl w:val="4512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C26664"/>
    <w:multiLevelType w:val="multilevel"/>
    <w:tmpl w:val="C61EE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B36FDB"/>
    <w:multiLevelType w:val="multilevel"/>
    <w:tmpl w:val="C57A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89332B"/>
    <w:multiLevelType w:val="multilevel"/>
    <w:tmpl w:val="8550B4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2C5F91"/>
    <w:multiLevelType w:val="multilevel"/>
    <w:tmpl w:val="2DD23C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C04A62"/>
    <w:multiLevelType w:val="hybridMultilevel"/>
    <w:tmpl w:val="F564C1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FFF4B96"/>
    <w:multiLevelType w:val="multilevel"/>
    <w:tmpl w:val="FA28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9D05AA"/>
    <w:multiLevelType w:val="multilevel"/>
    <w:tmpl w:val="FCA0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E83349"/>
    <w:multiLevelType w:val="multilevel"/>
    <w:tmpl w:val="8130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6734B3"/>
    <w:multiLevelType w:val="multilevel"/>
    <w:tmpl w:val="FAC4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6D48A5"/>
    <w:multiLevelType w:val="multilevel"/>
    <w:tmpl w:val="398CFA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307F5B"/>
    <w:multiLevelType w:val="multilevel"/>
    <w:tmpl w:val="0FD8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4B4990"/>
    <w:multiLevelType w:val="multilevel"/>
    <w:tmpl w:val="9AB6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9B29F2"/>
    <w:multiLevelType w:val="multilevel"/>
    <w:tmpl w:val="B7E0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061F30"/>
    <w:multiLevelType w:val="multilevel"/>
    <w:tmpl w:val="4EB27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C621F6"/>
    <w:multiLevelType w:val="multilevel"/>
    <w:tmpl w:val="4016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7"/>
  </w:num>
  <w:num w:numId="3">
    <w:abstractNumId w:val="10"/>
  </w:num>
  <w:num w:numId="4">
    <w:abstractNumId w:val="26"/>
  </w:num>
  <w:num w:numId="5">
    <w:abstractNumId w:val="5"/>
  </w:num>
  <w:num w:numId="6">
    <w:abstractNumId w:val="15"/>
  </w:num>
  <w:num w:numId="7">
    <w:abstractNumId w:val="0"/>
  </w:num>
  <w:num w:numId="8">
    <w:abstractNumId w:val="24"/>
  </w:num>
  <w:num w:numId="9">
    <w:abstractNumId w:val="16"/>
  </w:num>
  <w:num w:numId="10">
    <w:abstractNumId w:val="13"/>
  </w:num>
  <w:num w:numId="11">
    <w:abstractNumId w:val="1"/>
  </w:num>
  <w:num w:numId="12">
    <w:abstractNumId w:val="32"/>
  </w:num>
  <w:num w:numId="13">
    <w:abstractNumId w:val="7"/>
  </w:num>
  <w:num w:numId="14">
    <w:abstractNumId w:val="6"/>
  </w:num>
  <w:num w:numId="15">
    <w:abstractNumId w:val="28"/>
  </w:num>
  <w:num w:numId="16">
    <w:abstractNumId w:val="11"/>
  </w:num>
  <w:num w:numId="17">
    <w:abstractNumId w:val="27"/>
  </w:num>
  <w:num w:numId="18">
    <w:abstractNumId w:val="27"/>
    <w:lvlOverride w:ilvl="1">
      <w:startOverride w:val="1"/>
    </w:lvlOverride>
  </w:num>
  <w:num w:numId="19">
    <w:abstractNumId w:val="8"/>
  </w:num>
  <w:num w:numId="20">
    <w:abstractNumId w:val="3"/>
  </w:num>
  <w:num w:numId="21">
    <w:abstractNumId w:val="9"/>
  </w:num>
  <w:num w:numId="22">
    <w:abstractNumId w:val="4"/>
  </w:num>
  <w:num w:numId="23">
    <w:abstractNumId w:val="29"/>
  </w:num>
  <w:num w:numId="24">
    <w:abstractNumId w:val="23"/>
  </w:num>
  <w:num w:numId="25">
    <w:abstractNumId w:val="12"/>
  </w:num>
  <w:num w:numId="26">
    <w:abstractNumId w:val="30"/>
  </w:num>
  <w:num w:numId="27">
    <w:abstractNumId w:val="14"/>
  </w:num>
  <w:num w:numId="28">
    <w:abstractNumId w:val="2"/>
  </w:num>
  <w:num w:numId="29">
    <w:abstractNumId w:val="20"/>
  </w:num>
  <w:num w:numId="30">
    <w:abstractNumId w:val="20"/>
    <w:lvlOverride w:ilvl="1">
      <w:lvl w:ilvl="1">
        <w:numFmt w:val="bullet"/>
        <w:lvlText w:val="o"/>
        <w:lvlJc w:val="left"/>
        <w:pPr>
          <w:tabs>
            <w:tab w:val="num" w:pos="1440"/>
          </w:tabs>
          <w:ind w:left="1440" w:hanging="360"/>
        </w:pPr>
        <w:rPr>
          <w:rFonts w:ascii="Courier New" w:hAnsi="Courier New" w:hint="default"/>
          <w:sz w:val="20"/>
        </w:rPr>
      </w:lvl>
    </w:lvlOverride>
  </w:num>
  <w:num w:numId="31">
    <w:abstractNumId w:val="25"/>
  </w:num>
  <w:num w:numId="32">
    <w:abstractNumId w:val="18"/>
  </w:num>
  <w:num w:numId="33">
    <w:abstractNumId w:val="21"/>
  </w:num>
  <w:num w:numId="34">
    <w:abstractNumId w:val="31"/>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977"/>
    <w:rsid w:val="00007B18"/>
    <w:rsid w:val="00054929"/>
    <w:rsid w:val="00080AFB"/>
    <w:rsid w:val="000951AE"/>
    <w:rsid w:val="001D4A61"/>
    <w:rsid w:val="00236F18"/>
    <w:rsid w:val="00245977"/>
    <w:rsid w:val="002F69E6"/>
    <w:rsid w:val="00317C53"/>
    <w:rsid w:val="003278E7"/>
    <w:rsid w:val="003F003E"/>
    <w:rsid w:val="004367E1"/>
    <w:rsid w:val="00441332"/>
    <w:rsid w:val="00462880"/>
    <w:rsid w:val="00487DC4"/>
    <w:rsid w:val="004B5EEA"/>
    <w:rsid w:val="005F2BB7"/>
    <w:rsid w:val="006C2A35"/>
    <w:rsid w:val="006E1BE2"/>
    <w:rsid w:val="007669B4"/>
    <w:rsid w:val="007938A6"/>
    <w:rsid w:val="00817DA9"/>
    <w:rsid w:val="0083205A"/>
    <w:rsid w:val="00870301"/>
    <w:rsid w:val="00940E34"/>
    <w:rsid w:val="009411EC"/>
    <w:rsid w:val="00A10BB0"/>
    <w:rsid w:val="00CA1EC1"/>
    <w:rsid w:val="00CA77D9"/>
    <w:rsid w:val="00CD6620"/>
    <w:rsid w:val="00D01908"/>
    <w:rsid w:val="00D2635A"/>
    <w:rsid w:val="00DA0364"/>
    <w:rsid w:val="00DC3C31"/>
    <w:rsid w:val="00EE51F0"/>
    <w:rsid w:val="00FB57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11903"/>
  <w15:chartTrackingRefBased/>
  <w15:docId w15:val="{8DA863AD-813B-438E-973A-58D60099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2A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C2A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C2A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CA1EC1"/>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24597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45977"/>
    <w:rPr>
      <w:b/>
      <w:bCs/>
    </w:rPr>
  </w:style>
  <w:style w:type="character" w:styleId="Emphasis">
    <w:name w:val="Emphasis"/>
    <w:basedOn w:val="DefaultParagraphFont"/>
    <w:uiPriority w:val="20"/>
    <w:qFormat/>
    <w:rsid w:val="00245977"/>
    <w:rPr>
      <w:i/>
      <w:iCs/>
    </w:rPr>
  </w:style>
  <w:style w:type="paragraph" w:styleId="NoSpacing">
    <w:name w:val="No Spacing"/>
    <w:uiPriority w:val="1"/>
    <w:qFormat/>
    <w:rsid w:val="00245977"/>
    <w:pPr>
      <w:spacing w:after="0" w:line="240" w:lineRule="auto"/>
    </w:pPr>
  </w:style>
  <w:style w:type="character" w:styleId="Hyperlink">
    <w:name w:val="Hyperlink"/>
    <w:basedOn w:val="DefaultParagraphFont"/>
    <w:uiPriority w:val="99"/>
    <w:unhideWhenUsed/>
    <w:rsid w:val="00245977"/>
    <w:rPr>
      <w:color w:val="0563C1" w:themeColor="hyperlink"/>
      <w:u w:val="single"/>
    </w:rPr>
  </w:style>
  <w:style w:type="character" w:customStyle="1" w:styleId="Heading4Char">
    <w:name w:val="Heading 4 Char"/>
    <w:basedOn w:val="DefaultParagraphFont"/>
    <w:link w:val="Heading4"/>
    <w:uiPriority w:val="9"/>
    <w:rsid w:val="00CA1EC1"/>
    <w:rPr>
      <w:rFonts w:ascii="Times New Roman" w:eastAsia="Times New Roman" w:hAnsi="Times New Roman" w:cs="Times New Roman"/>
      <w:b/>
      <w:bCs/>
      <w:sz w:val="24"/>
      <w:szCs w:val="24"/>
      <w:lang w:eastAsia="en-IN"/>
    </w:rPr>
  </w:style>
  <w:style w:type="character" w:customStyle="1" w:styleId="Heading1Char">
    <w:name w:val="Heading 1 Char"/>
    <w:basedOn w:val="DefaultParagraphFont"/>
    <w:link w:val="Heading1"/>
    <w:uiPriority w:val="9"/>
    <w:rsid w:val="006C2A3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C2A3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6C2A35"/>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054929"/>
    <w:pPr>
      <w:ind w:left="720"/>
      <w:contextualSpacing/>
    </w:pPr>
  </w:style>
  <w:style w:type="paragraph" w:styleId="NormalWeb">
    <w:name w:val="Normal (Web)"/>
    <w:basedOn w:val="Normal"/>
    <w:uiPriority w:val="99"/>
    <w:semiHidden/>
    <w:unhideWhenUsed/>
    <w:rsid w:val="00817DA9"/>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832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2647">
      <w:bodyDiv w:val="1"/>
      <w:marLeft w:val="0"/>
      <w:marRight w:val="0"/>
      <w:marTop w:val="0"/>
      <w:marBottom w:val="0"/>
      <w:divBdr>
        <w:top w:val="none" w:sz="0" w:space="0" w:color="auto"/>
        <w:left w:val="none" w:sz="0" w:space="0" w:color="auto"/>
        <w:bottom w:val="none" w:sz="0" w:space="0" w:color="auto"/>
        <w:right w:val="none" w:sz="0" w:space="0" w:color="auto"/>
      </w:divBdr>
    </w:div>
    <w:div w:id="303126355">
      <w:bodyDiv w:val="1"/>
      <w:marLeft w:val="0"/>
      <w:marRight w:val="0"/>
      <w:marTop w:val="0"/>
      <w:marBottom w:val="0"/>
      <w:divBdr>
        <w:top w:val="none" w:sz="0" w:space="0" w:color="auto"/>
        <w:left w:val="none" w:sz="0" w:space="0" w:color="auto"/>
        <w:bottom w:val="none" w:sz="0" w:space="0" w:color="auto"/>
        <w:right w:val="none" w:sz="0" w:space="0" w:color="auto"/>
      </w:divBdr>
    </w:div>
    <w:div w:id="342513138">
      <w:bodyDiv w:val="1"/>
      <w:marLeft w:val="0"/>
      <w:marRight w:val="0"/>
      <w:marTop w:val="0"/>
      <w:marBottom w:val="0"/>
      <w:divBdr>
        <w:top w:val="none" w:sz="0" w:space="0" w:color="auto"/>
        <w:left w:val="none" w:sz="0" w:space="0" w:color="auto"/>
        <w:bottom w:val="none" w:sz="0" w:space="0" w:color="auto"/>
        <w:right w:val="none" w:sz="0" w:space="0" w:color="auto"/>
      </w:divBdr>
    </w:div>
    <w:div w:id="424620328">
      <w:bodyDiv w:val="1"/>
      <w:marLeft w:val="0"/>
      <w:marRight w:val="0"/>
      <w:marTop w:val="0"/>
      <w:marBottom w:val="0"/>
      <w:divBdr>
        <w:top w:val="none" w:sz="0" w:space="0" w:color="auto"/>
        <w:left w:val="none" w:sz="0" w:space="0" w:color="auto"/>
        <w:bottom w:val="none" w:sz="0" w:space="0" w:color="auto"/>
        <w:right w:val="none" w:sz="0" w:space="0" w:color="auto"/>
      </w:divBdr>
    </w:div>
    <w:div w:id="572619430">
      <w:bodyDiv w:val="1"/>
      <w:marLeft w:val="0"/>
      <w:marRight w:val="0"/>
      <w:marTop w:val="0"/>
      <w:marBottom w:val="0"/>
      <w:divBdr>
        <w:top w:val="none" w:sz="0" w:space="0" w:color="auto"/>
        <w:left w:val="none" w:sz="0" w:space="0" w:color="auto"/>
        <w:bottom w:val="none" w:sz="0" w:space="0" w:color="auto"/>
        <w:right w:val="none" w:sz="0" w:space="0" w:color="auto"/>
      </w:divBdr>
    </w:div>
    <w:div w:id="869882127">
      <w:bodyDiv w:val="1"/>
      <w:marLeft w:val="0"/>
      <w:marRight w:val="0"/>
      <w:marTop w:val="0"/>
      <w:marBottom w:val="0"/>
      <w:divBdr>
        <w:top w:val="none" w:sz="0" w:space="0" w:color="auto"/>
        <w:left w:val="none" w:sz="0" w:space="0" w:color="auto"/>
        <w:bottom w:val="none" w:sz="0" w:space="0" w:color="auto"/>
        <w:right w:val="none" w:sz="0" w:space="0" w:color="auto"/>
      </w:divBdr>
      <w:divsChild>
        <w:div w:id="1250507633">
          <w:marLeft w:val="0"/>
          <w:marRight w:val="0"/>
          <w:marTop w:val="0"/>
          <w:marBottom w:val="0"/>
          <w:divBdr>
            <w:top w:val="none" w:sz="0" w:space="0" w:color="auto"/>
            <w:left w:val="none" w:sz="0" w:space="0" w:color="auto"/>
            <w:bottom w:val="none" w:sz="0" w:space="0" w:color="auto"/>
            <w:right w:val="none" w:sz="0" w:space="0" w:color="auto"/>
          </w:divBdr>
          <w:divsChild>
            <w:div w:id="2005012563">
              <w:marLeft w:val="0"/>
              <w:marRight w:val="0"/>
              <w:marTop w:val="0"/>
              <w:marBottom w:val="0"/>
              <w:divBdr>
                <w:top w:val="none" w:sz="0" w:space="0" w:color="auto"/>
                <w:left w:val="none" w:sz="0" w:space="0" w:color="auto"/>
                <w:bottom w:val="none" w:sz="0" w:space="0" w:color="auto"/>
                <w:right w:val="none" w:sz="0" w:space="0" w:color="auto"/>
              </w:divBdr>
              <w:divsChild>
                <w:div w:id="82806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00032">
          <w:marLeft w:val="0"/>
          <w:marRight w:val="0"/>
          <w:marTop w:val="0"/>
          <w:marBottom w:val="240"/>
          <w:divBdr>
            <w:top w:val="none" w:sz="0" w:space="0" w:color="auto"/>
            <w:left w:val="none" w:sz="0" w:space="0" w:color="auto"/>
            <w:bottom w:val="none" w:sz="0" w:space="0" w:color="auto"/>
            <w:right w:val="none" w:sz="0" w:space="0" w:color="auto"/>
          </w:divBdr>
          <w:divsChild>
            <w:div w:id="629359663">
              <w:marLeft w:val="0"/>
              <w:marRight w:val="0"/>
              <w:marTop w:val="0"/>
              <w:marBottom w:val="0"/>
              <w:divBdr>
                <w:top w:val="none" w:sz="0" w:space="0" w:color="auto"/>
                <w:left w:val="none" w:sz="0" w:space="0" w:color="auto"/>
                <w:bottom w:val="none" w:sz="0" w:space="0" w:color="auto"/>
                <w:right w:val="none" w:sz="0" w:space="0" w:color="auto"/>
              </w:divBdr>
              <w:divsChild>
                <w:div w:id="169541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28208">
          <w:marLeft w:val="0"/>
          <w:marRight w:val="0"/>
          <w:marTop w:val="0"/>
          <w:marBottom w:val="0"/>
          <w:divBdr>
            <w:top w:val="none" w:sz="0" w:space="0" w:color="auto"/>
            <w:left w:val="none" w:sz="0" w:space="0" w:color="auto"/>
            <w:bottom w:val="none" w:sz="0" w:space="0" w:color="auto"/>
            <w:right w:val="none" w:sz="0" w:space="0" w:color="auto"/>
          </w:divBdr>
          <w:divsChild>
            <w:div w:id="224999275">
              <w:marLeft w:val="0"/>
              <w:marRight w:val="0"/>
              <w:marTop w:val="0"/>
              <w:marBottom w:val="0"/>
              <w:divBdr>
                <w:top w:val="none" w:sz="0" w:space="0" w:color="auto"/>
                <w:left w:val="none" w:sz="0" w:space="0" w:color="auto"/>
                <w:bottom w:val="none" w:sz="0" w:space="0" w:color="auto"/>
                <w:right w:val="none" w:sz="0" w:space="0" w:color="auto"/>
              </w:divBdr>
              <w:divsChild>
                <w:div w:id="8297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36717">
      <w:bodyDiv w:val="1"/>
      <w:marLeft w:val="0"/>
      <w:marRight w:val="0"/>
      <w:marTop w:val="0"/>
      <w:marBottom w:val="0"/>
      <w:divBdr>
        <w:top w:val="none" w:sz="0" w:space="0" w:color="auto"/>
        <w:left w:val="none" w:sz="0" w:space="0" w:color="auto"/>
        <w:bottom w:val="none" w:sz="0" w:space="0" w:color="auto"/>
        <w:right w:val="none" w:sz="0" w:space="0" w:color="auto"/>
      </w:divBdr>
      <w:divsChild>
        <w:div w:id="2092307766">
          <w:marLeft w:val="0"/>
          <w:marRight w:val="0"/>
          <w:marTop w:val="0"/>
          <w:marBottom w:val="0"/>
          <w:divBdr>
            <w:top w:val="none" w:sz="0" w:space="0" w:color="auto"/>
            <w:left w:val="none" w:sz="0" w:space="0" w:color="auto"/>
            <w:bottom w:val="none" w:sz="0" w:space="0" w:color="auto"/>
            <w:right w:val="none" w:sz="0" w:space="0" w:color="auto"/>
          </w:divBdr>
        </w:div>
      </w:divsChild>
    </w:div>
    <w:div w:id="1337266584">
      <w:bodyDiv w:val="1"/>
      <w:marLeft w:val="0"/>
      <w:marRight w:val="0"/>
      <w:marTop w:val="0"/>
      <w:marBottom w:val="0"/>
      <w:divBdr>
        <w:top w:val="none" w:sz="0" w:space="0" w:color="auto"/>
        <w:left w:val="none" w:sz="0" w:space="0" w:color="auto"/>
        <w:bottom w:val="none" w:sz="0" w:space="0" w:color="auto"/>
        <w:right w:val="none" w:sz="0" w:space="0" w:color="auto"/>
      </w:divBdr>
    </w:div>
    <w:div w:id="1381828813">
      <w:bodyDiv w:val="1"/>
      <w:marLeft w:val="0"/>
      <w:marRight w:val="0"/>
      <w:marTop w:val="0"/>
      <w:marBottom w:val="0"/>
      <w:divBdr>
        <w:top w:val="none" w:sz="0" w:space="0" w:color="auto"/>
        <w:left w:val="none" w:sz="0" w:space="0" w:color="auto"/>
        <w:bottom w:val="none" w:sz="0" w:space="0" w:color="auto"/>
        <w:right w:val="none" w:sz="0" w:space="0" w:color="auto"/>
      </w:divBdr>
    </w:div>
    <w:div w:id="1703632222">
      <w:bodyDiv w:val="1"/>
      <w:marLeft w:val="0"/>
      <w:marRight w:val="0"/>
      <w:marTop w:val="0"/>
      <w:marBottom w:val="0"/>
      <w:divBdr>
        <w:top w:val="none" w:sz="0" w:space="0" w:color="auto"/>
        <w:left w:val="none" w:sz="0" w:space="0" w:color="auto"/>
        <w:bottom w:val="none" w:sz="0" w:space="0" w:color="auto"/>
        <w:right w:val="none" w:sz="0" w:space="0" w:color="auto"/>
      </w:divBdr>
    </w:div>
    <w:div w:id="1853491465">
      <w:bodyDiv w:val="1"/>
      <w:marLeft w:val="0"/>
      <w:marRight w:val="0"/>
      <w:marTop w:val="0"/>
      <w:marBottom w:val="0"/>
      <w:divBdr>
        <w:top w:val="none" w:sz="0" w:space="0" w:color="auto"/>
        <w:left w:val="none" w:sz="0" w:space="0" w:color="auto"/>
        <w:bottom w:val="none" w:sz="0" w:space="0" w:color="auto"/>
        <w:right w:val="none" w:sz="0" w:space="0" w:color="auto"/>
      </w:divBdr>
    </w:div>
    <w:div w:id="1952711261">
      <w:bodyDiv w:val="1"/>
      <w:marLeft w:val="0"/>
      <w:marRight w:val="0"/>
      <w:marTop w:val="0"/>
      <w:marBottom w:val="0"/>
      <w:divBdr>
        <w:top w:val="none" w:sz="0" w:space="0" w:color="auto"/>
        <w:left w:val="none" w:sz="0" w:space="0" w:color="auto"/>
        <w:bottom w:val="none" w:sz="0" w:space="0" w:color="auto"/>
        <w:right w:val="none" w:sz="0" w:space="0" w:color="auto"/>
      </w:divBdr>
    </w:div>
    <w:div w:id="212920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naichoudhury2003@gmail.com" TargetMode="External"/><Relationship Id="rId5" Type="http://schemas.openxmlformats.org/officeDocument/2006/relationships/hyperlink" Target="mailto:rupamkumarsah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9039</Words>
  <Characters>51524</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Rupam Kumar Saha</dc:creator>
  <cp:keywords/>
  <dc:description/>
  <cp:lastModifiedBy>Rupam Kumar Saha</cp:lastModifiedBy>
  <cp:revision>2</cp:revision>
  <dcterms:created xsi:type="dcterms:W3CDTF">2025-12-27T11:06:00Z</dcterms:created>
  <dcterms:modified xsi:type="dcterms:W3CDTF">2025-12-27T11:06:00Z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a65aad60-bf3a-4b9a-918b-6605d8569abb</vt:lpwstr>
  </property>
</Properties>
</file>