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886E" w14:textId="77777777" w:rsidR="00F82C97" w:rsidRPr="00916E60" w:rsidRDefault="00F82C97" w:rsidP="00F82C97">
      <w:pPr>
        <w:widowControl w:val="0"/>
        <w:spacing w:after="0" w:line="360" w:lineRule="auto"/>
        <w:jc w:val="center"/>
        <w:rPr>
          <w:rFonts w:ascii="Times New Roman" w:eastAsia="等线" w:hAnsi="Times New Roman" w:cs="Times New Roman"/>
          <w:b/>
          <w:kern w:val="2"/>
          <w:sz w:val="32"/>
          <w:lang w:eastAsia="zh-CN"/>
        </w:rPr>
      </w:pPr>
      <w:r w:rsidRPr="00916E60">
        <w:rPr>
          <w:rFonts w:ascii="Times New Roman" w:eastAsia="等线" w:hAnsi="Times New Roman" w:cs="Times New Roman"/>
          <w:b/>
          <w:kern w:val="2"/>
          <w:sz w:val="32"/>
          <w:lang w:eastAsia="zh-CN"/>
        </w:rPr>
        <w:t>SUPPLEMENTARY APPENDIX</w:t>
      </w:r>
    </w:p>
    <w:p w14:paraId="76E9B481" w14:textId="77777777" w:rsidR="00F82C97" w:rsidRPr="00916E60" w:rsidRDefault="00F82C97" w:rsidP="00F82C97">
      <w:pPr>
        <w:widowControl w:val="0"/>
        <w:spacing w:after="0" w:line="360" w:lineRule="auto"/>
        <w:jc w:val="center"/>
        <w:rPr>
          <w:rFonts w:ascii="Times New Roman" w:eastAsia="等线" w:hAnsi="Times New Roman" w:cs="Times New Roman"/>
          <w:b/>
          <w:kern w:val="2"/>
          <w:lang w:eastAsia="zh-CN"/>
        </w:rPr>
      </w:pPr>
    </w:p>
    <w:p w14:paraId="7EBEC32D" w14:textId="77777777" w:rsidR="00F82C97" w:rsidRPr="00916E60" w:rsidRDefault="00F82C97" w:rsidP="00F82C97">
      <w:pPr>
        <w:widowControl w:val="0"/>
        <w:spacing w:after="0" w:line="360" w:lineRule="auto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7752A189" w14:textId="77777777" w:rsidR="00F82C97" w:rsidRPr="00916E60" w:rsidRDefault="00F82C97" w:rsidP="00F82C97">
      <w:pPr>
        <w:widowControl w:val="0"/>
        <w:spacing w:after="0" w:line="360" w:lineRule="auto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380BFF47" w14:textId="77777777" w:rsidR="00F82C97" w:rsidRPr="00916E60" w:rsidRDefault="00F82C97" w:rsidP="00F82C97">
      <w:pPr>
        <w:widowControl w:val="0"/>
        <w:spacing w:after="0" w:line="360" w:lineRule="auto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3F4D2008" w14:textId="77777777" w:rsidR="00F82C97" w:rsidRPr="00916E60" w:rsidRDefault="00F82C97" w:rsidP="00F82C97">
      <w:pPr>
        <w:widowControl w:val="0"/>
        <w:spacing w:after="0" w:line="360" w:lineRule="auto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0CD2B990" w14:textId="77777777" w:rsidR="00F82C97" w:rsidRPr="00916E60" w:rsidRDefault="00F82C97" w:rsidP="00F82C97">
      <w:pPr>
        <w:widowControl w:val="0"/>
        <w:spacing w:after="0" w:line="360" w:lineRule="auto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7E44E589" w14:textId="77777777" w:rsidR="005349CD" w:rsidRDefault="00F82C97" w:rsidP="003E411E">
      <w:pPr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  <w:sectPr w:rsidR="005349C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16E60"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  <w:t>Association between triglyceride-lipase index and</w:t>
      </w:r>
      <w:r w:rsidRPr="00F82C97">
        <w:t xml:space="preserve"> </w:t>
      </w:r>
      <w:r w:rsidRPr="00F82C97">
        <w:rPr>
          <w:rFonts w:ascii="Times New Roman" w:eastAsia="宋体" w:hAnsi="Times New Roman" w:cs="Times New Roman"/>
          <w:b/>
          <w:bCs/>
          <w:color w:val="000000"/>
          <w:sz w:val="32"/>
          <w:szCs w:val="32"/>
          <w:lang w:eastAsia="zh-CN"/>
        </w:rPr>
        <w:t>clinical outcomes in patients with hypertriglyceridemia-associated acute pancreatitis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zh-CN" w:eastAsia="en-US"/>
        </w:rPr>
        <w:id w:val="1150793318"/>
        <w:docPartObj>
          <w:docPartGallery w:val="Table of Contents"/>
          <w:docPartUnique/>
        </w:docPartObj>
      </w:sdtPr>
      <w:sdtEndPr/>
      <w:sdtContent>
        <w:p w14:paraId="69F0635D" w14:textId="7C807243" w:rsidR="00B722F6" w:rsidRPr="00B722F6" w:rsidRDefault="00B722F6" w:rsidP="00B722F6">
          <w:pPr>
            <w:pStyle w:val="TOC"/>
            <w:jc w:val="center"/>
            <w:rPr>
              <w:rFonts w:ascii="Times New Roman" w:hAnsi="Times New Roman" w:cs="Times New Roman"/>
              <w:lang w:val="zh-CN"/>
            </w:rPr>
          </w:pPr>
          <w:r w:rsidRPr="00B722F6">
            <w:rPr>
              <w:rFonts w:ascii="Times New Roman" w:hAnsi="Times New Roman" w:cs="Times New Roman"/>
              <w:lang w:val="zh-CN"/>
            </w:rPr>
            <w:t>Supplemental Content</w:t>
          </w:r>
        </w:p>
        <w:p w14:paraId="1A89A6A6" w14:textId="3A69E003" w:rsidR="00B722F6" w:rsidRPr="00BD6B1A" w:rsidRDefault="00B722F6" w:rsidP="00BD6B1A">
          <w:pPr>
            <w:pStyle w:val="TOC"/>
            <w:spacing w:line="36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zh-CN"/>
            </w:rPr>
          </w:pPr>
          <w:r w:rsidRPr="00BD6B1A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Supplement Section 1. Definition of other secondary outcomes</w:t>
          </w:r>
          <w:r w:rsidRPr="00BD6B1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ptab w:relativeTo="margin" w:alignment="right" w:leader="dot"/>
          </w:r>
          <w:r w:rsidRPr="00BD6B1A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zh-CN"/>
            </w:rPr>
            <w:t>3</w:t>
          </w:r>
        </w:p>
        <w:p w14:paraId="5AF40AF3" w14:textId="0AC3B7F2" w:rsidR="00B722F6" w:rsidRPr="00BD6B1A" w:rsidRDefault="00B722F6" w:rsidP="00BD6B1A">
          <w:pPr>
            <w:pStyle w:val="TOC1"/>
            <w:spacing w:line="360" w:lineRule="auto"/>
            <w:rPr>
              <w:rFonts w:ascii="Times New Roman" w:hAnsi="Times New Roman" w:cs="Times New Roman"/>
              <w:bCs/>
              <w:color w:val="000000" w:themeColor="text1"/>
              <w:lang w:val="zh-CN" w:eastAsia="zh-CN"/>
            </w:rPr>
          </w:pPr>
          <w:r w:rsidRPr="00BD6B1A">
            <w:rPr>
              <w:rFonts w:ascii="Times New Roman" w:hAnsi="Times New Roman" w:cs="Times New Roman"/>
              <w:bCs/>
              <w:color w:val="000000" w:themeColor="text1"/>
            </w:rPr>
            <w:t>Supplement Table 1. Association between triglyceride-lipase index quartiles and incidence and duration of organ failure in patients with organ failure at baseline</w:t>
          </w:r>
          <w:r w:rsidRPr="00BD6B1A">
            <w:rPr>
              <w:rFonts w:ascii="Times New Roman" w:hAnsi="Times New Roman" w:cs="Times New Roman"/>
              <w:color w:val="000000" w:themeColor="text1"/>
            </w:rPr>
            <w:ptab w:relativeTo="margin" w:alignment="right" w:leader="dot"/>
          </w:r>
          <w:r w:rsidRPr="00BD6B1A">
            <w:rPr>
              <w:rFonts w:ascii="Times New Roman" w:hAnsi="Times New Roman" w:cs="Times New Roman"/>
              <w:bCs/>
              <w:color w:val="000000" w:themeColor="text1"/>
              <w:lang w:val="zh-CN" w:eastAsia="zh-CN"/>
            </w:rPr>
            <w:t>4</w:t>
          </w:r>
        </w:p>
        <w:p w14:paraId="7FB07806" w14:textId="479F28AA" w:rsidR="00B722F6" w:rsidRDefault="00B722F6" w:rsidP="00BD6B1A">
          <w:pPr>
            <w:pStyle w:val="TOC1"/>
            <w:spacing w:line="360" w:lineRule="auto"/>
            <w:rPr>
              <w:rFonts w:ascii="Times New Roman" w:hAnsi="Times New Roman" w:cs="Times New Roman"/>
              <w:bCs/>
              <w:lang w:val="zh-CN" w:eastAsia="zh-CN"/>
            </w:rPr>
          </w:pPr>
          <w:r w:rsidRPr="00BD6B1A">
            <w:rPr>
              <w:rFonts w:ascii="Times New Roman" w:hAnsi="Times New Roman" w:cs="Times New Roman"/>
              <w:color w:val="000000" w:themeColor="text1"/>
            </w:rPr>
            <w:t xml:space="preserve">Supplement Figure 1. Distribution of OFFDs to 14 days of enrollment in the four quartiles </w:t>
          </w:r>
          <w:r w:rsidRPr="00BD6B1A">
            <w:ptab w:relativeTo="margin" w:alignment="right" w:leader="dot"/>
          </w:r>
          <w:r w:rsidRPr="00BD6B1A">
            <w:rPr>
              <w:rFonts w:ascii="Times New Roman" w:hAnsi="Times New Roman" w:cs="Times New Roman"/>
              <w:bCs/>
              <w:lang w:val="zh-CN" w:eastAsia="zh-CN"/>
            </w:rPr>
            <w:t>5</w:t>
          </w:r>
        </w:p>
        <w:p w14:paraId="3FE7DAB3" w14:textId="0E7D6CF7" w:rsidR="00071681" w:rsidRPr="00071681" w:rsidRDefault="00071681" w:rsidP="00071681">
          <w:pPr>
            <w:rPr>
              <w:lang w:val="zh-CN" w:eastAsia="zh-CN"/>
            </w:rPr>
          </w:pPr>
          <w:r w:rsidRPr="00BD6B1A">
            <w:rPr>
              <w:rFonts w:ascii="Times New Roman" w:hAnsi="Times New Roman" w:cs="Times New Roman"/>
              <w:color w:val="000000" w:themeColor="text1"/>
            </w:rPr>
            <w:t>Supplement</w:t>
          </w:r>
          <w:r w:rsidRPr="003E411E">
            <w:rPr>
              <w:rFonts w:ascii="Times New Roman" w:hAnsi="Times New Roman" w:cs="Times New Roman"/>
            </w:rPr>
            <w:t xml:space="preserve"> Figure 2. </w:t>
          </w:r>
          <w:r>
            <w:rPr>
              <w:rFonts w:ascii="Times New Roman" w:hAnsi="Times New Roman" w:cs="Times New Roman"/>
            </w:rPr>
            <w:t>D</w:t>
          </w:r>
          <w:r w:rsidRPr="0096229F">
            <w:rPr>
              <w:rFonts w:ascii="Times New Roman" w:hAnsi="Times New Roman" w:cs="Times New Roman"/>
            </w:rPr>
            <w:t>irected acyclic graph for OFFDs to 14 days of enrollment</w:t>
          </w:r>
          <w:r w:rsidRPr="00BD6B1A">
            <w:rPr>
              <w:rFonts w:ascii="Times New Roman" w:hAnsi="Times New Roman" w:cs="Times New Roman"/>
              <w:color w:val="000000" w:themeColor="text1"/>
            </w:rPr>
            <w:t xml:space="preserve"> </w:t>
          </w:r>
          <w:r w:rsidRPr="00BD6B1A">
            <w:ptab w:relativeTo="margin" w:alignment="right" w:leader="dot"/>
          </w:r>
          <w:r>
            <w:rPr>
              <w:rFonts w:ascii="Times New Roman" w:hAnsi="Times New Roman" w:cs="Times New Roman"/>
              <w:bCs/>
              <w:lang w:val="zh-CN" w:eastAsia="zh-CN"/>
            </w:rPr>
            <w:t>6</w:t>
          </w:r>
        </w:p>
        <w:p w14:paraId="17B23865" w14:textId="7BD49AC9" w:rsidR="00B722F6" w:rsidRPr="00B722F6" w:rsidRDefault="00A43BD5" w:rsidP="00B722F6">
          <w:pPr>
            <w:rPr>
              <w:lang w:val="zh-CN" w:eastAsia="zh-CN"/>
            </w:rPr>
          </w:pPr>
        </w:p>
      </w:sdtContent>
    </w:sdt>
    <w:p w14:paraId="172B9E2C" w14:textId="77777777" w:rsidR="00B722F6" w:rsidRDefault="00B722F6" w:rsidP="00B722F6">
      <w:pPr>
        <w:pStyle w:val="1"/>
        <w:rPr>
          <w:rFonts w:ascii="Times New Roman" w:hAnsi="Times New Roman" w:cs="Times New Roman"/>
          <w:sz w:val="28"/>
          <w:szCs w:val="28"/>
        </w:rPr>
        <w:sectPr w:rsidR="00B722F6" w:rsidSect="00F2411F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39F653D4" w14:textId="11AC39A1" w:rsidR="00F2411F" w:rsidRPr="00071681" w:rsidRDefault="00F2411F" w:rsidP="00B722F6">
      <w:pPr>
        <w:pStyle w:val="1"/>
        <w:rPr>
          <w:rFonts w:ascii="Times New Roman" w:hAnsi="Times New Roman" w:cs="Times New Roman"/>
          <w:b w:val="0"/>
          <w:sz w:val="24"/>
          <w:szCs w:val="28"/>
        </w:rPr>
      </w:pPr>
      <w:bookmarkStart w:id="0" w:name="_Hlk201395759"/>
      <w:r w:rsidRPr="00071681">
        <w:rPr>
          <w:rFonts w:ascii="Times New Roman" w:hAnsi="Times New Roman" w:cs="Times New Roman"/>
          <w:b w:val="0"/>
          <w:sz w:val="24"/>
          <w:szCs w:val="28"/>
        </w:rPr>
        <w:lastRenderedPageBreak/>
        <w:t>Supplement Section 1. Definition of other secondary outcomes</w:t>
      </w:r>
      <w:bookmarkEnd w:id="0"/>
    </w:p>
    <w:p w14:paraId="35DDC13E" w14:textId="05363A20" w:rsidR="00F2411F" w:rsidRDefault="00F2411F" w:rsidP="00F2411F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N</w:t>
      </w:r>
      <w:r w:rsidRPr="005D6A02">
        <w:rPr>
          <w:rFonts w:ascii="Times New Roman" w:hAnsi="Times New Roman" w:cs="Times New Roman"/>
        </w:rPr>
        <w:t xml:space="preserve">ew-onset organ failure </w:t>
      </w:r>
      <w:bookmarkStart w:id="1" w:name="_Hlk201395238"/>
      <w:r>
        <w:rPr>
          <w:rFonts w:ascii="Times New Roman" w:hAnsi="Times New Roman" w:cs="Times New Roman"/>
        </w:rPr>
        <w:t>within</w:t>
      </w:r>
      <w:r w:rsidRPr="005D6A02">
        <w:rPr>
          <w:rFonts w:ascii="Times New Roman" w:hAnsi="Times New Roman" w:cs="Times New Roman"/>
        </w:rPr>
        <w:t xml:space="preserve"> 14 days of enrollment</w:t>
      </w:r>
      <w:bookmarkEnd w:id="1"/>
      <w:r>
        <w:rPr>
          <w:rFonts w:ascii="Times New Roman" w:hAnsi="Times New Roman" w:cs="Times New Roman"/>
        </w:rPr>
        <w:t>: O</w:t>
      </w:r>
      <w:r w:rsidRPr="00F2411F">
        <w:rPr>
          <w:rFonts w:ascii="Times New Roman" w:hAnsi="Times New Roman" w:cs="Times New Roman"/>
        </w:rPr>
        <w:t>rgan failure that is not present at any time in the 24h after enrollment</w:t>
      </w:r>
      <w:r>
        <w:rPr>
          <w:rFonts w:ascii="Times New Roman" w:hAnsi="Times New Roman" w:cs="Times New Roman"/>
        </w:rPr>
        <w:t xml:space="preserve"> within</w:t>
      </w:r>
      <w:r w:rsidRPr="005D6A02">
        <w:rPr>
          <w:rFonts w:ascii="Times New Roman" w:hAnsi="Times New Roman" w:cs="Times New Roman"/>
        </w:rPr>
        <w:t xml:space="preserve"> 14 days of enrollment</w:t>
      </w:r>
      <w:r>
        <w:rPr>
          <w:rFonts w:ascii="Times New Roman" w:hAnsi="Times New Roman" w:cs="Times New Roman"/>
        </w:rPr>
        <w:t>.</w:t>
      </w:r>
    </w:p>
    <w:p w14:paraId="1AB81A89" w14:textId="1522CCC1" w:rsidR="00F2411F" w:rsidRDefault="00F2411F" w:rsidP="00F2411F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D6A02">
        <w:rPr>
          <w:rFonts w:ascii="Times New Roman" w:hAnsi="Times New Roman" w:cs="Times New Roman"/>
        </w:rPr>
        <w:t>ersist</w:t>
      </w:r>
      <w:r>
        <w:rPr>
          <w:rFonts w:ascii="Times New Roman" w:hAnsi="Times New Roman" w:cs="Times New Roman"/>
        </w:rPr>
        <w:t>ent</w:t>
      </w:r>
      <w:r w:rsidRPr="005D6A02">
        <w:rPr>
          <w:rFonts w:ascii="Times New Roman" w:hAnsi="Times New Roman" w:cs="Times New Roman"/>
        </w:rPr>
        <w:t xml:space="preserve"> organ failure</w:t>
      </w:r>
      <w:r>
        <w:rPr>
          <w:rFonts w:ascii="Times New Roman" w:hAnsi="Times New Roman" w:cs="Times New Roman"/>
        </w:rPr>
        <w:t xml:space="preserve"> (POF)</w:t>
      </w:r>
      <w:r w:rsidRPr="005D6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within</w:t>
      </w:r>
      <w:r w:rsidRPr="005D6A02">
        <w:rPr>
          <w:rFonts w:ascii="Times New Roman" w:hAnsi="Times New Roman" w:cs="Times New Roman"/>
        </w:rPr>
        <w:t xml:space="preserve"> 14 days of enrollment</w:t>
      </w:r>
      <w:r>
        <w:rPr>
          <w:rFonts w:ascii="Times New Roman" w:hAnsi="Times New Roman" w:cs="Times New Roman"/>
        </w:rPr>
        <w:t>: O</w:t>
      </w:r>
      <w:r w:rsidRPr="00F2411F">
        <w:rPr>
          <w:rFonts w:ascii="Times New Roman" w:hAnsi="Times New Roman" w:cs="Times New Roman"/>
        </w:rPr>
        <w:t>rgan failure that</w:t>
      </w:r>
      <w:r>
        <w:rPr>
          <w:rFonts w:ascii="Times New Roman" w:hAnsi="Times New Roman" w:cs="Times New Roman"/>
        </w:rPr>
        <w:t xml:space="preserve"> pe</w:t>
      </w:r>
      <w:r w:rsidRPr="00F2411F">
        <w:rPr>
          <w:rFonts w:ascii="Times New Roman" w:hAnsi="Times New Roman" w:cs="Times New Roman"/>
        </w:rPr>
        <w:t>rsists for more than 48h</w:t>
      </w:r>
      <w:r>
        <w:rPr>
          <w:rFonts w:ascii="Times New Roman" w:hAnsi="Times New Roman" w:cs="Times New Roman"/>
        </w:rPr>
        <w:t xml:space="preserve"> within</w:t>
      </w:r>
      <w:r w:rsidRPr="005D6A02">
        <w:rPr>
          <w:rFonts w:ascii="Times New Roman" w:hAnsi="Times New Roman" w:cs="Times New Roman"/>
        </w:rPr>
        <w:t xml:space="preserve"> 14 days of enrollment</w:t>
      </w:r>
      <w:r w:rsidRPr="00F2411F">
        <w:rPr>
          <w:rFonts w:ascii="Times New Roman" w:hAnsi="Times New Roman" w:cs="Times New Roman"/>
        </w:rPr>
        <w:t>.</w:t>
      </w:r>
    </w:p>
    <w:p w14:paraId="791E9917" w14:textId="29F67D99" w:rsidR="00F2411F" w:rsidRDefault="00F2411F" w:rsidP="00F2411F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ICU-free days 14 days of enrollment</w:t>
      </w:r>
      <w:r>
        <w:rPr>
          <w:rFonts w:ascii="Times New Roman" w:hAnsi="Times New Roman" w:cs="Times New Roman"/>
        </w:rPr>
        <w:t>: T</w:t>
      </w:r>
      <w:r w:rsidRPr="00F2411F">
        <w:rPr>
          <w:rFonts w:ascii="Times New Roman" w:hAnsi="Times New Roman" w:cs="Times New Roman"/>
        </w:rPr>
        <w:t>he number of days alive and not admitted to an ICU after the patient’s latest discharge from the ICU</w:t>
      </w:r>
      <w:r>
        <w:rPr>
          <w:rFonts w:ascii="Times New Roman" w:hAnsi="Times New Roman" w:cs="Times New Roman"/>
        </w:rPr>
        <w:t xml:space="preserve"> </w:t>
      </w:r>
      <w:r w:rsidRPr="00F2411F">
        <w:rPr>
          <w:rFonts w:ascii="Times New Roman" w:hAnsi="Times New Roman" w:cs="Times New Roman"/>
        </w:rPr>
        <w:t>before day 14. If the patient is admitted to an ICU on day 14 or dies prior to day 14, ICU-free days will be 0</w:t>
      </w:r>
      <w:r>
        <w:rPr>
          <w:rFonts w:ascii="Times New Roman" w:hAnsi="Times New Roman" w:cs="Times New Roman"/>
        </w:rPr>
        <w:t>.</w:t>
      </w:r>
    </w:p>
    <w:p w14:paraId="538255F4" w14:textId="6A246063" w:rsidR="00F2411F" w:rsidRPr="00F2411F" w:rsidRDefault="00F2411F" w:rsidP="00F2411F">
      <w:pPr>
        <w:spacing w:line="360" w:lineRule="auto"/>
        <w:ind w:firstLineChars="200" w:firstLine="480"/>
        <w:sectPr w:rsidR="00F2411F" w:rsidRPr="00F2411F" w:rsidSect="00F2411F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>
        <w:rPr>
          <w:rFonts w:ascii="Times New Roman" w:hAnsi="Times New Roman" w:cs="Times New Roman"/>
        </w:rPr>
        <w:t>Hospital duration: Hospital days</w:t>
      </w:r>
      <w:r w:rsidRPr="00F241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measured </w:t>
      </w:r>
      <w:r w:rsidRPr="00F2411F">
        <w:rPr>
          <w:rFonts w:ascii="Times New Roman" w:hAnsi="Times New Roman" w:cs="Times New Roman"/>
        </w:rPr>
        <w:t>from hospital admission to discharge</w:t>
      </w:r>
      <w:r>
        <w:rPr>
          <w:rFonts w:ascii="Times New Roman" w:hAnsi="Times New Roman" w:cs="Times New Roman"/>
        </w:rPr>
        <w:t>.</w:t>
      </w:r>
    </w:p>
    <w:p w14:paraId="0C889B3D" w14:textId="210A4E23" w:rsidR="00DD3B61" w:rsidRPr="00071681" w:rsidRDefault="00752817" w:rsidP="003E411E">
      <w:pPr>
        <w:pStyle w:val="1"/>
        <w:spacing w:line="360" w:lineRule="auto"/>
        <w:rPr>
          <w:rFonts w:ascii="Times New Roman" w:hAnsi="Times New Roman" w:cs="Times New Roman"/>
          <w:b w:val="0"/>
          <w:sz w:val="24"/>
          <w:szCs w:val="28"/>
        </w:rPr>
      </w:pPr>
      <w:bookmarkStart w:id="2" w:name="_Hlk201394068"/>
      <w:bookmarkStart w:id="3" w:name="_Hlk201395774"/>
      <w:r w:rsidRPr="00071681">
        <w:rPr>
          <w:rFonts w:ascii="Times New Roman" w:hAnsi="Times New Roman" w:cs="Times New Roman"/>
          <w:b w:val="0"/>
          <w:sz w:val="24"/>
          <w:szCs w:val="28"/>
        </w:rPr>
        <w:lastRenderedPageBreak/>
        <w:t>Supplement</w:t>
      </w:r>
      <w:bookmarkEnd w:id="2"/>
      <w:r w:rsidRPr="00071681">
        <w:rPr>
          <w:rFonts w:ascii="Times New Roman" w:hAnsi="Times New Roman" w:cs="Times New Roman"/>
          <w:b w:val="0"/>
          <w:sz w:val="24"/>
          <w:szCs w:val="28"/>
        </w:rPr>
        <w:t xml:space="preserve"> Table 1. Association between </w:t>
      </w:r>
      <w:r w:rsidRPr="00071681">
        <w:rPr>
          <w:rFonts w:ascii="Times New Roman" w:hAnsi="Times New Roman" w:cs="Times New Roman"/>
          <w:b w:val="0"/>
          <w:sz w:val="24"/>
          <w:szCs w:val="28"/>
          <w:lang w:eastAsia="zh-CN"/>
        </w:rPr>
        <w:t>trigly</w:t>
      </w:r>
      <w:r w:rsidRPr="00071681">
        <w:rPr>
          <w:rFonts w:ascii="Times New Roman" w:hAnsi="Times New Roman" w:cs="Times New Roman"/>
          <w:b w:val="0"/>
          <w:sz w:val="24"/>
          <w:szCs w:val="28"/>
        </w:rPr>
        <w:t>ceride</w:t>
      </w:r>
      <w:r w:rsidR="0096229F" w:rsidRPr="00071681">
        <w:rPr>
          <w:rFonts w:ascii="Times New Roman" w:hAnsi="Times New Roman" w:cs="Times New Roman"/>
          <w:b w:val="0"/>
          <w:sz w:val="24"/>
          <w:szCs w:val="28"/>
        </w:rPr>
        <w:t>-</w:t>
      </w:r>
      <w:r w:rsidRPr="00071681">
        <w:rPr>
          <w:rFonts w:ascii="Times New Roman" w:hAnsi="Times New Roman" w:cs="Times New Roman"/>
          <w:b w:val="0"/>
          <w:sz w:val="24"/>
          <w:szCs w:val="28"/>
        </w:rPr>
        <w:t>lipase index quartiles and incidence and duration of organ failure in patients with organ failure at baseline</w:t>
      </w:r>
    </w:p>
    <w:tbl>
      <w:tblPr>
        <w:tblStyle w:val="a7"/>
        <w:tblW w:w="139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2268"/>
        <w:gridCol w:w="2268"/>
        <w:gridCol w:w="2268"/>
        <w:gridCol w:w="2268"/>
        <w:gridCol w:w="892"/>
      </w:tblGrid>
      <w:tr w:rsidR="00752817" w:rsidRPr="005349CD" w14:paraId="1F53C52C" w14:textId="77777777" w:rsidTr="006A7BDC"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bookmarkEnd w:id="3"/>
          <w:p w14:paraId="05868042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Variables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F31AC1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Q1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56091F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Q2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FA8CE24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Q3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F919DC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Q4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64620481" w14:textId="2C160F5E" w:rsidR="00752817" w:rsidRPr="005A7D68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bookmarkStart w:id="4" w:name="_GoBack"/>
            <w:r w:rsidRPr="005A7D68">
              <w:rPr>
                <w:rFonts w:ascii="Times New Roman" w:eastAsia="Times New Roman" w:hAnsi="Times New Roman" w:cs="Times New Roman"/>
                <w:b/>
                <w:i/>
                <w:kern w:val="2"/>
                <w:lang w:eastAsia="zh-CN"/>
              </w:rPr>
              <w:t>P</w:t>
            </w:r>
            <w:r w:rsidR="005A7D68" w:rsidRPr="005A7D68">
              <w:rPr>
                <w:rFonts w:ascii="Times New Roman" w:eastAsia="Times New Roman" w:hAnsi="Times New Roman" w:cs="Times New Roman"/>
                <w:b/>
                <w:i/>
                <w:kern w:val="2"/>
                <w:lang w:eastAsia="zh-CN"/>
              </w:rPr>
              <w:t xml:space="preserve"> </w:t>
            </w:r>
            <w:r w:rsidR="005A7D68" w:rsidRPr="005A7D68">
              <w:rPr>
                <w:rFonts w:ascii="Times New Roman" w:hAnsi="Times New Roman" w:cs="Times New Roman"/>
                <w:b/>
                <w:i/>
                <w:kern w:val="2"/>
                <w:lang w:eastAsia="zh-CN"/>
              </w:rPr>
              <w:t>for</w:t>
            </w:r>
            <w:r w:rsidR="005A7D68" w:rsidRPr="005A7D68">
              <w:rPr>
                <w:rFonts w:ascii="Times New Roman" w:eastAsia="Times New Roman" w:hAnsi="Times New Roman" w:cs="Times New Roman"/>
                <w:b/>
                <w:i/>
                <w:kern w:val="2"/>
                <w:lang w:eastAsia="zh-CN"/>
              </w:rPr>
              <w:t xml:space="preserve"> trend</w:t>
            </w:r>
            <w:bookmarkEnd w:id="4"/>
          </w:p>
        </w:tc>
      </w:tr>
      <w:tr w:rsidR="00752817" w:rsidRPr="005349CD" w14:paraId="4FCDA22B" w14:textId="77777777" w:rsidTr="006A7BDC">
        <w:tc>
          <w:tcPr>
            <w:tcW w:w="4025" w:type="dxa"/>
            <w:tcBorders>
              <w:top w:val="single" w:sz="4" w:space="0" w:color="auto"/>
              <w:bottom w:val="nil"/>
            </w:tcBorders>
            <w:vAlign w:val="center"/>
          </w:tcPr>
          <w:p w14:paraId="6BBFE992" w14:textId="0BFE1D18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 xml:space="preserve">Range of baseline </w:t>
            </w:r>
            <w:r w:rsidRPr="005349CD">
              <w:rPr>
                <w:rFonts w:ascii="Times New Roman" w:hAnsi="Times New Roman" w:cs="Times New Roman"/>
                <w:b/>
                <w:iCs/>
                <w:kern w:val="2"/>
                <w:lang w:eastAsia="zh-CN"/>
              </w:rPr>
              <w:t>triglyceride</w:t>
            </w:r>
            <w:r w:rsidR="0096229F">
              <w:rPr>
                <w:rFonts w:ascii="Times New Roman" w:hAnsi="Times New Roman" w:cs="Times New Roman"/>
                <w:b/>
                <w:kern w:val="2"/>
                <w:lang w:eastAsia="zh-CN"/>
              </w:rPr>
              <w:t>-</w:t>
            </w: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lipase</w:t>
            </w:r>
            <w:r w:rsidRPr="005349CD">
              <w:rPr>
                <w:rFonts w:ascii="Times New Roman" w:hAnsi="Times New Roman" w:cs="Times New Roman"/>
                <w:b/>
                <w:iCs/>
                <w:kern w:val="2"/>
                <w:lang w:eastAsia="zh-CN"/>
              </w:rPr>
              <w:t xml:space="preserve"> index</w:t>
            </w: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 xml:space="preserve"> levels, </w:t>
            </w:r>
            <w:proofErr w:type="spellStart"/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mmol×U</w:t>
            </w:r>
            <w:proofErr w:type="spellEnd"/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/L</w:t>
            </w:r>
            <w:r w:rsidRPr="005349CD">
              <w:rPr>
                <w:rFonts w:ascii="Times New Roman" w:eastAsia="Times New Roman" w:hAnsi="Times New Roman" w:cs="Times New Roman"/>
                <w:b/>
                <w:kern w:val="2"/>
                <w:vertAlign w:val="superscript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3C7075E8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321.76 - 4400.69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1682677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4400.69 - 11804.98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53986D42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11804.98 - 32576.41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19A46880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32576.41 - 652301.69</w:t>
            </w: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  <w:vAlign w:val="center"/>
          </w:tcPr>
          <w:p w14:paraId="5349C313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:rsidR="00752817" w:rsidRPr="005349CD" w14:paraId="364450ED" w14:textId="77777777" w:rsidTr="006A7BDC">
        <w:tc>
          <w:tcPr>
            <w:tcW w:w="4025" w:type="dxa"/>
            <w:tcBorders>
              <w:top w:val="nil"/>
            </w:tcBorders>
            <w:vAlign w:val="center"/>
          </w:tcPr>
          <w:p w14:paraId="1ED3258A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N of participants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553D169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B957E6A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511F771B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F293567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2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AF28E28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:rsidR="00752817" w:rsidRPr="005349CD" w14:paraId="170C156C" w14:textId="77777777" w:rsidTr="006A7BDC">
        <w:tc>
          <w:tcPr>
            <w:tcW w:w="4025" w:type="dxa"/>
            <w:vAlign w:val="center"/>
          </w:tcPr>
          <w:p w14:paraId="75E15701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OFFD, median (IQR)</w:t>
            </w: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 xml:space="preserve">, days </w:t>
            </w:r>
          </w:p>
        </w:tc>
        <w:tc>
          <w:tcPr>
            <w:tcW w:w="2268" w:type="dxa"/>
            <w:vAlign w:val="center"/>
          </w:tcPr>
          <w:p w14:paraId="60D3C96E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13.50 (10.50,14.00)</w:t>
            </w:r>
          </w:p>
        </w:tc>
        <w:tc>
          <w:tcPr>
            <w:tcW w:w="2268" w:type="dxa"/>
            <w:vAlign w:val="center"/>
          </w:tcPr>
          <w:p w14:paraId="37E37BC5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10.00 (4.00,14.00)</w:t>
            </w:r>
          </w:p>
        </w:tc>
        <w:tc>
          <w:tcPr>
            <w:tcW w:w="2268" w:type="dxa"/>
            <w:vAlign w:val="center"/>
          </w:tcPr>
          <w:p w14:paraId="2D10033E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9.50 (5.75,12.25)</w:t>
            </w:r>
          </w:p>
        </w:tc>
        <w:tc>
          <w:tcPr>
            <w:tcW w:w="2268" w:type="dxa"/>
            <w:vAlign w:val="center"/>
          </w:tcPr>
          <w:p w14:paraId="5A5930B9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9.00 (1.00,12.00)</w:t>
            </w:r>
          </w:p>
        </w:tc>
        <w:tc>
          <w:tcPr>
            <w:tcW w:w="892" w:type="dxa"/>
            <w:vAlign w:val="center"/>
          </w:tcPr>
          <w:p w14:paraId="2AAF02D3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:rsidR="00752817" w:rsidRPr="005349CD" w14:paraId="2AC31D94" w14:textId="77777777" w:rsidTr="006A7BDC">
        <w:tc>
          <w:tcPr>
            <w:tcW w:w="4025" w:type="dxa"/>
            <w:vAlign w:val="center"/>
          </w:tcPr>
          <w:p w14:paraId="459E8FA0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iCs/>
                <w:kern w:val="2"/>
                <w:lang w:eastAsia="zh-CN"/>
              </w:rPr>
              <w:t>Unadjusted IRRs</w:t>
            </w: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 xml:space="preserve"> (95% CI)</w:t>
            </w:r>
          </w:p>
        </w:tc>
        <w:tc>
          <w:tcPr>
            <w:tcW w:w="2268" w:type="dxa"/>
            <w:vAlign w:val="center"/>
          </w:tcPr>
          <w:p w14:paraId="6EF8BA39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1.0(reference)</w:t>
            </w:r>
          </w:p>
        </w:tc>
        <w:tc>
          <w:tcPr>
            <w:tcW w:w="2268" w:type="dxa"/>
            <w:vAlign w:val="center"/>
          </w:tcPr>
          <w:p w14:paraId="570D1963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0.70(0.35,</w:t>
            </w:r>
            <w:r w:rsidRPr="001826E6">
              <w:rPr>
                <w:bCs/>
              </w:rPr>
              <w:t xml:space="preserve"> </w:t>
            </w:r>
            <w:r w:rsidRPr="001826E6">
              <w:rPr>
                <w:rFonts w:ascii="Times New Roman" w:hAnsi="Times New Roman" w:cs="Times New Roman" w:hint="eastAsia"/>
                <w:bCs/>
              </w:rPr>
              <w:t>1.36)</w:t>
            </w:r>
          </w:p>
        </w:tc>
        <w:tc>
          <w:tcPr>
            <w:tcW w:w="2268" w:type="dxa"/>
            <w:vAlign w:val="center"/>
          </w:tcPr>
          <w:p w14:paraId="2C93CE65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0.69(0.35,</w:t>
            </w:r>
            <w:r w:rsidRPr="001826E6">
              <w:rPr>
                <w:bCs/>
              </w:rPr>
              <w:t xml:space="preserve"> </w:t>
            </w:r>
            <w:r w:rsidRPr="001826E6">
              <w:rPr>
                <w:rFonts w:ascii="Times New Roman" w:hAnsi="Times New Roman" w:cs="Times New Roman" w:hint="eastAsia"/>
                <w:bCs/>
              </w:rPr>
              <w:t>1.32)</w:t>
            </w:r>
          </w:p>
        </w:tc>
        <w:tc>
          <w:tcPr>
            <w:tcW w:w="2268" w:type="dxa"/>
            <w:vAlign w:val="center"/>
          </w:tcPr>
          <w:p w14:paraId="3D61D3F4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0.57(0.30,</w:t>
            </w:r>
            <w:r w:rsidRPr="001826E6">
              <w:rPr>
                <w:bCs/>
              </w:rPr>
              <w:t xml:space="preserve"> </w:t>
            </w:r>
            <w:r w:rsidRPr="001826E6">
              <w:rPr>
                <w:rFonts w:ascii="Times New Roman" w:hAnsi="Times New Roman" w:cs="Times New Roman" w:hint="eastAsia"/>
                <w:bCs/>
              </w:rPr>
              <w:t>1.03)</w:t>
            </w:r>
          </w:p>
        </w:tc>
        <w:tc>
          <w:tcPr>
            <w:tcW w:w="892" w:type="dxa"/>
            <w:vAlign w:val="center"/>
          </w:tcPr>
          <w:p w14:paraId="6D0D1A9E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0.089</w:t>
            </w:r>
          </w:p>
        </w:tc>
      </w:tr>
      <w:tr w:rsidR="00752817" w:rsidRPr="005349CD" w14:paraId="22575E52" w14:textId="77777777" w:rsidTr="006A7BDC">
        <w:tc>
          <w:tcPr>
            <w:tcW w:w="4025" w:type="dxa"/>
            <w:vAlign w:val="center"/>
          </w:tcPr>
          <w:p w14:paraId="1A528C1D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iCs/>
                <w:kern w:val="2"/>
                <w:lang w:eastAsia="zh-CN"/>
              </w:rPr>
              <w:t>Adjusted IRRs</w:t>
            </w: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 xml:space="preserve"> (95% CI)</w:t>
            </w:r>
            <w:r w:rsidRPr="005349CD">
              <w:rPr>
                <w:rFonts w:ascii="Times New Roman" w:hAnsi="Times New Roman" w:cs="Times New Roman"/>
                <w:iCs/>
                <w:kern w:val="2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D5E3BD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1.0(reference)</w:t>
            </w:r>
          </w:p>
        </w:tc>
        <w:tc>
          <w:tcPr>
            <w:tcW w:w="2268" w:type="dxa"/>
            <w:vAlign w:val="center"/>
          </w:tcPr>
          <w:p w14:paraId="078EB423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/>
                <w:bCs/>
              </w:rPr>
              <w:t>0.70(0.35, 1.36)</w:t>
            </w:r>
          </w:p>
        </w:tc>
        <w:tc>
          <w:tcPr>
            <w:tcW w:w="2268" w:type="dxa"/>
            <w:vAlign w:val="center"/>
          </w:tcPr>
          <w:p w14:paraId="08A15A8A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0.70</w:t>
            </w:r>
            <w:r w:rsidRPr="001826E6">
              <w:rPr>
                <w:rFonts w:ascii="Times New Roman" w:hAnsi="Times New Roman" w:cs="Times New Roman"/>
                <w:bCs/>
              </w:rPr>
              <w:t>(0.3</w:t>
            </w:r>
            <w:r w:rsidRPr="001826E6">
              <w:rPr>
                <w:rFonts w:ascii="Times New Roman" w:hAnsi="Times New Roman" w:cs="Times New Roman" w:hint="eastAsia"/>
                <w:bCs/>
              </w:rPr>
              <w:t>4</w:t>
            </w:r>
            <w:r w:rsidRPr="001826E6">
              <w:rPr>
                <w:rFonts w:ascii="Times New Roman" w:hAnsi="Times New Roman" w:cs="Times New Roman"/>
                <w:bCs/>
              </w:rPr>
              <w:t>, 1.</w:t>
            </w:r>
            <w:r w:rsidRPr="001826E6">
              <w:rPr>
                <w:rFonts w:ascii="Times New Roman" w:hAnsi="Times New Roman" w:cs="Times New Roman" w:hint="eastAsia"/>
                <w:bCs/>
              </w:rPr>
              <w:t>4</w:t>
            </w:r>
            <w:r w:rsidRPr="001826E6">
              <w:rPr>
                <w:rFonts w:ascii="Times New Roman" w:hAnsi="Times New Roman" w:cs="Times New Roman"/>
                <w:bCs/>
              </w:rPr>
              <w:t>2)</w:t>
            </w:r>
          </w:p>
        </w:tc>
        <w:tc>
          <w:tcPr>
            <w:tcW w:w="2268" w:type="dxa"/>
            <w:vAlign w:val="center"/>
          </w:tcPr>
          <w:p w14:paraId="311B1FF9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/>
                <w:bCs/>
              </w:rPr>
              <w:t>0.57(0.3</w:t>
            </w:r>
            <w:r w:rsidRPr="001826E6">
              <w:rPr>
                <w:rFonts w:ascii="Times New Roman" w:hAnsi="Times New Roman" w:cs="Times New Roman" w:hint="eastAsia"/>
                <w:bCs/>
              </w:rPr>
              <w:t>1</w:t>
            </w:r>
            <w:r w:rsidRPr="001826E6">
              <w:rPr>
                <w:rFonts w:ascii="Times New Roman" w:hAnsi="Times New Roman" w:cs="Times New Roman"/>
                <w:bCs/>
              </w:rPr>
              <w:t>, 1.0</w:t>
            </w:r>
            <w:r w:rsidRPr="001826E6">
              <w:rPr>
                <w:rFonts w:ascii="Times New Roman" w:hAnsi="Times New Roman" w:cs="Times New Roman" w:hint="eastAsia"/>
                <w:bCs/>
              </w:rPr>
              <w:t>2</w:t>
            </w:r>
            <w:r w:rsidRPr="001826E6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92" w:type="dxa"/>
            <w:vAlign w:val="center"/>
          </w:tcPr>
          <w:p w14:paraId="78A66400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0.084</w:t>
            </w:r>
          </w:p>
        </w:tc>
      </w:tr>
      <w:tr w:rsidR="00752817" w:rsidRPr="005349CD" w14:paraId="1783D2C1" w14:textId="77777777" w:rsidTr="006A7BDC">
        <w:tc>
          <w:tcPr>
            <w:tcW w:w="4025" w:type="dxa"/>
            <w:vAlign w:val="center"/>
          </w:tcPr>
          <w:p w14:paraId="0CCA2F42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kern w:val="2"/>
                <w:lang w:eastAsia="zh-CN"/>
              </w:rPr>
            </w:pPr>
            <w:r w:rsidRPr="005349CD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Time to organ failure resolution, median (IQR)</w:t>
            </w:r>
            <w:r w:rsidRPr="005349CD">
              <w:rPr>
                <w:rFonts w:ascii="Times New Roman" w:hAnsi="Times New Roman" w:cs="Times New Roman"/>
                <w:b/>
                <w:kern w:val="2"/>
                <w:lang w:eastAsia="zh-CN"/>
              </w:rPr>
              <w:t>, days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83A4AF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0.50 (0.00,3.50)</w:t>
            </w:r>
          </w:p>
        </w:tc>
        <w:tc>
          <w:tcPr>
            <w:tcW w:w="2268" w:type="dxa"/>
            <w:vAlign w:val="center"/>
          </w:tcPr>
          <w:p w14:paraId="2C519FC6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4.00 (0.00,10.00)</w:t>
            </w:r>
          </w:p>
        </w:tc>
        <w:tc>
          <w:tcPr>
            <w:tcW w:w="2268" w:type="dxa"/>
            <w:vAlign w:val="center"/>
          </w:tcPr>
          <w:p w14:paraId="526B2C5F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4.50 (1.75,8.25)</w:t>
            </w:r>
          </w:p>
        </w:tc>
        <w:tc>
          <w:tcPr>
            <w:tcW w:w="2268" w:type="dxa"/>
            <w:vAlign w:val="center"/>
          </w:tcPr>
          <w:p w14:paraId="74921040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5.00 (2.00,13.00)</w:t>
            </w:r>
          </w:p>
        </w:tc>
        <w:tc>
          <w:tcPr>
            <w:tcW w:w="892" w:type="dxa"/>
            <w:vAlign w:val="center"/>
          </w:tcPr>
          <w:p w14:paraId="22865BFE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:rsidR="00752817" w:rsidRPr="005349CD" w14:paraId="04102133" w14:textId="77777777" w:rsidTr="006A7BDC">
        <w:tc>
          <w:tcPr>
            <w:tcW w:w="4025" w:type="dxa"/>
            <w:vAlign w:val="center"/>
          </w:tcPr>
          <w:p w14:paraId="3738E16C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Unadjusted hazard ratio (95% CI)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C2CC5A0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1.0(reference)</w:t>
            </w:r>
          </w:p>
        </w:tc>
        <w:tc>
          <w:tcPr>
            <w:tcW w:w="2268" w:type="dxa"/>
            <w:vAlign w:val="center"/>
          </w:tcPr>
          <w:p w14:paraId="7CA65959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0.39(0.16,0.91)</w:t>
            </w:r>
          </w:p>
        </w:tc>
        <w:tc>
          <w:tcPr>
            <w:tcW w:w="2268" w:type="dxa"/>
            <w:vAlign w:val="center"/>
          </w:tcPr>
          <w:p w14:paraId="14BE9D73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0.36(0.15,0.84)</w:t>
            </w:r>
          </w:p>
        </w:tc>
        <w:tc>
          <w:tcPr>
            <w:tcW w:w="2268" w:type="dxa"/>
            <w:vAlign w:val="center"/>
          </w:tcPr>
          <w:p w14:paraId="6FAB10D4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0.28(0.12,0.62)</w:t>
            </w:r>
          </w:p>
        </w:tc>
        <w:tc>
          <w:tcPr>
            <w:tcW w:w="892" w:type="dxa"/>
            <w:vAlign w:val="center"/>
          </w:tcPr>
          <w:p w14:paraId="10B17CDF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eastAsia="Times New Roman" w:hAnsi="Times New Roman" w:cs="Times New Roman"/>
              </w:rPr>
              <w:t>0.0</w:t>
            </w:r>
            <w:r w:rsidRPr="001826E6">
              <w:rPr>
                <w:rFonts w:ascii="Times New Roman" w:hAnsi="Times New Roman" w:cs="Times New Roman" w:hint="eastAsia"/>
              </w:rPr>
              <w:t>10</w:t>
            </w:r>
          </w:p>
        </w:tc>
      </w:tr>
      <w:tr w:rsidR="00752817" w:rsidRPr="005349CD" w14:paraId="1AE968A5" w14:textId="77777777" w:rsidTr="006A7BDC">
        <w:tc>
          <w:tcPr>
            <w:tcW w:w="4025" w:type="dxa"/>
            <w:vAlign w:val="center"/>
          </w:tcPr>
          <w:p w14:paraId="79D65F1D" w14:textId="77777777" w:rsidR="00752817" w:rsidRPr="005349CD" w:rsidRDefault="00752817" w:rsidP="006A7BD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Adjusted hazard ratio (95% CI)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00BE794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1.0(reference)</w:t>
            </w:r>
          </w:p>
        </w:tc>
        <w:tc>
          <w:tcPr>
            <w:tcW w:w="2268" w:type="dxa"/>
            <w:vAlign w:val="center"/>
          </w:tcPr>
          <w:p w14:paraId="53BFDEF9" w14:textId="77777777" w:rsidR="00752817" w:rsidRPr="005349CD" w:rsidRDefault="00752817" w:rsidP="006A7BD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0.57(0.22,1.48)</w:t>
            </w:r>
          </w:p>
        </w:tc>
        <w:tc>
          <w:tcPr>
            <w:tcW w:w="2268" w:type="dxa"/>
            <w:vAlign w:val="center"/>
          </w:tcPr>
          <w:p w14:paraId="02D9D7DE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0.36(0.14,0.88)</w:t>
            </w:r>
          </w:p>
        </w:tc>
        <w:tc>
          <w:tcPr>
            <w:tcW w:w="2268" w:type="dxa"/>
            <w:vAlign w:val="center"/>
          </w:tcPr>
          <w:p w14:paraId="7A3B1837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1826E6">
              <w:rPr>
                <w:rFonts w:ascii="Times New Roman" w:hAnsi="Times New Roman" w:cs="Times New Roman" w:hint="eastAsia"/>
                <w:bCs/>
              </w:rPr>
              <w:t>0.34(0.14,0.83)</w:t>
            </w:r>
          </w:p>
        </w:tc>
        <w:tc>
          <w:tcPr>
            <w:tcW w:w="892" w:type="dxa"/>
            <w:vAlign w:val="center"/>
          </w:tcPr>
          <w:p w14:paraId="481CFB81" w14:textId="77777777" w:rsidR="00752817" w:rsidRPr="005349CD" w:rsidRDefault="00752817" w:rsidP="006A7B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349CD">
              <w:rPr>
                <w:rFonts w:ascii="Times New Roman" w:hAnsi="Times New Roman" w:cs="Times New Roman"/>
                <w:kern w:val="2"/>
                <w:lang w:eastAsia="zh-CN"/>
              </w:rPr>
              <w:t>0.01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3</w:t>
            </w:r>
          </w:p>
        </w:tc>
      </w:tr>
    </w:tbl>
    <w:p w14:paraId="3AD26DB8" w14:textId="77777777" w:rsidR="00752817" w:rsidRPr="001826E6" w:rsidRDefault="00752817" w:rsidP="007528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/>
        <w:ind w:left="40" w:right="40"/>
        <w:rPr>
          <w:rFonts w:ascii="Times New Roman" w:hAnsi="Times New Roman" w:cs="Times New Roman"/>
        </w:rPr>
      </w:pPr>
      <w:r w:rsidRPr="001826E6">
        <w:rPr>
          <w:rFonts w:ascii="Times New Roman" w:eastAsia="Times New Roman" w:hAnsi="Times New Roman" w:cs="Times New Roman"/>
        </w:rPr>
        <w:t>OFFD</w:t>
      </w:r>
      <w:r w:rsidRPr="001826E6">
        <w:rPr>
          <w:rFonts w:ascii="Times New Roman" w:hAnsi="Times New Roman" w:cs="Times New Roman" w:hint="eastAsia"/>
        </w:rPr>
        <w:t xml:space="preserve">: </w:t>
      </w:r>
      <w:r w:rsidRPr="001826E6">
        <w:rPr>
          <w:rFonts w:ascii="Times New Roman" w:eastAsia="Times New Roman" w:hAnsi="Times New Roman" w:cs="Times New Roman"/>
        </w:rPr>
        <w:t>organ</w:t>
      </w:r>
      <w:r w:rsidRPr="001826E6">
        <w:rPr>
          <w:rFonts w:ascii="Times New Roman" w:hAnsi="Times New Roman" w:cs="Times New Roman" w:hint="eastAsia"/>
        </w:rPr>
        <w:t xml:space="preserve"> </w:t>
      </w:r>
      <w:r w:rsidRPr="001826E6">
        <w:rPr>
          <w:rFonts w:ascii="Times New Roman" w:eastAsia="Times New Roman" w:hAnsi="Times New Roman" w:cs="Times New Roman"/>
        </w:rPr>
        <w:t>failure–free day; OF: organ failure; IQR</w:t>
      </w:r>
      <w:r w:rsidRPr="001826E6">
        <w:rPr>
          <w:rFonts w:ascii="Times New Roman" w:hAnsi="Times New Roman" w:cs="Times New Roman" w:hint="eastAsia"/>
        </w:rPr>
        <w:t>:</w:t>
      </w:r>
      <w:r w:rsidRPr="001826E6">
        <w:t xml:space="preserve"> </w:t>
      </w:r>
      <w:r w:rsidRPr="001826E6">
        <w:rPr>
          <w:rFonts w:ascii="Times New Roman" w:hAnsi="Times New Roman" w:cs="Times New Roman"/>
        </w:rPr>
        <w:t>interquartile range</w:t>
      </w:r>
      <w:r w:rsidRPr="001826E6">
        <w:rPr>
          <w:rFonts w:ascii="Times New Roman" w:hAnsi="Times New Roman" w:cs="Times New Roman" w:hint="eastAsia"/>
        </w:rPr>
        <w:t>; CI:</w:t>
      </w:r>
      <w:r w:rsidRPr="001826E6">
        <w:t xml:space="preserve"> </w:t>
      </w:r>
      <w:r w:rsidRPr="001826E6">
        <w:rPr>
          <w:rFonts w:ascii="Times New Roman" w:hAnsi="Times New Roman" w:cs="Times New Roman"/>
        </w:rPr>
        <w:t>confidence interval</w:t>
      </w:r>
      <w:r w:rsidRPr="001826E6">
        <w:rPr>
          <w:rFonts w:ascii="Times New Roman" w:hAnsi="Times New Roman" w:cs="Times New Roman" w:hint="eastAsia"/>
        </w:rPr>
        <w:t>.</w:t>
      </w:r>
    </w:p>
    <w:p w14:paraId="39190560" w14:textId="77777777" w:rsidR="00752817" w:rsidRDefault="00752817" w:rsidP="00752817">
      <w:pPr>
        <w:rPr>
          <w:rFonts w:ascii="Times New Roman" w:hAnsi="Times New Roman" w:cs="Times New Roman"/>
        </w:rPr>
        <w:sectPr w:rsidR="00752817" w:rsidSect="005349CD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 w:rsidRPr="001826E6">
        <w:rPr>
          <w:rFonts w:ascii="Times New Roman" w:hAnsi="Times New Roman" w:cs="Times New Roman" w:hint="eastAsia"/>
          <w:vertAlign w:val="superscript"/>
        </w:rPr>
        <w:t>#</w:t>
      </w:r>
      <w:r w:rsidRPr="001826E6">
        <w:rPr>
          <w:rFonts w:ascii="Times New Roman" w:hAnsi="Times New Roman" w:cs="Times New Roman"/>
        </w:rPr>
        <w:t xml:space="preserve">Adjusted for </w:t>
      </w:r>
      <w:r w:rsidRPr="001826E6">
        <w:rPr>
          <w:rFonts w:ascii="Times New Roman" w:hAnsi="Times New Roman" w:cs="Times New Roman" w:hint="eastAsia"/>
        </w:rPr>
        <w:t>gender</w:t>
      </w:r>
      <w:r w:rsidRPr="001826E6">
        <w:rPr>
          <w:rFonts w:ascii="Times New Roman" w:hAnsi="Times New Roman" w:cs="Times New Roman"/>
        </w:rPr>
        <w:t xml:space="preserve">, age, </w:t>
      </w:r>
      <w:r w:rsidRPr="001826E6">
        <w:rPr>
          <w:rFonts w:ascii="Times New Roman" w:hAnsi="Times New Roman" w:cs="Times New Roman" w:hint="eastAsia"/>
        </w:rPr>
        <w:t>diabetes history</w:t>
      </w:r>
      <w:r w:rsidRPr="001826E6">
        <w:rPr>
          <w:rFonts w:ascii="Times New Roman" w:hAnsi="Times New Roman" w:cs="Times New Roman"/>
        </w:rPr>
        <w:t>, time interval</w:t>
      </w:r>
      <w:r w:rsidRPr="001826E6">
        <w:rPr>
          <w:rFonts w:cs="Times New Roman"/>
        </w:rPr>
        <w:t xml:space="preserve"> </w:t>
      </w:r>
      <w:r w:rsidRPr="001826E6">
        <w:rPr>
          <w:rFonts w:ascii="Times New Roman" w:hAnsi="Times New Roman" w:cs="Times New Roman"/>
        </w:rPr>
        <w:t>from the symptom onset to study enrollment</w:t>
      </w:r>
      <w:r w:rsidRPr="001826E6">
        <w:rPr>
          <w:rFonts w:ascii="Times New Roman" w:hAnsi="Times New Roman" w:cs="Times New Roman" w:hint="eastAsia"/>
        </w:rPr>
        <w:t xml:space="preserve"> and baseline APACHE</w:t>
      </w:r>
      <w:r w:rsidRPr="001826E6">
        <w:rPr>
          <w:rFonts w:ascii="Times New Roman" w:hAnsi="Times New Roman" w:cs="Times New Roman"/>
        </w:rPr>
        <w:t xml:space="preserve"> </w:t>
      </w:r>
      <w:r w:rsidRPr="001826E6">
        <w:rPr>
          <w:rFonts w:ascii="Times New Roman" w:eastAsia="Times New Roman" w:hAnsi="Times New Roman" w:cs="Times New Roman"/>
        </w:rPr>
        <w:t>II</w:t>
      </w:r>
      <w:r w:rsidRPr="001826E6">
        <w:rPr>
          <w:rFonts w:ascii="Times New Roman" w:hAnsi="Times New Roman" w:cs="Times New Roman" w:hint="eastAsia"/>
        </w:rPr>
        <w:t xml:space="preserve"> score.</w:t>
      </w:r>
    </w:p>
    <w:p w14:paraId="3EEEF48F" w14:textId="12F84CA7" w:rsidR="00752817" w:rsidRPr="00071681" w:rsidRDefault="00752817" w:rsidP="003E411E">
      <w:pPr>
        <w:pStyle w:val="1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7168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Supplement Figure 1. </w:t>
      </w:r>
      <w:r w:rsidR="0096229F" w:rsidRPr="00071681">
        <w:rPr>
          <w:rFonts w:ascii="Times New Roman" w:hAnsi="Times New Roman" w:cs="Times New Roman"/>
          <w:b w:val="0"/>
          <w:sz w:val="24"/>
          <w:szCs w:val="24"/>
        </w:rPr>
        <w:t>Distribution of OFFDs</w:t>
      </w:r>
      <w:r w:rsidRPr="00071681">
        <w:rPr>
          <w:rFonts w:ascii="Times New Roman" w:hAnsi="Times New Roman" w:cs="Times New Roman"/>
          <w:b w:val="0"/>
          <w:sz w:val="24"/>
          <w:szCs w:val="24"/>
        </w:rPr>
        <w:t xml:space="preserve"> to 14 days of enrollment</w:t>
      </w:r>
      <w:r w:rsidR="0096229F" w:rsidRPr="00071681">
        <w:rPr>
          <w:rFonts w:ascii="Times New Roman" w:hAnsi="Times New Roman" w:cs="Times New Roman"/>
          <w:b w:val="0"/>
          <w:sz w:val="24"/>
          <w:szCs w:val="24"/>
        </w:rPr>
        <w:t xml:space="preserve"> in the four quartiles</w:t>
      </w:r>
    </w:p>
    <w:p w14:paraId="1020CD7D" w14:textId="5C302999" w:rsidR="00752817" w:rsidRDefault="0096229F" w:rsidP="00752817">
      <w:pPr>
        <w:sectPr w:rsidR="00752817" w:rsidSect="005349CD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>
        <w:rPr>
          <w:noProof/>
        </w:rPr>
        <w:drawing>
          <wp:inline distT="0" distB="0" distL="0" distR="0" wp14:anchorId="3EB8CC0B" wp14:editId="1B9BCCF9">
            <wp:extent cx="6938884" cy="45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8884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6EB8" w14:textId="0B43D649" w:rsidR="00752817" w:rsidRPr="00071681" w:rsidRDefault="00752817" w:rsidP="003E411E">
      <w:pPr>
        <w:pStyle w:val="1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5" w:name="_Hlk201410669"/>
      <w:r w:rsidRPr="0007168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Supplement Figure 2. </w:t>
      </w:r>
      <w:r w:rsidR="0096229F" w:rsidRPr="00071681">
        <w:rPr>
          <w:rFonts w:ascii="Times New Roman" w:hAnsi="Times New Roman" w:cs="Times New Roman"/>
          <w:b w:val="0"/>
          <w:sz w:val="24"/>
          <w:szCs w:val="24"/>
        </w:rPr>
        <w:t>Directed acyclic graph for OFFDs to 14 days of enrollment</w:t>
      </w:r>
      <w:bookmarkEnd w:id="5"/>
    </w:p>
    <w:p w14:paraId="7303752F" w14:textId="10D2B460" w:rsidR="003E411E" w:rsidRDefault="0096229F" w:rsidP="00BD3B81">
      <w:r>
        <w:rPr>
          <w:noProof/>
        </w:rPr>
        <w:drawing>
          <wp:inline distT="0" distB="0" distL="0" distR="0" wp14:anchorId="7BBD50A1" wp14:editId="28CB30FE">
            <wp:extent cx="5796000" cy="4549384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0" cy="454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1E" w:rsidSect="005349C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E10A" w14:textId="77777777" w:rsidR="00A43BD5" w:rsidRDefault="00A43BD5" w:rsidP="00F82C97">
      <w:pPr>
        <w:spacing w:after="0"/>
      </w:pPr>
      <w:r>
        <w:separator/>
      </w:r>
    </w:p>
  </w:endnote>
  <w:endnote w:type="continuationSeparator" w:id="0">
    <w:p w14:paraId="6B53BABC" w14:textId="77777777" w:rsidR="00A43BD5" w:rsidRDefault="00A43BD5" w:rsidP="00F82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646613"/>
      <w:docPartObj>
        <w:docPartGallery w:val="Page Numbers (Bottom of Page)"/>
        <w:docPartUnique/>
      </w:docPartObj>
    </w:sdtPr>
    <w:sdtEndPr/>
    <w:sdtContent>
      <w:p w14:paraId="06682EB5" w14:textId="3AC1007F" w:rsidR="00B722F6" w:rsidRDefault="00B722F6">
        <w:pPr>
          <w:pStyle w:val="a5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EB04E8" w14:textId="77777777" w:rsidR="00B722F6" w:rsidRDefault="00B72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E20F" w14:textId="77777777" w:rsidR="00A43BD5" w:rsidRDefault="00A43BD5" w:rsidP="00F82C97">
      <w:pPr>
        <w:spacing w:after="0"/>
      </w:pPr>
      <w:r>
        <w:separator/>
      </w:r>
    </w:p>
  </w:footnote>
  <w:footnote w:type="continuationSeparator" w:id="0">
    <w:p w14:paraId="6087F530" w14:textId="77777777" w:rsidR="00A43BD5" w:rsidRDefault="00A43BD5" w:rsidP="00F82C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A3"/>
    <w:rsid w:val="00071681"/>
    <w:rsid w:val="00137BCB"/>
    <w:rsid w:val="002128C9"/>
    <w:rsid w:val="00264621"/>
    <w:rsid w:val="003E411E"/>
    <w:rsid w:val="00427559"/>
    <w:rsid w:val="005349CD"/>
    <w:rsid w:val="005A7D68"/>
    <w:rsid w:val="00752817"/>
    <w:rsid w:val="0096229F"/>
    <w:rsid w:val="00A43BD5"/>
    <w:rsid w:val="00B41785"/>
    <w:rsid w:val="00B705A3"/>
    <w:rsid w:val="00B722F6"/>
    <w:rsid w:val="00BD3B81"/>
    <w:rsid w:val="00BD6B1A"/>
    <w:rsid w:val="00DD3B61"/>
    <w:rsid w:val="00F2411F"/>
    <w:rsid w:val="00F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AFB2D"/>
  <w15:chartTrackingRefBased/>
  <w15:docId w15:val="{C0B3B6D6-FCFD-4323-B17A-5ACB3E4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97"/>
    <w:pPr>
      <w:spacing w:after="200"/>
    </w:pPr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4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9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82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C97"/>
    <w:pPr>
      <w:widowControl w:val="0"/>
      <w:tabs>
        <w:tab w:val="center" w:pos="4153"/>
        <w:tab w:val="right" w:pos="8306"/>
      </w:tabs>
      <w:snapToGrid w:val="0"/>
      <w:spacing w:after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82C9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49CD"/>
    <w:rPr>
      <w:b/>
      <w:bCs/>
      <w:kern w:val="44"/>
      <w:sz w:val="44"/>
      <w:szCs w:val="44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5349C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zh-CN"/>
    </w:rPr>
  </w:style>
  <w:style w:type="table" w:styleId="a7">
    <w:name w:val="Table Grid"/>
    <w:basedOn w:val="a1"/>
    <w:uiPriority w:val="39"/>
    <w:rsid w:val="00534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349C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349CD"/>
    <w:pPr>
      <w:widowControl w:val="0"/>
      <w:spacing w:after="0"/>
    </w:pPr>
    <w:rPr>
      <w:kern w:val="2"/>
      <w:sz w:val="21"/>
      <w:szCs w:val="22"/>
      <w:lang w:eastAsia="zh-CN"/>
    </w:rPr>
  </w:style>
  <w:style w:type="character" w:customStyle="1" w:styleId="aa">
    <w:name w:val="批注文字 字符"/>
    <w:basedOn w:val="a0"/>
    <w:link w:val="a9"/>
    <w:uiPriority w:val="99"/>
    <w:semiHidden/>
    <w:rsid w:val="005349CD"/>
  </w:style>
  <w:style w:type="paragraph" w:styleId="ab">
    <w:name w:val="Balloon Text"/>
    <w:basedOn w:val="a"/>
    <w:link w:val="ac"/>
    <w:uiPriority w:val="99"/>
    <w:semiHidden/>
    <w:unhideWhenUsed/>
    <w:rsid w:val="005349CD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349CD"/>
    <w:rPr>
      <w:kern w:val="0"/>
      <w:sz w:val="18"/>
      <w:szCs w:val="18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3E411E"/>
  </w:style>
  <w:style w:type="character" w:styleId="ad">
    <w:name w:val="Hyperlink"/>
    <w:basedOn w:val="a0"/>
    <w:uiPriority w:val="99"/>
    <w:unhideWhenUsed/>
    <w:rsid w:val="003E411E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B722F6"/>
    <w:pPr>
      <w:spacing w:after="100" w:line="259" w:lineRule="auto"/>
      <w:ind w:left="220"/>
    </w:pPr>
    <w:rPr>
      <w:rFonts w:cs="Times New Roman"/>
      <w:sz w:val="22"/>
      <w:szCs w:val="22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B722F6"/>
    <w:pPr>
      <w:spacing w:after="100" w:line="259" w:lineRule="auto"/>
      <w:ind w:left="440"/>
    </w:pPr>
    <w:rPr>
      <w:rFonts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1666-7356-43E3-8099-4B6838B6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曹龙祥123</dc:creator>
  <cp:keywords/>
  <dc:description/>
  <cp:lastModifiedBy>曹龙祥123</cp:lastModifiedBy>
  <cp:revision>8</cp:revision>
  <dcterms:created xsi:type="dcterms:W3CDTF">2025-03-06T08:46:00Z</dcterms:created>
  <dcterms:modified xsi:type="dcterms:W3CDTF">2025-10-13T13:20:00Z</dcterms:modified>
</cp:coreProperties>
</file>