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73E0C" w14:textId="77777777" w:rsidR="00C1412E" w:rsidRPr="00ED6238" w:rsidRDefault="00C1412E" w:rsidP="00C1412E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6. </w:t>
      </w:r>
      <w:r w:rsidRPr="00ED6238">
        <w:rPr>
          <w:rFonts w:ascii="Times New Roman" w:hAnsi="Times New Roman" w:cs="Times New Roman"/>
          <w:b/>
          <w:bCs/>
          <w:i/>
          <w:iCs/>
          <w:sz w:val="22"/>
          <w:szCs w:val="22"/>
        </w:rPr>
        <w:t>Appendix 1:</w:t>
      </w:r>
      <w:r w:rsidRPr="00ED6238">
        <w:rPr>
          <w:b/>
          <w:bCs/>
          <w:sz w:val="22"/>
          <w:szCs w:val="22"/>
        </w:rPr>
        <w:t xml:space="preserve"> </w:t>
      </w:r>
      <w:r w:rsidRPr="00ED6238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Table 2. Themes and key findings 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17"/>
        <w:gridCol w:w="4128"/>
        <w:gridCol w:w="3405"/>
      </w:tblGrid>
      <w:tr w:rsidR="00C1412E" w:rsidRPr="006E2E16" w14:paraId="78078406" w14:textId="77777777" w:rsidTr="00E902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F4278E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Theme</w:t>
            </w:r>
          </w:p>
        </w:tc>
        <w:tc>
          <w:tcPr>
            <w:tcW w:w="0" w:type="auto"/>
            <w:vAlign w:val="center"/>
            <w:hideMark/>
          </w:tcPr>
          <w:p w14:paraId="5E9E3A37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Key Findings</w:t>
            </w:r>
          </w:p>
        </w:tc>
        <w:tc>
          <w:tcPr>
            <w:tcW w:w="0" w:type="auto"/>
            <w:vAlign w:val="center"/>
            <w:hideMark/>
          </w:tcPr>
          <w:p w14:paraId="772C42B1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Additional Notes / Illustrative Quotes</w:t>
            </w:r>
          </w:p>
        </w:tc>
      </w:tr>
      <w:tr w:rsidR="00C1412E" w:rsidRPr="006E2E16" w14:paraId="616C737A" w14:textId="77777777" w:rsidTr="00E902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60C09B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Awareness and understanding</w:t>
            </w:r>
          </w:p>
        </w:tc>
        <w:tc>
          <w:tcPr>
            <w:tcW w:w="0" w:type="auto"/>
            <w:vAlign w:val="center"/>
            <w:hideMark/>
          </w:tcPr>
          <w:p w14:paraId="41C9DFD6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Low awareness in Somali, Bangladeshi, Chinese and Nigerian communities.</w:t>
            </w:r>
          </w:p>
          <w:p w14:paraId="789CF34C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Confusion between NHS Health Checks and routine GP visits.</w:t>
            </w:r>
          </w:p>
          <w:p w14:paraId="382EB3A7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Preventive health viewed as unnecessary unless symptoms are present (especially Somali and Bangladeshi groups).</w:t>
            </w:r>
          </w:p>
          <w:p w14:paraId="72AEF00C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Younger adults (&lt;50) and males showed lower perceived need.</w:t>
            </w:r>
          </w:p>
        </w:tc>
        <w:tc>
          <w:tcPr>
            <w:tcW w:w="0" w:type="auto"/>
            <w:vAlign w:val="center"/>
            <w:hideMark/>
          </w:tcPr>
          <w:p w14:paraId="3C3BE928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Preventive healthcare often misunderstood and under-prioritised.</w:t>
            </w:r>
          </w:p>
        </w:tc>
      </w:tr>
      <w:tr w:rsidR="00C1412E" w:rsidRPr="006E2E16" w14:paraId="34F06223" w14:textId="77777777" w:rsidTr="00E902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970842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Cultural and Linguistic Barriers</w:t>
            </w:r>
          </w:p>
        </w:tc>
        <w:tc>
          <w:tcPr>
            <w:tcW w:w="0" w:type="auto"/>
            <w:vAlign w:val="center"/>
            <w:hideMark/>
          </w:tcPr>
          <w:p w14:paraId="752485E5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English-only invitation letters excluded non-English speakers.</w:t>
            </w:r>
          </w:p>
          <w:p w14:paraId="15318BB2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Cultural norms favour reactive rather than preventive care.</w:t>
            </w:r>
          </w:p>
          <w:p w14:paraId="28C8D58D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South Asian and Somali women uncomfortable with male practitioners.</w:t>
            </w:r>
          </w:p>
        </w:tc>
        <w:tc>
          <w:tcPr>
            <w:tcW w:w="0" w:type="auto"/>
            <w:vAlign w:val="center"/>
            <w:hideMark/>
          </w:tcPr>
          <w:p w14:paraId="3BB54A4E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“I couldn’t understand the letter, so I ignored it” Bangladeshi woman</w:t>
            </w:r>
          </w:p>
        </w:tc>
      </w:tr>
      <w:tr w:rsidR="00C1412E" w:rsidRPr="006E2E16" w14:paraId="51B693F1" w14:textId="77777777" w:rsidTr="00E90239">
        <w:trPr>
          <w:trHeight w:val="2143"/>
          <w:tblCellSpacing w:w="15" w:type="dxa"/>
        </w:trPr>
        <w:tc>
          <w:tcPr>
            <w:tcW w:w="0" w:type="auto"/>
            <w:vAlign w:val="center"/>
            <w:hideMark/>
          </w:tcPr>
          <w:p w14:paraId="04F19D5A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Uptake Variations by Ethnicity</w:t>
            </w:r>
          </w:p>
        </w:tc>
        <w:tc>
          <w:tcPr>
            <w:tcW w:w="0" w:type="auto"/>
            <w:vAlign w:val="center"/>
            <w:hideMark/>
          </w:tcPr>
          <w:p w14:paraId="442E47DB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Highest uptake: Chinese and Nigerian communities.</w:t>
            </w:r>
          </w:p>
          <w:p w14:paraId="3E87854F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Lowest uptake: Arab and White British males reported no participation.</w:t>
            </w:r>
          </w:p>
          <w:p w14:paraId="7011FEFD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Women generally more likely to attend than men.</w:t>
            </w:r>
          </w:p>
        </w:tc>
        <w:tc>
          <w:tcPr>
            <w:tcW w:w="0" w:type="auto"/>
            <w:vAlign w:val="center"/>
            <w:hideMark/>
          </w:tcPr>
          <w:p w14:paraId="7D702133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Patterns suggest gender and culture shape engagement differently across groups.</w:t>
            </w:r>
          </w:p>
        </w:tc>
      </w:tr>
      <w:tr w:rsidR="00C1412E" w:rsidRPr="006E2E16" w14:paraId="076FC3B7" w14:textId="77777777" w:rsidTr="00E902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566C79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Trust and Previous Experiences</w:t>
            </w:r>
          </w:p>
        </w:tc>
        <w:tc>
          <w:tcPr>
            <w:tcW w:w="0" w:type="auto"/>
            <w:vAlign w:val="center"/>
            <w:hideMark/>
          </w:tcPr>
          <w:p w14:paraId="628C5BAF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Past negative experiences (e.g., lost results, rushed consultations) reduced trust.</w:t>
            </w:r>
          </w:p>
          <w:p w14:paraId="3DA640D6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Respectful, personalised communication increased willingness to attend.</w:t>
            </w:r>
          </w:p>
        </w:tc>
        <w:tc>
          <w:tcPr>
            <w:tcW w:w="0" w:type="auto"/>
            <w:vAlign w:val="center"/>
            <w:hideMark/>
          </w:tcPr>
          <w:p w14:paraId="2E1219AD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Trust strongly influenced by the quality of past NHS interactions.</w:t>
            </w:r>
          </w:p>
        </w:tc>
      </w:tr>
      <w:tr w:rsidR="00C1412E" w:rsidRPr="006E2E16" w14:paraId="50BE4B02" w14:textId="77777777" w:rsidTr="00E902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B3E9FE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Structural Access Barriers</w:t>
            </w:r>
          </w:p>
        </w:tc>
        <w:tc>
          <w:tcPr>
            <w:tcW w:w="0" w:type="auto"/>
            <w:vAlign w:val="center"/>
            <w:hideMark/>
          </w:tcPr>
          <w:p w14:paraId="42249D0D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Appointment times during working hours limited attendance.</w:t>
            </w:r>
          </w:p>
          <w:p w14:paraId="11A9C528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Complicated booking processes discouraged participation.</w:t>
            </w:r>
          </w:p>
          <w:p w14:paraId="38FD434F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Shortage of community-based delivery venues.</w:t>
            </w:r>
          </w:p>
        </w:tc>
        <w:tc>
          <w:tcPr>
            <w:tcW w:w="0" w:type="auto"/>
            <w:vAlign w:val="center"/>
            <w:hideMark/>
          </w:tcPr>
          <w:p w14:paraId="670BF4E1" w14:textId="77777777" w:rsidR="00C1412E" w:rsidRPr="006E2E16" w:rsidRDefault="00C1412E" w:rsidP="00E90239">
            <w:pPr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2E16">
              <w:rPr>
                <w:rFonts w:ascii="Times New Roman" w:hAnsi="Times New Roman" w:cs="Times New Roman"/>
                <w:sz w:val="22"/>
                <w:szCs w:val="22"/>
              </w:rPr>
              <w:t>Structural constraints affected working-age adults disproportionately.</w:t>
            </w:r>
          </w:p>
        </w:tc>
      </w:tr>
    </w:tbl>
    <w:p w14:paraId="2F505B74" w14:textId="77777777" w:rsidR="00C1412E" w:rsidRDefault="00C1412E" w:rsidP="00C1412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299E1B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12E"/>
    <w:rsid w:val="00195413"/>
    <w:rsid w:val="002D5FD9"/>
    <w:rsid w:val="003D0186"/>
    <w:rsid w:val="007278E4"/>
    <w:rsid w:val="00A3738C"/>
    <w:rsid w:val="00BC6C35"/>
    <w:rsid w:val="00C1412E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DEACA"/>
  <w15:chartTrackingRefBased/>
  <w15:docId w15:val="{AB9EC25C-F7D4-48F5-BECA-37C7231CF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12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41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41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41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41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41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41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41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41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41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41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41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41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41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41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41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41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41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41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41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141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41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141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412E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141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412E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C141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41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41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41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1378</Characters>
  <Application>Microsoft Office Word</Application>
  <DocSecurity>0</DocSecurity>
  <Lines>23</Lines>
  <Paragraphs>8</Paragraphs>
  <ScaleCrop>false</ScaleCrop>
  <Company>Springer Nature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2026-01-13T10:46:00Z</dcterms:created>
  <dcterms:modified xsi:type="dcterms:W3CDTF">2026-01-13T10:46:00Z</dcterms:modified>
</cp:coreProperties>
</file>