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4F9DF" w14:textId="77777777" w:rsidR="00986E4F" w:rsidRPr="002E227F" w:rsidRDefault="00986E4F" w:rsidP="00986E4F">
      <w:pPr>
        <w:spacing w:after="0" w:line="240" w:lineRule="auto"/>
        <w:jc w:val="both"/>
        <w:outlineLvl w:val="1"/>
        <w:rPr>
          <w:rFonts w:ascii="Segoe UI" w:eastAsia="Times New Roman" w:hAnsi="Segoe UI" w:cs="Segoe UI"/>
          <w:b/>
          <w:bCs/>
          <w:color w:val="000000" w:themeColor="text1"/>
          <w:kern w:val="0"/>
          <w14:ligatures w14:val="none"/>
        </w:rPr>
      </w:pPr>
      <w:r w:rsidRPr="002E227F">
        <w:rPr>
          <w:rFonts w:ascii="Segoe UI" w:eastAsia="Times New Roman" w:hAnsi="Segoe UI" w:cs="Segoe UI"/>
          <w:b/>
          <w:bCs/>
          <w:color w:val="000000" w:themeColor="text1"/>
          <w:kern w:val="0"/>
          <w14:ligatures w14:val="none"/>
        </w:rPr>
        <w:t>Appendix.</w:t>
      </w:r>
    </w:p>
    <w:p w14:paraId="5492E5D5" w14:textId="77777777" w:rsidR="00986E4F" w:rsidRPr="002E227F" w:rsidRDefault="00986E4F" w:rsidP="00986E4F">
      <w:pPr>
        <w:spacing w:after="0" w:line="240" w:lineRule="auto"/>
        <w:jc w:val="both"/>
        <w:rPr>
          <w:rFonts w:ascii="Segoe UI" w:eastAsia="Times New Roman" w:hAnsi="Segoe UI" w:cs="Segoe UI"/>
          <w:color w:val="000000" w:themeColor="text1"/>
          <w:kern w:val="0"/>
          <w14:ligatures w14:val="none"/>
        </w:rPr>
      </w:pPr>
      <w:r w:rsidRPr="002E227F">
        <w:rPr>
          <w:rFonts w:ascii="Segoe UI" w:eastAsia="Times New Roman" w:hAnsi="Segoe UI" w:cs="Segoe UI"/>
          <w:color w:val="000000" w:themeColor="text1"/>
          <w:kern w:val="0"/>
          <w14:ligatures w14:val="none"/>
        </w:rPr>
        <w:t>Table A1 presents a clear overview of data sources, mobilisation scores, and evidence types used in country-level coding. All cited documents are publicly accessible and can be verified through international NGO archives and government registries.</w:t>
      </w:r>
    </w:p>
    <w:p w14:paraId="2288061B" w14:textId="77777777" w:rsidR="00986E4F" w:rsidRPr="002E227F" w:rsidRDefault="00986E4F" w:rsidP="00986E4F">
      <w:pPr>
        <w:spacing w:after="0" w:line="240" w:lineRule="auto"/>
        <w:jc w:val="both"/>
        <w:outlineLvl w:val="1"/>
        <w:rPr>
          <w:rFonts w:ascii="Segoe UI" w:eastAsia="Times New Roman" w:hAnsi="Segoe UI" w:cs="Segoe UI"/>
          <w:b/>
          <w:bCs/>
          <w:color w:val="000000" w:themeColor="text1"/>
          <w:kern w:val="0"/>
          <w14:ligatures w14:val="none"/>
        </w:rPr>
      </w:pPr>
    </w:p>
    <w:p w14:paraId="575EF899" w14:textId="77777777" w:rsidR="00986E4F" w:rsidRPr="002E227F" w:rsidRDefault="00986E4F" w:rsidP="00986E4F">
      <w:pPr>
        <w:spacing w:after="0" w:line="240" w:lineRule="auto"/>
        <w:jc w:val="both"/>
        <w:outlineLvl w:val="1"/>
        <w:rPr>
          <w:rFonts w:ascii="Segoe UI" w:eastAsia="Times New Roman" w:hAnsi="Segoe UI" w:cs="Segoe UI"/>
          <w:color w:val="000000" w:themeColor="text1"/>
          <w:kern w:val="0"/>
          <w14:ligatures w14:val="none"/>
        </w:rPr>
      </w:pPr>
      <w:r w:rsidRPr="002E227F">
        <w:rPr>
          <w:rFonts w:ascii="Segoe UI" w:eastAsia="Times New Roman" w:hAnsi="Segoe UI" w:cs="Segoe UI"/>
          <w:b/>
          <w:bCs/>
          <w:color w:val="000000" w:themeColor="text1"/>
          <w:kern w:val="0"/>
          <w14:ligatures w14:val="none"/>
        </w:rPr>
        <w:t xml:space="preserve">Table A1. </w:t>
      </w:r>
      <w:r w:rsidRPr="002E227F">
        <w:rPr>
          <w:rFonts w:ascii="Segoe UI" w:eastAsia="Times New Roman" w:hAnsi="Segoe UI" w:cs="Segoe UI"/>
          <w:color w:val="000000" w:themeColor="text1"/>
          <w:kern w:val="0"/>
          <w14:ligatures w14:val="none"/>
        </w:rPr>
        <w:t>Summary of Data Sources and Feminist Mobilisation Coding (2015–2019)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7"/>
        <w:gridCol w:w="2311"/>
        <w:gridCol w:w="1794"/>
        <w:gridCol w:w="1675"/>
        <w:gridCol w:w="2193"/>
      </w:tblGrid>
      <w:tr w:rsidR="00986E4F" w:rsidRPr="002E227F" w14:paraId="610DDBB2" w14:textId="77777777" w:rsidTr="000E0935">
        <w:tc>
          <w:tcPr>
            <w:tcW w:w="0" w:type="auto"/>
            <w:tcBorders>
              <w:bottom w:val="single" w:sz="12" w:space="0" w:color="auto"/>
            </w:tcBorders>
            <w:hideMark/>
          </w:tcPr>
          <w:p w14:paraId="7173E7A9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Country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hideMark/>
          </w:tcPr>
          <w:p w14:paraId="068B35AF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Feminist Mobilisation Score (0–2)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hideMark/>
          </w:tcPr>
          <w:p w14:paraId="259734A5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Key Sources Consulted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hideMark/>
          </w:tcPr>
          <w:p w14:paraId="34CB6F04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Type of Evidence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hideMark/>
          </w:tcPr>
          <w:p w14:paraId="7B6EB475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Notes on Coding Logic</w:t>
            </w:r>
          </w:p>
        </w:tc>
      </w:tr>
      <w:tr w:rsidR="00986E4F" w:rsidRPr="002E227F" w14:paraId="0FBD7358" w14:textId="77777777" w:rsidTr="000E0935"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6BB22AC8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Armenia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2D2022CF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1 (Episodic/Emerging)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44E42542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Amnesty International (2018), CSOSI (Advocacy Index), WomenNet.am archives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7F762871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NGO registry data, reports on protests and campaigns</w:t>
            </w:r>
          </w:p>
        </w:tc>
        <w:tc>
          <w:tcPr>
            <w:tcW w:w="0" w:type="auto"/>
            <w:tcBorders>
              <w:top w:val="single" w:sz="12" w:space="0" w:color="auto"/>
            </w:tcBorders>
            <w:hideMark/>
          </w:tcPr>
          <w:p w14:paraId="72FA8496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Active short-term mobilisation around domestic violence legislation; limited organisational continuity.</w:t>
            </w:r>
          </w:p>
        </w:tc>
      </w:tr>
      <w:tr w:rsidR="00986E4F" w:rsidRPr="002E227F" w14:paraId="113003DB" w14:textId="77777777" w:rsidTr="000E0935">
        <w:tc>
          <w:tcPr>
            <w:tcW w:w="0" w:type="auto"/>
            <w:hideMark/>
          </w:tcPr>
          <w:p w14:paraId="71FEAC64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Azerbaijan</w:t>
            </w:r>
          </w:p>
        </w:tc>
        <w:tc>
          <w:tcPr>
            <w:tcW w:w="0" w:type="auto"/>
            <w:hideMark/>
          </w:tcPr>
          <w:p w14:paraId="522865B9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0 (Suppressed)</w:t>
            </w:r>
          </w:p>
        </w:tc>
        <w:tc>
          <w:tcPr>
            <w:tcW w:w="0" w:type="auto"/>
            <w:hideMark/>
          </w:tcPr>
          <w:p w14:paraId="72D34B89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Freedom House (2018), Human Rights Watch (2019), Ministry of Justice NGO List</w:t>
            </w:r>
          </w:p>
        </w:tc>
        <w:tc>
          <w:tcPr>
            <w:tcW w:w="0" w:type="auto"/>
            <w:hideMark/>
          </w:tcPr>
          <w:p w14:paraId="2F05C51A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Legal restrictions, NGO registration denials</w:t>
            </w:r>
          </w:p>
        </w:tc>
        <w:tc>
          <w:tcPr>
            <w:tcW w:w="0" w:type="auto"/>
            <w:hideMark/>
          </w:tcPr>
          <w:p w14:paraId="0B673384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Repeated deregistration of women’s groups; absence of sustained advocacy outside state frameworks.</w:t>
            </w:r>
          </w:p>
        </w:tc>
      </w:tr>
      <w:tr w:rsidR="00986E4F" w:rsidRPr="002E227F" w14:paraId="577351D0" w14:textId="77777777" w:rsidTr="000E0935">
        <w:tc>
          <w:tcPr>
            <w:tcW w:w="0" w:type="auto"/>
            <w:hideMark/>
          </w:tcPr>
          <w:p w14:paraId="7A10A52C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Belarus</w:t>
            </w:r>
          </w:p>
        </w:tc>
        <w:tc>
          <w:tcPr>
            <w:tcW w:w="0" w:type="auto"/>
            <w:hideMark/>
          </w:tcPr>
          <w:p w14:paraId="6B9D8729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0 (Suppressed)</w:t>
            </w:r>
          </w:p>
        </w:tc>
        <w:tc>
          <w:tcPr>
            <w:tcW w:w="0" w:type="auto"/>
            <w:hideMark/>
          </w:tcPr>
          <w:p w14:paraId="15572B9B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CSOSI (2019), Human Rights Watch, EU East Partnership reports</w:t>
            </w:r>
          </w:p>
        </w:tc>
        <w:tc>
          <w:tcPr>
            <w:tcW w:w="0" w:type="auto"/>
            <w:hideMark/>
          </w:tcPr>
          <w:p w14:paraId="4C308897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Legal constraints, repression of activism</w:t>
            </w:r>
          </w:p>
        </w:tc>
        <w:tc>
          <w:tcPr>
            <w:tcW w:w="0" w:type="auto"/>
            <w:hideMark/>
          </w:tcPr>
          <w:p w14:paraId="7CF4D3EE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Women’s groups legally registered but tightly controlled; feminist protest severely restricted.</w:t>
            </w:r>
          </w:p>
        </w:tc>
      </w:tr>
      <w:tr w:rsidR="00986E4F" w:rsidRPr="002E227F" w14:paraId="0C51E524" w14:textId="77777777" w:rsidTr="000E0935">
        <w:tc>
          <w:tcPr>
            <w:tcW w:w="0" w:type="auto"/>
            <w:hideMark/>
          </w:tcPr>
          <w:p w14:paraId="7E16783E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Georgia</w:t>
            </w:r>
          </w:p>
        </w:tc>
        <w:tc>
          <w:tcPr>
            <w:tcW w:w="0" w:type="auto"/>
            <w:hideMark/>
          </w:tcPr>
          <w:p w14:paraId="3F0FE101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2 (Sustained)</w:t>
            </w:r>
          </w:p>
        </w:tc>
        <w:tc>
          <w:tcPr>
            <w:tcW w:w="0" w:type="auto"/>
            <w:hideMark/>
          </w:tcPr>
          <w:p w14:paraId="5F37AE37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UN Women (2017), local feminist NGO reports (Sapari, WISG), CSOSI</w:t>
            </w:r>
          </w:p>
        </w:tc>
        <w:tc>
          <w:tcPr>
            <w:tcW w:w="0" w:type="auto"/>
            <w:hideMark/>
          </w:tcPr>
          <w:p w14:paraId="76235F6D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Active NGO network, consistent advocacy</w:t>
            </w:r>
          </w:p>
        </w:tc>
        <w:tc>
          <w:tcPr>
            <w:tcW w:w="0" w:type="auto"/>
            <w:hideMark/>
          </w:tcPr>
          <w:p w14:paraId="4610C492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Stable feminist organizing; strong linkage between activism and policy campaigns.</w:t>
            </w:r>
          </w:p>
        </w:tc>
      </w:tr>
      <w:tr w:rsidR="00986E4F" w:rsidRPr="002E227F" w14:paraId="58459823" w14:textId="77777777" w:rsidTr="000E0935">
        <w:tc>
          <w:tcPr>
            <w:tcW w:w="0" w:type="auto"/>
            <w:hideMark/>
          </w:tcPr>
          <w:p w14:paraId="3CD05039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Kazakhstan</w:t>
            </w:r>
          </w:p>
        </w:tc>
        <w:tc>
          <w:tcPr>
            <w:tcW w:w="0" w:type="auto"/>
            <w:hideMark/>
          </w:tcPr>
          <w:p w14:paraId="1EA272C0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1 (Episodic/Emerging)</w:t>
            </w:r>
          </w:p>
        </w:tc>
        <w:tc>
          <w:tcPr>
            <w:tcW w:w="0" w:type="auto"/>
            <w:hideMark/>
          </w:tcPr>
          <w:p w14:paraId="5918F3A2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Human Rights Watch (2017), KazFem NGO Registry, CSOSI</w:t>
            </w:r>
          </w:p>
        </w:tc>
        <w:tc>
          <w:tcPr>
            <w:tcW w:w="0" w:type="auto"/>
            <w:hideMark/>
          </w:tcPr>
          <w:p w14:paraId="2D477D6C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Episodic campaigns, limited advocacy</w:t>
            </w:r>
          </w:p>
        </w:tc>
        <w:tc>
          <w:tcPr>
            <w:tcW w:w="0" w:type="auto"/>
            <w:hideMark/>
          </w:tcPr>
          <w:p w14:paraId="2AA35D78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 xml:space="preserve">Occasional public mobilisation on gender-based violence; partial </w:t>
            </w: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lastRenderedPageBreak/>
              <w:t>institutionalization.</w:t>
            </w:r>
          </w:p>
        </w:tc>
      </w:tr>
      <w:tr w:rsidR="00986E4F" w:rsidRPr="002E227F" w14:paraId="244AED76" w14:textId="77777777" w:rsidTr="000E0935">
        <w:tc>
          <w:tcPr>
            <w:tcW w:w="0" w:type="auto"/>
            <w:hideMark/>
          </w:tcPr>
          <w:p w14:paraId="00EA64DD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lastRenderedPageBreak/>
              <w:t>Kyrgyz Republic</w:t>
            </w:r>
          </w:p>
        </w:tc>
        <w:tc>
          <w:tcPr>
            <w:tcW w:w="0" w:type="auto"/>
            <w:hideMark/>
          </w:tcPr>
          <w:p w14:paraId="3B2C2636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2 (Sustained)</w:t>
            </w:r>
          </w:p>
        </w:tc>
        <w:tc>
          <w:tcPr>
            <w:tcW w:w="0" w:type="auto"/>
            <w:hideMark/>
          </w:tcPr>
          <w:p w14:paraId="27C2BABD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CSOSI, Amnesty International, Kloop.kg archives</w:t>
            </w:r>
          </w:p>
        </w:tc>
        <w:tc>
          <w:tcPr>
            <w:tcW w:w="0" w:type="auto"/>
            <w:hideMark/>
          </w:tcPr>
          <w:p w14:paraId="7482B0C9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Advocacy, protests, NGO networks</w:t>
            </w:r>
          </w:p>
        </w:tc>
        <w:tc>
          <w:tcPr>
            <w:tcW w:w="0" w:type="auto"/>
            <w:hideMark/>
          </w:tcPr>
          <w:p w14:paraId="54C4FDD6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Active feminist NGOs and recurring protests; legal advocacy visible despite instability.</w:t>
            </w:r>
          </w:p>
        </w:tc>
      </w:tr>
      <w:tr w:rsidR="00986E4F" w:rsidRPr="002E227F" w14:paraId="502FEDF2" w14:textId="77777777" w:rsidTr="000E0935">
        <w:tc>
          <w:tcPr>
            <w:tcW w:w="0" w:type="auto"/>
            <w:hideMark/>
          </w:tcPr>
          <w:p w14:paraId="69847EDD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Russia</w:t>
            </w:r>
          </w:p>
        </w:tc>
        <w:tc>
          <w:tcPr>
            <w:tcW w:w="0" w:type="auto"/>
            <w:hideMark/>
          </w:tcPr>
          <w:p w14:paraId="1B03CA91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0 (Suppressed)</w:t>
            </w:r>
          </w:p>
        </w:tc>
        <w:tc>
          <w:tcPr>
            <w:tcW w:w="0" w:type="auto"/>
            <w:hideMark/>
          </w:tcPr>
          <w:p w14:paraId="7B7ECDD3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Ministry of Justice “Foreign Agent” list, OVD-Info, HRW (2019)</w:t>
            </w:r>
          </w:p>
        </w:tc>
        <w:tc>
          <w:tcPr>
            <w:tcW w:w="0" w:type="auto"/>
            <w:hideMark/>
          </w:tcPr>
          <w:p w14:paraId="4AAB1DD9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Legal repression, deregistration</w:t>
            </w:r>
          </w:p>
        </w:tc>
        <w:tc>
          <w:tcPr>
            <w:tcW w:w="0" w:type="auto"/>
            <w:hideMark/>
          </w:tcPr>
          <w:p w14:paraId="21A4F3F6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Feminist groups targeted under “foreign agent” laws; digital activism continues informally.</w:t>
            </w:r>
          </w:p>
        </w:tc>
      </w:tr>
      <w:tr w:rsidR="00986E4F" w:rsidRPr="002E227F" w14:paraId="664673CB" w14:textId="77777777" w:rsidTr="000E0935">
        <w:tc>
          <w:tcPr>
            <w:tcW w:w="0" w:type="auto"/>
            <w:hideMark/>
          </w:tcPr>
          <w:p w14:paraId="59C844FD" w14:textId="77777777" w:rsidR="00986E4F" w:rsidRPr="002E227F" w:rsidRDefault="00986E4F" w:rsidP="000E0935">
            <w:pPr>
              <w:jc w:val="both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Uzbekistan</w:t>
            </w:r>
          </w:p>
        </w:tc>
        <w:tc>
          <w:tcPr>
            <w:tcW w:w="0" w:type="auto"/>
            <w:hideMark/>
          </w:tcPr>
          <w:p w14:paraId="730B8336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0 (Absent)</w:t>
            </w:r>
          </w:p>
        </w:tc>
        <w:tc>
          <w:tcPr>
            <w:tcW w:w="0" w:type="auto"/>
            <w:hideMark/>
          </w:tcPr>
          <w:p w14:paraId="1BB59EA3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CSOSI (2018), HRW (2019), local press review</w:t>
            </w:r>
          </w:p>
        </w:tc>
        <w:tc>
          <w:tcPr>
            <w:tcW w:w="0" w:type="auto"/>
            <w:hideMark/>
          </w:tcPr>
          <w:p w14:paraId="21939BF9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Lack of registered feminist groups</w:t>
            </w:r>
          </w:p>
        </w:tc>
        <w:tc>
          <w:tcPr>
            <w:tcW w:w="0" w:type="auto"/>
            <w:hideMark/>
          </w:tcPr>
          <w:p w14:paraId="36D3613F" w14:textId="77777777" w:rsidR="00986E4F" w:rsidRPr="002E227F" w:rsidRDefault="00986E4F" w:rsidP="000E0935">
            <w:pPr>
              <w:jc w:val="center"/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</w:pPr>
            <w:r w:rsidRPr="002E227F">
              <w:rPr>
                <w:rFonts w:ascii="Segoe UI" w:eastAsia="Times New Roman" w:hAnsi="Segoe UI" w:cs="Segoe UI"/>
                <w:color w:val="000000" w:themeColor="text1"/>
                <w:kern w:val="0"/>
                <w14:ligatures w14:val="none"/>
              </w:rPr>
              <w:t>Virtually no independent feminist organisations or mobilisation observed.</w:t>
            </w:r>
          </w:p>
        </w:tc>
      </w:tr>
    </w:tbl>
    <w:p w14:paraId="37D51EA5" w14:textId="77777777" w:rsidR="00986E4F" w:rsidRPr="002E227F" w:rsidRDefault="00986E4F" w:rsidP="00986E4F">
      <w:pPr>
        <w:spacing w:after="0" w:line="240" w:lineRule="auto"/>
        <w:jc w:val="both"/>
        <w:outlineLvl w:val="2"/>
        <w:rPr>
          <w:rFonts w:ascii="Segoe UI" w:eastAsia="Times New Roman" w:hAnsi="Segoe UI" w:cs="Segoe UI"/>
          <w:color w:val="000000" w:themeColor="text1"/>
          <w:kern w:val="0"/>
          <w14:ligatures w14:val="none"/>
        </w:rPr>
      </w:pPr>
      <w:r w:rsidRPr="002E227F">
        <w:rPr>
          <w:rFonts w:ascii="Segoe UI" w:eastAsia="Times New Roman" w:hAnsi="Segoe UI" w:cs="Segoe UI"/>
          <w:i/>
          <w:iCs/>
          <w:color w:val="000000" w:themeColor="text1"/>
          <w:kern w:val="0"/>
          <w14:ligatures w14:val="none"/>
        </w:rPr>
        <w:t>Notes: Mobilisation scale: 0 = Absent/Suppressed; 1 = Episodic/Emerging; 2 = Sustained. Data period: 2015–2019, triangulated from international indices, NGO registries, and documented feminist advocacy events. Cross-validation: Coding decisions were compared with Freedom House “Civil Society” and USAID CSOSI “Advocacy” subscores for reliability.</w:t>
      </w:r>
    </w:p>
    <w:p w14:paraId="06056900" w14:textId="77777777" w:rsidR="00986E4F" w:rsidRPr="002E227F" w:rsidRDefault="00986E4F" w:rsidP="00986E4F">
      <w:pPr>
        <w:spacing w:line="240" w:lineRule="auto"/>
        <w:jc w:val="both"/>
        <w:rPr>
          <w:rFonts w:ascii="Segoe UI" w:hAnsi="Segoe UI" w:cs="Segoe UI"/>
          <w:color w:val="000000" w:themeColor="text1"/>
        </w:rPr>
      </w:pPr>
    </w:p>
    <w:p w14:paraId="1EEE659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E4F"/>
    <w:rsid w:val="002978F5"/>
    <w:rsid w:val="003852CF"/>
    <w:rsid w:val="004E780C"/>
    <w:rsid w:val="00803C07"/>
    <w:rsid w:val="00986E4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FE74"/>
  <w15:chartTrackingRefBased/>
  <w15:docId w15:val="{E4877555-1739-4464-B2A8-AC3900BE5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E4F"/>
    <w:rPr>
      <w:rFonts w:eastAsiaTheme="minorEastAsia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6E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E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E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E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E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E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E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E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E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E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E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E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E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E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E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E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E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E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E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986E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E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986E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E4F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986E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E4F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986E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E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E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E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86E4F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2209</Characters>
  <Application>Microsoft Office Word</Application>
  <DocSecurity>0</DocSecurity>
  <Lines>44</Lines>
  <Paragraphs>13</Paragraphs>
  <ScaleCrop>false</ScaleCrop>
  <Company/>
  <LinksUpToDate>false</LinksUpToDate>
  <CharactersWithSpaces>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2026-02-26T11:00:00Z</dcterms:created>
  <dcterms:modified xsi:type="dcterms:W3CDTF">2026-02-26T11:00:00Z</dcterms:modified>
</cp:coreProperties>
</file>