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5"/>
        <w:tblpPr w:leftFromText="180" w:rightFromText="180" w:vertAnchor="page" w:horzAnchor="margin" w:tblpY="1850"/>
        <w:tblW w:w="0" w:type="auto"/>
        <w:tblLook w:val="04A0" w:firstRow="1" w:lastRow="0" w:firstColumn="1" w:lastColumn="0" w:noHBand="0" w:noVBand="1"/>
      </w:tblPr>
      <w:tblGrid>
        <w:gridCol w:w="1637"/>
        <w:gridCol w:w="1186"/>
        <w:gridCol w:w="538"/>
        <w:gridCol w:w="462"/>
        <w:gridCol w:w="991"/>
        <w:gridCol w:w="615"/>
        <w:gridCol w:w="615"/>
        <w:gridCol w:w="991"/>
        <w:gridCol w:w="538"/>
        <w:gridCol w:w="462"/>
        <w:gridCol w:w="991"/>
      </w:tblGrid>
      <w:tr w:rsidR="00295E21" w:rsidRPr="000E38B1" w14:paraId="2E6C0C17" w14:textId="77777777" w:rsidTr="007859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</w:tcPr>
          <w:p w14:paraId="00329EE0" w14:textId="77777777" w:rsidR="00295E21" w:rsidRPr="00E52245" w:rsidRDefault="00295E21" w:rsidP="00785942">
            <w:pPr>
              <w:spacing w:line="240" w:lineRule="auto"/>
              <w:jc w:val="left"/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  <w:t>Age group (years)</w:t>
            </w:r>
          </w:p>
        </w:tc>
        <w:tc>
          <w:tcPr>
            <w:tcW w:w="0" w:type="auto"/>
            <w:gridSpan w:val="2"/>
          </w:tcPr>
          <w:p w14:paraId="3105A8E7" w14:textId="77777777" w:rsidR="00295E21" w:rsidRPr="00F454D7" w:rsidRDefault="00295E21" w:rsidP="0078594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gridSpan w:val="3"/>
          </w:tcPr>
          <w:p w14:paraId="412D823B" w14:textId="77777777" w:rsidR="00295E21" w:rsidRPr="007908B5" w:rsidRDefault="00295E21" w:rsidP="0078594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908B5"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10-19 years</w:t>
            </w:r>
          </w:p>
        </w:tc>
        <w:tc>
          <w:tcPr>
            <w:tcW w:w="0" w:type="auto"/>
            <w:gridSpan w:val="3"/>
          </w:tcPr>
          <w:p w14:paraId="09E9F145" w14:textId="77777777" w:rsidR="00295E21" w:rsidRPr="007908B5" w:rsidRDefault="00295E21" w:rsidP="0078594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908B5"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20-29 years</w:t>
            </w:r>
          </w:p>
        </w:tc>
        <w:tc>
          <w:tcPr>
            <w:tcW w:w="0" w:type="auto"/>
            <w:gridSpan w:val="2"/>
          </w:tcPr>
          <w:p w14:paraId="6ED9A3C1" w14:textId="77777777" w:rsidR="00295E21" w:rsidRPr="007908B5" w:rsidRDefault="00295E21" w:rsidP="0078594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908B5"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30-40 years</w:t>
            </w:r>
          </w:p>
        </w:tc>
      </w:tr>
      <w:tr w:rsidR="00295E21" w:rsidRPr="000E38B1" w14:paraId="6417695C" w14:textId="77777777" w:rsidTr="007859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2189445" w14:textId="77777777" w:rsidR="00295E21" w:rsidRPr="00D845A2" w:rsidRDefault="00295E21" w:rsidP="00785942">
            <w:pPr>
              <w:spacing w:line="240" w:lineRule="auto"/>
              <w:jc w:val="left"/>
              <w:rPr>
                <w:rFonts w:eastAsia="Times New Roman" w:cs="Calibri"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845A2">
              <w:rPr>
                <w:rFonts w:eastAsia="Times New Roman" w:cs="Calibri"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  <w:t>% (n)</w:t>
            </w:r>
          </w:p>
        </w:tc>
        <w:tc>
          <w:tcPr>
            <w:tcW w:w="0" w:type="auto"/>
            <w:gridSpan w:val="2"/>
          </w:tcPr>
          <w:p w14:paraId="03FCBA3E" w14:textId="77777777" w:rsidR="00295E21" w:rsidRPr="00F454D7" w:rsidRDefault="00295E21" w:rsidP="0078594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100% (</w:t>
            </w:r>
            <w:r w:rsidRPr="00F454D7"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2833</w:t>
            </w:r>
            <w:r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gridSpan w:val="3"/>
          </w:tcPr>
          <w:p w14:paraId="11817F39" w14:textId="77777777" w:rsidR="00295E21" w:rsidRPr="007908B5" w:rsidRDefault="00295E21" w:rsidP="0078594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908B5"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43.3% (1228)</w:t>
            </w:r>
          </w:p>
        </w:tc>
        <w:tc>
          <w:tcPr>
            <w:tcW w:w="0" w:type="auto"/>
            <w:gridSpan w:val="3"/>
          </w:tcPr>
          <w:p w14:paraId="2FFA55A3" w14:textId="77777777" w:rsidR="00295E21" w:rsidRPr="007908B5" w:rsidRDefault="00295E21" w:rsidP="0078594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908B5"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35.7% (1010)</w:t>
            </w:r>
          </w:p>
        </w:tc>
        <w:tc>
          <w:tcPr>
            <w:tcW w:w="0" w:type="auto"/>
            <w:gridSpan w:val="2"/>
          </w:tcPr>
          <w:p w14:paraId="31B411B0" w14:textId="77777777" w:rsidR="00295E21" w:rsidRPr="007908B5" w:rsidRDefault="00295E21" w:rsidP="0078594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908B5"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21% (595)</w:t>
            </w:r>
          </w:p>
        </w:tc>
      </w:tr>
      <w:tr w:rsidR="00295E21" w:rsidRPr="000E38B1" w14:paraId="3C0590B5" w14:textId="77777777" w:rsidTr="00785942">
        <w:trPr>
          <w:trHeight w:val="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31DD80" w14:textId="77777777" w:rsidR="00295E21" w:rsidRPr="00E52245" w:rsidRDefault="00295E21" w:rsidP="00785942">
            <w:pPr>
              <w:spacing w:line="240" w:lineRule="auto"/>
              <w:jc w:val="left"/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  <w:t>Sex</w:t>
            </w:r>
          </w:p>
        </w:tc>
        <w:tc>
          <w:tcPr>
            <w:tcW w:w="0" w:type="auto"/>
          </w:tcPr>
          <w:p w14:paraId="210B6F63" w14:textId="77777777" w:rsidR="00295E21" w:rsidRPr="00F454D7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gridSpan w:val="2"/>
          </w:tcPr>
          <w:p w14:paraId="4EBCF46B" w14:textId="77777777" w:rsidR="00295E21" w:rsidRPr="007908B5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908B5"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Male</w:t>
            </w:r>
          </w:p>
        </w:tc>
        <w:tc>
          <w:tcPr>
            <w:tcW w:w="0" w:type="auto"/>
          </w:tcPr>
          <w:p w14:paraId="41F98357" w14:textId="77777777" w:rsidR="00295E21" w:rsidRPr="007908B5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908B5"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Female</w:t>
            </w:r>
          </w:p>
        </w:tc>
        <w:tc>
          <w:tcPr>
            <w:tcW w:w="0" w:type="auto"/>
            <w:gridSpan w:val="2"/>
          </w:tcPr>
          <w:p w14:paraId="1C306B9C" w14:textId="77777777" w:rsidR="00295E21" w:rsidRPr="007908B5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908B5"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Male</w:t>
            </w:r>
          </w:p>
        </w:tc>
        <w:tc>
          <w:tcPr>
            <w:tcW w:w="0" w:type="auto"/>
          </w:tcPr>
          <w:p w14:paraId="089D12B2" w14:textId="77777777" w:rsidR="00295E21" w:rsidRPr="007908B5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908B5"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Female</w:t>
            </w:r>
          </w:p>
        </w:tc>
        <w:tc>
          <w:tcPr>
            <w:tcW w:w="0" w:type="auto"/>
            <w:gridSpan w:val="2"/>
          </w:tcPr>
          <w:p w14:paraId="0CE2F409" w14:textId="77777777" w:rsidR="00295E21" w:rsidRPr="007908B5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908B5"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Male</w:t>
            </w:r>
          </w:p>
        </w:tc>
        <w:tc>
          <w:tcPr>
            <w:tcW w:w="0" w:type="auto"/>
          </w:tcPr>
          <w:p w14:paraId="79B8A7AD" w14:textId="77777777" w:rsidR="00295E21" w:rsidRPr="007908B5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908B5"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Female</w:t>
            </w:r>
          </w:p>
        </w:tc>
      </w:tr>
      <w:tr w:rsidR="00295E21" w:rsidRPr="008F42AB" w14:paraId="0E776CC1" w14:textId="77777777" w:rsidTr="007859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8D4925" w14:textId="77777777" w:rsidR="00295E21" w:rsidRPr="00D845A2" w:rsidRDefault="00295E21" w:rsidP="00785942">
            <w:pPr>
              <w:spacing w:line="240" w:lineRule="auto"/>
              <w:jc w:val="left"/>
              <w:rPr>
                <w:rFonts w:eastAsia="Times New Roman" w:cs="Calibri"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845A2">
              <w:rPr>
                <w:rFonts w:eastAsia="Times New Roman" w:cs="Calibri"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  <w:t>% (n)</w:t>
            </w:r>
          </w:p>
        </w:tc>
        <w:tc>
          <w:tcPr>
            <w:tcW w:w="0" w:type="auto"/>
          </w:tcPr>
          <w:p w14:paraId="133BDEAB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40.0% (1133/2833)</w:t>
            </w:r>
          </w:p>
        </w:tc>
        <w:tc>
          <w:tcPr>
            <w:tcW w:w="0" w:type="auto"/>
            <w:gridSpan w:val="2"/>
          </w:tcPr>
          <w:p w14:paraId="7ADA11DF" w14:textId="77777777" w:rsidR="00295E21" w:rsidRPr="00D8602F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D8602F"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47.1% (578)</w:t>
            </w:r>
          </w:p>
        </w:tc>
        <w:tc>
          <w:tcPr>
            <w:tcW w:w="0" w:type="auto"/>
          </w:tcPr>
          <w:p w14:paraId="1AEC8A5B" w14:textId="77777777" w:rsidR="00295E21" w:rsidRPr="00D8602F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D8602F"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52.9% (650)</w:t>
            </w:r>
          </w:p>
        </w:tc>
        <w:tc>
          <w:tcPr>
            <w:tcW w:w="0" w:type="auto"/>
            <w:gridSpan w:val="2"/>
          </w:tcPr>
          <w:p w14:paraId="7F847FB9" w14:textId="77777777" w:rsidR="00295E21" w:rsidRPr="00D8602F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D8602F"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37.7% (381)</w:t>
            </w:r>
          </w:p>
        </w:tc>
        <w:tc>
          <w:tcPr>
            <w:tcW w:w="0" w:type="auto"/>
          </w:tcPr>
          <w:p w14:paraId="1924E507" w14:textId="77777777" w:rsidR="00295E21" w:rsidRPr="00D8602F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D8602F"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62.3% (629)</w:t>
            </w:r>
          </w:p>
        </w:tc>
        <w:tc>
          <w:tcPr>
            <w:tcW w:w="0" w:type="auto"/>
            <w:gridSpan w:val="2"/>
          </w:tcPr>
          <w:p w14:paraId="37730B18" w14:textId="77777777" w:rsidR="00295E21" w:rsidRPr="00D8602F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D8602F"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29.2% (174)</w:t>
            </w:r>
          </w:p>
        </w:tc>
        <w:tc>
          <w:tcPr>
            <w:tcW w:w="0" w:type="auto"/>
          </w:tcPr>
          <w:p w14:paraId="537D717B" w14:textId="77777777" w:rsidR="00295E21" w:rsidRPr="00D8602F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D8602F">
              <w:rPr>
                <w:rFonts w:eastAsia="Times New Roman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70.8% (421)</w:t>
            </w:r>
          </w:p>
        </w:tc>
      </w:tr>
      <w:tr w:rsidR="00295E21" w:rsidRPr="008F42AB" w14:paraId="2C96428F" w14:textId="77777777" w:rsidTr="00785942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693DF43" w14:textId="77777777" w:rsidR="00295E21" w:rsidRPr="00E52245" w:rsidRDefault="00295E21" w:rsidP="00785942">
            <w:pPr>
              <w:spacing w:line="240" w:lineRule="auto"/>
              <w:jc w:val="left"/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  <w:t>Age years median (IQR)</w:t>
            </w:r>
          </w:p>
        </w:tc>
        <w:tc>
          <w:tcPr>
            <w:tcW w:w="0" w:type="auto"/>
          </w:tcPr>
          <w:p w14:paraId="41E8DB31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21 (16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-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28)</w:t>
            </w:r>
          </w:p>
        </w:tc>
        <w:tc>
          <w:tcPr>
            <w:tcW w:w="0" w:type="auto"/>
            <w:gridSpan w:val="2"/>
          </w:tcPr>
          <w:p w14:paraId="1D2DB614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15 (12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-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17)</w:t>
            </w:r>
          </w:p>
        </w:tc>
        <w:tc>
          <w:tcPr>
            <w:tcW w:w="0" w:type="auto"/>
          </w:tcPr>
          <w:p w14:paraId="7DAED77B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15 (12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-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18)</w:t>
            </w:r>
          </w:p>
        </w:tc>
        <w:tc>
          <w:tcPr>
            <w:tcW w:w="0" w:type="auto"/>
            <w:gridSpan w:val="2"/>
          </w:tcPr>
          <w:p w14:paraId="378D8F0F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23 (21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-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26)</w:t>
            </w:r>
          </w:p>
        </w:tc>
        <w:tc>
          <w:tcPr>
            <w:tcW w:w="0" w:type="auto"/>
          </w:tcPr>
          <w:p w14:paraId="4CB5F236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24 (22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-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26)</w:t>
            </w:r>
          </w:p>
        </w:tc>
        <w:tc>
          <w:tcPr>
            <w:tcW w:w="0" w:type="auto"/>
            <w:gridSpan w:val="2"/>
          </w:tcPr>
          <w:p w14:paraId="7B19F18F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35 (32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-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37.8)</w:t>
            </w:r>
          </w:p>
        </w:tc>
        <w:tc>
          <w:tcPr>
            <w:tcW w:w="0" w:type="auto"/>
          </w:tcPr>
          <w:p w14:paraId="2D54E307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35 (32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-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38)</w:t>
            </w:r>
          </w:p>
        </w:tc>
      </w:tr>
      <w:tr w:rsidR="00295E21" w:rsidRPr="008F42AB" w14:paraId="74522B54" w14:textId="77777777" w:rsidTr="007859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B843893" w14:textId="77777777" w:rsidR="00295E21" w:rsidRPr="00E52245" w:rsidRDefault="00295E21" w:rsidP="00785942">
            <w:pPr>
              <w:spacing w:line="240" w:lineRule="auto"/>
              <w:jc w:val="left"/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  <w:t>HIV positive</w:t>
            </w:r>
            <w:r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  <w:t xml:space="preserve"> (self-reported)</w:t>
            </w:r>
          </w:p>
        </w:tc>
        <w:tc>
          <w:tcPr>
            <w:tcW w:w="0" w:type="auto"/>
          </w:tcPr>
          <w:p w14:paraId="3A7B23F6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8.7% (179/2047)</w:t>
            </w:r>
          </w:p>
        </w:tc>
        <w:tc>
          <w:tcPr>
            <w:tcW w:w="0" w:type="auto"/>
            <w:gridSpan w:val="2"/>
          </w:tcPr>
          <w:p w14:paraId="211F75ED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4.3% (11/254)</w:t>
            </w:r>
          </w:p>
        </w:tc>
        <w:tc>
          <w:tcPr>
            <w:tcW w:w="0" w:type="auto"/>
          </w:tcPr>
          <w:p w14:paraId="4EFBCB9B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3.5% (11/312)</w:t>
            </w:r>
          </w:p>
        </w:tc>
        <w:tc>
          <w:tcPr>
            <w:tcW w:w="0" w:type="auto"/>
            <w:gridSpan w:val="2"/>
          </w:tcPr>
          <w:p w14:paraId="2CBED03A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1.9% (6/316)</w:t>
            </w:r>
          </w:p>
        </w:tc>
        <w:tc>
          <w:tcPr>
            <w:tcW w:w="0" w:type="auto"/>
          </w:tcPr>
          <w:p w14:paraId="2F470F86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6.8% (40/590)</w:t>
            </w:r>
          </w:p>
        </w:tc>
        <w:tc>
          <w:tcPr>
            <w:tcW w:w="0" w:type="auto"/>
            <w:gridSpan w:val="2"/>
          </w:tcPr>
          <w:p w14:paraId="542B41F9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11.5% (18/157)</w:t>
            </w:r>
          </w:p>
        </w:tc>
        <w:tc>
          <w:tcPr>
            <w:tcW w:w="0" w:type="auto"/>
          </w:tcPr>
          <w:p w14:paraId="1A8ED370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22.2% (93/418)</w:t>
            </w:r>
          </w:p>
        </w:tc>
      </w:tr>
      <w:tr w:rsidR="00295E21" w:rsidRPr="008F42AB" w14:paraId="0B13ECAC" w14:textId="77777777" w:rsidTr="00785942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525D6" w14:textId="77777777" w:rsidR="00295E21" w:rsidRPr="00E52245" w:rsidRDefault="00295E21" w:rsidP="00785942">
            <w:pPr>
              <w:spacing w:line="240" w:lineRule="auto"/>
              <w:jc w:val="left"/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  <w:t>Cough ≥ 2 weeks</w:t>
            </w:r>
          </w:p>
        </w:tc>
        <w:tc>
          <w:tcPr>
            <w:tcW w:w="0" w:type="auto"/>
          </w:tcPr>
          <w:p w14:paraId="50994102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1.1% (32/2833)</w:t>
            </w:r>
          </w:p>
        </w:tc>
        <w:tc>
          <w:tcPr>
            <w:tcW w:w="0" w:type="auto"/>
            <w:gridSpan w:val="2"/>
          </w:tcPr>
          <w:p w14:paraId="225FC165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1.2% (7/578)</w:t>
            </w:r>
          </w:p>
        </w:tc>
        <w:tc>
          <w:tcPr>
            <w:tcW w:w="0" w:type="auto"/>
          </w:tcPr>
          <w:p w14:paraId="4E8B0719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0.8% (5/650)</w:t>
            </w:r>
          </w:p>
        </w:tc>
        <w:tc>
          <w:tcPr>
            <w:tcW w:w="0" w:type="auto"/>
            <w:gridSpan w:val="2"/>
          </w:tcPr>
          <w:p w14:paraId="469C27E4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1.3% (5/381)</w:t>
            </w:r>
          </w:p>
        </w:tc>
        <w:tc>
          <w:tcPr>
            <w:tcW w:w="0" w:type="auto"/>
          </w:tcPr>
          <w:p w14:paraId="6FB33F8D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1.3% (8/629)</w:t>
            </w:r>
          </w:p>
        </w:tc>
        <w:tc>
          <w:tcPr>
            <w:tcW w:w="0" w:type="auto"/>
            <w:gridSpan w:val="2"/>
          </w:tcPr>
          <w:p w14:paraId="4A99E960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2.9% (5/174)</w:t>
            </w:r>
          </w:p>
        </w:tc>
        <w:tc>
          <w:tcPr>
            <w:tcW w:w="0" w:type="auto"/>
          </w:tcPr>
          <w:p w14:paraId="0D9AEA1C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0.5% (2/421)</w:t>
            </w:r>
          </w:p>
        </w:tc>
      </w:tr>
      <w:tr w:rsidR="00295E21" w:rsidRPr="008F42AB" w14:paraId="718984BB" w14:textId="77777777" w:rsidTr="007859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66B3451" w14:textId="77777777" w:rsidR="00295E21" w:rsidRPr="00E52245" w:rsidRDefault="00295E21" w:rsidP="00785942">
            <w:pPr>
              <w:spacing w:line="240" w:lineRule="auto"/>
              <w:jc w:val="left"/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  <w:t>Any TB symptoms</w:t>
            </w:r>
          </w:p>
        </w:tc>
        <w:tc>
          <w:tcPr>
            <w:tcW w:w="0" w:type="auto"/>
          </w:tcPr>
          <w:p w14:paraId="29C2B2E3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14% (396/2833)</w:t>
            </w:r>
          </w:p>
        </w:tc>
        <w:tc>
          <w:tcPr>
            <w:tcW w:w="0" w:type="auto"/>
            <w:gridSpan w:val="2"/>
          </w:tcPr>
          <w:p w14:paraId="2D556F6E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12.6% (73/578)</w:t>
            </w:r>
          </w:p>
        </w:tc>
        <w:tc>
          <w:tcPr>
            <w:tcW w:w="0" w:type="auto"/>
          </w:tcPr>
          <w:p w14:paraId="41A094F2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15.8% (103/650)</w:t>
            </w:r>
          </w:p>
        </w:tc>
        <w:tc>
          <w:tcPr>
            <w:tcW w:w="0" w:type="auto"/>
            <w:gridSpan w:val="2"/>
          </w:tcPr>
          <w:p w14:paraId="487ED46A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12.9% (49/381)</w:t>
            </w:r>
          </w:p>
        </w:tc>
        <w:tc>
          <w:tcPr>
            <w:tcW w:w="0" w:type="auto"/>
          </w:tcPr>
          <w:p w14:paraId="44A7D1CE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12.4% (78/629)</w:t>
            </w:r>
          </w:p>
        </w:tc>
        <w:tc>
          <w:tcPr>
            <w:tcW w:w="0" w:type="auto"/>
            <w:gridSpan w:val="2"/>
          </w:tcPr>
          <w:p w14:paraId="7528A9DE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16.7% (29/174)</w:t>
            </w:r>
          </w:p>
        </w:tc>
        <w:tc>
          <w:tcPr>
            <w:tcW w:w="0" w:type="auto"/>
          </w:tcPr>
          <w:p w14:paraId="3409A847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15.2% (64/421)</w:t>
            </w:r>
          </w:p>
        </w:tc>
      </w:tr>
      <w:tr w:rsidR="00295E21" w:rsidRPr="008F42AB" w14:paraId="36E488EB" w14:textId="77777777" w:rsidTr="00785942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3B5EB13" w14:textId="77777777" w:rsidR="00295E21" w:rsidRPr="00E52245" w:rsidRDefault="00295E21" w:rsidP="00785942">
            <w:pPr>
              <w:spacing w:line="240" w:lineRule="auto"/>
              <w:jc w:val="left"/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  <w:t>Previous TB treatment</w:t>
            </w: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vertAlign w:val="superscript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</w:tcPr>
          <w:p w14:paraId="35081C88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1.4% (40/2821)</w:t>
            </w:r>
          </w:p>
        </w:tc>
        <w:tc>
          <w:tcPr>
            <w:tcW w:w="0" w:type="auto"/>
            <w:gridSpan w:val="2"/>
          </w:tcPr>
          <w:p w14:paraId="133B6513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0.5% (3/575)</w:t>
            </w:r>
          </w:p>
        </w:tc>
        <w:tc>
          <w:tcPr>
            <w:tcW w:w="0" w:type="auto"/>
          </w:tcPr>
          <w:p w14:paraId="68A1514F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0.5% (3/647)</w:t>
            </w:r>
          </w:p>
        </w:tc>
        <w:tc>
          <w:tcPr>
            <w:tcW w:w="0" w:type="auto"/>
            <w:gridSpan w:val="2"/>
          </w:tcPr>
          <w:p w14:paraId="0FB92183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2.1% (8/381)</w:t>
            </w:r>
          </w:p>
        </w:tc>
        <w:tc>
          <w:tcPr>
            <w:tcW w:w="0" w:type="auto"/>
          </w:tcPr>
          <w:p w14:paraId="4C4761F3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0.8% (5/625)</w:t>
            </w:r>
          </w:p>
        </w:tc>
        <w:tc>
          <w:tcPr>
            <w:tcW w:w="0" w:type="auto"/>
            <w:gridSpan w:val="2"/>
          </w:tcPr>
          <w:p w14:paraId="69858C6E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4.0% (7/173)</w:t>
            </w:r>
          </w:p>
        </w:tc>
        <w:tc>
          <w:tcPr>
            <w:tcW w:w="0" w:type="auto"/>
          </w:tcPr>
          <w:p w14:paraId="43693A0B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3.3% (14/420)</w:t>
            </w:r>
          </w:p>
        </w:tc>
      </w:tr>
      <w:tr w:rsidR="00295E21" w:rsidRPr="008F42AB" w14:paraId="48000DE7" w14:textId="77777777" w:rsidTr="007859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8657FCD" w14:textId="77777777" w:rsidR="00295E21" w:rsidRPr="00E52245" w:rsidRDefault="00295E21" w:rsidP="00785942">
            <w:pPr>
              <w:spacing w:line="240" w:lineRule="auto"/>
              <w:jc w:val="left"/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  <w:t>Previous Household TB contact</w:t>
            </w: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vertAlign w:val="superscript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</w:tcPr>
          <w:p w14:paraId="68E4D2E8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10.7% (301/2804)</w:t>
            </w:r>
          </w:p>
        </w:tc>
        <w:tc>
          <w:tcPr>
            <w:tcW w:w="0" w:type="auto"/>
            <w:gridSpan w:val="2"/>
          </w:tcPr>
          <w:p w14:paraId="2D7BFCCD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12.7% (72/497)</w:t>
            </w:r>
          </w:p>
        </w:tc>
        <w:tc>
          <w:tcPr>
            <w:tcW w:w="0" w:type="auto"/>
          </w:tcPr>
          <w:p w14:paraId="089E1B3E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11.7% (75/568)</w:t>
            </w:r>
          </w:p>
        </w:tc>
        <w:tc>
          <w:tcPr>
            <w:tcW w:w="0" w:type="auto"/>
            <w:gridSpan w:val="2"/>
          </w:tcPr>
          <w:p w14:paraId="3487DA0A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9.2% (35/346)</w:t>
            </w:r>
          </w:p>
        </w:tc>
        <w:tc>
          <w:tcPr>
            <w:tcW w:w="0" w:type="auto"/>
          </w:tcPr>
          <w:p w14:paraId="5AC4742B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8.7% (54/566)</w:t>
            </w:r>
          </w:p>
        </w:tc>
        <w:tc>
          <w:tcPr>
            <w:tcW w:w="0" w:type="auto"/>
            <w:gridSpan w:val="2"/>
          </w:tcPr>
          <w:p w14:paraId="3DA97ADA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10.3% (18/156)</w:t>
            </w:r>
          </w:p>
        </w:tc>
        <w:tc>
          <w:tcPr>
            <w:tcW w:w="0" w:type="auto"/>
          </w:tcPr>
          <w:p w14:paraId="29DABFE2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11.3% (47/370)</w:t>
            </w:r>
          </w:p>
        </w:tc>
      </w:tr>
      <w:tr w:rsidR="00295E21" w:rsidRPr="008F42AB" w14:paraId="0CE099A2" w14:textId="77777777" w:rsidTr="00785942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2237BA" w14:textId="77777777" w:rsidR="00295E21" w:rsidRPr="00E52245" w:rsidRDefault="00295E21" w:rsidP="00785942">
            <w:pPr>
              <w:spacing w:line="240" w:lineRule="auto"/>
              <w:jc w:val="left"/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  <w:t>Past/current tobacco</w:t>
            </w: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vertAlign w:val="superscript"/>
                <w:lang w:eastAsia="en-GB"/>
                <w14:ligatures w14:val="none"/>
              </w:rPr>
              <w:t>1</w:t>
            </w: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  <w:t xml:space="preserve"> smoker</w:t>
            </w:r>
          </w:p>
        </w:tc>
        <w:tc>
          <w:tcPr>
            <w:tcW w:w="0" w:type="auto"/>
          </w:tcPr>
          <w:p w14:paraId="4CC0A81F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13.3% (376/2829)</w:t>
            </w:r>
          </w:p>
        </w:tc>
        <w:tc>
          <w:tcPr>
            <w:tcW w:w="0" w:type="auto"/>
            <w:gridSpan w:val="2"/>
          </w:tcPr>
          <w:p w14:paraId="15FE8707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13% (75/503)</w:t>
            </w:r>
          </w:p>
        </w:tc>
        <w:tc>
          <w:tcPr>
            <w:tcW w:w="0" w:type="auto"/>
          </w:tcPr>
          <w:p w14:paraId="608EE23F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3.2% (21/628)</w:t>
            </w:r>
          </w:p>
        </w:tc>
        <w:tc>
          <w:tcPr>
            <w:tcW w:w="0" w:type="auto"/>
            <w:gridSpan w:val="2"/>
          </w:tcPr>
          <w:p w14:paraId="648A6865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37.9% (144/236)</w:t>
            </w:r>
          </w:p>
        </w:tc>
        <w:tc>
          <w:tcPr>
            <w:tcW w:w="0" w:type="auto"/>
          </w:tcPr>
          <w:p w14:paraId="2CD3DEE8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6.5% (41/587)</w:t>
            </w:r>
          </w:p>
        </w:tc>
        <w:tc>
          <w:tcPr>
            <w:tcW w:w="0" w:type="auto"/>
            <w:gridSpan w:val="2"/>
          </w:tcPr>
          <w:p w14:paraId="571B398E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42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.0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% (73/101)</w:t>
            </w:r>
          </w:p>
        </w:tc>
        <w:tc>
          <w:tcPr>
            <w:tcW w:w="0" w:type="auto"/>
          </w:tcPr>
          <w:p w14:paraId="4A7BDD2B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5.2% (22/398)</w:t>
            </w:r>
          </w:p>
        </w:tc>
      </w:tr>
      <w:tr w:rsidR="00295E21" w:rsidRPr="008F42AB" w14:paraId="79BCFF18" w14:textId="77777777" w:rsidTr="007859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729B9E" w14:textId="77777777" w:rsidR="00295E21" w:rsidRPr="00E52245" w:rsidRDefault="00295E21" w:rsidP="00785942">
            <w:pPr>
              <w:spacing w:line="240" w:lineRule="auto"/>
              <w:jc w:val="left"/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  <w:t>Past/current alcohol drinking</w:t>
            </w: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vertAlign w:val="superscript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</w:tcPr>
          <w:p w14:paraId="0AC8C5FB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28.6% (810/2829)</w:t>
            </w:r>
          </w:p>
        </w:tc>
        <w:tc>
          <w:tcPr>
            <w:tcW w:w="0" w:type="auto"/>
            <w:gridSpan w:val="2"/>
          </w:tcPr>
          <w:p w14:paraId="535FEFE5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22% (127/578)</w:t>
            </w:r>
          </w:p>
        </w:tc>
        <w:tc>
          <w:tcPr>
            <w:tcW w:w="0" w:type="auto"/>
          </w:tcPr>
          <w:p w14:paraId="2283097F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10.8% (70/578)</w:t>
            </w:r>
          </w:p>
        </w:tc>
        <w:tc>
          <w:tcPr>
            <w:tcW w:w="0" w:type="auto"/>
            <w:gridSpan w:val="2"/>
          </w:tcPr>
          <w:p w14:paraId="181016CB" w14:textId="77777777" w:rsidR="00295E21" w:rsidRPr="0001266E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66E">
              <w:rPr>
                <w:sz w:val="20"/>
                <w:szCs w:val="20"/>
              </w:rPr>
              <w:t>66.9% (255/381)</w:t>
            </w:r>
          </w:p>
        </w:tc>
        <w:tc>
          <w:tcPr>
            <w:tcW w:w="0" w:type="auto"/>
          </w:tcPr>
          <w:p w14:paraId="3C47326D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22.5% (141/627)</w:t>
            </w:r>
          </w:p>
        </w:tc>
        <w:tc>
          <w:tcPr>
            <w:tcW w:w="0" w:type="auto"/>
            <w:gridSpan w:val="2"/>
          </w:tcPr>
          <w:p w14:paraId="126660C8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75.3% (131/174)</w:t>
            </w:r>
          </w:p>
        </w:tc>
        <w:tc>
          <w:tcPr>
            <w:tcW w:w="0" w:type="auto"/>
          </w:tcPr>
          <w:p w14:paraId="7C9BA2AF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20.4% (86/421)</w:t>
            </w:r>
          </w:p>
        </w:tc>
      </w:tr>
      <w:tr w:rsidR="00295E21" w:rsidRPr="008F42AB" w14:paraId="22111BB9" w14:textId="77777777" w:rsidTr="00785942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2932EBB" w14:textId="77777777" w:rsidR="00295E21" w:rsidRPr="00E52245" w:rsidRDefault="00295E21" w:rsidP="00785942">
            <w:pPr>
              <w:spacing w:line="240" w:lineRule="auto"/>
              <w:jc w:val="left"/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  <w:t>Household in poorest quartile</w:t>
            </w:r>
          </w:p>
        </w:tc>
        <w:tc>
          <w:tcPr>
            <w:tcW w:w="0" w:type="auto"/>
          </w:tcPr>
          <w:p w14:paraId="4374B53E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26% (735/2830)</w:t>
            </w:r>
          </w:p>
        </w:tc>
        <w:tc>
          <w:tcPr>
            <w:tcW w:w="0" w:type="auto"/>
            <w:gridSpan w:val="2"/>
          </w:tcPr>
          <w:p w14:paraId="6F59E848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26.5% (153/424)</w:t>
            </w:r>
          </w:p>
        </w:tc>
        <w:tc>
          <w:tcPr>
            <w:tcW w:w="0" w:type="auto"/>
          </w:tcPr>
          <w:p w14:paraId="67310D69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26%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(169/480)</w:t>
            </w:r>
          </w:p>
        </w:tc>
        <w:tc>
          <w:tcPr>
            <w:tcW w:w="0" w:type="auto"/>
            <w:gridSpan w:val="2"/>
          </w:tcPr>
          <w:p w14:paraId="5FDC6DB4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27.6% (105/276)</w:t>
            </w:r>
          </w:p>
        </w:tc>
        <w:tc>
          <w:tcPr>
            <w:tcW w:w="0" w:type="auto"/>
          </w:tcPr>
          <w:p w14:paraId="26697632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27.7% (174/454)</w:t>
            </w:r>
          </w:p>
        </w:tc>
        <w:tc>
          <w:tcPr>
            <w:tcW w:w="0" w:type="auto"/>
            <w:gridSpan w:val="2"/>
          </w:tcPr>
          <w:p w14:paraId="36E833E8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19.5% (34/140)</w:t>
            </w:r>
          </w:p>
        </w:tc>
        <w:tc>
          <w:tcPr>
            <w:tcW w:w="0" w:type="auto"/>
          </w:tcPr>
          <w:p w14:paraId="051C19A9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23.8% (100/321)</w:t>
            </w:r>
          </w:p>
        </w:tc>
      </w:tr>
      <w:tr w:rsidR="00295E21" w:rsidRPr="008F42AB" w14:paraId="68437711" w14:textId="77777777" w:rsidTr="007859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614BF2" w14:textId="77777777" w:rsidR="00295E21" w:rsidRPr="00E52245" w:rsidRDefault="00295E21" w:rsidP="00785942">
            <w:pPr>
              <w:spacing w:line="240" w:lineRule="auto"/>
              <w:jc w:val="left"/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  <w:t>QFT-Plus</w:t>
            </w: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vertAlign w:val="superscript"/>
                <w:lang w:eastAsia="en-GB"/>
                <w14:ligatures w14:val="none"/>
              </w:rPr>
              <w:t>2</w:t>
            </w: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  <w:t xml:space="preserve"> positive</w:t>
            </w:r>
          </w:p>
        </w:tc>
        <w:tc>
          <w:tcPr>
            <w:tcW w:w="0" w:type="auto"/>
          </w:tcPr>
          <w:p w14:paraId="00AB3E30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17.8% (503/2833)</w:t>
            </w:r>
          </w:p>
        </w:tc>
        <w:tc>
          <w:tcPr>
            <w:tcW w:w="0" w:type="auto"/>
            <w:gridSpan w:val="2"/>
          </w:tcPr>
          <w:p w14:paraId="447D5E8D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11.4% (66/512)</w:t>
            </w:r>
          </w:p>
        </w:tc>
        <w:tc>
          <w:tcPr>
            <w:tcW w:w="0" w:type="auto"/>
          </w:tcPr>
          <w:p w14:paraId="18A11A06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10.6% (69/581)</w:t>
            </w:r>
          </w:p>
        </w:tc>
        <w:tc>
          <w:tcPr>
            <w:tcW w:w="0" w:type="auto"/>
            <w:gridSpan w:val="2"/>
          </w:tcPr>
          <w:p w14:paraId="77700C1A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26.2% (100/281)</w:t>
            </w:r>
          </w:p>
        </w:tc>
        <w:tc>
          <w:tcPr>
            <w:tcW w:w="0" w:type="auto"/>
          </w:tcPr>
          <w:p w14:paraId="208D3CEE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17.6% (111/518)</w:t>
            </w:r>
          </w:p>
        </w:tc>
        <w:tc>
          <w:tcPr>
            <w:tcW w:w="0" w:type="auto"/>
            <w:gridSpan w:val="2"/>
          </w:tcPr>
          <w:p w14:paraId="6567371F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29.3% (51/123)</w:t>
            </w:r>
          </w:p>
        </w:tc>
        <w:tc>
          <w:tcPr>
            <w:tcW w:w="0" w:type="auto"/>
          </w:tcPr>
          <w:p w14:paraId="43BA9719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25.2% (106/315)</w:t>
            </w:r>
          </w:p>
        </w:tc>
      </w:tr>
      <w:tr w:rsidR="00295E21" w:rsidRPr="008F42AB" w14:paraId="792A5B07" w14:textId="77777777" w:rsidTr="00785942">
        <w:trPr>
          <w:trHeight w:val="9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F3BB0F9" w14:textId="77777777" w:rsidR="00295E21" w:rsidRPr="00E52245" w:rsidRDefault="00295E21" w:rsidP="00785942">
            <w:pPr>
              <w:spacing w:line="240" w:lineRule="auto"/>
              <w:jc w:val="left"/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  <w:t>Mtb immunoreactivity prevalence</w:t>
            </w: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vertAlign w:val="superscript"/>
                <w:lang w:eastAsia="en-GB"/>
                <w14:ligatures w14:val="none"/>
              </w:rPr>
              <w:t>3</w:t>
            </w:r>
            <w:r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vertAlign w:val="superscript"/>
                <w:lang w:eastAsia="en-GB"/>
                <w14:ligatures w14:val="none"/>
              </w:rPr>
              <w:t xml:space="preserve"> </w:t>
            </w: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  <w:t>% (95% CrI)</w:t>
            </w: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vertAlign w:val="superscript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</w:tcPr>
          <w:p w14:paraId="30012C94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17.8% (16.4%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-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19.2%)</w:t>
            </w:r>
          </w:p>
        </w:tc>
        <w:tc>
          <w:tcPr>
            <w:tcW w:w="0" w:type="auto"/>
            <w:gridSpan w:val="2"/>
          </w:tcPr>
          <w:p w14:paraId="381807CD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 xml:space="preserve">11.5% 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(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9.0%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-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14.2%)</w:t>
            </w:r>
          </w:p>
        </w:tc>
        <w:tc>
          <w:tcPr>
            <w:tcW w:w="0" w:type="auto"/>
          </w:tcPr>
          <w:p w14:paraId="0CF01BBE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10.7% (8.4%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-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13.1%)</w:t>
            </w:r>
          </w:p>
        </w:tc>
        <w:tc>
          <w:tcPr>
            <w:tcW w:w="0" w:type="auto"/>
            <w:gridSpan w:val="2"/>
          </w:tcPr>
          <w:p w14:paraId="7264FA73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26.3% (22.0%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-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30.8%)</w:t>
            </w:r>
          </w:p>
        </w:tc>
        <w:tc>
          <w:tcPr>
            <w:tcW w:w="0" w:type="auto"/>
          </w:tcPr>
          <w:p w14:paraId="26E8F0FC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17.7% (14.8%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-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20.8%)</w:t>
            </w:r>
          </w:p>
        </w:tc>
        <w:tc>
          <w:tcPr>
            <w:tcW w:w="0" w:type="auto"/>
            <w:gridSpan w:val="2"/>
          </w:tcPr>
          <w:p w14:paraId="5171B9E7" w14:textId="77777777" w:rsidR="00295E21" w:rsidRPr="008F42AB" w:rsidRDefault="00295E21" w:rsidP="00785942">
            <w:pPr>
              <w:keepNext/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29.4% (22.9%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-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36.3%)</w:t>
            </w:r>
          </w:p>
        </w:tc>
        <w:tc>
          <w:tcPr>
            <w:tcW w:w="0" w:type="auto"/>
          </w:tcPr>
          <w:p w14:paraId="12F5C244" w14:textId="77777777" w:rsidR="00295E21" w:rsidRPr="008F42AB" w:rsidRDefault="00295E21" w:rsidP="00785942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25.2% (21.2%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-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29.5%)</w:t>
            </w:r>
          </w:p>
        </w:tc>
      </w:tr>
      <w:tr w:rsidR="00295E21" w:rsidRPr="008F42AB" w14:paraId="786A7F0F" w14:textId="77777777" w:rsidTr="007859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F321D0" w14:textId="77777777" w:rsidR="00295E21" w:rsidRPr="00A6264A" w:rsidRDefault="00295E21" w:rsidP="00785942">
            <w:pPr>
              <w:spacing w:line="240" w:lineRule="auto"/>
              <w:jc w:val="left"/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vertAlign w:val="superscript"/>
                <w:lang w:eastAsia="en-GB"/>
                <w14:ligatures w14:val="none"/>
              </w:rPr>
            </w:pP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  <w:t>ARTI</w:t>
            </w: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vertAlign w:val="superscript"/>
                <w:lang w:eastAsia="en-GB"/>
                <w14:ligatures w14:val="none"/>
              </w:rPr>
              <w:t>5</w:t>
            </w:r>
            <w:r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vertAlign w:val="superscript"/>
                <w:lang w:eastAsia="en-GB"/>
                <w14:ligatures w14:val="none"/>
              </w:rPr>
              <w:t xml:space="preserve"> </w:t>
            </w:r>
            <w:r w:rsidRPr="00E52245">
              <w:rPr>
                <w:rFonts w:eastAsia="Times New Roman" w:cs="Calibri"/>
                <w:b/>
                <w:bCs/>
                <w:i w:val="0"/>
                <w:iCs w:val="0"/>
                <w:kern w:val="0"/>
                <w:sz w:val="20"/>
                <w:szCs w:val="20"/>
                <w:lang w:eastAsia="en-GB"/>
                <w14:ligatures w14:val="none"/>
              </w:rPr>
              <w:t>% (95% CrI)</w:t>
            </w:r>
          </w:p>
        </w:tc>
        <w:tc>
          <w:tcPr>
            <w:tcW w:w="0" w:type="auto"/>
          </w:tcPr>
          <w:p w14:paraId="52651595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0.88% (0.80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%-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0.95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%)</w:t>
            </w:r>
          </w:p>
        </w:tc>
        <w:tc>
          <w:tcPr>
            <w:tcW w:w="0" w:type="auto"/>
            <w:gridSpan w:val="2"/>
          </w:tcPr>
          <w:p w14:paraId="0AF9D9FC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0.82% (0.64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%-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1.04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%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</w:tcPr>
          <w:p w14:paraId="2E2C5EC2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0.75% (0.58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%-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0.94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%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gridSpan w:val="2"/>
          </w:tcPr>
          <w:p w14:paraId="773BF384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1.29% (1.05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%-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1.56%)</w:t>
            </w:r>
          </w:p>
        </w:tc>
        <w:tc>
          <w:tcPr>
            <w:tcW w:w="0" w:type="auto"/>
          </w:tcPr>
          <w:p w14:paraId="51FA1440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0.81% (0.66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%-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0.96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%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gridSpan w:val="2"/>
          </w:tcPr>
          <w:p w14:paraId="01E7BA7D" w14:textId="77777777" w:rsidR="00295E21" w:rsidRPr="008F42AB" w:rsidRDefault="00295E21" w:rsidP="00785942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1.0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% (0.75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%-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1.29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%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</w:tcPr>
          <w:p w14:paraId="31E9FBB8" w14:textId="77777777" w:rsidR="00295E21" w:rsidRPr="008F42AB" w:rsidRDefault="00295E21" w:rsidP="00785942">
            <w:pPr>
              <w:keepNext/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0.83% (0.68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-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1.0</w:t>
            </w:r>
            <w:r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0%</w:t>
            </w:r>
            <w:r w:rsidRPr="008F42AB">
              <w:rPr>
                <w:rFonts w:eastAsia="Times New Roman" w:cs="Calibri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</w:tr>
    </w:tbl>
    <w:p w14:paraId="289962A7" w14:textId="77777777" w:rsidR="00295E21" w:rsidRPr="00A94ADE" w:rsidRDefault="00295E21" w:rsidP="00295E21">
      <w:pPr>
        <w:pStyle w:val="Caption"/>
        <w:framePr w:hSpace="180" w:wrap="around" w:vAnchor="page" w:hAnchor="margin" w:y="1491"/>
        <w:spacing w:line="480" w:lineRule="auto"/>
        <w:jc w:val="right"/>
        <w:rPr>
          <w:i w:val="0"/>
          <w:iCs w:val="0"/>
          <w:sz w:val="20"/>
          <w:szCs w:val="20"/>
        </w:rPr>
      </w:pPr>
      <w:r w:rsidRPr="00A94ADE">
        <w:rPr>
          <w:i w:val="0"/>
          <w:iCs w:val="0"/>
          <w:sz w:val="20"/>
          <w:szCs w:val="20"/>
        </w:rPr>
        <w:t xml:space="preserve">Table </w:t>
      </w:r>
      <w:r w:rsidRPr="00A94ADE">
        <w:rPr>
          <w:i w:val="0"/>
          <w:iCs w:val="0"/>
          <w:sz w:val="20"/>
          <w:szCs w:val="20"/>
        </w:rPr>
        <w:fldChar w:fldCharType="begin"/>
      </w:r>
      <w:r w:rsidRPr="00A94ADE">
        <w:rPr>
          <w:i w:val="0"/>
          <w:iCs w:val="0"/>
          <w:sz w:val="20"/>
          <w:szCs w:val="20"/>
        </w:rPr>
        <w:instrText xml:space="preserve"> SEQ Table \* ARABIC </w:instrText>
      </w:r>
      <w:r w:rsidRPr="00A94ADE">
        <w:rPr>
          <w:i w:val="0"/>
          <w:iCs w:val="0"/>
          <w:sz w:val="20"/>
          <w:szCs w:val="20"/>
        </w:rPr>
        <w:fldChar w:fldCharType="separate"/>
      </w:r>
      <w:r>
        <w:rPr>
          <w:i w:val="0"/>
          <w:iCs w:val="0"/>
          <w:noProof/>
          <w:sz w:val="20"/>
          <w:szCs w:val="20"/>
        </w:rPr>
        <w:t>1</w:t>
      </w:r>
      <w:r w:rsidRPr="00A94ADE">
        <w:rPr>
          <w:i w:val="0"/>
          <w:iCs w:val="0"/>
          <w:noProof/>
          <w:sz w:val="20"/>
          <w:szCs w:val="20"/>
        </w:rPr>
        <w:fldChar w:fldCharType="end"/>
      </w:r>
      <w:r w:rsidRPr="00A94ADE">
        <w:rPr>
          <w:i w:val="0"/>
          <w:iCs w:val="0"/>
          <w:noProof/>
          <w:sz w:val="20"/>
          <w:szCs w:val="20"/>
        </w:rPr>
        <w:t>:</w:t>
      </w:r>
      <w:r w:rsidRPr="00A94ADE">
        <w:rPr>
          <w:i w:val="0"/>
          <w:iCs w:val="0"/>
          <w:sz w:val="20"/>
          <w:szCs w:val="20"/>
        </w:rPr>
        <w:t xml:space="preserve"> Participant characteristics, QuantiFERON-Plus </w:t>
      </w:r>
      <w:r>
        <w:rPr>
          <w:i w:val="0"/>
          <w:iCs w:val="0"/>
          <w:sz w:val="20"/>
          <w:szCs w:val="20"/>
        </w:rPr>
        <w:t xml:space="preserve">Gold </w:t>
      </w:r>
      <w:r w:rsidRPr="00A94ADE">
        <w:rPr>
          <w:i w:val="0"/>
          <w:iCs w:val="0"/>
          <w:sz w:val="20"/>
          <w:szCs w:val="20"/>
        </w:rPr>
        <w:t>(QFT-Plus) results</w:t>
      </w:r>
      <w:r>
        <w:rPr>
          <w:i w:val="0"/>
          <w:iCs w:val="0"/>
          <w:sz w:val="20"/>
          <w:szCs w:val="20"/>
        </w:rPr>
        <w:t>, Mycobacterium immunoreactivity prevalence,</w:t>
      </w:r>
      <w:r w:rsidRPr="00A94ADE">
        <w:rPr>
          <w:i w:val="0"/>
          <w:iCs w:val="0"/>
          <w:sz w:val="20"/>
          <w:szCs w:val="20"/>
        </w:rPr>
        <w:t xml:space="preserve"> and </w:t>
      </w:r>
      <w:r>
        <w:rPr>
          <w:i w:val="0"/>
          <w:iCs w:val="0"/>
          <w:sz w:val="20"/>
          <w:szCs w:val="20"/>
        </w:rPr>
        <w:t>a</w:t>
      </w:r>
      <w:r w:rsidRPr="00A94ADE">
        <w:rPr>
          <w:i w:val="0"/>
          <w:iCs w:val="0"/>
          <w:sz w:val="20"/>
          <w:szCs w:val="20"/>
        </w:rPr>
        <w:t xml:space="preserve">nnual </w:t>
      </w:r>
      <w:r>
        <w:rPr>
          <w:i w:val="0"/>
          <w:iCs w:val="0"/>
          <w:sz w:val="20"/>
          <w:szCs w:val="20"/>
        </w:rPr>
        <w:t>r</w:t>
      </w:r>
      <w:r w:rsidRPr="00A94ADE">
        <w:rPr>
          <w:i w:val="0"/>
          <w:iCs w:val="0"/>
          <w:sz w:val="20"/>
          <w:szCs w:val="20"/>
        </w:rPr>
        <w:t xml:space="preserve">isk of </w:t>
      </w:r>
      <w:r>
        <w:rPr>
          <w:i w:val="0"/>
          <w:iCs w:val="0"/>
          <w:sz w:val="20"/>
          <w:szCs w:val="20"/>
        </w:rPr>
        <w:t>t</w:t>
      </w:r>
      <w:r w:rsidRPr="00A94ADE">
        <w:rPr>
          <w:i w:val="0"/>
          <w:iCs w:val="0"/>
          <w:sz w:val="20"/>
          <w:szCs w:val="20"/>
        </w:rPr>
        <w:t xml:space="preserve">uberculosis </w:t>
      </w:r>
      <w:r>
        <w:rPr>
          <w:i w:val="0"/>
          <w:iCs w:val="0"/>
          <w:sz w:val="20"/>
          <w:szCs w:val="20"/>
        </w:rPr>
        <w:t>i</w:t>
      </w:r>
      <w:r w:rsidRPr="00A94ADE">
        <w:rPr>
          <w:i w:val="0"/>
          <w:iCs w:val="0"/>
          <w:sz w:val="20"/>
          <w:szCs w:val="20"/>
        </w:rPr>
        <w:t>nfection (ARTI) by age and sex</w:t>
      </w:r>
    </w:p>
    <w:p w14:paraId="1F6A726B" w14:textId="77777777" w:rsidR="00295E21" w:rsidRDefault="00295E21" w:rsidP="00295E21">
      <w:pPr>
        <w:spacing w:after="0"/>
        <w:contextualSpacing/>
        <w:jc w:val="right"/>
        <w:rPr>
          <w:rFonts w:eastAsia="Aptos" w:cs="Calibri"/>
          <w:sz w:val="21"/>
          <w:szCs w:val="21"/>
          <w:vertAlign w:val="superscript"/>
        </w:rPr>
      </w:pPr>
    </w:p>
    <w:p w14:paraId="51B42CDD" w14:textId="77777777" w:rsidR="00295E21" w:rsidRDefault="00295E21" w:rsidP="00295E21">
      <w:pPr>
        <w:spacing w:after="0"/>
        <w:contextualSpacing/>
        <w:jc w:val="right"/>
        <w:rPr>
          <w:rFonts w:eastAsia="Aptos" w:cs="Calibri"/>
          <w:sz w:val="21"/>
          <w:szCs w:val="21"/>
          <w:vertAlign w:val="superscript"/>
        </w:rPr>
      </w:pPr>
    </w:p>
    <w:p w14:paraId="082A0AC2" w14:textId="77777777" w:rsidR="00295E21" w:rsidRDefault="00295E21" w:rsidP="00295E21">
      <w:pPr>
        <w:spacing w:after="0" w:line="240" w:lineRule="auto"/>
        <w:contextualSpacing/>
        <w:jc w:val="right"/>
        <w:rPr>
          <w:rFonts w:eastAsia="Aptos" w:cs="Calibri"/>
          <w:sz w:val="21"/>
          <w:szCs w:val="21"/>
          <w:vertAlign w:val="superscript"/>
        </w:rPr>
      </w:pPr>
    </w:p>
    <w:p w14:paraId="610F6FDF" w14:textId="4FEB5A3D" w:rsidR="00E023F9" w:rsidRDefault="00295E21" w:rsidP="00295E21">
      <w:r w:rsidRPr="00F609E8">
        <w:rPr>
          <w:rFonts w:eastAsia="Aptos" w:cs="Calibri"/>
          <w:sz w:val="21"/>
          <w:szCs w:val="21"/>
          <w:vertAlign w:val="superscript"/>
        </w:rPr>
        <w:t>1</w:t>
      </w:r>
      <w:r>
        <w:rPr>
          <w:rFonts w:eastAsia="Aptos" w:cs="Calibri"/>
          <w:sz w:val="21"/>
          <w:szCs w:val="21"/>
          <w:vertAlign w:val="superscript"/>
        </w:rPr>
        <w:t xml:space="preserve"> </w:t>
      </w:r>
      <w:r w:rsidRPr="0057360B">
        <w:rPr>
          <w:rFonts w:eastAsia="Aptos" w:cs="Calibri"/>
          <w:sz w:val="21"/>
          <w:szCs w:val="21"/>
        </w:rPr>
        <w:t xml:space="preserve">Overall total number of participants, some rows have smaller denominators due to missing/unknown values: 786 participants </w:t>
      </w:r>
      <w:r>
        <w:rPr>
          <w:rFonts w:eastAsia="Aptos" w:cs="Calibri"/>
          <w:sz w:val="21"/>
          <w:szCs w:val="21"/>
        </w:rPr>
        <w:t>reported</w:t>
      </w:r>
      <w:r w:rsidRPr="0057360B">
        <w:rPr>
          <w:rFonts w:eastAsia="Aptos" w:cs="Calibri"/>
          <w:sz w:val="21"/>
          <w:szCs w:val="21"/>
        </w:rPr>
        <w:t xml:space="preserve"> unknown HIV status, 12 had missing TB treatment history, 29 had missing household TB contact (defined as living in the same household with a person </w:t>
      </w:r>
      <w:r>
        <w:rPr>
          <w:rFonts w:eastAsia="Aptos" w:cs="Calibri"/>
          <w:sz w:val="21"/>
          <w:szCs w:val="21"/>
        </w:rPr>
        <w:t>receiving</w:t>
      </w:r>
      <w:r w:rsidRPr="0057360B">
        <w:rPr>
          <w:rFonts w:eastAsia="Aptos" w:cs="Calibri"/>
          <w:sz w:val="21"/>
          <w:szCs w:val="21"/>
        </w:rPr>
        <w:t xml:space="preserve"> tuberculosis treatment. </w:t>
      </w:r>
      <w:r w:rsidRPr="00F454D7">
        <w:rPr>
          <w:rFonts w:eastAsia="Aptos" w:cs="Calibri"/>
          <w:sz w:val="21"/>
          <w:szCs w:val="21"/>
          <w:vertAlign w:val="superscript"/>
          <w:lang w:val="fr-FR"/>
        </w:rPr>
        <w:t>2</w:t>
      </w:r>
      <w:r w:rsidRPr="00F454D7">
        <w:rPr>
          <w:rFonts w:eastAsia="Aptos" w:cs="Calibri"/>
          <w:sz w:val="21"/>
          <w:szCs w:val="21"/>
          <w:lang w:val="fr-FR"/>
        </w:rPr>
        <w:t xml:space="preserve"> QFT-Plus: QuantiFERON-Plus assay. </w:t>
      </w:r>
      <w:r w:rsidRPr="00F609E8">
        <w:rPr>
          <w:rFonts w:eastAsia="Aptos" w:cs="Calibri"/>
          <w:sz w:val="21"/>
          <w:szCs w:val="21"/>
          <w:vertAlign w:val="superscript"/>
        </w:rPr>
        <w:t>3</w:t>
      </w:r>
      <w:r w:rsidRPr="00F609E8">
        <w:rPr>
          <w:rFonts w:eastAsia="Aptos" w:cs="Calibri"/>
          <w:sz w:val="21"/>
          <w:szCs w:val="21"/>
        </w:rPr>
        <w:t xml:space="preserve"> </w:t>
      </w:r>
      <w:r w:rsidRPr="003443CE">
        <w:rPr>
          <w:rFonts w:eastAsia="Aptos" w:cs="Calibri"/>
          <w:i/>
          <w:iCs/>
          <w:sz w:val="21"/>
          <w:szCs w:val="21"/>
        </w:rPr>
        <w:t>Mycobacterium tuberculosis</w:t>
      </w:r>
      <w:r w:rsidRPr="00F609E8">
        <w:rPr>
          <w:rFonts w:eastAsia="Aptos" w:cs="Calibri"/>
          <w:sz w:val="21"/>
          <w:szCs w:val="21"/>
        </w:rPr>
        <w:t xml:space="preserve"> </w:t>
      </w:r>
      <w:r>
        <w:rPr>
          <w:rFonts w:eastAsia="Aptos" w:cs="Calibri"/>
          <w:sz w:val="21"/>
          <w:szCs w:val="21"/>
        </w:rPr>
        <w:t xml:space="preserve">(Mtb) </w:t>
      </w:r>
      <w:r w:rsidRPr="00F609E8">
        <w:rPr>
          <w:rFonts w:eastAsia="Aptos" w:cs="Calibri"/>
          <w:sz w:val="21"/>
          <w:szCs w:val="21"/>
        </w:rPr>
        <w:t xml:space="preserve">immunoreactivity was defined as a positive </w:t>
      </w:r>
      <w:r>
        <w:rPr>
          <w:rFonts w:eastAsia="Aptos" w:cs="Calibri"/>
          <w:sz w:val="21"/>
          <w:szCs w:val="21"/>
        </w:rPr>
        <w:t>QFT-Plus test</w:t>
      </w:r>
      <w:r w:rsidRPr="00F609E8">
        <w:rPr>
          <w:rFonts w:eastAsia="Aptos" w:cs="Calibri"/>
          <w:sz w:val="21"/>
          <w:szCs w:val="21"/>
        </w:rPr>
        <w:t xml:space="preserve"> result</w:t>
      </w:r>
      <w:r>
        <w:rPr>
          <w:rFonts w:eastAsia="Aptos" w:cs="Calibri"/>
          <w:sz w:val="21"/>
          <w:szCs w:val="21"/>
        </w:rPr>
        <w:t xml:space="preserve"> (cut-off ≥0.35 IU/mL)</w:t>
      </w:r>
      <w:r w:rsidRPr="00F609E8">
        <w:rPr>
          <w:rFonts w:eastAsia="Aptos" w:cs="Calibri"/>
          <w:sz w:val="21"/>
          <w:szCs w:val="21"/>
        </w:rPr>
        <w:t xml:space="preserve">. </w:t>
      </w:r>
      <w:r w:rsidRPr="00F609E8">
        <w:rPr>
          <w:rFonts w:eastAsia="Aptos" w:cs="Calibri"/>
          <w:sz w:val="21"/>
          <w:szCs w:val="21"/>
          <w:vertAlign w:val="superscript"/>
        </w:rPr>
        <w:t>4</w:t>
      </w:r>
      <w:r w:rsidRPr="00F609E8">
        <w:rPr>
          <w:rFonts w:eastAsia="Aptos" w:cs="Calibri"/>
          <w:sz w:val="21"/>
          <w:szCs w:val="21"/>
        </w:rPr>
        <w:t xml:space="preserve"> 95% CrI: 95% </w:t>
      </w:r>
      <w:r w:rsidRPr="00F609E8">
        <w:rPr>
          <w:rFonts w:eastAsia="Aptos" w:cs="Calibri"/>
          <w:sz w:val="21"/>
          <w:szCs w:val="21"/>
        </w:rPr>
        <w:lastRenderedPageBreak/>
        <w:t>credible intervals.</w:t>
      </w:r>
      <w:r w:rsidRPr="00F609E8">
        <w:rPr>
          <w:rFonts w:cs="Calibri"/>
        </w:rPr>
        <w:t xml:space="preserve"> </w:t>
      </w:r>
      <w:r w:rsidRPr="00F609E8">
        <w:rPr>
          <w:rFonts w:cs="Calibri"/>
          <w:vertAlign w:val="superscript"/>
        </w:rPr>
        <w:t xml:space="preserve">5 </w:t>
      </w:r>
      <w:r w:rsidRPr="00F609E8">
        <w:rPr>
          <w:rFonts w:eastAsia="Aptos" w:cs="Calibri"/>
          <w:sz w:val="21"/>
          <w:szCs w:val="21"/>
        </w:rPr>
        <w:t>A</w:t>
      </w:r>
      <w:r>
        <w:rPr>
          <w:rFonts w:eastAsia="Aptos" w:cs="Calibri"/>
          <w:sz w:val="21"/>
          <w:szCs w:val="21"/>
        </w:rPr>
        <w:t>RTI: A</w:t>
      </w:r>
      <w:r w:rsidRPr="00F609E8">
        <w:rPr>
          <w:rFonts w:eastAsia="Aptos" w:cs="Calibri"/>
          <w:sz w:val="21"/>
          <w:szCs w:val="21"/>
        </w:rPr>
        <w:t xml:space="preserve">nnual Risk of </w:t>
      </w:r>
      <w:r>
        <w:rPr>
          <w:rFonts w:eastAsia="Aptos" w:cs="Calibri"/>
          <w:sz w:val="21"/>
          <w:szCs w:val="21"/>
        </w:rPr>
        <w:t>TB</w:t>
      </w:r>
      <w:r w:rsidRPr="00F609E8">
        <w:rPr>
          <w:rFonts w:eastAsia="Aptos" w:cs="Calibri"/>
          <w:sz w:val="21"/>
          <w:szCs w:val="21"/>
        </w:rPr>
        <w:t xml:space="preserve"> Infection</w:t>
      </w:r>
      <w:r>
        <w:rPr>
          <w:rFonts w:eastAsia="Aptos" w:cs="Calibri"/>
          <w:sz w:val="21"/>
          <w:szCs w:val="21"/>
        </w:rPr>
        <w:t>,</w:t>
      </w:r>
      <w:r w:rsidRPr="00F609E8">
        <w:rPr>
          <w:rFonts w:eastAsia="Aptos" w:cs="Calibri"/>
          <w:sz w:val="21"/>
          <w:szCs w:val="21"/>
        </w:rPr>
        <w:t xml:space="preserve"> calculated from Mtb immunoreactivity prevalence estimates</w:t>
      </w:r>
      <w:r>
        <w:rPr>
          <w:rFonts w:eastAsia="Aptos" w:cs="Calibri"/>
          <w:sz w:val="21"/>
          <w:szCs w:val="21"/>
        </w:rPr>
        <w:t>, not adjusted for reversion,</w:t>
      </w:r>
      <w:r w:rsidRPr="00F609E8">
        <w:rPr>
          <w:rFonts w:eastAsia="Aptos" w:cs="Calibri"/>
          <w:sz w:val="21"/>
          <w:szCs w:val="21"/>
        </w:rPr>
        <w:t xml:space="preserve"> using the formula: ARTI = 1-(1-P)</w:t>
      </w:r>
      <w:r w:rsidRPr="001130CD">
        <w:rPr>
          <w:rFonts w:eastAsia="Aptos" w:cs="Calibri"/>
          <w:sz w:val="21"/>
          <w:szCs w:val="21"/>
          <w:vertAlign w:val="superscript"/>
        </w:rPr>
        <w:t>1/mean age</w:t>
      </w:r>
    </w:p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Body CS)">
    <w:altName w:val="Times New Roman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E21"/>
    <w:rsid w:val="000C4033"/>
    <w:rsid w:val="00295E21"/>
    <w:rsid w:val="004B42CB"/>
    <w:rsid w:val="00B85331"/>
    <w:rsid w:val="00BF7488"/>
    <w:rsid w:val="00E023F9"/>
    <w:rsid w:val="00F40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B2757"/>
  <w15:chartTrackingRefBased/>
  <w15:docId w15:val="{AB3E8B70-9CF2-4966-BB13-25A69EAD7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5E21"/>
    <w:pPr>
      <w:spacing w:line="480" w:lineRule="auto"/>
    </w:pPr>
    <w:rPr>
      <w:rFonts w:ascii="Calibri" w:eastAsiaTheme="minorEastAsia" w:hAnsi="Calibri" w:cs="Times New Roman (Body CS)"/>
      <w:sz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5E2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5E2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5E2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5E2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5E2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5E2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5E2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5E2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5E2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5E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5E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5E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5E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5E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5E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5E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5E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5E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5E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295E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5E21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295E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5E21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295E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5E21"/>
    <w:pPr>
      <w:spacing w:line="278" w:lineRule="auto"/>
      <w:ind w:left="720"/>
      <w:contextualSpacing/>
    </w:pPr>
    <w:rPr>
      <w:rFonts w:asciiTheme="minorHAnsi" w:eastAsiaTheme="minorHAnsi" w:hAnsiTheme="minorHAnsi" w:cstheme="minorBidi"/>
      <w:sz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295E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5E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5E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5E21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295E21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PlainTable5">
    <w:name w:val="Plain Table 5"/>
    <w:basedOn w:val="TableNormal"/>
    <w:uiPriority w:val="45"/>
    <w:rsid w:val="00295E21"/>
    <w:pPr>
      <w:spacing w:after="0" w:line="240" w:lineRule="auto"/>
    </w:pPr>
    <w:rPr>
      <w:lang w:val="en-GB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371</Words>
  <Characters>2332</Characters>
  <Application>Microsoft Office Word</Application>
  <DocSecurity>0</DocSecurity>
  <Lines>262</Lines>
  <Paragraphs>122</Paragraphs>
  <ScaleCrop>false</ScaleCrop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2026-01-09T14:17:00Z</dcterms:created>
  <dcterms:modified xsi:type="dcterms:W3CDTF">2026-01-09T14:18:00Z</dcterms:modified>
</cp:coreProperties>
</file>