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5776B" w14:textId="7B981AAE" w:rsidR="00393E6E" w:rsidRPr="001B350D" w:rsidRDefault="00393E6E" w:rsidP="00393E6E">
      <w:pPr>
        <w:snapToGrid w:val="0"/>
        <w:spacing w:line="480" w:lineRule="auto"/>
        <w:ind w:firstLine="0"/>
        <w:jc w:val="left"/>
        <w:rPr>
          <w:b/>
          <w:iCs/>
          <w:sz w:val="20"/>
          <w:szCs w:val="20"/>
        </w:rPr>
      </w:pPr>
      <w:r w:rsidRPr="001B350D">
        <w:rPr>
          <w:b/>
          <w:iCs/>
          <w:sz w:val="20"/>
          <w:szCs w:val="20"/>
        </w:rPr>
        <w:t xml:space="preserve">Journal: </w:t>
      </w:r>
      <w:r w:rsidRPr="001B350D">
        <w:rPr>
          <w:bCs/>
          <w:iCs/>
          <w:sz w:val="20"/>
          <w:szCs w:val="20"/>
        </w:rPr>
        <w:t>Annals of Hematology</w:t>
      </w:r>
    </w:p>
    <w:p w14:paraId="01CD391A" w14:textId="77777777" w:rsidR="00393E6E" w:rsidRPr="001B350D" w:rsidRDefault="00393E6E" w:rsidP="00393E6E">
      <w:pPr>
        <w:snapToGrid w:val="0"/>
        <w:spacing w:line="480" w:lineRule="auto"/>
        <w:ind w:firstLine="0"/>
        <w:jc w:val="left"/>
        <w:rPr>
          <w:b/>
          <w:iCs/>
          <w:sz w:val="20"/>
          <w:szCs w:val="20"/>
        </w:rPr>
      </w:pPr>
    </w:p>
    <w:p w14:paraId="1C864711" w14:textId="025338C4" w:rsidR="00393E6E" w:rsidRPr="001B350D" w:rsidRDefault="00393E6E" w:rsidP="00393E6E">
      <w:pPr>
        <w:snapToGrid w:val="0"/>
        <w:spacing w:line="480" w:lineRule="auto"/>
        <w:ind w:firstLine="0"/>
        <w:jc w:val="left"/>
        <w:rPr>
          <w:b/>
          <w:sz w:val="20"/>
          <w:szCs w:val="20"/>
        </w:rPr>
      </w:pPr>
      <w:r w:rsidRPr="001B350D">
        <w:rPr>
          <w:b/>
          <w:i/>
          <w:sz w:val="20"/>
          <w:szCs w:val="20"/>
        </w:rPr>
        <w:t>KIT</w:t>
      </w:r>
      <w:r w:rsidRPr="001B350D">
        <w:rPr>
          <w:b/>
          <w:sz w:val="20"/>
          <w:szCs w:val="20"/>
        </w:rPr>
        <w:t xml:space="preserve"> and </w:t>
      </w:r>
      <w:r w:rsidRPr="001B350D">
        <w:rPr>
          <w:b/>
          <w:i/>
          <w:sz w:val="20"/>
          <w:szCs w:val="20"/>
        </w:rPr>
        <w:t>FLT3</w:t>
      </w:r>
      <w:r w:rsidRPr="001B350D">
        <w:rPr>
          <w:b/>
          <w:sz w:val="20"/>
          <w:szCs w:val="20"/>
        </w:rPr>
        <w:t>-ITD Mutations Do Not Predict Outcomes in Pediatric Core-Binding Factor Acute Myeloid Leukemia: Findings from the C-HUANAN-AML-15 Multicenter Cohort Study</w:t>
      </w:r>
    </w:p>
    <w:p w14:paraId="6661198F" w14:textId="77777777" w:rsidR="00393E6E" w:rsidRPr="001B350D" w:rsidRDefault="00393E6E" w:rsidP="00393E6E">
      <w:pPr>
        <w:snapToGrid w:val="0"/>
        <w:spacing w:line="480" w:lineRule="auto"/>
        <w:ind w:firstLine="0"/>
        <w:jc w:val="left"/>
        <w:rPr>
          <w:b/>
          <w:sz w:val="20"/>
          <w:szCs w:val="20"/>
        </w:rPr>
      </w:pPr>
    </w:p>
    <w:p w14:paraId="361E809B" w14:textId="77777777" w:rsidR="00393E6E" w:rsidRPr="001B350D" w:rsidRDefault="00393E6E" w:rsidP="00393E6E">
      <w:pPr>
        <w:widowControl/>
        <w:ind w:firstLine="0"/>
        <w:jc w:val="left"/>
        <w:rPr>
          <w:sz w:val="20"/>
          <w:szCs w:val="20"/>
          <w:vertAlign w:val="superscript"/>
        </w:rPr>
      </w:pPr>
      <w:r w:rsidRPr="001B350D">
        <w:rPr>
          <w:sz w:val="20"/>
          <w:szCs w:val="20"/>
        </w:rPr>
        <w:t>Yongzhi Zheng</w:t>
      </w:r>
      <w:r w:rsidRPr="001B350D">
        <w:rPr>
          <w:sz w:val="20"/>
          <w:szCs w:val="20"/>
          <w:vertAlign w:val="superscript"/>
        </w:rPr>
        <w:t>1</w:t>
      </w:r>
      <w:r w:rsidRPr="001B350D">
        <w:rPr>
          <w:rFonts w:ascii="Cambria Math" w:eastAsia="Cambria Math" w:hAnsi="Cambria Math" w:cs="Cambria Math"/>
          <w:sz w:val="20"/>
          <w:szCs w:val="20"/>
          <w:vertAlign w:val="superscript"/>
        </w:rPr>
        <w:t>△</w:t>
      </w:r>
      <w:r w:rsidRPr="001B350D">
        <w:rPr>
          <w:sz w:val="20"/>
          <w:szCs w:val="20"/>
        </w:rPr>
        <w:t>, Lihua Yu</w:t>
      </w:r>
      <w:r w:rsidRPr="001B350D">
        <w:rPr>
          <w:sz w:val="20"/>
          <w:szCs w:val="20"/>
          <w:vertAlign w:val="superscript"/>
        </w:rPr>
        <w:t>2</w:t>
      </w:r>
      <w:r w:rsidRPr="001B350D">
        <w:rPr>
          <w:rFonts w:ascii="Cambria Math" w:eastAsia="Cambria Math" w:hAnsi="Cambria Math" w:cs="Cambria Math"/>
          <w:sz w:val="20"/>
          <w:szCs w:val="20"/>
          <w:vertAlign w:val="superscript"/>
        </w:rPr>
        <w:t>△</w:t>
      </w:r>
      <w:r w:rsidRPr="001B350D">
        <w:rPr>
          <w:sz w:val="20"/>
          <w:szCs w:val="20"/>
        </w:rPr>
        <w:t>, Shaohua Le</w:t>
      </w:r>
      <w:r w:rsidRPr="001B350D">
        <w:rPr>
          <w:sz w:val="20"/>
          <w:szCs w:val="20"/>
          <w:vertAlign w:val="superscript"/>
        </w:rPr>
        <w:t>1</w:t>
      </w:r>
      <w:r w:rsidRPr="001B350D">
        <w:rPr>
          <w:sz w:val="20"/>
          <w:szCs w:val="20"/>
        </w:rPr>
        <w:t>, Nainong Li</w:t>
      </w:r>
      <w:r w:rsidRPr="001B350D">
        <w:rPr>
          <w:sz w:val="20"/>
          <w:szCs w:val="20"/>
          <w:vertAlign w:val="superscript"/>
        </w:rPr>
        <w:t>1</w:t>
      </w:r>
      <w:r w:rsidRPr="001B350D">
        <w:rPr>
          <w:sz w:val="20"/>
          <w:szCs w:val="20"/>
        </w:rPr>
        <w:t>, Xiaoqin Feng</w:t>
      </w:r>
      <w:r w:rsidRPr="001B350D">
        <w:rPr>
          <w:sz w:val="20"/>
          <w:szCs w:val="20"/>
          <w:vertAlign w:val="superscript"/>
        </w:rPr>
        <w:t>3</w:t>
      </w:r>
      <w:r w:rsidRPr="001B350D">
        <w:rPr>
          <w:sz w:val="20"/>
          <w:szCs w:val="20"/>
        </w:rPr>
        <w:t xml:space="preserve">, </w:t>
      </w:r>
      <w:r w:rsidRPr="001B350D">
        <w:rPr>
          <w:color w:val="000000"/>
          <w:sz w:val="20"/>
          <w:szCs w:val="20"/>
        </w:rPr>
        <w:t xml:space="preserve">Chunfu </w:t>
      </w:r>
      <w:r w:rsidRPr="001B350D">
        <w:rPr>
          <w:sz w:val="20"/>
          <w:szCs w:val="20"/>
        </w:rPr>
        <w:t>Li</w:t>
      </w:r>
      <w:r w:rsidRPr="001B350D">
        <w:rPr>
          <w:sz w:val="20"/>
          <w:szCs w:val="20"/>
          <w:vertAlign w:val="superscript"/>
        </w:rPr>
        <w:t>4</w:t>
      </w:r>
      <w:r w:rsidRPr="001B350D">
        <w:rPr>
          <w:sz w:val="20"/>
          <w:szCs w:val="20"/>
        </w:rPr>
        <w:t xml:space="preserve">, </w:t>
      </w:r>
      <w:r w:rsidRPr="001B350D">
        <w:rPr>
          <w:color w:val="000000"/>
          <w:sz w:val="20"/>
          <w:szCs w:val="20"/>
        </w:rPr>
        <w:t>Mincui Zheng</w:t>
      </w:r>
      <w:r w:rsidRPr="001B350D">
        <w:rPr>
          <w:color w:val="000000"/>
          <w:sz w:val="20"/>
          <w:szCs w:val="20"/>
          <w:vertAlign w:val="superscript"/>
        </w:rPr>
        <w:t>5</w:t>
      </w:r>
      <w:r w:rsidRPr="001B350D">
        <w:rPr>
          <w:color w:val="000000"/>
          <w:sz w:val="20"/>
          <w:szCs w:val="20"/>
        </w:rPr>
        <w:t>, Huirong Mai</w:t>
      </w:r>
      <w:r w:rsidRPr="001B350D">
        <w:rPr>
          <w:color w:val="000000"/>
          <w:sz w:val="20"/>
          <w:szCs w:val="20"/>
          <w:vertAlign w:val="superscript"/>
        </w:rPr>
        <w:t>6</w:t>
      </w:r>
      <w:r w:rsidRPr="001B350D">
        <w:rPr>
          <w:color w:val="000000"/>
          <w:sz w:val="20"/>
          <w:szCs w:val="20"/>
        </w:rPr>
        <w:t>, Hua Jiang</w:t>
      </w:r>
      <w:r w:rsidRPr="001B350D">
        <w:rPr>
          <w:color w:val="000000"/>
          <w:sz w:val="20"/>
          <w:szCs w:val="20"/>
          <w:vertAlign w:val="superscript"/>
        </w:rPr>
        <w:t>7</w:t>
      </w:r>
      <w:r w:rsidRPr="001B350D">
        <w:rPr>
          <w:color w:val="000000"/>
          <w:sz w:val="20"/>
          <w:szCs w:val="20"/>
        </w:rPr>
        <w:t>, Xiangling He</w:t>
      </w:r>
      <w:r w:rsidRPr="001B350D">
        <w:rPr>
          <w:color w:val="000000"/>
          <w:sz w:val="20"/>
          <w:szCs w:val="20"/>
          <w:vertAlign w:val="superscript"/>
        </w:rPr>
        <w:t>8</w:t>
      </w:r>
      <w:r w:rsidRPr="001B350D">
        <w:rPr>
          <w:color w:val="000000"/>
          <w:sz w:val="20"/>
          <w:szCs w:val="20"/>
        </w:rPr>
        <w:t>, Hong Wen</w:t>
      </w:r>
      <w:r w:rsidRPr="001B350D">
        <w:rPr>
          <w:color w:val="000000"/>
          <w:sz w:val="20"/>
          <w:szCs w:val="20"/>
          <w:vertAlign w:val="superscript"/>
        </w:rPr>
        <w:t>9</w:t>
      </w:r>
      <w:r w:rsidRPr="001B350D">
        <w:rPr>
          <w:color w:val="000000"/>
          <w:sz w:val="20"/>
          <w:szCs w:val="20"/>
        </w:rPr>
        <w:t>, Honggui Xu</w:t>
      </w:r>
      <w:r w:rsidRPr="001B350D">
        <w:rPr>
          <w:color w:val="000000"/>
          <w:sz w:val="20"/>
          <w:szCs w:val="20"/>
          <w:vertAlign w:val="superscript"/>
        </w:rPr>
        <w:t>10</w:t>
      </w:r>
      <w:r w:rsidRPr="001B350D">
        <w:rPr>
          <w:color w:val="000000"/>
          <w:sz w:val="20"/>
          <w:szCs w:val="20"/>
        </w:rPr>
        <w:t>, Chun Chen</w:t>
      </w:r>
      <w:r w:rsidRPr="001B350D">
        <w:rPr>
          <w:color w:val="000000"/>
          <w:sz w:val="20"/>
          <w:szCs w:val="20"/>
          <w:vertAlign w:val="superscript"/>
        </w:rPr>
        <w:t>11</w:t>
      </w:r>
      <w:r w:rsidRPr="001B350D">
        <w:rPr>
          <w:color w:val="000000"/>
          <w:sz w:val="20"/>
          <w:szCs w:val="20"/>
        </w:rPr>
        <w:t>, Lihua Yang</w:t>
      </w:r>
      <w:r w:rsidRPr="001B350D">
        <w:rPr>
          <w:sz w:val="20"/>
          <w:szCs w:val="20"/>
          <w:vertAlign w:val="superscript"/>
        </w:rPr>
        <w:t>2#</w:t>
      </w:r>
    </w:p>
    <w:p w14:paraId="4B38853D" w14:textId="77777777" w:rsidR="00393E6E" w:rsidRPr="001B350D" w:rsidRDefault="00393E6E" w:rsidP="00393E6E">
      <w:pPr>
        <w:widowControl/>
        <w:ind w:firstLine="0"/>
        <w:jc w:val="left"/>
        <w:rPr>
          <w:color w:val="000000"/>
          <w:sz w:val="20"/>
          <w:szCs w:val="20"/>
        </w:rPr>
      </w:pPr>
    </w:p>
    <w:p w14:paraId="525C4136" w14:textId="77777777" w:rsidR="00393E6E" w:rsidRPr="001B350D" w:rsidRDefault="00393E6E" w:rsidP="00393E6E">
      <w:pPr>
        <w:widowControl/>
        <w:ind w:firstLine="0"/>
        <w:rPr>
          <w:sz w:val="20"/>
          <w:szCs w:val="20"/>
        </w:rPr>
      </w:pPr>
      <w:r w:rsidRPr="001B350D">
        <w:rPr>
          <w:sz w:val="20"/>
          <w:szCs w:val="20"/>
          <w:vertAlign w:val="superscript"/>
        </w:rPr>
        <w:t>1</w:t>
      </w:r>
      <w:r w:rsidRPr="001B350D">
        <w:rPr>
          <w:sz w:val="20"/>
          <w:szCs w:val="20"/>
        </w:rPr>
        <w:t>Department of Paeditric Hematology, Fujian Institute of Hematology, Fujian Provincial Key Laboratory on Hematology, Fujian Medical University Union Hospital, Fuzhou, China</w:t>
      </w:r>
    </w:p>
    <w:p w14:paraId="383E9C78" w14:textId="77777777" w:rsidR="00393E6E" w:rsidRPr="001B350D" w:rsidRDefault="00393E6E" w:rsidP="00393E6E">
      <w:pPr>
        <w:widowControl/>
        <w:ind w:firstLine="0"/>
        <w:rPr>
          <w:sz w:val="20"/>
          <w:szCs w:val="20"/>
        </w:rPr>
      </w:pPr>
      <w:r w:rsidRPr="001B350D">
        <w:rPr>
          <w:sz w:val="20"/>
          <w:szCs w:val="20"/>
          <w:vertAlign w:val="superscript"/>
        </w:rPr>
        <w:t>2</w:t>
      </w:r>
      <w:r w:rsidRPr="001B350D">
        <w:rPr>
          <w:sz w:val="20"/>
          <w:szCs w:val="20"/>
        </w:rPr>
        <w:t>Department of Pediatrics, Zhujiang Hospital of Southern Medical University, Guangzhou, China</w:t>
      </w:r>
    </w:p>
    <w:p w14:paraId="550577FE" w14:textId="77777777" w:rsidR="00393E6E" w:rsidRPr="001B350D" w:rsidRDefault="00393E6E" w:rsidP="00393E6E">
      <w:pPr>
        <w:widowControl/>
        <w:ind w:firstLine="0"/>
        <w:rPr>
          <w:sz w:val="20"/>
          <w:szCs w:val="20"/>
          <w:vertAlign w:val="superscript"/>
        </w:rPr>
      </w:pPr>
      <w:r w:rsidRPr="001B350D">
        <w:rPr>
          <w:sz w:val="20"/>
          <w:szCs w:val="20"/>
          <w:vertAlign w:val="superscript"/>
        </w:rPr>
        <w:t>3</w:t>
      </w:r>
      <w:r w:rsidRPr="001B350D">
        <w:rPr>
          <w:sz w:val="20"/>
          <w:szCs w:val="20"/>
        </w:rPr>
        <w:t>Department of Pediatrics, Nanfang Hospital, Southern Medical University, Guangzhou, China</w:t>
      </w:r>
    </w:p>
    <w:p w14:paraId="4DD9214A" w14:textId="77777777" w:rsidR="00393E6E" w:rsidRPr="001B350D" w:rsidRDefault="00393E6E" w:rsidP="00393E6E">
      <w:pPr>
        <w:widowControl/>
        <w:ind w:firstLine="0"/>
        <w:rPr>
          <w:sz w:val="20"/>
          <w:szCs w:val="20"/>
        </w:rPr>
      </w:pPr>
      <w:r w:rsidRPr="001B350D">
        <w:rPr>
          <w:sz w:val="20"/>
          <w:szCs w:val="20"/>
          <w:vertAlign w:val="superscript"/>
        </w:rPr>
        <w:t>4</w:t>
      </w:r>
      <w:r w:rsidRPr="001B350D">
        <w:rPr>
          <w:sz w:val="20"/>
          <w:szCs w:val="20"/>
        </w:rPr>
        <w:t>Nanfang-Chunfu Children’s Institute of Hematology &amp; Oncology, TaiXin Hospital, Dongguan, China</w:t>
      </w:r>
    </w:p>
    <w:p w14:paraId="1DDF01CE" w14:textId="77777777" w:rsidR="00393E6E" w:rsidRPr="001B350D" w:rsidRDefault="00393E6E" w:rsidP="00393E6E">
      <w:pPr>
        <w:widowControl/>
        <w:ind w:firstLine="0"/>
        <w:rPr>
          <w:sz w:val="20"/>
          <w:szCs w:val="20"/>
        </w:rPr>
      </w:pPr>
      <w:r w:rsidRPr="001B350D">
        <w:rPr>
          <w:sz w:val="20"/>
          <w:szCs w:val="20"/>
          <w:vertAlign w:val="superscript"/>
        </w:rPr>
        <w:t>5</w:t>
      </w:r>
      <w:r w:rsidRPr="001B350D">
        <w:rPr>
          <w:sz w:val="20"/>
          <w:szCs w:val="20"/>
        </w:rPr>
        <w:t>Department of Pediatric Hematology/Oncology, Hematology and Oncology, Hunan Children’s Hospital, Changsha, China</w:t>
      </w:r>
    </w:p>
    <w:p w14:paraId="0F550139" w14:textId="77777777" w:rsidR="00393E6E" w:rsidRPr="001B350D" w:rsidRDefault="00393E6E" w:rsidP="00393E6E">
      <w:pPr>
        <w:widowControl/>
        <w:ind w:firstLine="0"/>
        <w:rPr>
          <w:sz w:val="20"/>
          <w:szCs w:val="20"/>
        </w:rPr>
      </w:pPr>
      <w:r w:rsidRPr="001B350D">
        <w:rPr>
          <w:sz w:val="20"/>
          <w:szCs w:val="20"/>
          <w:vertAlign w:val="superscript"/>
        </w:rPr>
        <w:t>6</w:t>
      </w:r>
      <w:r w:rsidRPr="001B350D">
        <w:rPr>
          <w:sz w:val="20"/>
          <w:szCs w:val="20"/>
        </w:rPr>
        <w:t>Department of Pediatric Hematology/Oncology, Shenzhen Children’s Hospital, Shenzhen, China</w:t>
      </w:r>
    </w:p>
    <w:p w14:paraId="4B1CA2D3" w14:textId="77777777" w:rsidR="00393E6E" w:rsidRPr="001B350D" w:rsidRDefault="00393E6E" w:rsidP="00393E6E">
      <w:pPr>
        <w:widowControl/>
        <w:ind w:firstLine="0"/>
        <w:rPr>
          <w:sz w:val="20"/>
          <w:szCs w:val="20"/>
        </w:rPr>
      </w:pPr>
      <w:r w:rsidRPr="001B350D">
        <w:rPr>
          <w:sz w:val="20"/>
          <w:szCs w:val="20"/>
          <w:vertAlign w:val="superscript"/>
        </w:rPr>
        <w:t>7</w:t>
      </w:r>
      <w:r w:rsidRPr="001B350D">
        <w:rPr>
          <w:sz w:val="20"/>
          <w:szCs w:val="20"/>
        </w:rPr>
        <w:t>Department of Pediatric Hematoloy/Oncology, Guangzhou Women and Children’s Medical Center, Guangzhou, China</w:t>
      </w:r>
    </w:p>
    <w:p w14:paraId="249F5E8F" w14:textId="77777777" w:rsidR="00393E6E" w:rsidRPr="001B350D" w:rsidRDefault="00393E6E" w:rsidP="00393E6E">
      <w:pPr>
        <w:widowControl/>
        <w:ind w:firstLine="0"/>
        <w:rPr>
          <w:sz w:val="20"/>
          <w:szCs w:val="20"/>
        </w:rPr>
      </w:pPr>
      <w:r w:rsidRPr="001B350D">
        <w:rPr>
          <w:sz w:val="20"/>
          <w:szCs w:val="20"/>
          <w:vertAlign w:val="superscript"/>
        </w:rPr>
        <w:t>8</w:t>
      </w:r>
      <w:r w:rsidRPr="001B350D">
        <w:rPr>
          <w:sz w:val="20"/>
          <w:szCs w:val="20"/>
        </w:rPr>
        <w:t>Paeditrics, People’s Hospital of Hunan Province, Changsha, China</w:t>
      </w:r>
    </w:p>
    <w:p w14:paraId="10FB48A1" w14:textId="77777777" w:rsidR="00393E6E" w:rsidRPr="001B350D" w:rsidRDefault="00393E6E" w:rsidP="00393E6E">
      <w:pPr>
        <w:widowControl/>
        <w:ind w:firstLine="0"/>
        <w:rPr>
          <w:sz w:val="20"/>
          <w:szCs w:val="20"/>
        </w:rPr>
      </w:pPr>
      <w:r w:rsidRPr="001B350D">
        <w:rPr>
          <w:sz w:val="20"/>
          <w:szCs w:val="20"/>
          <w:vertAlign w:val="superscript"/>
        </w:rPr>
        <w:t>9</w:t>
      </w:r>
      <w:r w:rsidRPr="001B350D">
        <w:rPr>
          <w:sz w:val="20"/>
          <w:szCs w:val="20"/>
        </w:rPr>
        <w:t>Paeditrics, The First Affiliated Hospital of Xiamen University, Xiamen, China</w:t>
      </w:r>
    </w:p>
    <w:p w14:paraId="131DF034" w14:textId="77777777" w:rsidR="00393E6E" w:rsidRPr="001B350D" w:rsidRDefault="00393E6E" w:rsidP="00393E6E">
      <w:pPr>
        <w:widowControl/>
        <w:ind w:firstLine="0"/>
        <w:rPr>
          <w:sz w:val="20"/>
          <w:szCs w:val="20"/>
        </w:rPr>
      </w:pPr>
      <w:r w:rsidRPr="001B350D">
        <w:rPr>
          <w:sz w:val="20"/>
          <w:szCs w:val="20"/>
          <w:vertAlign w:val="superscript"/>
        </w:rPr>
        <w:t>10</w:t>
      </w:r>
      <w:r w:rsidRPr="001B350D">
        <w:rPr>
          <w:sz w:val="20"/>
          <w:szCs w:val="20"/>
        </w:rPr>
        <w:t>Paeditrics, Sun Yat-sen Memorial Hospital, Sun Yat-sen University, Guangzhou, China</w:t>
      </w:r>
    </w:p>
    <w:p w14:paraId="7E94B8B4" w14:textId="77777777" w:rsidR="00393E6E" w:rsidRPr="001B350D" w:rsidRDefault="00393E6E" w:rsidP="00393E6E">
      <w:pPr>
        <w:widowControl/>
        <w:ind w:firstLine="0"/>
        <w:rPr>
          <w:sz w:val="20"/>
          <w:szCs w:val="20"/>
        </w:rPr>
      </w:pPr>
      <w:r w:rsidRPr="001B350D">
        <w:rPr>
          <w:sz w:val="20"/>
          <w:szCs w:val="20"/>
          <w:vertAlign w:val="superscript"/>
        </w:rPr>
        <w:t>11</w:t>
      </w:r>
      <w:r w:rsidRPr="001B350D">
        <w:rPr>
          <w:sz w:val="20"/>
          <w:szCs w:val="20"/>
        </w:rPr>
        <w:t>Paeditrics, the Seventh Affiliated Hospital, Sun Yat-sen University, Guangzhou, China</w:t>
      </w:r>
    </w:p>
    <w:p w14:paraId="2A7ECBFA" w14:textId="77777777" w:rsidR="00393E6E" w:rsidRPr="001B350D" w:rsidRDefault="00393E6E" w:rsidP="00393E6E">
      <w:pPr>
        <w:widowControl/>
        <w:ind w:firstLine="0"/>
        <w:rPr>
          <w:sz w:val="20"/>
          <w:szCs w:val="20"/>
        </w:rPr>
      </w:pPr>
    </w:p>
    <w:p w14:paraId="5D63EF97" w14:textId="77777777" w:rsidR="00393E6E" w:rsidRPr="001B350D" w:rsidRDefault="00393E6E" w:rsidP="00393E6E">
      <w:pPr>
        <w:widowControl/>
        <w:ind w:firstLine="0"/>
        <w:rPr>
          <w:sz w:val="20"/>
          <w:szCs w:val="20"/>
        </w:rPr>
      </w:pPr>
      <w:r w:rsidRPr="001B350D">
        <w:rPr>
          <w:rFonts w:ascii="Cambria Math" w:eastAsia="Cambria Math" w:hAnsi="Cambria Math" w:cs="Cambria Math"/>
          <w:sz w:val="20"/>
          <w:szCs w:val="20"/>
          <w:vertAlign w:val="superscript"/>
        </w:rPr>
        <w:t>△</w:t>
      </w:r>
      <w:r w:rsidRPr="001B350D">
        <w:rPr>
          <w:sz w:val="20"/>
          <w:szCs w:val="20"/>
        </w:rPr>
        <w:t>Yongzhi Zheng and Lihua Yu contributed equally to this work and share first authorship.</w:t>
      </w:r>
    </w:p>
    <w:p w14:paraId="5DEB4F6B" w14:textId="77777777" w:rsidR="00393E6E" w:rsidRPr="001B350D" w:rsidRDefault="00393E6E" w:rsidP="00393E6E">
      <w:pPr>
        <w:snapToGrid w:val="0"/>
        <w:spacing w:line="480" w:lineRule="auto"/>
        <w:ind w:firstLine="0"/>
        <w:jc w:val="left"/>
        <w:rPr>
          <w:sz w:val="20"/>
          <w:szCs w:val="20"/>
        </w:rPr>
      </w:pPr>
    </w:p>
    <w:p w14:paraId="2752945D" w14:textId="77777777" w:rsidR="00393E6E" w:rsidRPr="001B350D" w:rsidRDefault="00393E6E" w:rsidP="00393E6E">
      <w:pPr>
        <w:widowControl/>
        <w:ind w:firstLine="0"/>
        <w:jc w:val="left"/>
        <w:rPr>
          <w:sz w:val="20"/>
          <w:szCs w:val="20"/>
        </w:rPr>
      </w:pPr>
      <w:r w:rsidRPr="001B350D">
        <w:rPr>
          <w:b/>
          <w:color w:val="000000"/>
          <w:sz w:val="20"/>
          <w:szCs w:val="20"/>
          <w:vertAlign w:val="superscript"/>
        </w:rPr>
        <w:t>#</w:t>
      </w:r>
      <w:r w:rsidRPr="001B350D">
        <w:rPr>
          <w:b/>
          <w:color w:val="000000"/>
          <w:sz w:val="20"/>
          <w:szCs w:val="20"/>
        </w:rPr>
        <w:t>Corresponding author:</w:t>
      </w:r>
      <w:r w:rsidRPr="001B350D">
        <w:rPr>
          <w:b/>
          <w:sz w:val="20"/>
          <w:szCs w:val="20"/>
        </w:rPr>
        <w:t xml:space="preserve"> </w:t>
      </w:r>
      <w:r w:rsidRPr="001B350D">
        <w:rPr>
          <w:sz w:val="20"/>
          <w:szCs w:val="20"/>
        </w:rPr>
        <w:t>Lihua Yang</w:t>
      </w:r>
    </w:p>
    <w:p w14:paraId="26127B1E" w14:textId="77777777" w:rsidR="00393E6E" w:rsidRPr="001B350D" w:rsidRDefault="00393E6E" w:rsidP="00393E6E">
      <w:pPr>
        <w:widowControl/>
        <w:ind w:firstLine="0"/>
        <w:rPr>
          <w:sz w:val="20"/>
          <w:szCs w:val="20"/>
        </w:rPr>
      </w:pPr>
      <w:r w:rsidRPr="001B350D">
        <w:rPr>
          <w:sz w:val="20"/>
          <w:szCs w:val="20"/>
        </w:rPr>
        <w:t>Department of Pediatrics, Zhujiang Hospital of Southern Medical University, No. 253, Gongye Avenue Middle, Guangzhou, Guangdong Province, China</w:t>
      </w:r>
    </w:p>
    <w:p w14:paraId="2E0A04BE" w14:textId="77777777" w:rsidR="00393E6E" w:rsidRPr="001B350D" w:rsidRDefault="00393E6E" w:rsidP="00393E6E">
      <w:pPr>
        <w:ind w:firstLine="0"/>
        <w:rPr>
          <w:sz w:val="20"/>
          <w:szCs w:val="20"/>
        </w:rPr>
      </w:pPr>
      <w:r w:rsidRPr="001B350D">
        <w:rPr>
          <w:sz w:val="20"/>
          <w:szCs w:val="20"/>
        </w:rPr>
        <w:lastRenderedPageBreak/>
        <w:t>Phone number: +86 13580532469</w:t>
      </w:r>
    </w:p>
    <w:p w14:paraId="5164B481" w14:textId="77777777" w:rsidR="00393E6E" w:rsidRPr="001B350D" w:rsidRDefault="00393E6E" w:rsidP="00393E6E">
      <w:pPr>
        <w:widowControl/>
        <w:ind w:firstLine="0"/>
        <w:jc w:val="left"/>
        <w:rPr>
          <w:sz w:val="20"/>
          <w:szCs w:val="20"/>
        </w:rPr>
      </w:pPr>
      <w:r w:rsidRPr="001B350D">
        <w:rPr>
          <w:color w:val="000000"/>
          <w:sz w:val="20"/>
          <w:szCs w:val="20"/>
        </w:rPr>
        <w:t>Email:</w:t>
      </w:r>
      <w:r w:rsidRPr="001B350D">
        <w:rPr>
          <w:sz w:val="20"/>
          <w:szCs w:val="20"/>
        </w:rPr>
        <w:t xml:space="preserve"> </w:t>
      </w:r>
      <w:hyperlink r:id="rId7" w:history="1">
        <w:r w:rsidRPr="001B350D">
          <w:rPr>
            <w:rStyle w:val="Hyperlink"/>
            <w:sz w:val="20"/>
            <w:szCs w:val="20"/>
          </w:rPr>
          <w:t>dryanglihua@163.com</w:t>
        </w:r>
      </w:hyperlink>
    </w:p>
    <w:p w14:paraId="1D902651" w14:textId="77777777" w:rsidR="00393E6E" w:rsidRPr="001B350D" w:rsidRDefault="00393E6E">
      <w:pPr>
        <w:ind w:firstLine="0"/>
        <w:rPr>
          <w:b/>
          <w:sz w:val="20"/>
          <w:szCs w:val="20"/>
        </w:rPr>
      </w:pPr>
    </w:p>
    <w:p w14:paraId="3FEB8096" w14:textId="77777777" w:rsidR="001B350D" w:rsidRPr="001B350D" w:rsidRDefault="001B350D">
      <w:pPr>
        <w:widowControl/>
        <w:spacing w:line="240" w:lineRule="auto"/>
        <w:ind w:firstLine="0"/>
        <w:jc w:val="left"/>
        <w:rPr>
          <w:b/>
          <w:sz w:val="20"/>
          <w:szCs w:val="20"/>
        </w:rPr>
      </w:pPr>
      <w:r w:rsidRPr="001B350D">
        <w:rPr>
          <w:b/>
          <w:sz w:val="20"/>
          <w:szCs w:val="20"/>
        </w:rPr>
        <w:br w:type="page"/>
      </w:r>
    </w:p>
    <w:p w14:paraId="3E1AC1AD" w14:textId="68D14907" w:rsidR="00D75293" w:rsidRPr="001B350D" w:rsidRDefault="00000000">
      <w:pPr>
        <w:ind w:firstLine="0"/>
        <w:rPr>
          <w:b/>
          <w:bCs/>
          <w:sz w:val="20"/>
          <w:szCs w:val="20"/>
          <w:lang w:val="en-IN"/>
        </w:rPr>
      </w:pPr>
      <w:r w:rsidRPr="001B350D">
        <w:rPr>
          <w:b/>
          <w:sz w:val="20"/>
          <w:szCs w:val="20"/>
        </w:rPr>
        <w:lastRenderedPageBreak/>
        <w:t xml:space="preserve">Supplementary </w:t>
      </w:r>
      <w:r w:rsidR="002C4B97" w:rsidRPr="001B350D">
        <w:rPr>
          <w:b/>
          <w:bCs/>
          <w:sz w:val="20"/>
          <w:szCs w:val="20"/>
          <w:lang w:val="en-IN"/>
        </w:rPr>
        <w:t>Information</w:t>
      </w:r>
    </w:p>
    <w:p w14:paraId="28C97D22" w14:textId="1A315CB5" w:rsidR="001B350D" w:rsidRPr="001B350D" w:rsidRDefault="001B350D">
      <w:pPr>
        <w:widowControl/>
        <w:spacing w:line="240" w:lineRule="auto"/>
        <w:ind w:firstLine="0"/>
        <w:jc w:val="left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251D6F09" wp14:editId="406FD605">
            <wp:extent cx="5273040" cy="6278880"/>
            <wp:effectExtent l="0" t="0" r="0" b="0"/>
            <wp:docPr id="1988563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627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24D41" w14:textId="77777777" w:rsidR="001B350D" w:rsidRPr="001B350D" w:rsidRDefault="001B350D" w:rsidP="001B350D">
      <w:pPr>
        <w:ind w:firstLine="0"/>
        <w:jc w:val="left"/>
        <w:rPr>
          <w:b/>
          <w:sz w:val="20"/>
          <w:szCs w:val="20"/>
        </w:rPr>
      </w:pPr>
      <w:r w:rsidRPr="001B350D">
        <w:rPr>
          <w:b/>
          <w:sz w:val="20"/>
          <w:szCs w:val="20"/>
        </w:rPr>
        <w:t xml:space="preserve">Online Resource 1. Treatment schema for the C-HUANAN-AML-15 protocol </w:t>
      </w:r>
    </w:p>
    <w:p w14:paraId="43E845E0" w14:textId="40CD8DE6" w:rsidR="001B350D" w:rsidRPr="001B350D" w:rsidRDefault="001B350D">
      <w:pPr>
        <w:widowControl/>
        <w:spacing w:line="240" w:lineRule="auto"/>
        <w:ind w:firstLine="0"/>
        <w:jc w:val="left"/>
        <w:rPr>
          <w:b/>
          <w:sz w:val="20"/>
          <w:szCs w:val="20"/>
        </w:rPr>
      </w:pPr>
      <w:r w:rsidRPr="001B350D">
        <w:rPr>
          <w:b/>
          <w:sz w:val="20"/>
          <w:szCs w:val="20"/>
        </w:rPr>
        <w:br w:type="page"/>
      </w:r>
    </w:p>
    <w:p w14:paraId="2384D1EE" w14:textId="48B0DBAD" w:rsidR="00D75293" w:rsidRPr="001B350D" w:rsidRDefault="00000000">
      <w:pPr>
        <w:ind w:firstLine="0"/>
        <w:rPr>
          <w:sz w:val="20"/>
          <w:szCs w:val="20"/>
        </w:rPr>
      </w:pPr>
      <w:r w:rsidRPr="001B350D">
        <w:rPr>
          <w:b/>
          <w:sz w:val="20"/>
          <w:szCs w:val="20"/>
        </w:rPr>
        <w:lastRenderedPageBreak/>
        <w:t>Online Resource 2.</w:t>
      </w:r>
      <w:r w:rsidRPr="001B350D">
        <w:rPr>
          <w:sz w:val="20"/>
          <w:szCs w:val="20"/>
        </w:rPr>
        <w:t xml:space="preserve"> Comparison of characteristics between 289 pediatric patients with CBF-AML and 586 with other AML subtypes</w:t>
      </w:r>
    </w:p>
    <w:tbl>
      <w:tblPr>
        <w:tblStyle w:val="TableGrid"/>
        <w:tblW w:w="8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39"/>
        <w:gridCol w:w="926"/>
        <w:gridCol w:w="889"/>
        <w:gridCol w:w="953"/>
        <w:gridCol w:w="1008"/>
        <w:gridCol w:w="1113"/>
        <w:gridCol w:w="919"/>
      </w:tblGrid>
      <w:tr w:rsidR="00963305" w:rsidRPr="001B350D" w14:paraId="35065FD4" w14:textId="77777777">
        <w:tc>
          <w:tcPr>
            <w:tcW w:w="2093" w:type="dxa"/>
            <w:tcBorders>
              <w:top w:val="single" w:sz="4" w:space="0" w:color="auto"/>
              <w:left w:val="nil"/>
              <w:right w:val="nil"/>
            </w:tcBorders>
          </w:tcPr>
          <w:p w14:paraId="39766743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Characteristic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E6439FA" w14:textId="77777777" w:rsidR="00D75293" w:rsidRPr="001B350D" w:rsidRDefault="00000000">
            <w:pPr>
              <w:ind w:firstLine="0"/>
              <w:jc w:val="left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All patients (n=875)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610EDFC" w14:textId="77777777" w:rsidR="00D75293" w:rsidRPr="001B350D" w:rsidRDefault="00000000">
            <w:pPr>
              <w:ind w:firstLine="0"/>
              <w:jc w:val="left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CBF-AML (n=289)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2869EEF" w14:textId="77777777" w:rsidR="00D75293" w:rsidRPr="001B350D" w:rsidRDefault="00000000">
            <w:pPr>
              <w:ind w:firstLine="0"/>
              <w:rPr>
                <w:i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Non-CBF-AML (n=586)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right w:val="nil"/>
            </w:tcBorders>
          </w:tcPr>
          <w:p w14:paraId="418C0E1E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i/>
                <w:sz w:val="20"/>
                <w:szCs w:val="20"/>
              </w:rPr>
              <w:t xml:space="preserve">P </w:t>
            </w:r>
            <w:r w:rsidRPr="001B350D">
              <w:rPr>
                <w:sz w:val="20"/>
                <w:szCs w:val="20"/>
              </w:rPr>
              <w:t>value</w:t>
            </w:r>
          </w:p>
        </w:tc>
      </w:tr>
      <w:tr w:rsidR="00963305" w:rsidRPr="001B350D" w14:paraId="6905AC5A" w14:textId="77777777">
        <w:tc>
          <w:tcPr>
            <w:tcW w:w="2093" w:type="dxa"/>
            <w:tcBorders>
              <w:left w:val="nil"/>
              <w:bottom w:val="single" w:sz="4" w:space="0" w:color="auto"/>
              <w:right w:val="nil"/>
            </w:tcBorders>
          </w:tcPr>
          <w:p w14:paraId="50971411" w14:textId="77777777" w:rsidR="00D75293" w:rsidRPr="001B350D" w:rsidRDefault="00D7529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left w:val="nil"/>
              <w:bottom w:val="single" w:sz="4" w:space="0" w:color="auto"/>
              <w:right w:val="nil"/>
            </w:tcBorders>
          </w:tcPr>
          <w:p w14:paraId="4EE9B807" w14:textId="77777777" w:rsidR="00D75293" w:rsidRPr="001B350D" w:rsidRDefault="00000000">
            <w:pPr>
              <w:ind w:firstLine="0"/>
              <w:jc w:val="left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No.</w:t>
            </w: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nil"/>
            </w:tcBorders>
          </w:tcPr>
          <w:p w14:paraId="7745B4F0" w14:textId="77777777" w:rsidR="00D75293" w:rsidRPr="001B350D" w:rsidRDefault="00000000">
            <w:pPr>
              <w:ind w:firstLine="0"/>
              <w:jc w:val="left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%</w:t>
            </w:r>
          </w:p>
        </w:tc>
        <w:tc>
          <w:tcPr>
            <w:tcW w:w="889" w:type="dxa"/>
            <w:tcBorders>
              <w:left w:val="nil"/>
              <w:bottom w:val="single" w:sz="4" w:space="0" w:color="auto"/>
              <w:right w:val="nil"/>
            </w:tcBorders>
          </w:tcPr>
          <w:p w14:paraId="483B5791" w14:textId="77777777" w:rsidR="00D75293" w:rsidRPr="001B350D" w:rsidRDefault="00000000">
            <w:pPr>
              <w:ind w:firstLine="0"/>
              <w:jc w:val="left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No.</w:t>
            </w: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nil"/>
            </w:tcBorders>
          </w:tcPr>
          <w:p w14:paraId="279B4399" w14:textId="77777777" w:rsidR="00D75293" w:rsidRPr="001B350D" w:rsidRDefault="00000000">
            <w:pPr>
              <w:ind w:firstLine="0"/>
              <w:jc w:val="left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%</w:t>
            </w:r>
          </w:p>
        </w:tc>
        <w:tc>
          <w:tcPr>
            <w:tcW w:w="1008" w:type="dxa"/>
            <w:tcBorders>
              <w:left w:val="nil"/>
              <w:bottom w:val="single" w:sz="4" w:space="0" w:color="auto"/>
              <w:right w:val="nil"/>
            </w:tcBorders>
          </w:tcPr>
          <w:p w14:paraId="0A7D09F8" w14:textId="77777777" w:rsidR="00D75293" w:rsidRPr="001B350D" w:rsidRDefault="00000000">
            <w:pPr>
              <w:ind w:firstLine="0"/>
              <w:jc w:val="left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No.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</w:tcPr>
          <w:p w14:paraId="79F42A35" w14:textId="77777777" w:rsidR="00D75293" w:rsidRPr="001B350D" w:rsidRDefault="00000000">
            <w:pPr>
              <w:ind w:firstLine="0"/>
              <w:rPr>
                <w:i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%</w:t>
            </w:r>
          </w:p>
        </w:tc>
        <w:tc>
          <w:tcPr>
            <w:tcW w:w="919" w:type="dxa"/>
            <w:tcBorders>
              <w:left w:val="nil"/>
              <w:bottom w:val="single" w:sz="4" w:space="0" w:color="auto"/>
              <w:right w:val="nil"/>
            </w:tcBorders>
          </w:tcPr>
          <w:p w14:paraId="27043F86" w14:textId="77777777" w:rsidR="00D75293" w:rsidRPr="001B350D" w:rsidRDefault="00D75293">
            <w:pPr>
              <w:ind w:firstLine="0"/>
              <w:rPr>
                <w:i/>
                <w:sz w:val="20"/>
                <w:szCs w:val="20"/>
              </w:rPr>
            </w:pPr>
          </w:p>
        </w:tc>
      </w:tr>
      <w:tr w:rsidR="00963305" w:rsidRPr="001B350D" w14:paraId="3898462F" w14:textId="77777777">
        <w:tc>
          <w:tcPr>
            <w:tcW w:w="2093" w:type="dxa"/>
            <w:tcBorders>
              <w:top w:val="single" w:sz="4" w:space="0" w:color="auto"/>
              <w:left w:val="nil"/>
              <w:right w:val="nil"/>
            </w:tcBorders>
          </w:tcPr>
          <w:p w14:paraId="19B1ED23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Age ≥120 months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right w:val="nil"/>
            </w:tcBorders>
          </w:tcPr>
          <w:p w14:paraId="59E31588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223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7BDD69F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 xml:space="preserve">25.5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right w:val="nil"/>
            </w:tcBorders>
          </w:tcPr>
          <w:p w14:paraId="48DF9842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89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right w:val="nil"/>
            </w:tcBorders>
          </w:tcPr>
          <w:p w14:paraId="44E0F79D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30.8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right w:val="nil"/>
            </w:tcBorders>
          </w:tcPr>
          <w:p w14:paraId="0588217F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134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</w:tcPr>
          <w:p w14:paraId="5279C859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22.9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right w:val="nil"/>
            </w:tcBorders>
          </w:tcPr>
          <w:p w14:paraId="2507D58D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0.013</w:t>
            </w:r>
          </w:p>
        </w:tc>
      </w:tr>
      <w:tr w:rsidR="00963305" w:rsidRPr="001B350D" w14:paraId="71278DBE" w14:textId="77777777">
        <w:tc>
          <w:tcPr>
            <w:tcW w:w="2093" w:type="dxa"/>
            <w:tcBorders>
              <w:left w:val="nil"/>
              <w:right w:val="nil"/>
            </w:tcBorders>
          </w:tcPr>
          <w:p w14:paraId="44C9493F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Sex (male)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790BDD5C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504</w:t>
            </w:r>
          </w:p>
        </w:tc>
        <w:tc>
          <w:tcPr>
            <w:tcW w:w="926" w:type="dxa"/>
            <w:tcBorders>
              <w:left w:val="nil"/>
              <w:right w:val="nil"/>
            </w:tcBorders>
            <w:vAlign w:val="center"/>
          </w:tcPr>
          <w:p w14:paraId="57380CB4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 xml:space="preserve">57.6 </w:t>
            </w:r>
          </w:p>
        </w:tc>
        <w:tc>
          <w:tcPr>
            <w:tcW w:w="889" w:type="dxa"/>
            <w:tcBorders>
              <w:left w:val="nil"/>
              <w:right w:val="nil"/>
            </w:tcBorders>
          </w:tcPr>
          <w:p w14:paraId="1C4C4004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174</w:t>
            </w:r>
          </w:p>
        </w:tc>
        <w:tc>
          <w:tcPr>
            <w:tcW w:w="953" w:type="dxa"/>
            <w:tcBorders>
              <w:left w:val="nil"/>
              <w:right w:val="nil"/>
            </w:tcBorders>
          </w:tcPr>
          <w:p w14:paraId="34409F23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60.2 </w:t>
            </w: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2E25D8B5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330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7CF76D2B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56.3 </w:t>
            </w:r>
          </w:p>
        </w:tc>
        <w:tc>
          <w:tcPr>
            <w:tcW w:w="919" w:type="dxa"/>
            <w:tcBorders>
              <w:left w:val="nil"/>
              <w:right w:val="nil"/>
            </w:tcBorders>
          </w:tcPr>
          <w:p w14:paraId="3B240D85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0.247</w:t>
            </w:r>
          </w:p>
        </w:tc>
      </w:tr>
      <w:tr w:rsidR="00963305" w:rsidRPr="001B350D" w14:paraId="542DAEEC" w14:textId="77777777">
        <w:tc>
          <w:tcPr>
            <w:tcW w:w="2093" w:type="dxa"/>
            <w:tcBorders>
              <w:left w:val="nil"/>
              <w:right w:val="nil"/>
            </w:tcBorders>
          </w:tcPr>
          <w:p w14:paraId="1575977B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WBC ≥50 × 10</w:t>
            </w:r>
            <w:r w:rsidRPr="001B350D">
              <w:rPr>
                <w:sz w:val="20"/>
                <w:szCs w:val="20"/>
                <w:vertAlign w:val="superscript"/>
              </w:rPr>
              <w:t>9</w:t>
            </w:r>
            <w:r w:rsidRPr="001B350D">
              <w:rPr>
                <w:sz w:val="20"/>
                <w:szCs w:val="20"/>
              </w:rPr>
              <w:t>/L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5B40FB0F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240</w:t>
            </w:r>
          </w:p>
        </w:tc>
        <w:tc>
          <w:tcPr>
            <w:tcW w:w="926" w:type="dxa"/>
            <w:tcBorders>
              <w:left w:val="nil"/>
              <w:right w:val="nil"/>
            </w:tcBorders>
            <w:vAlign w:val="center"/>
          </w:tcPr>
          <w:p w14:paraId="66EC632F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 xml:space="preserve">27.4 </w:t>
            </w:r>
          </w:p>
        </w:tc>
        <w:tc>
          <w:tcPr>
            <w:tcW w:w="889" w:type="dxa"/>
            <w:tcBorders>
              <w:left w:val="nil"/>
              <w:right w:val="nil"/>
            </w:tcBorders>
          </w:tcPr>
          <w:p w14:paraId="15A60221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63</w:t>
            </w:r>
          </w:p>
        </w:tc>
        <w:tc>
          <w:tcPr>
            <w:tcW w:w="953" w:type="dxa"/>
            <w:tcBorders>
              <w:left w:val="nil"/>
              <w:right w:val="nil"/>
            </w:tcBorders>
          </w:tcPr>
          <w:p w14:paraId="1CAC6FBA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21.8 </w:t>
            </w:r>
          </w:p>
        </w:tc>
        <w:tc>
          <w:tcPr>
            <w:tcW w:w="1008" w:type="dxa"/>
            <w:tcBorders>
              <w:left w:val="nil"/>
              <w:right w:val="nil"/>
            </w:tcBorders>
            <w:vAlign w:val="center"/>
          </w:tcPr>
          <w:p w14:paraId="1E46EDD7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221F1E95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30.2 </w:t>
            </w:r>
          </w:p>
        </w:tc>
        <w:tc>
          <w:tcPr>
            <w:tcW w:w="919" w:type="dxa"/>
            <w:tcBorders>
              <w:left w:val="nil"/>
              <w:right w:val="nil"/>
            </w:tcBorders>
          </w:tcPr>
          <w:p w14:paraId="1EE50CED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0.012</w:t>
            </w:r>
          </w:p>
        </w:tc>
      </w:tr>
      <w:tr w:rsidR="00963305" w:rsidRPr="001B350D" w14:paraId="2F1BB54A" w14:textId="77777777">
        <w:tc>
          <w:tcPr>
            <w:tcW w:w="2093" w:type="dxa"/>
            <w:tcBorders>
              <w:left w:val="nil"/>
              <w:right w:val="nil"/>
            </w:tcBorders>
          </w:tcPr>
          <w:p w14:paraId="779C70DE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Extramedullary involvement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47A2EC62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84</w:t>
            </w:r>
          </w:p>
        </w:tc>
        <w:tc>
          <w:tcPr>
            <w:tcW w:w="926" w:type="dxa"/>
            <w:tcBorders>
              <w:left w:val="nil"/>
              <w:right w:val="nil"/>
            </w:tcBorders>
            <w:vAlign w:val="center"/>
          </w:tcPr>
          <w:p w14:paraId="50534FA1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 xml:space="preserve">9.6 </w:t>
            </w:r>
          </w:p>
        </w:tc>
        <w:tc>
          <w:tcPr>
            <w:tcW w:w="889" w:type="dxa"/>
            <w:tcBorders>
              <w:left w:val="nil"/>
              <w:right w:val="nil"/>
            </w:tcBorders>
          </w:tcPr>
          <w:p w14:paraId="2722C023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51</w:t>
            </w:r>
          </w:p>
        </w:tc>
        <w:tc>
          <w:tcPr>
            <w:tcW w:w="953" w:type="dxa"/>
            <w:tcBorders>
              <w:left w:val="nil"/>
              <w:right w:val="nil"/>
            </w:tcBorders>
          </w:tcPr>
          <w:p w14:paraId="7B31C0B9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17.6 </w:t>
            </w:r>
          </w:p>
        </w:tc>
        <w:tc>
          <w:tcPr>
            <w:tcW w:w="1008" w:type="dxa"/>
            <w:tcBorders>
              <w:left w:val="nil"/>
              <w:right w:val="nil"/>
            </w:tcBorders>
            <w:vAlign w:val="center"/>
          </w:tcPr>
          <w:p w14:paraId="3EBB7A62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3952E123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5.6 </w:t>
            </w:r>
          </w:p>
        </w:tc>
        <w:tc>
          <w:tcPr>
            <w:tcW w:w="919" w:type="dxa"/>
            <w:tcBorders>
              <w:left w:val="nil"/>
              <w:right w:val="nil"/>
            </w:tcBorders>
          </w:tcPr>
          <w:p w14:paraId="3B93C5E5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0.000</w:t>
            </w:r>
          </w:p>
        </w:tc>
      </w:tr>
      <w:tr w:rsidR="00963305" w:rsidRPr="001B350D" w14:paraId="7E2C879B" w14:textId="77777777">
        <w:tc>
          <w:tcPr>
            <w:tcW w:w="2093" w:type="dxa"/>
            <w:tcBorders>
              <w:left w:val="nil"/>
              <w:right w:val="nil"/>
            </w:tcBorders>
          </w:tcPr>
          <w:p w14:paraId="55069C37" w14:textId="77777777" w:rsidR="00D75293" w:rsidRPr="001B350D" w:rsidRDefault="00000000">
            <w:pPr>
              <w:ind w:firstLine="0"/>
              <w:rPr>
                <w:i/>
                <w:sz w:val="20"/>
                <w:szCs w:val="20"/>
              </w:rPr>
            </w:pPr>
            <w:r w:rsidRPr="001B350D">
              <w:rPr>
                <w:i/>
                <w:sz w:val="20"/>
                <w:szCs w:val="20"/>
              </w:rPr>
              <w:t xml:space="preserve">KIT </w:t>
            </w:r>
            <w:r w:rsidRPr="001B350D">
              <w:rPr>
                <w:sz w:val="20"/>
                <w:szCs w:val="20"/>
              </w:rPr>
              <w:t>mutations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79A3DCFE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115</w:t>
            </w:r>
          </w:p>
        </w:tc>
        <w:tc>
          <w:tcPr>
            <w:tcW w:w="926" w:type="dxa"/>
            <w:tcBorders>
              <w:left w:val="nil"/>
              <w:right w:val="nil"/>
            </w:tcBorders>
            <w:vAlign w:val="center"/>
          </w:tcPr>
          <w:p w14:paraId="1E61F583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 xml:space="preserve">13.1 </w:t>
            </w:r>
          </w:p>
        </w:tc>
        <w:tc>
          <w:tcPr>
            <w:tcW w:w="889" w:type="dxa"/>
            <w:tcBorders>
              <w:left w:val="nil"/>
              <w:right w:val="nil"/>
            </w:tcBorders>
          </w:tcPr>
          <w:p w14:paraId="2F14522C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103</w:t>
            </w:r>
          </w:p>
        </w:tc>
        <w:tc>
          <w:tcPr>
            <w:tcW w:w="953" w:type="dxa"/>
            <w:tcBorders>
              <w:left w:val="nil"/>
              <w:right w:val="nil"/>
            </w:tcBorders>
          </w:tcPr>
          <w:p w14:paraId="39A12293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35.6 </w:t>
            </w:r>
          </w:p>
        </w:tc>
        <w:tc>
          <w:tcPr>
            <w:tcW w:w="1008" w:type="dxa"/>
            <w:tcBorders>
              <w:left w:val="nil"/>
              <w:right w:val="nil"/>
            </w:tcBorders>
            <w:vAlign w:val="center"/>
          </w:tcPr>
          <w:p w14:paraId="75B82AE7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12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3552E764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2.0 </w:t>
            </w:r>
          </w:p>
        </w:tc>
        <w:tc>
          <w:tcPr>
            <w:tcW w:w="919" w:type="dxa"/>
            <w:tcBorders>
              <w:left w:val="nil"/>
              <w:right w:val="nil"/>
            </w:tcBorders>
          </w:tcPr>
          <w:p w14:paraId="4883AA64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0.000</w:t>
            </w:r>
          </w:p>
        </w:tc>
      </w:tr>
      <w:tr w:rsidR="00963305" w:rsidRPr="001B350D" w14:paraId="5E3FF202" w14:textId="77777777">
        <w:tc>
          <w:tcPr>
            <w:tcW w:w="2093" w:type="dxa"/>
            <w:tcBorders>
              <w:left w:val="nil"/>
              <w:right w:val="nil"/>
            </w:tcBorders>
          </w:tcPr>
          <w:p w14:paraId="0D5B37E1" w14:textId="77777777" w:rsidR="00D75293" w:rsidRPr="001B350D" w:rsidRDefault="00000000">
            <w:pPr>
              <w:ind w:firstLine="0"/>
              <w:rPr>
                <w:i/>
                <w:sz w:val="20"/>
                <w:szCs w:val="20"/>
              </w:rPr>
            </w:pPr>
            <w:r w:rsidRPr="001B350D">
              <w:rPr>
                <w:i/>
                <w:sz w:val="20"/>
                <w:szCs w:val="20"/>
              </w:rPr>
              <w:t>FLT3</w:t>
            </w:r>
            <w:r w:rsidRPr="001B350D">
              <w:rPr>
                <w:sz w:val="20"/>
                <w:szCs w:val="20"/>
              </w:rPr>
              <w:t xml:space="preserve"> mutations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7F7B5BDF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130</w:t>
            </w:r>
          </w:p>
        </w:tc>
        <w:tc>
          <w:tcPr>
            <w:tcW w:w="926" w:type="dxa"/>
            <w:tcBorders>
              <w:left w:val="nil"/>
              <w:right w:val="nil"/>
            </w:tcBorders>
            <w:vAlign w:val="center"/>
          </w:tcPr>
          <w:p w14:paraId="3A806F80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 xml:space="preserve">14.9 </w:t>
            </w:r>
          </w:p>
        </w:tc>
        <w:tc>
          <w:tcPr>
            <w:tcW w:w="889" w:type="dxa"/>
            <w:tcBorders>
              <w:left w:val="nil"/>
              <w:right w:val="nil"/>
            </w:tcBorders>
          </w:tcPr>
          <w:p w14:paraId="6C425425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28</w:t>
            </w:r>
          </w:p>
        </w:tc>
        <w:tc>
          <w:tcPr>
            <w:tcW w:w="953" w:type="dxa"/>
            <w:tcBorders>
              <w:left w:val="nil"/>
              <w:right w:val="nil"/>
            </w:tcBorders>
          </w:tcPr>
          <w:p w14:paraId="47A2F6B1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9.7 </w:t>
            </w:r>
          </w:p>
        </w:tc>
        <w:tc>
          <w:tcPr>
            <w:tcW w:w="1008" w:type="dxa"/>
            <w:tcBorders>
              <w:left w:val="nil"/>
              <w:right w:val="nil"/>
            </w:tcBorders>
            <w:vAlign w:val="center"/>
          </w:tcPr>
          <w:p w14:paraId="51DEC9D4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111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6AF1A893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18.9 </w:t>
            </w:r>
          </w:p>
        </w:tc>
        <w:tc>
          <w:tcPr>
            <w:tcW w:w="919" w:type="dxa"/>
            <w:tcBorders>
              <w:left w:val="nil"/>
              <w:right w:val="nil"/>
            </w:tcBorders>
          </w:tcPr>
          <w:p w14:paraId="53DCF215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0.001</w:t>
            </w:r>
          </w:p>
        </w:tc>
      </w:tr>
      <w:tr w:rsidR="00963305" w:rsidRPr="001B350D" w14:paraId="66420C5B" w14:textId="77777777">
        <w:tc>
          <w:tcPr>
            <w:tcW w:w="2093" w:type="dxa"/>
            <w:tcBorders>
              <w:left w:val="nil"/>
              <w:right w:val="nil"/>
            </w:tcBorders>
          </w:tcPr>
          <w:p w14:paraId="56342385" w14:textId="77777777" w:rsidR="00D75293" w:rsidRPr="001B350D" w:rsidRDefault="00000000">
            <w:pPr>
              <w:ind w:firstLine="0"/>
              <w:rPr>
                <w:i/>
                <w:sz w:val="20"/>
                <w:szCs w:val="20"/>
              </w:rPr>
            </w:pPr>
            <w:r w:rsidRPr="001B350D">
              <w:rPr>
                <w:i/>
                <w:sz w:val="20"/>
                <w:szCs w:val="20"/>
              </w:rPr>
              <w:t xml:space="preserve">ASXL1 </w:t>
            </w:r>
            <w:r w:rsidRPr="001B350D">
              <w:rPr>
                <w:sz w:val="20"/>
                <w:szCs w:val="20"/>
              </w:rPr>
              <w:t>mutations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29439BA1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151</w:t>
            </w:r>
          </w:p>
        </w:tc>
        <w:tc>
          <w:tcPr>
            <w:tcW w:w="926" w:type="dxa"/>
            <w:tcBorders>
              <w:left w:val="nil"/>
              <w:right w:val="nil"/>
            </w:tcBorders>
            <w:vAlign w:val="center"/>
          </w:tcPr>
          <w:p w14:paraId="21B64210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 xml:space="preserve">17.3 </w:t>
            </w:r>
          </w:p>
        </w:tc>
        <w:tc>
          <w:tcPr>
            <w:tcW w:w="889" w:type="dxa"/>
            <w:tcBorders>
              <w:left w:val="nil"/>
              <w:right w:val="nil"/>
            </w:tcBorders>
          </w:tcPr>
          <w:p w14:paraId="681119BB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52</w:t>
            </w:r>
          </w:p>
        </w:tc>
        <w:tc>
          <w:tcPr>
            <w:tcW w:w="953" w:type="dxa"/>
            <w:tcBorders>
              <w:left w:val="nil"/>
              <w:right w:val="nil"/>
            </w:tcBorders>
          </w:tcPr>
          <w:p w14:paraId="7315046E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18.0 </w:t>
            </w:r>
          </w:p>
        </w:tc>
        <w:tc>
          <w:tcPr>
            <w:tcW w:w="1008" w:type="dxa"/>
            <w:tcBorders>
              <w:left w:val="nil"/>
              <w:right w:val="nil"/>
            </w:tcBorders>
            <w:vAlign w:val="center"/>
          </w:tcPr>
          <w:p w14:paraId="0857E693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2F355D8F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16.9 </w:t>
            </w:r>
          </w:p>
        </w:tc>
        <w:tc>
          <w:tcPr>
            <w:tcW w:w="919" w:type="dxa"/>
            <w:tcBorders>
              <w:left w:val="nil"/>
              <w:right w:val="nil"/>
            </w:tcBorders>
          </w:tcPr>
          <w:p w14:paraId="2D530DB8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0.864</w:t>
            </w:r>
          </w:p>
        </w:tc>
      </w:tr>
      <w:tr w:rsidR="00963305" w:rsidRPr="001B350D" w14:paraId="6D48D201" w14:textId="77777777">
        <w:tc>
          <w:tcPr>
            <w:tcW w:w="2093" w:type="dxa"/>
            <w:tcBorders>
              <w:left w:val="nil"/>
              <w:right w:val="nil"/>
            </w:tcBorders>
          </w:tcPr>
          <w:p w14:paraId="0EE0E7F6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  <w:vertAlign w:val="superscript"/>
              </w:rPr>
              <w:t>a</w:t>
            </w:r>
            <w:r w:rsidRPr="001B350D">
              <w:rPr>
                <w:sz w:val="20"/>
                <w:szCs w:val="20"/>
              </w:rPr>
              <w:t>CR at TP1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652F873B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732</w:t>
            </w:r>
          </w:p>
        </w:tc>
        <w:tc>
          <w:tcPr>
            <w:tcW w:w="926" w:type="dxa"/>
            <w:tcBorders>
              <w:left w:val="nil"/>
              <w:right w:val="nil"/>
            </w:tcBorders>
          </w:tcPr>
          <w:p w14:paraId="6B63CB7B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83.7 </w:t>
            </w:r>
          </w:p>
        </w:tc>
        <w:tc>
          <w:tcPr>
            <w:tcW w:w="889" w:type="dxa"/>
            <w:tcBorders>
              <w:left w:val="nil"/>
              <w:right w:val="nil"/>
            </w:tcBorders>
          </w:tcPr>
          <w:p w14:paraId="6E8220D9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268</w:t>
            </w:r>
          </w:p>
        </w:tc>
        <w:tc>
          <w:tcPr>
            <w:tcW w:w="953" w:type="dxa"/>
            <w:tcBorders>
              <w:left w:val="nil"/>
              <w:right w:val="nil"/>
            </w:tcBorders>
          </w:tcPr>
          <w:p w14:paraId="113305B8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92.7 </w:t>
            </w:r>
          </w:p>
        </w:tc>
        <w:tc>
          <w:tcPr>
            <w:tcW w:w="1008" w:type="dxa"/>
            <w:tcBorders>
              <w:left w:val="nil"/>
              <w:right w:val="nil"/>
            </w:tcBorders>
            <w:vAlign w:val="center"/>
          </w:tcPr>
          <w:p w14:paraId="6D6F1212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59153F83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79.2 </w:t>
            </w:r>
          </w:p>
        </w:tc>
        <w:tc>
          <w:tcPr>
            <w:tcW w:w="919" w:type="dxa"/>
            <w:tcBorders>
              <w:left w:val="nil"/>
              <w:right w:val="nil"/>
            </w:tcBorders>
          </w:tcPr>
          <w:p w14:paraId="1F3271EA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0.000</w:t>
            </w:r>
          </w:p>
        </w:tc>
      </w:tr>
      <w:tr w:rsidR="00963305" w:rsidRPr="001B350D" w14:paraId="4D1559D8" w14:textId="77777777">
        <w:tc>
          <w:tcPr>
            <w:tcW w:w="2093" w:type="dxa"/>
            <w:tcBorders>
              <w:left w:val="nil"/>
              <w:bottom w:val="single" w:sz="4" w:space="0" w:color="auto"/>
              <w:right w:val="nil"/>
            </w:tcBorders>
          </w:tcPr>
          <w:p w14:paraId="1DAD72D1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  <w:vertAlign w:val="superscript"/>
              </w:rPr>
              <w:t>a</w:t>
            </w:r>
            <w:r w:rsidRPr="001B350D">
              <w:rPr>
                <w:sz w:val="20"/>
                <w:szCs w:val="20"/>
              </w:rPr>
              <w:t>CR at TP2</w:t>
            </w:r>
          </w:p>
        </w:tc>
        <w:tc>
          <w:tcPr>
            <w:tcW w:w="839" w:type="dxa"/>
            <w:tcBorders>
              <w:left w:val="nil"/>
              <w:bottom w:val="single" w:sz="4" w:space="0" w:color="auto"/>
              <w:right w:val="nil"/>
            </w:tcBorders>
          </w:tcPr>
          <w:p w14:paraId="221A788C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797</w:t>
            </w: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nil"/>
            </w:tcBorders>
          </w:tcPr>
          <w:p w14:paraId="6C8F444F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91.1 </w:t>
            </w:r>
          </w:p>
        </w:tc>
        <w:tc>
          <w:tcPr>
            <w:tcW w:w="889" w:type="dxa"/>
            <w:tcBorders>
              <w:left w:val="nil"/>
              <w:bottom w:val="single" w:sz="4" w:space="0" w:color="auto"/>
              <w:right w:val="nil"/>
            </w:tcBorders>
          </w:tcPr>
          <w:p w14:paraId="4F3C8668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276</w:t>
            </w: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nil"/>
            </w:tcBorders>
          </w:tcPr>
          <w:p w14:paraId="5FFD196C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95.5 </w:t>
            </w:r>
          </w:p>
        </w:tc>
        <w:tc>
          <w:tcPr>
            <w:tcW w:w="10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C535AE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521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</w:tcPr>
          <w:p w14:paraId="27A907D7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88.9 </w:t>
            </w:r>
          </w:p>
        </w:tc>
        <w:tc>
          <w:tcPr>
            <w:tcW w:w="919" w:type="dxa"/>
            <w:tcBorders>
              <w:left w:val="nil"/>
              <w:bottom w:val="single" w:sz="4" w:space="0" w:color="auto"/>
              <w:right w:val="nil"/>
            </w:tcBorders>
          </w:tcPr>
          <w:p w14:paraId="1A9E7C5A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0.003</w:t>
            </w:r>
          </w:p>
        </w:tc>
      </w:tr>
      <w:tr w:rsidR="00963305" w:rsidRPr="001B350D" w14:paraId="787F2E90" w14:textId="77777777">
        <w:tc>
          <w:tcPr>
            <w:tcW w:w="2093" w:type="dxa"/>
            <w:tcBorders>
              <w:top w:val="single" w:sz="4" w:space="0" w:color="auto"/>
              <w:left w:val="nil"/>
            </w:tcBorders>
          </w:tcPr>
          <w:p w14:paraId="47248271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5-year OS rate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5EAD141F" w14:textId="77777777" w:rsidR="00D75293" w:rsidRPr="001B350D" w:rsidRDefault="00D7529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14:paraId="30E9D8C2" w14:textId="77777777" w:rsidR="00D75293" w:rsidRPr="001B350D" w:rsidRDefault="00D7529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162D48BF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87.2% ± 2.1%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</w:tcBorders>
            <w:vAlign w:val="center"/>
          </w:tcPr>
          <w:p w14:paraId="624C78B0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72.5% ± 2.0%</w:t>
            </w:r>
          </w:p>
        </w:tc>
        <w:tc>
          <w:tcPr>
            <w:tcW w:w="919" w:type="dxa"/>
            <w:tcBorders>
              <w:top w:val="single" w:sz="4" w:space="0" w:color="auto"/>
            </w:tcBorders>
          </w:tcPr>
          <w:p w14:paraId="2ABEE5B6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&lt;0.001</w:t>
            </w:r>
          </w:p>
        </w:tc>
      </w:tr>
      <w:tr w:rsidR="00963305" w:rsidRPr="001B350D" w14:paraId="5F6F0D98" w14:textId="77777777">
        <w:tc>
          <w:tcPr>
            <w:tcW w:w="2093" w:type="dxa"/>
            <w:tcBorders>
              <w:left w:val="nil"/>
            </w:tcBorders>
          </w:tcPr>
          <w:p w14:paraId="422A3409" w14:textId="77777777" w:rsidR="00D75293" w:rsidRPr="001B350D" w:rsidRDefault="00000000">
            <w:pPr>
              <w:ind w:firstLine="0"/>
              <w:rPr>
                <w:i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5-year EFS rate</w:t>
            </w:r>
          </w:p>
        </w:tc>
        <w:tc>
          <w:tcPr>
            <w:tcW w:w="839" w:type="dxa"/>
          </w:tcPr>
          <w:p w14:paraId="681B227F" w14:textId="77777777" w:rsidR="00D75293" w:rsidRPr="001B350D" w:rsidRDefault="00D7529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26" w:type="dxa"/>
            <w:vAlign w:val="center"/>
          </w:tcPr>
          <w:p w14:paraId="74074B2F" w14:textId="77777777" w:rsidR="00D75293" w:rsidRPr="001B350D" w:rsidRDefault="00D7529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6DC3D3D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80.7% ± 2.4%</w:t>
            </w:r>
          </w:p>
        </w:tc>
        <w:tc>
          <w:tcPr>
            <w:tcW w:w="2121" w:type="dxa"/>
            <w:gridSpan w:val="2"/>
            <w:vAlign w:val="center"/>
          </w:tcPr>
          <w:p w14:paraId="5A262E0B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60.9% ± 2.2%</w:t>
            </w:r>
          </w:p>
        </w:tc>
        <w:tc>
          <w:tcPr>
            <w:tcW w:w="919" w:type="dxa"/>
          </w:tcPr>
          <w:p w14:paraId="05C13085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&lt;0.001</w:t>
            </w:r>
          </w:p>
        </w:tc>
      </w:tr>
      <w:tr w:rsidR="00963305" w:rsidRPr="001B350D" w14:paraId="5FE5BE20" w14:textId="77777777">
        <w:tc>
          <w:tcPr>
            <w:tcW w:w="2093" w:type="dxa"/>
            <w:tcBorders>
              <w:left w:val="nil"/>
              <w:bottom w:val="single" w:sz="4" w:space="0" w:color="auto"/>
            </w:tcBorders>
          </w:tcPr>
          <w:p w14:paraId="426971A9" w14:textId="77777777" w:rsidR="00D75293" w:rsidRPr="001B350D" w:rsidRDefault="00000000">
            <w:pPr>
              <w:ind w:firstLine="0"/>
              <w:rPr>
                <w:i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5-year CIR rate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623A3A62" w14:textId="77777777" w:rsidR="00D75293" w:rsidRPr="001B350D" w:rsidRDefault="00D7529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6EDEA135" w14:textId="77777777" w:rsidR="00D75293" w:rsidRPr="001B350D" w:rsidRDefault="00D7529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6DDB65C3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9.9% ± 1.9%</w:t>
            </w: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  <w:vAlign w:val="center"/>
          </w:tcPr>
          <w:p w14:paraId="14DBDF41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25.1% ± 2.1%</w:t>
            </w: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52108C5D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&lt;0.001</w:t>
            </w:r>
          </w:p>
        </w:tc>
      </w:tr>
    </w:tbl>
    <w:p w14:paraId="0BBBB283" w14:textId="77777777" w:rsidR="00D75293" w:rsidRPr="001B350D" w:rsidRDefault="00000000">
      <w:pPr>
        <w:ind w:firstLine="0"/>
        <w:rPr>
          <w:sz w:val="20"/>
          <w:szCs w:val="20"/>
        </w:rPr>
      </w:pPr>
      <w:r w:rsidRPr="001B350D">
        <w:rPr>
          <w:sz w:val="20"/>
          <w:szCs w:val="20"/>
        </w:rPr>
        <w:t xml:space="preserve">Note: </w:t>
      </w:r>
      <w:r w:rsidRPr="001B350D">
        <w:rPr>
          <w:sz w:val="20"/>
          <w:szCs w:val="20"/>
          <w:vertAlign w:val="superscript"/>
        </w:rPr>
        <w:t>a</w:t>
      </w:r>
      <w:r w:rsidRPr="001B350D">
        <w:rPr>
          <w:sz w:val="20"/>
          <w:szCs w:val="20"/>
        </w:rPr>
        <w:t xml:space="preserve">, early treatment response was assessed at two predefined time points: days 28–35 after the first induction course (time point 1 [TP1]) and after the second induction course, immediately before consolidation therapy (time point 2 [TP2]). </w:t>
      </w:r>
    </w:p>
    <w:p w14:paraId="3ABBF9BF" w14:textId="77777777" w:rsidR="00D75293" w:rsidRPr="001B350D" w:rsidRDefault="00000000">
      <w:pPr>
        <w:ind w:firstLine="0"/>
        <w:rPr>
          <w:sz w:val="20"/>
          <w:szCs w:val="20"/>
        </w:rPr>
      </w:pPr>
      <w:r w:rsidRPr="001B350D">
        <w:rPr>
          <w:sz w:val="20"/>
          <w:szCs w:val="20"/>
        </w:rPr>
        <w:t xml:space="preserve">Abbreviations: CBF-AML, core-binding factor acute myeloid leukemia; WBC, white blood cells count; CR, complete remission; OS, overall survival; EFS, event-free survival; CIR, cumulative incidence of relapse. </w:t>
      </w:r>
    </w:p>
    <w:p w14:paraId="5868EA07" w14:textId="77777777" w:rsidR="00D75293" w:rsidRPr="001B350D" w:rsidRDefault="00D75293">
      <w:pPr>
        <w:ind w:firstLine="0"/>
        <w:rPr>
          <w:sz w:val="20"/>
          <w:szCs w:val="20"/>
        </w:rPr>
        <w:sectPr w:rsidR="00D75293" w:rsidRPr="001B350D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</w:p>
    <w:p w14:paraId="624B901F" w14:textId="24F5354B" w:rsidR="001B350D" w:rsidRDefault="001B350D" w:rsidP="001B350D">
      <w:pPr>
        <w:ind w:firstLine="0"/>
        <w:jc w:val="left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drawing>
          <wp:inline distT="0" distB="0" distL="0" distR="0" wp14:anchorId="1FADEC18" wp14:editId="3BF1A5BB">
            <wp:extent cx="5265420" cy="1432560"/>
            <wp:effectExtent l="0" t="0" r="0" b="0"/>
            <wp:docPr id="2755106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A3E12" w14:textId="77F7A95B" w:rsidR="001B350D" w:rsidRPr="001B350D" w:rsidRDefault="001B350D" w:rsidP="001B350D">
      <w:pPr>
        <w:ind w:firstLine="0"/>
        <w:jc w:val="left"/>
        <w:rPr>
          <w:sz w:val="20"/>
          <w:szCs w:val="20"/>
        </w:rPr>
      </w:pPr>
      <w:r w:rsidRPr="001B350D">
        <w:rPr>
          <w:b/>
          <w:sz w:val="20"/>
          <w:szCs w:val="20"/>
        </w:rPr>
        <w:t>Online Resource 3. Comparative long-term outcomes between CBF-AML and non-CBF-AML</w:t>
      </w:r>
      <w:r w:rsidRPr="001B350D">
        <w:rPr>
          <w:sz w:val="20"/>
          <w:szCs w:val="20"/>
        </w:rPr>
        <w:br/>
        <w:t>Kaplan–Meier estimates for (</w:t>
      </w:r>
      <w:r>
        <w:rPr>
          <w:sz w:val="20"/>
          <w:szCs w:val="20"/>
        </w:rPr>
        <w:t>a</w:t>
      </w:r>
      <w:r w:rsidRPr="001B350D">
        <w:rPr>
          <w:sz w:val="20"/>
          <w:szCs w:val="20"/>
        </w:rPr>
        <w:t>) event-free survival (EFS), (</w:t>
      </w:r>
      <w:r>
        <w:rPr>
          <w:sz w:val="20"/>
          <w:szCs w:val="20"/>
        </w:rPr>
        <w:t>b</w:t>
      </w:r>
      <w:r w:rsidRPr="001B350D">
        <w:rPr>
          <w:sz w:val="20"/>
          <w:szCs w:val="20"/>
        </w:rPr>
        <w:t>) overall survival (OS), and (</w:t>
      </w:r>
      <w:r>
        <w:rPr>
          <w:sz w:val="20"/>
          <w:szCs w:val="20"/>
        </w:rPr>
        <w:t>c</w:t>
      </w:r>
      <w:r w:rsidRPr="001B350D">
        <w:rPr>
          <w:sz w:val="20"/>
          <w:szCs w:val="20"/>
        </w:rPr>
        <w:t>) cumulative incidence of relapse (CIR).</w:t>
      </w:r>
    </w:p>
    <w:p w14:paraId="438BF947" w14:textId="77777777" w:rsidR="001B350D" w:rsidRPr="001B350D" w:rsidRDefault="001B350D" w:rsidP="001B350D">
      <w:pPr>
        <w:ind w:firstLine="0"/>
        <w:jc w:val="left"/>
        <w:rPr>
          <w:sz w:val="20"/>
          <w:szCs w:val="20"/>
        </w:rPr>
      </w:pPr>
      <w:r w:rsidRPr="001B350D">
        <w:rPr>
          <w:sz w:val="20"/>
          <w:szCs w:val="20"/>
        </w:rPr>
        <w:t xml:space="preserve">CBF-AML (n = 289) </w:t>
      </w:r>
      <w:r w:rsidRPr="001B350D">
        <w:rPr>
          <w:i/>
          <w:sz w:val="20"/>
          <w:szCs w:val="20"/>
        </w:rPr>
        <w:t xml:space="preserve">vs. </w:t>
      </w:r>
      <w:r w:rsidRPr="001B350D">
        <w:rPr>
          <w:sz w:val="20"/>
          <w:szCs w:val="20"/>
        </w:rPr>
        <w:t>non-CBF-AML (n = 586):</w:t>
      </w:r>
    </w:p>
    <w:p w14:paraId="6BE6F03B" w14:textId="77777777" w:rsidR="001B350D" w:rsidRPr="001B350D" w:rsidRDefault="001B350D" w:rsidP="001B350D">
      <w:pPr>
        <w:numPr>
          <w:ilvl w:val="0"/>
          <w:numId w:val="3"/>
        </w:numPr>
        <w:jc w:val="left"/>
        <w:rPr>
          <w:sz w:val="20"/>
          <w:szCs w:val="20"/>
        </w:rPr>
      </w:pPr>
      <w:r w:rsidRPr="001B350D">
        <w:rPr>
          <w:sz w:val="20"/>
          <w:szCs w:val="20"/>
        </w:rPr>
        <w:t xml:space="preserve">EFS: 5-year 80.7% ± 2.4% </w:t>
      </w:r>
      <w:r w:rsidRPr="001B350D">
        <w:rPr>
          <w:i/>
          <w:sz w:val="20"/>
          <w:szCs w:val="20"/>
        </w:rPr>
        <w:t>vs.</w:t>
      </w:r>
      <w:r w:rsidRPr="001B350D">
        <w:rPr>
          <w:sz w:val="20"/>
          <w:szCs w:val="20"/>
        </w:rPr>
        <w:t xml:space="preserve"> 60.9% ± 2.2% (</w:t>
      </w:r>
      <w:r w:rsidRPr="001B350D">
        <w:rPr>
          <w:i/>
          <w:sz w:val="20"/>
          <w:szCs w:val="20"/>
        </w:rPr>
        <w:t>P</w:t>
      </w:r>
      <w:r w:rsidRPr="001B350D">
        <w:rPr>
          <w:sz w:val="20"/>
          <w:szCs w:val="20"/>
        </w:rPr>
        <w:t xml:space="preserve"> &lt; 0.001, log-rank)</w:t>
      </w:r>
    </w:p>
    <w:p w14:paraId="159B06AA" w14:textId="77777777" w:rsidR="001B350D" w:rsidRPr="001B350D" w:rsidRDefault="001B350D" w:rsidP="001B350D">
      <w:pPr>
        <w:numPr>
          <w:ilvl w:val="0"/>
          <w:numId w:val="3"/>
        </w:numPr>
        <w:jc w:val="left"/>
        <w:rPr>
          <w:sz w:val="20"/>
          <w:szCs w:val="20"/>
        </w:rPr>
      </w:pPr>
      <w:r w:rsidRPr="001B350D">
        <w:rPr>
          <w:sz w:val="20"/>
          <w:szCs w:val="20"/>
        </w:rPr>
        <w:t xml:space="preserve">OS: 5-year 87.2% ± 2.1% </w:t>
      </w:r>
      <w:r w:rsidRPr="001B350D">
        <w:rPr>
          <w:i/>
          <w:sz w:val="20"/>
          <w:szCs w:val="20"/>
        </w:rPr>
        <w:t>vs.</w:t>
      </w:r>
      <w:r w:rsidRPr="001B350D">
        <w:rPr>
          <w:sz w:val="20"/>
          <w:szCs w:val="20"/>
        </w:rPr>
        <w:t xml:space="preserve"> 72.5% ± 2.0% (</w:t>
      </w:r>
      <w:r w:rsidRPr="001B350D">
        <w:rPr>
          <w:i/>
          <w:sz w:val="20"/>
          <w:szCs w:val="20"/>
        </w:rPr>
        <w:t>P</w:t>
      </w:r>
      <w:r w:rsidRPr="001B350D">
        <w:rPr>
          <w:sz w:val="20"/>
          <w:szCs w:val="20"/>
        </w:rPr>
        <w:t xml:space="preserve"> &lt; 0.001, log-rank)</w:t>
      </w:r>
    </w:p>
    <w:p w14:paraId="775B6BB7" w14:textId="77777777" w:rsidR="001B350D" w:rsidRPr="001B350D" w:rsidRDefault="001B350D" w:rsidP="001B350D">
      <w:pPr>
        <w:numPr>
          <w:ilvl w:val="0"/>
          <w:numId w:val="3"/>
        </w:numPr>
        <w:jc w:val="left"/>
        <w:rPr>
          <w:sz w:val="20"/>
          <w:szCs w:val="20"/>
        </w:rPr>
      </w:pPr>
      <w:r w:rsidRPr="001B350D">
        <w:rPr>
          <w:sz w:val="20"/>
          <w:szCs w:val="20"/>
        </w:rPr>
        <w:t xml:space="preserve">CIR: 9.9% ± 1.9% </w:t>
      </w:r>
      <w:r w:rsidRPr="001B350D">
        <w:rPr>
          <w:i/>
          <w:sz w:val="20"/>
          <w:szCs w:val="20"/>
        </w:rPr>
        <w:t>vs.</w:t>
      </w:r>
      <w:r w:rsidRPr="001B350D">
        <w:rPr>
          <w:sz w:val="20"/>
          <w:szCs w:val="20"/>
        </w:rPr>
        <w:t xml:space="preserve"> 25.1% ± 2.1% (</w:t>
      </w:r>
      <w:r w:rsidRPr="001B350D">
        <w:rPr>
          <w:i/>
          <w:sz w:val="20"/>
          <w:szCs w:val="20"/>
        </w:rPr>
        <w:t>P</w:t>
      </w:r>
      <w:r w:rsidRPr="001B350D">
        <w:rPr>
          <w:sz w:val="20"/>
          <w:szCs w:val="20"/>
        </w:rPr>
        <w:t xml:space="preserve"> &lt; 0.001, Gray’s test)</w:t>
      </w:r>
    </w:p>
    <w:p w14:paraId="09404205" w14:textId="77777777" w:rsidR="001B350D" w:rsidRPr="001B350D" w:rsidRDefault="001B350D" w:rsidP="001B350D">
      <w:pPr>
        <w:ind w:firstLine="0"/>
        <w:jc w:val="left"/>
        <w:rPr>
          <w:sz w:val="20"/>
          <w:szCs w:val="20"/>
        </w:rPr>
      </w:pPr>
      <w:r w:rsidRPr="001B350D">
        <w:rPr>
          <w:sz w:val="20"/>
          <w:szCs w:val="20"/>
        </w:rPr>
        <w:t>Significant differences were observed between the endpoints. Error bars/ribbons represent ±1 standard error.</w:t>
      </w:r>
    </w:p>
    <w:p w14:paraId="3EEC287E" w14:textId="77777777" w:rsidR="001B350D" w:rsidRDefault="001B350D">
      <w:pPr>
        <w:widowControl/>
        <w:spacing w:line="240" w:lineRule="auto"/>
        <w:ind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BE6FFFC" w14:textId="301F6180" w:rsidR="00D75293" w:rsidRPr="001B350D" w:rsidRDefault="00000000">
      <w:pPr>
        <w:ind w:firstLine="0"/>
        <w:rPr>
          <w:sz w:val="20"/>
          <w:szCs w:val="20"/>
        </w:rPr>
      </w:pPr>
      <w:r w:rsidRPr="001B350D">
        <w:rPr>
          <w:b/>
          <w:sz w:val="20"/>
          <w:szCs w:val="20"/>
        </w:rPr>
        <w:lastRenderedPageBreak/>
        <w:t xml:space="preserve">Online Resource 4. </w:t>
      </w:r>
      <w:r w:rsidRPr="001B350D">
        <w:rPr>
          <w:sz w:val="20"/>
          <w:szCs w:val="20"/>
        </w:rPr>
        <w:t xml:space="preserve">Clinical characteristics of CBF-AML with and without </w:t>
      </w:r>
      <w:r w:rsidRPr="001B350D">
        <w:rPr>
          <w:i/>
          <w:sz w:val="20"/>
          <w:szCs w:val="20"/>
        </w:rPr>
        <w:t xml:space="preserve">KIT </w:t>
      </w:r>
      <w:r w:rsidRPr="001B350D">
        <w:rPr>
          <w:sz w:val="20"/>
          <w:szCs w:val="20"/>
        </w:rPr>
        <w:t>mutations</w:t>
      </w:r>
    </w:p>
    <w:tbl>
      <w:tblPr>
        <w:tblStyle w:val="10"/>
        <w:tblW w:w="8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9"/>
        <w:gridCol w:w="2301"/>
        <w:gridCol w:w="1985"/>
        <w:gridCol w:w="938"/>
      </w:tblGrid>
      <w:tr w:rsidR="00963305" w:rsidRPr="001B350D" w14:paraId="1F396343" w14:textId="77777777">
        <w:tc>
          <w:tcPr>
            <w:tcW w:w="3449" w:type="dxa"/>
            <w:tcBorders>
              <w:top w:val="single" w:sz="4" w:space="0" w:color="auto"/>
              <w:bottom w:val="single" w:sz="4" w:space="0" w:color="auto"/>
            </w:tcBorders>
          </w:tcPr>
          <w:p w14:paraId="77F74088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Characteristic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</w:tcPr>
          <w:p w14:paraId="6373A760" w14:textId="77777777" w:rsidR="00D75293" w:rsidRPr="001B350D" w:rsidRDefault="00000000">
            <w:pPr>
              <w:snapToGrid w:val="0"/>
              <w:spacing w:line="480" w:lineRule="auto"/>
              <w:ind w:firstLine="0"/>
              <w:jc w:val="left"/>
              <w:rPr>
                <w:sz w:val="20"/>
                <w:szCs w:val="20"/>
              </w:rPr>
            </w:pPr>
            <w:r w:rsidRPr="001B350D">
              <w:rPr>
                <w:i/>
                <w:sz w:val="20"/>
                <w:szCs w:val="20"/>
              </w:rPr>
              <w:t>KIT</w:t>
            </w:r>
            <w:r w:rsidRPr="001B350D">
              <w:rPr>
                <w:sz w:val="20"/>
                <w:szCs w:val="20"/>
              </w:rPr>
              <w:t>-mut (n = 103)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E90562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i/>
                <w:sz w:val="20"/>
                <w:szCs w:val="20"/>
              </w:rPr>
            </w:pPr>
            <w:r w:rsidRPr="001B350D">
              <w:rPr>
                <w:i/>
                <w:sz w:val="20"/>
                <w:szCs w:val="20"/>
              </w:rPr>
              <w:t>KIT</w:t>
            </w:r>
            <w:r w:rsidRPr="001B350D">
              <w:rPr>
                <w:sz w:val="20"/>
                <w:szCs w:val="20"/>
              </w:rPr>
              <w:t>-wt (n = 186)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14:paraId="148075F1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i/>
                <w:sz w:val="20"/>
                <w:szCs w:val="20"/>
              </w:rPr>
              <w:t xml:space="preserve">P </w:t>
            </w:r>
            <w:r w:rsidRPr="001B350D">
              <w:rPr>
                <w:sz w:val="20"/>
                <w:szCs w:val="20"/>
              </w:rPr>
              <w:t>value</w:t>
            </w:r>
          </w:p>
        </w:tc>
      </w:tr>
      <w:tr w:rsidR="00963305" w:rsidRPr="001B350D" w14:paraId="5F928FDB" w14:textId="77777777">
        <w:tc>
          <w:tcPr>
            <w:tcW w:w="3449" w:type="dxa"/>
            <w:tcBorders>
              <w:top w:val="single" w:sz="4" w:space="0" w:color="auto"/>
            </w:tcBorders>
          </w:tcPr>
          <w:p w14:paraId="77A1CA77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Chimera transcript type, n (%)</w:t>
            </w:r>
          </w:p>
        </w:tc>
        <w:tc>
          <w:tcPr>
            <w:tcW w:w="2301" w:type="dxa"/>
            <w:tcBorders>
              <w:top w:val="single" w:sz="4" w:space="0" w:color="auto"/>
            </w:tcBorders>
          </w:tcPr>
          <w:p w14:paraId="14E1423A" w14:textId="77777777" w:rsidR="00D75293" w:rsidRPr="001B350D" w:rsidRDefault="00D75293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0B65C73" w14:textId="77777777" w:rsidR="00D75293" w:rsidRPr="001B350D" w:rsidRDefault="00D75293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</w:tcBorders>
          </w:tcPr>
          <w:p w14:paraId="0F057628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0.902</w:t>
            </w:r>
          </w:p>
        </w:tc>
      </w:tr>
      <w:tr w:rsidR="00963305" w:rsidRPr="001B350D" w14:paraId="4C5C391E" w14:textId="77777777">
        <w:tc>
          <w:tcPr>
            <w:tcW w:w="3449" w:type="dxa"/>
          </w:tcPr>
          <w:p w14:paraId="14A5AEA9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i/>
                <w:sz w:val="20"/>
                <w:szCs w:val="20"/>
              </w:rPr>
            </w:pPr>
            <w:r w:rsidRPr="001B350D">
              <w:rPr>
                <w:i/>
                <w:sz w:val="20"/>
                <w:szCs w:val="20"/>
              </w:rPr>
              <w:t xml:space="preserve">    RUNX1::RUNX1T1</w:t>
            </w:r>
          </w:p>
        </w:tc>
        <w:tc>
          <w:tcPr>
            <w:tcW w:w="2301" w:type="dxa"/>
          </w:tcPr>
          <w:p w14:paraId="332A44AA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82 (79.6)</w:t>
            </w:r>
          </w:p>
        </w:tc>
        <w:tc>
          <w:tcPr>
            <w:tcW w:w="1985" w:type="dxa"/>
          </w:tcPr>
          <w:p w14:paraId="7798FB3B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149 (80.1)</w:t>
            </w:r>
          </w:p>
        </w:tc>
        <w:tc>
          <w:tcPr>
            <w:tcW w:w="938" w:type="dxa"/>
          </w:tcPr>
          <w:p w14:paraId="42EAFF98" w14:textId="77777777" w:rsidR="00D75293" w:rsidRPr="001B350D" w:rsidRDefault="00D75293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</w:p>
        </w:tc>
      </w:tr>
      <w:tr w:rsidR="00963305" w:rsidRPr="001B350D" w14:paraId="17A1D28E" w14:textId="77777777">
        <w:tc>
          <w:tcPr>
            <w:tcW w:w="3449" w:type="dxa"/>
          </w:tcPr>
          <w:p w14:paraId="09081802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i/>
                <w:sz w:val="20"/>
                <w:szCs w:val="20"/>
              </w:rPr>
            </w:pPr>
            <w:r w:rsidRPr="001B350D">
              <w:rPr>
                <w:i/>
                <w:sz w:val="20"/>
                <w:szCs w:val="20"/>
              </w:rPr>
              <w:t xml:space="preserve">    CBFβ::MYH11</w:t>
            </w:r>
          </w:p>
        </w:tc>
        <w:tc>
          <w:tcPr>
            <w:tcW w:w="2301" w:type="dxa"/>
          </w:tcPr>
          <w:p w14:paraId="168DAB9E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21 (20.4)</w:t>
            </w:r>
          </w:p>
        </w:tc>
        <w:tc>
          <w:tcPr>
            <w:tcW w:w="1985" w:type="dxa"/>
          </w:tcPr>
          <w:p w14:paraId="53FD8A4A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37 (19.9)</w:t>
            </w:r>
          </w:p>
        </w:tc>
        <w:tc>
          <w:tcPr>
            <w:tcW w:w="938" w:type="dxa"/>
          </w:tcPr>
          <w:p w14:paraId="40AF1412" w14:textId="77777777" w:rsidR="00D75293" w:rsidRPr="001B350D" w:rsidRDefault="00D75293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</w:p>
        </w:tc>
      </w:tr>
      <w:tr w:rsidR="00963305" w:rsidRPr="001B350D" w14:paraId="09B4AF19" w14:textId="77777777">
        <w:tc>
          <w:tcPr>
            <w:tcW w:w="3449" w:type="dxa"/>
          </w:tcPr>
          <w:p w14:paraId="36174729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Age, months</w:t>
            </w:r>
          </w:p>
        </w:tc>
        <w:tc>
          <w:tcPr>
            <w:tcW w:w="2301" w:type="dxa"/>
          </w:tcPr>
          <w:p w14:paraId="3611C4DD" w14:textId="77777777" w:rsidR="00D75293" w:rsidRPr="001B350D" w:rsidRDefault="00D75293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2BA2B60" w14:textId="77777777" w:rsidR="00D75293" w:rsidRPr="001B350D" w:rsidRDefault="00D75293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14:paraId="1B1EDA98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0.901</w:t>
            </w:r>
          </w:p>
        </w:tc>
      </w:tr>
      <w:tr w:rsidR="00963305" w:rsidRPr="001B350D" w14:paraId="16803490" w14:textId="77777777">
        <w:tc>
          <w:tcPr>
            <w:tcW w:w="3449" w:type="dxa"/>
          </w:tcPr>
          <w:p w14:paraId="73ADF632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    Median</w:t>
            </w:r>
          </w:p>
        </w:tc>
        <w:tc>
          <w:tcPr>
            <w:tcW w:w="2301" w:type="dxa"/>
          </w:tcPr>
          <w:p w14:paraId="73CACB21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78</w:t>
            </w:r>
          </w:p>
        </w:tc>
        <w:tc>
          <w:tcPr>
            <w:tcW w:w="1985" w:type="dxa"/>
          </w:tcPr>
          <w:p w14:paraId="45DFB1A4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93</w:t>
            </w:r>
          </w:p>
        </w:tc>
        <w:tc>
          <w:tcPr>
            <w:tcW w:w="938" w:type="dxa"/>
          </w:tcPr>
          <w:p w14:paraId="31AEB5C6" w14:textId="77777777" w:rsidR="00D75293" w:rsidRPr="001B350D" w:rsidRDefault="00D75293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</w:p>
        </w:tc>
      </w:tr>
      <w:tr w:rsidR="00963305" w:rsidRPr="001B350D" w14:paraId="4BEAA31E" w14:textId="77777777">
        <w:tc>
          <w:tcPr>
            <w:tcW w:w="3449" w:type="dxa"/>
          </w:tcPr>
          <w:p w14:paraId="4F6D44AA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    Range</w:t>
            </w:r>
          </w:p>
        </w:tc>
        <w:tc>
          <w:tcPr>
            <w:tcW w:w="2301" w:type="dxa"/>
          </w:tcPr>
          <w:p w14:paraId="2DF00B1F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10–168</w:t>
            </w:r>
          </w:p>
        </w:tc>
        <w:tc>
          <w:tcPr>
            <w:tcW w:w="1985" w:type="dxa"/>
          </w:tcPr>
          <w:p w14:paraId="6CE7642C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7–168</w:t>
            </w:r>
          </w:p>
        </w:tc>
        <w:tc>
          <w:tcPr>
            <w:tcW w:w="938" w:type="dxa"/>
          </w:tcPr>
          <w:p w14:paraId="03FAE9DE" w14:textId="77777777" w:rsidR="00D75293" w:rsidRPr="001B350D" w:rsidRDefault="00D75293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</w:p>
        </w:tc>
      </w:tr>
      <w:tr w:rsidR="00963305" w:rsidRPr="001B350D" w14:paraId="7CA7D424" w14:textId="77777777">
        <w:tc>
          <w:tcPr>
            <w:tcW w:w="3449" w:type="dxa"/>
          </w:tcPr>
          <w:p w14:paraId="03809BF4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Sex, n (%)</w:t>
            </w:r>
          </w:p>
        </w:tc>
        <w:tc>
          <w:tcPr>
            <w:tcW w:w="2301" w:type="dxa"/>
          </w:tcPr>
          <w:p w14:paraId="77EBA240" w14:textId="77777777" w:rsidR="00D75293" w:rsidRPr="001B350D" w:rsidRDefault="00D75293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5BC5D73" w14:textId="77777777" w:rsidR="00D75293" w:rsidRPr="001B350D" w:rsidRDefault="00D75293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14:paraId="4659C358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0.772</w:t>
            </w:r>
          </w:p>
        </w:tc>
      </w:tr>
      <w:tr w:rsidR="00963305" w:rsidRPr="001B350D" w14:paraId="215B3DA8" w14:textId="77777777">
        <w:tc>
          <w:tcPr>
            <w:tcW w:w="3449" w:type="dxa"/>
          </w:tcPr>
          <w:p w14:paraId="4D826CBA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   Male</w:t>
            </w:r>
          </w:p>
        </w:tc>
        <w:tc>
          <w:tcPr>
            <w:tcW w:w="2301" w:type="dxa"/>
          </w:tcPr>
          <w:p w14:paraId="1F91FAF5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61 (59.2)</w:t>
            </w:r>
          </w:p>
        </w:tc>
        <w:tc>
          <w:tcPr>
            <w:tcW w:w="1985" w:type="dxa"/>
          </w:tcPr>
          <w:p w14:paraId="3E55453F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113 (60.8)</w:t>
            </w:r>
          </w:p>
        </w:tc>
        <w:tc>
          <w:tcPr>
            <w:tcW w:w="938" w:type="dxa"/>
          </w:tcPr>
          <w:p w14:paraId="684E5D39" w14:textId="77777777" w:rsidR="00D75293" w:rsidRPr="001B350D" w:rsidRDefault="00D75293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</w:p>
        </w:tc>
      </w:tr>
      <w:tr w:rsidR="00963305" w:rsidRPr="001B350D" w14:paraId="03422081" w14:textId="77777777">
        <w:tc>
          <w:tcPr>
            <w:tcW w:w="3449" w:type="dxa"/>
          </w:tcPr>
          <w:p w14:paraId="445929BA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   Female</w:t>
            </w:r>
          </w:p>
        </w:tc>
        <w:tc>
          <w:tcPr>
            <w:tcW w:w="2301" w:type="dxa"/>
          </w:tcPr>
          <w:p w14:paraId="2BA29A4A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42 (40.8)</w:t>
            </w:r>
          </w:p>
        </w:tc>
        <w:tc>
          <w:tcPr>
            <w:tcW w:w="1985" w:type="dxa"/>
          </w:tcPr>
          <w:p w14:paraId="1805DAEF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73 (39.2)</w:t>
            </w:r>
          </w:p>
        </w:tc>
        <w:tc>
          <w:tcPr>
            <w:tcW w:w="938" w:type="dxa"/>
          </w:tcPr>
          <w:p w14:paraId="33ACB254" w14:textId="77777777" w:rsidR="00D75293" w:rsidRPr="001B350D" w:rsidRDefault="00D75293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</w:p>
        </w:tc>
      </w:tr>
      <w:tr w:rsidR="00963305" w:rsidRPr="001B350D" w14:paraId="60F879E2" w14:textId="77777777">
        <w:tc>
          <w:tcPr>
            <w:tcW w:w="3449" w:type="dxa"/>
          </w:tcPr>
          <w:p w14:paraId="1AE59C21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Extramedullary, n (%)</w:t>
            </w:r>
          </w:p>
        </w:tc>
        <w:tc>
          <w:tcPr>
            <w:tcW w:w="2301" w:type="dxa"/>
          </w:tcPr>
          <w:p w14:paraId="75A3585B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27 (26.2)</w:t>
            </w:r>
          </w:p>
        </w:tc>
        <w:tc>
          <w:tcPr>
            <w:tcW w:w="1985" w:type="dxa"/>
          </w:tcPr>
          <w:p w14:paraId="16819F03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24 (13.3)</w:t>
            </w:r>
          </w:p>
        </w:tc>
        <w:tc>
          <w:tcPr>
            <w:tcW w:w="938" w:type="dxa"/>
          </w:tcPr>
          <w:p w14:paraId="05BDE4A0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0.004</w:t>
            </w:r>
          </w:p>
        </w:tc>
      </w:tr>
      <w:tr w:rsidR="00963305" w:rsidRPr="001B350D" w14:paraId="32201D36" w14:textId="77777777">
        <w:tc>
          <w:tcPr>
            <w:tcW w:w="3449" w:type="dxa"/>
          </w:tcPr>
          <w:p w14:paraId="3768AFF0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WBC, ×10</w:t>
            </w:r>
            <w:r w:rsidRPr="001B350D">
              <w:rPr>
                <w:sz w:val="20"/>
                <w:szCs w:val="20"/>
                <w:vertAlign w:val="superscript"/>
              </w:rPr>
              <w:t>9</w:t>
            </w:r>
            <w:r w:rsidRPr="001B350D">
              <w:rPr>
                <w:sz w:val="20"/>
                <w:szCs w:val="20"/>
              </w:rPr>
              <w:t>/L</w:t>
            </w:r>
          </w:p>
        </w:tc>
        <w:tc>
          <w:tcPr>
            <w:tcW w:w="2301" w:type="dxa"/>
          </w:tcPr>
          <w:p w14:paraId="4632660D" w14:textId="77777777" w:rsidR="00D75293" w:rsidRPr="001B350D" w:rsidRDefault="00D75293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681CEBA" w14:textId="77777777" w:rsidR="00D75293" w:rsidRPr="001B350D" w:rsidRDefault="00D75293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14:paraId="0CE46C6C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0.623</w:t>
            </w:r>
          </w:p>
        </w:tc>
      </w:tr>
      <w:tr w:rsidR="00963305" w:rsidRPr="001B350D" w14:paraId="495CD171" w14:textId="77777777">
        <w:tc>
          <w:tcPr>
            <w:tcW w:w="3449" w:type="dxa"/>
          </w:tcPr>
          <w:p w14:paraId="150D8061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    Median</w:t>
            </w:r>
          </w:p>
        </w:tc>
        <w:tc>
          <w:tcPr>
            <w:tcW w:w="2301" w:type="dxa"/>
          </w:tcPr>
          <w:p w14:paraId="4202C1F6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21.2</w:t>
            </w:r>
          </w:p>
        </w:tc>
        <w:tc>
          <w:tcPr>
            <w:tcW w:w="1985" w:type="dxa"/>
          </w:tcPr>
          <w:p w14:paraId="7ED7C119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20.1</w:t>
            </w:r>
          </w:p>
        </w:tc>
        <w:tc>
          <w:tcPr>
            <w:tcW w:w="938" w:type="dxa"/>
          </w:tcPr>
          <w:p w14:paraId="3617C7E8" w14:textId="77777777" w:rsidR="00D75293" w:rsidRPr="001B350D" w:rsidRDefault="00D75293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</w:p>
        </w:tc>
      </w:tr>
      <w:tr w:rsidR="00963305" w:rsidRPr="001B350D" w14:paraId="7769F444" w14:textId="77777777">
        <w:tc>
          <w:tcPr>
            <w:tcW w:w="3449" w:type="dxa"/>
          </w:tcPr>
          <w:p w14:paraId="08DBC4CE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    Range</w:t>
            </w:r>
          </w:p>
        </w:tc>
        <w:tc>
          <w:tcPr>
            <w:tcW w:w="2301" w:type="dxa"/>
          </w:tcPr>
          <w:p w14:paraId="7219C3C3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0.1–390</w:t>
            </w:r>
          </w:p>
        </w:tc>
        <w:tc>
          <w:tcPr>
            <w:tcW w:w="1985" w:type="dxa"/>
          </w:tcPr>
          <w:p w14:paraId="61780121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1–293.4</w:t>
            </w:r>
          </w:p>
        </w:tc>
        <w:tc>
          <w:tcPr>
            <w:tcW w:w="938" w:type="dxa"/>
          </w:tcPr>
          <w:p w14:paraId="53D04167" w14:textId="77777777" w:rsidR="00D75293" w:rsidRPr="001B350D" w:rsidRDefault="00D75293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</w:p>
        </w:tc>
      </w:tr>
      <w:tr w:rsidR="00963305" w:rsidRPr="001B350D" w14:paraId="5859C7D0" w14:textId="77777777">
        <w:tc>
          <w:tcPr>
            <w:tcW w:w="3449" w:type="dxa"/>
          </w:tcPr>
          <w:p w14:paraId="36CCCB77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Induction therapy, n (%)</w:t>
            </w:r>
          </w:p>
        </w:tc>
        <w:tc>
          <w:tcPr>
            <w:tcW w:w="2301" w:type="dxa"/>
          </w:tcPr>
          <w:p w14:paraId="69A66A52" w14:textId="77777777" w:rsidR="00D75293" w:rsidRPr="001B350D" w:rsidRDefault="00D75293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049C0AE" w14:textId="77777777" w:rsidR="00D75293" w:rsidRPr="001B350D" w:rsidRDefault="00D75293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14:paraId="1871947A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0.062</w:t>
            </w:r>
          </w:p>
        </w:tc>
      </w:tr>
      <w:tr w:rsidR="00963305" w:rsidRPr="001B350D" w14:paraId="7CB24BDA" w14:textId="77777777">
        <w:tc>
          <w:tcPr>
            <w:tcW w:w="3449" w:type="dxa"/>
          </w:tcPr>
          <w:p w14:paraId="075358F2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   FLAG-IDA</w:t>
            </w:r>
          </w:p>
        </w:tc>
        <w:tc>
          <w:tcPr>
            <w:tcW w:w="2301" w:type="dxa"/>
          </w:tcPr>
          <w:p w14:paraId="23880259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84 (81.6)</w:t>
            </w:r>
          </w:p>
        </w:tc>
        <w:tc>
          <w:tcPr>
            <w:tcW w:w="1985" w:type="dxa"/>
          </w:tcPr>
          <w:p w14:paraId="33CEE048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134 (72.0)</w:t>
            </w:r>
          </w:p>
        </w:tc>
        <w:tc>
          <w:tcPr>
            <w:tcW w:w="938" w:type="dxa"/>
          </w:tcPr>
          <w:p w14:paraId="227EFCBB" w14:textId="77777777" w:rsidR="00D75293" w:rsidRPr="001B350D" w:rsidRDefault="00D75293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</w:p>
        </w:tc>
      </w:tr>
      <w:tr w:rsidR="00963305" w:rsidRPr="001B350D" w14:paraId="6217CD2A" w14:textId="77777777">
        <w:tc>
          <w:tcPr>
            <w:tcW w:w="3449" w:type="dxa"/>
          </w:tcPr>
          <w:p w14:paraId="5F14D3B1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   DAE</w:t>
            </w:r>
          </w:p>
        </w:tc>
        <w:tc>
          <w:tcPr>
            <w:tcW w:w="2301" w:type="dxa"/>
          </w:tcPr>
          <w:p w14:paraId="3D0A23EA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19 (18.4)</w:t>
            </w:r>
          </w:p>
        </w:tc>
        <w:tc>
          <w:tcPr>
            <w:tcW w:w="1985" w:type="dxa"/>
          </w:tcPr>
          <w:p w14:paraId="49109017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52 (28.0)</w:t>
            </w:r>
          </w:p>
        </w:tc>
        <w:tc>
          <w:tcPr>
            <w:tcW w:w="938" w:type="dxa"/>
          </w:tcPr>
          <w:p w14:paraId="1B749228" w14:textId="77777777" w:rsidR="00D75293" w:rsidRPr="001B350D" w:rsidRDefault="00D75293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</w:p>
        </w:tc>
      </w:tr>
      <w:tr w:rsidR="00963305" w:rsidRPr="001B350D" w14:paraId="617A41D4" w14:textId="77777777">
        <w:tc>
          <w:tcPr>
            <w:tcW w:w="5750" w:type="dxa"/>
            <w:gridSpan w:val="2"/>
          </w:tcPr>
          <w:p w14:paraId="4626ACC8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Additional cytogenetic abnormalities (n = 278), n/N (%)</w:t>
            </w:r>
          </w:p>
        </w:tc>
        <w:tc>
          <w:tcPr>
            <w:tcW w:w="1985" w:type="dxa"/>
          </w:tcPr>
          <w:p w14:paraId="54BF5D68" w14:textId="77777777" w:rsidR="00D75293" w:rsidRPr="001B350D" w:rsidRDefault="00D75293">
            <w:pPr>
              <w:snapToGrid w:val="0"/>
              <w:spacing w:line="48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</w:tcPr>
          <w:p w14:paraId="4C6F3613" w14:textId="77777777" w:rsidR="00D75293" w:rsidRPr="001B350D" w:rsidRDefault="00D75293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</w:p>
        </w:tc>
      </w:tr>
      <w:tr w:rsidR="00963305" w:rsidRPr="001B350D" w14:paraId="468A3A85" w14:textId="77777777">
        <w:tc>
          <w:tcPr>
            <w:tcW w:w="3449" w:type="dxa"/>
          </w:tcPr>
          <w:p w14:paraId="2A3C546F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   Loss of X/Y</w:t>
            </w:r>
          </w:p>
        </w:tc>
        <w:tc>
          <w:tcPr>
            <w:tcW w:w="2301" w:type="dxa"/>
          </w:tcPr>
          <w:p w14:paraId="677FE7CF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36/98 (36.7)</w:t>
            </w:r>
          </w:p>
        </w:tc>
        <w:tc>
          <w:tcPr>
            <w:tcW w:w="1985" w:type="dxa"/>
          </w:tcPr>
          <w:p w14:paraId="30ECE6F6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42/180 (23.3)</w:t>
            </w:r>
          </w:p>
        </w:tc>
        <w:tc>
          <w:tcPr>
            <w:tcW w:w="938" w:type="dxa"/>
          </w:tcPr>
          <w:p w14:paraId="0B654163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0.017</w:t>
            </w:r>
          </w:p>
        </w:tc>
      </w:tr>
      <w:tr w:rsidR="00963305" w:rsidRPr="001B350D" w14:paraId="3C58928B" w14:textId="77777777">
        <w:tc>
          <w:tcPr>
            <w:tcW w:w="3449" w:type="dxa"/>
          </w:tcPr>
          <w:p w14:paraId="3FF3EC10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   Trisomy 4</w:t>
            </w:r>
          </w:p>
        </w:tc>
        <w:tc>
          <w:tcPr>
            <w:tcW w:w="2301" w:type="dxa"/>
          </w:tcPr>
          <w:p w14:paraId="0BB4034C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7/98 (7.1)</w:t>
            </w:r>
          </w:p>
        </w:tc>
        <w:tc>
          <w:tcPr>
            <w:tcW w:w="1985" w:type="dxa"/>
            <w:vAlign w:val="center"/>
          </w:tcPr>
          <w:p w14:paraId="13EF3A27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0/180 (0)</w:t>
            </w:r>
          </w:p>
        </w:tc>
        <w:tc>
          <w:tcPr>
            <w:tcW w:w="938" w:type="dxa"/>
          </w:tcPr>
          <w:p w14:paraId="5B969ED7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0.001</w:t>
            </w:r>
          </w:p>
        </w:tc>
      </w:tr>
      <w:tr w:rsidR="00963305" w:rsidRPr="001B350D" w14:paraId="11A37FD5" w14:textId="77777777">
        <w:tc>
          <w:tcPr>
            <w:tcW w:w="3449" w:type="dxa"/>
          </w:tcPr>
          <w:p w14:paraId="2CFAC2AD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   Trisomy 22</w:t>
            </w:r>
          </w:p>
        </w:tc>
        <w:tc>
          <w:tcPr>
            <w:tcW w:w="2301" w:type="dxa"/>
          </w:tcPr>
          <w:p w14:paraId="2B0B3B12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4/98 (4.1)</w:t>
            </w:r>
          </w:p>
        </w:tc>
        <w:tc>
          <w:tcPr>
            <w:tcW w:w="1985" w:type="dxa"/>
            <w:vAlign w:val="center"/>
          </w:tcPr>
          <w:p w14:paraId="68E5DB4E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2/180 (1.1)</w:t>
            </w:r>
          </w:p>
        </w:tc>
        <w:tc>
          <w:tcPr>
            <w:tcW w:w="938" w:type="dxa"/>
          </w:tcPr>
          <w:p w14:paraId="551B4143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0.189</w:t>
            </w:r>
          </w:p>
        </w:tc>
      </w:tr>
      <w:tr w:rsidR="00963305" w:rsidRPr="001B350D" w14:paraId="28B16005" w14:textId="77777777">
        <w:tc>
          <w:tcPr>
            <w:tcW w:w="3449" w:type="dxa"/>
          </w:tcPr>
          <w:p w14:paraId="486BD5B6" w14:textId="77777777" w:rsidR="00D75293" w:rsidRPr="001B350D" w:rsidRDefault="00000000">
            <w:pPr>
              <w:snapToGrid w:val="0"/>
              <w:spacing w:line="480" w:lineRule="auto"/>
              <w:ind w:firstLine="240"/>
              <w:rPr>
                <w:i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del(9q)</w:t>
            </w:r>
          </w:p>
        </w:tc>
        <w:tc>
          <w:tcPr>
            <w:tcW w:w="2301" w:type="dxa"/>
          </w:tcPr>
          <w:p w14:paraId="6BF27DF5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2/98 (2.0)</w:t>
            </w:r>
          </w:p>
        </w:tc>
        <w:tc>
          <w:tcPr>
            <w:tcW w:w="1985" w:type="dxa"/>
            <w:vAlign w:val="center"/>
          </w:tcPr>
          <w:p w14:paraId="50D70DD9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10/180 (5.6)</w:t>
            </w:r>
          </w:p>
        </w:tc>
        <w:tc>
          <w:tcPr>
            <w:tcW w:w="938" w:type="dxa"/>
          </w:tcPr>
          <w:p w14:paraId="653B22C2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0.224</w:t>
            </w:r>
          </w:p>
        </w:tc>
      </w:tr>
      <w:tr w:rsidR="00963305" w:rsidRPr="001B350D" w14:paraId="16320EC7" w14:textId="77777777">
        <w:tc>
          <w:tcPr>
            <w:tcW w:w="3449" w:type="dxa"/>
            <w:tcBorders>
              <w:bottom w:val="single" w:sz="4" w:space="0" w:color="auto"/>
            </w:tcBorders>
          </w:tcPr>
          <w:p w14:paraId="37BD56BD" w14:textId="77777777" w:rsidR="00D75293" w:rsidRPr="001B350D" w:rsidRDefault="00000000">
            <w:pPr>
              <w:snapToGrid w:val="0"/>
              <w:spacing w:line="480" w:lineRule="auto"/>
              <w:ind w:firstLine="24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del(7q)/-7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14:paraId="75B56FF7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3/98 (3.1)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C9558BB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5/180 (2.8)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14:paraId="1879DD78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1.000</w:t>
            </w:r>
          </w:p>
        </w:tc>
      </w:tr>
    </w:tbl>
    <w:p w14:paraId="196D9507" w14:textId="77777777" w:rsidR="00D75293" w:rsidRPr="001B350D" w:rsidRDefault="00000000">
      <w:pPr>
        <w:widowControl/>
        <w:snapToGrid w:val="0"/>
        <w:spacing w:line="480" w:lineRule="auto"/>
        <w:ind w:firstLine="0"/>
        <w:jc w:val="left"/>
        <w:rPr>
          <w:sz w:val="20"/>
          <w:szCs w:val="20"/>
        </w:rPr>
      </w:pPr>
      <w:r w:rsidRPr="001B350D">
        <w:rPr>
          <w:sz w:val="20"/>
          <w:szCs w:val="20"/>
        </w:rPr>
        <w:t>Abbreviations: CBF-AML, core-binding factor acute myeloid leukemia; WBC, white blood cell; FLAG-IDA, fludarabine, cytarabine, granulocyte colony-stimulating factor, and idarubicin; DAE,</w:t>
      </w:r>
      <w:r w:rsidRPr="001B350D">
        <w:rPr>
          <w:b/>
          <w:sz w:val="20"/>
          <w:szCs w:val="20"/>
        </w:rPr>
        <w:t xml:space="preserve"> </w:t>
      </w:r>
      <w:r w:rsidRPr="001B350D">
        <w:rPr>
          <w:sz w:val="20"/>
          <w:szCs w:val="20"/>
        </w:rPr>
        <w:t>daunorubicin, cytarabine, etoposide.</w:t>
      </w:r>
    </w:p>
    <w:p w14:paraId="1BFAF1E1" w14:textId="77777777" w:rsidR="00D75293" w:rsidRPr="001B350D" w:rsidRDefault="00D75293">
      <w:pPr>
        <w:ind w:firstLine="0"/>
        <w:rPr>
          <w:b/>
          <w:sz w:val="20"/>
          <w:szCs w:val="20"/>
        </w:rPr>
        <w:sectPr w:rsidR="00D75293" w:rsidRPr="001B350D">
          <w:headerReference w:type="default" r:id="rId12"/>
          <w:footerReference w:type="defaul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51E1165" w14:textId="77777777" w:rsidR="00D75293" w:rsidRPr="001B350D" w:rsidRDefault="00000000">
      <w:pPr>
        <w:ind w:firstLine="0"/>
        <w:rPr>
          <w:sz w:val="20"/>
          <w:szCs w:val="20"/>
        </w:rPr>
      </w:pPr>
      <w:r w:rsidRPr="001B350D">
        <w:rPr>
          <w:b/>
          <w:sz w:val="20"/>
          <w:szCs w:val="20"/>
        </w:rPr>
        <w:lastRenderedPageBreak/>
        <w:t xml:space="preserve">Online Resource 5. </w:t>
      </w:r>
      <w:r w:rsidRPr="001B350D">
        <w:rPr>
          <w:sz w:val="20"/>
          <w:szCs w:val="20"/>
        </w:rPr>
        <w:t xml:space="preserve">Number of identified </w:t>
      </w:r>
      <w:r w:rsidRPr="001B350D">
        <w:rPr>
          <w:i/>
          <w:sz w:val="20"/>
          <w:szCs w:val="20"/>
        </w:rPr>
        <w:t>KIT</w:t>
      </w:r>
      <w:r w:rsidRPr="001B350D">
        <w:rPr>
          <w:sz w:val="20"/>
          <w:szCs w:val="20"/>
        </w:rPr>
        <w:t xml:space="preserve"> mutations in pediatric patients with CBF-AML</w:t>
      </w:r>
    </w:p>
    <w:tbl>
      <w:tblPr>
        <w:tblStyle w:val="11"/>
        <w:tblW w:w="52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7"/>
        <w:gridCol w:w="1223"/>
        <w:gridCol w:w="2181"/>
        <w:gridCol w:w="1600"/>
      </w:tblGrid>
      <w:tr w:rsidR="00963305" w:rsidRPr="001B350D" w14:paraId="2C65FD5D" w14:textId="77777777">
        <w:tc>
          <w:tcPr>
            <w:tcW w:w="3907" w:type="dxa"/>
            <w:tcBorders>
              <w:top w:val="single" w:sz="4" w:space="0" w:color="auto"/>
              <w:bottom w:val="single" w:sz="4" w:space="0" w:color="auto"/>
            </w:tcBorders>
          </w:tcPr>
          <w:p w14:paraId="6D8DFC32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Site of KIT mutation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14:paraId="7B110651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Overall</w:t>
            </w:r>
          </w:p>
          <w:p w14:paraId="572C50E1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(n = 117)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14:paraId="5A27A087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i/>
                <w:sz w:val="20"/>
                <w:szCs w:val="20"/>
              </w:rPr>
            </w:pPr>
            <w:r w:rsidRPr="001B350D">
              <w:rPr>
                <w:i/>
                <w:sz w:val="20"/>
                <w:szCs w:val="20"/>
              </w:rPr>
              <w:t>RUNX1::RUNX1T1</w:t>
            </w:r>
          </w:p>
          <w:p w14:paraId="3D463E40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(n = 95)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4ACEE39B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i/>
                <w:sz w:val="20"/>
                <w:szCs w:val="20"/>
              </w:rPr>
            </w:pPr>
            <w:r w:rsidRPr="001B350D">
              <w:rPr>
                <w:i/>
                <w:sz w:val="20"/>
                <w:szCs w:val="20"/>
              </w:rPr>
              <w:t>CBF::MYH11</w:t>
            </w:r>
          </w:p>
          <w:p w14:paraId="7DFEA0A6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i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(n = 22)</w:t>
            </w:r>
          </w:p>
        </w:tc>
      </w:tr>
      <w:tr w:rsidR="00963305" w:rsidRPr="001B350D" w14:paraId="605FC2A7" w14:textId="77777777">
        <w:tc>
          <w:tcPr>
            <w:tcW w:w="3907" w:type="dxa"/>
            <w:tcBorders>
              <w:top w:val="single" w:sz="4" w:space="0" w:color="auto"/>
            </w:tcBorders>
          </w:tcPr>
          <w:p w14:paraId="5FB59267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Exon 8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14:paraId="53BE6D68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30</w:t>
            </w:r>
          </w:p>
        </w:tc>
        <w:tc>
          <w:tcPr>
            <w:tcW w:w="2181" w:type="dxa"/>
            <w:tcBorders>
              <w:top w:val="single" w:sz="4" w:space="0" w:color="auto"/>
            </w:tcBorders>
          </w:tcPr>
          <w:p w14:paraId="4B780F83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21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57F80189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9</w:t>
            </w:r>
          </w:p>
        </w:tc>
      </w:tr>
      <w:tr w:rsidR="00963305" w:rsidRPr="001B350D" w14:paraId="55941860" w14:textId="77777777">
        <w:tc>
          <w:tcPr>
            <w:tcW w:w="3907" w:type="dxa"/>
          </w:tcPr>
          <w:p w14:paraId="54BB715C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  T417_D419delinsV</w:t>
            </w:r>
          </w:p>
        </w:tc>
        <w:tc>
          <w:tcPr>
            <w:tcW w:w="1223" w:type="dxa"/>
          </w:tcPr>
          <w:p w14:paraId="35F8B774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5</w:t>
            </w:r>
          </w:p>
        </w:tc>
        <w:tc>
          <w:tcPr>
            <w:tcW w:w="2181" w:type="dxa"/>
          </w:tcPr>
          <w:p w14:paraId="21A2BF99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2</w:t>
            </w:r>
          </w:p>
        </w:tc>
        <w:tc>
          <w:tcPr>
            <w:tcW w:w="1600" w:type="dxa"/>
          </w:tcPr>
          <w:p w14:paraId="7B9D1DFB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3</w:t>
            </w:r>
          </w:p>
        </w:tc>
      </w:tr>
      <w:tr w:rsidR="00963305" w:rsidRPr="001B350D" w14:paraId="3B4E3306" w14:textId="77777777">
        <w:tc>
          <w:tcPr>
            <w:tcW w:w="3907" w:type="dxa"/>
          </w:tcPr>
          <w:p w14:paraId="2D77EDD2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  <w:vertAlign w:val="superscript"/>
              </w:rPr>
              <w:t>&amp;</w:t>
            </w:r>
            <w:r w:rsidRPr="001B350D">
              <w:rPr>
                <w:sz w:val="20"/>
                <w:szCs w:val="20"/>
              </w:rPr>
              <w:t>T417_D419delinsL</w:t>
            </w:r>
          </w:p>
        </w:tc>
        <w:tc>
          <w:tcPr>
            <w:tcW w:w="1223" w:type="dxa"/>
          </w:tcPr>
          <w:p w14:paraId="6CEB6E0C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5</w:t>
            </w:r>
          </w:p>
        </w:tc>
        <w:tc>
          <w:tcPr>
            <w:tcW w:w="2181" w:type="dxa"/>
          </w:tcPr>
          <w:p w14:paraId="1EE9BD9E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3</w:t>
            </w:r>
          </w:p>
        </w:tc>
        <w:tc>
          <w:tcPr>
            <w:tcW w:w="1600" w:type="dxa"/>
          </w:tcPr>
          <w:p w14:paraId="081C2899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2</w:t>
            </w:r>
          </w:p>
        </w:tc>
      </w:tr>
      <w:tr w:rsidR="00963305" w:rsidRPr="001B350D" w14:paraId="7F31BE72" w14:textId="77777777">
        <w:tc>
          <w:tcPr>
            <w:tcW w:w="3907" w:type="dxa"/>
          </w:tcPr>
          <w:p w14:paraId="420844EC" w14:textId="77777777" w:rsidR="00D75293" w:rsidRPr="001B350D" w:rsidRDefault="00000000">
            <w:pPr>
              <w:snapToGrid w:val="0"/>
              <w:spacing w:line="480" w:lineRule="auto"/>
              <w:ind w:firstLine="105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Y418_D419del</w:t>
            </w:r>
          </w:p>
        </w:tc>
        <w:tc>
          <w:tcPr>
            <w:tcW w:w="1223" w:type="dxa"/>
          </w:tcPr>
          <w:p w14:paraId="5248E01C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5</w:t>
            </w:r>
          </w:p>
        </w:tc>
        <w:tc>
          <w:tcPr>
            <w:tcW w:w="2181" w:type="dxa"/>
          </w:tcPr>
          <w:p w14:paraId="50CA6BDC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5</w:t>
            </w:r>
          </w:p>
        </w:tc>
        <w:tc>
          <w:tcPr>
            <w:tcW w:w="1600" w:type="dxa"/>
          </w:tcPr>
          <w:p w14:paraId="0098C106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</w:t>
            </w:r>
          </w:p>
        </w:tc>
      </w:tr>
      <w:tr w:rsidR="00963305" w:rsidRPr="001B350D" w14:paraId="5428DC1B" w14:textId="77777777">
        <w:tc>
          <w:tcPr>
            <w:tcW w:w="3907" w:type="dxa"/>
          </w:tcPr>
          <w:p w14:paraId="32640F41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  <w:vertAlign w:val="superscript"/>
              </w:rPr>
              <w:t>#</w:t>
            </w:r>
            <w:r w:rsidRPr="001B350D">
              <w:rPr>
                <w:sz w:val="20"/>
                <w:szCs w:val="20"/>
              </w:rPr>
              <w:t>Y418_D419delinsY</w:t>
            </w:r>
          </w:p>
        </w:tc>
        <w:tc>
          <w:tcPr>
            <w:tcW w:w="1223" w:type="dxa"/>
          </w:tcPr>
          <w:p w14:paraId="43AA0EF3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</w:t>
            </w:r>
          </w:p>
        </w:tc>
        <w:tc>
          <w:tcPr>
            <w:tcW w:w="2181" w:type="dxa"/>
          </w:tcPr>
          <w:p w14:paraId="6E0C4E0D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</w:t>
            </w:r>
          </w:p>
        </w:tc>
        <w:tc>
          <w:tcPr>
            <w:tcW w:w="1600" w:type="dxa"/>
          </w:tcPr>
          <w:p w14:paraId="691B3764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</w:t>
            </w:r>
          </w:p>
        </w:tc>
      </w:tr>
      <w:tr w:rsidR="00963305" w:rsidRPr="001B350D" w14:paraId="214D5628" w14:textId="77777777">
        <w:tc>
          <w:tcPr>
            <w:tcW w:w="3907" w:type="dxa"/>
          </w:tcPr>
          <w:p w14:paraId="3E90DD69" w14:textId="77777777" w:rsidR="00D75293" w:rsidRPr="001B350D" w:rsidRDefault="00000000">
            <w:pPr>
              <w:snapToGrid w:val="0"/>
              <w:spacing w:line="480" w:lineRule="auto"/>
              <w:ind w:firstLine="105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Y418_D419insFL</w:t>
            </w:r>
          </w:p>
        </w:tc>
        <w:tc>
          <w:tcPr>
            <w:tcW w:w="1223" w:type="dxa"/>
          </w:tcPr>
          <w:p w14:paraId="568AEAAC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</w:t>
            </w:r>
          </w:p>
        </w:tc>
        <w:tc>
          <w:tcPr>
            <w:tcW w:w="2181" w:type="dxa"/>
          </w:tcPr>
          <w:p w14:paraId="2A59A70C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</w:t>
            </w:r>
          </w:p>
        </w:tc>
        <w:tc>
          <w:tcPr>
            <w:tcW w:w="1600" w:type="dxa"/>
          </w:tcPr>
          <w:p w14:paraId="4C6A33AD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</w:t>
            </w:r>
          </w:p>
        </w:tc>
      </w:tr>
      <w:tr w:rsidR="00963305" w:rsidRPr="001B350D" w14:paraId="69BDA95E" w14:textId="77777777">
        <w:tc>
          <w:tcPr>
            <w:tcW w:w="3907" w:type="dxa"/>
          </w:tcPr>
          <w:p w14:paraId="2EEEFBFF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  <w:vertAlign w:val="superscript"/>
              </w:rPr>
              <w:t>@</w:t>
            </w:r>
            <w:r w:rsidRPr="001B350D">
              <w:rPr>
                <w:sz w:val="20"/>
                <w:szCs w:val="20"/>
              </w:rPr>
              <w:t>D419del</w:t>
            </w:r>
          </w:p>
        </w:tc>
        <w:tc>
          <w:tcPr>
            <w:tcW w:w="1223" w:type="dxa"/>
          </w:tcPr>
          <w:p w14:paraId="214639B5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13</w:t>
            </w:r>
          </w:p>
        </w:tc>
        <w:tc>
          <w:tcPr>
            <w:tcW w:w="2181" w:type="dxa"/>
          </w:tcPr>
          <w:p w14:paraId="1E20A6F4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10</w:t>
            </w:r>
          </w:p>
        </w:tc>
        <w:tc>
          <w:tcPr>
            <w:tcW w:w="1600" w:type="dxa"/>
          </w:tcPr>
          <w:p w14:paraId="65B19C14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3</w:t>
            </w:r>
          </w:p>
        </w:tc>
      </w:tr>
      <w:tr w:rsidR="00963305" w:rsidRPr="001B350D" w14:paraId="244081B8" w14:textId="77777777">
        <w:tc>
          <w:tcPr>
            <w:tcW w:w="3907" w:type="dxa"/>
          </w:tcPr>
          <w:p w14:paraId="2C176FE3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Exon 17</w:t>
            </w:r>
          </w:p>
        </w:tc>
        <w:tc>
          <w:tcPr>
            <w:tcW w:w="1223" w:type="dxa"/>
          </w:tcPr>
          <w:p w14:paraId="1A2C3128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79</w:t>
            </w:r>
          </w:p>
        </w:tc>
        <w:tc>
          <w:tcPr>
            <w:tcW w:w="2181" w:type="dxa"/>
          </w:tcPr>
          <w:p w14:paraId="2C668F45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66</w:t>
            </w:r>
          </w:p>
        </w:tc>
        <w:tc>
          <w:tcPr>
            <w:tcW w:w="1600" w:type="dxa"/>
          </w:tcPr>
          <w:p w14:paraId="75930555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13</w:t>
            </w:r>
          </w:p>
        </w:tc>
      </w:tr>
      <w:tr w:rsidR="00963305" w:rsidRPr="001B350D" w14:paraId="201579A0" w14:textId="77777777">
        <w:tc>
          <w:tcPr>
            <w:tcW w:w="3907" w:type="dxa"/>
          </w:tcPr>
          <w:p w14:paraId="59BD42CA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  <w:vertAlign w:val="superscript"/>
              </w:rPr>
              <w:t>%ø</w:t>
            </w:r>
            <w:r w:rsidRPr="001B350D">
              <w:rPr>
                <w:sz w:val="20"/>
                <w:szCs w:val="20"/>
              </w:rPr>
              <w:t>D816V</w:t>
            </w:r>
          </w:p>
        </w:tc>
        <w:tc>
          <w:tcPr>
            <w:tcW w:w="1223" w:type="dxa"/>
          </w:tcPr>
          <w:p w14:paraId="4CB81C25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16</w:t>
            </w:r>
          </w:p>
        </w:tc>
        <w:tc>
          <w:tcPr>
            <w:tcW w:w="2181" w:type="dxa"/>
          </w:tcPr>
          <w:p w14:paraId="4E1C8C56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11</w:t>
            </w:r>
          </w:p>
        </w:tc>
        <w:tc>
          <w:tcPr>
            <w:tcW w:w="1600" w:type="dxa"/>
          </w:tcPr>
          <w:p w14:paraId="3840915D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5</w:t>
            </w:r>
          </w:p>
        </w:tc>
      </w:tr>
      <w:tr w:rsidR="00963305" w:rsidRPr="001B350D" w14:paraId="53592547" w14:textId="77777777">
        <w:tc>
          <w:tcPr>
            <w:tcW w:w="3907" w:type="dxa"/>
          </w:tcPr>
          <w:p w14:paraId="72E7A49F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  <w:vertAlign w:val="superscript"/>
              </w:rPr>
            </w:pPr>
            <w:r w:rsidRPr="001B350D">
              <w:rPr>
                <w:sz w:val="20"/>
                <w:szCs w:val="20"/>
                <w:vertAlign w:val="superscript"/>
              </w:rPr>
              <w:t>&amp;#à</w:t>
            </w:r>
            <w:r w:rsidRPr="001B350D">
              <w:rPr>
                <w:sz w:val="20"/>
                <w:szCs w:val="20"/>
              </w:rPr>
              <w:t>D816Y</w:t>
            </w:r>
          </w:p>
        </w:tc>
        <w:tc>
          <w:tcPr>
            <w:tcW w:w="1223" w:type="dxa"/>
          </w:tcPr>
          <w:p w14:paraId="3BA35C20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18</w:t>
            </w:r>
          </w:p>
        </w:tc>
        <w:tc>
          <w:tcPr>
            <w:tcW w:w="2181" w:type="dxa"/>
          </w:tcPr>
          <w:p w14:paraId="051214EA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12</w:t>
            </w:r>
          </w:p>
        </w:tc>
        <w:tc>
          <w:tcPr>
            <w:tcW w:w="1600" w:type="dxa"/>
          </w:tcPr>
          <w:p w14:paraId="21B90DF5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6</w:t>
            </w:r>
          </w:p>
        </w:tc>
      </w:tr>
      <w:tr w:rsidR="00963305" w:rsidRPr="001B350D" w14:paraId="1F2067B5" w14:textId="77777777">
        <w:tc>
          <w:tcPr>
            <w:tcW w:w="3907" w:type="dxa"/>
          </w:tcPr>
          <w:p w14:paraId="1DF7F441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  <w:vertAlign w:val="superscript"/>
              </w:rPr>
              <w:t>Í</w:t>
            </w:r>
            <w:r w:rsidRPr="001B350D">
              <w:rPr>
                <w:sz w:val="20"/>
                <w:szCs w:val="20"/>
              </w:rPr>
              <w:t>D816H</w:t>
            </w:r>
          </w:p>
        </w:tc>
        <w:tc>
          <w:tcPr>
            <w:tcW w:w="1223" w:type="dxa"/>
          </w:tcPr>
          <w:p w14:paraId="4C6224D3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5</w:t>
            </w:r>
          </w:p>
        </w:tc>
        <w:tc>
          <w:tcPr>
            <w:tcW w:w="2181" w:type="dxa"/>
          </w:tcPr>
          <w:p w14:paraId="6C2B89DE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5</w:t>
            </w:r>
          </w:p>
        </w:tc>
        <w:tc>
          <w:tcPr>
            <w:tcW w:w="1600" w:type="dxa"/>
          </w:tcPr>
          <w:p w14:paraId="5D54F3F8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</w:t>
            </w:r>
          </w:p>
        </w:tc>
      </w:tr>
      <w:tr w:rsidR="00963305" w:rsidRPr="001B350D" w14:paraId="1C1F3458" w14:textId="77777777">
        <w:tc>
          <w:tcPr>
            <w:tcW w:w="3907" w:type="dxa"/>
          </w:tcPr>
          <w:p w14:paraId="393752D6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  <w:vertAlign w:val="superscript"/>
              </w:rPr>
              <w:t>%*$</w:t>
            </w:r>
            <w:r w:rsidRPr="001B350D">
              <w:rPr>
                <w:sz w:val="20"/>
                <w:szCs w:val="20"/>
              </w:rPr>
              <w:t>D820G</w:t>
            </w:r>
          </w:p>
        </w:tc>
        <w:tc>
          <w:tcPr>
            <w:tcW w:w="1223" w:type="dxa"/>
          </w:tcPr>
          <w:p w14:paraId="1A71AB8B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4</w:t>
            </w:r>
          </w:p>
        </w:tc>
        <w:tc>
          <w:tcPr>
            <w:tcW w:w="2181" w:type="dxa"/>
          </w:tcPr>
          <w:p w14:paraId="15CEB822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4</w:t>
            </w:r>
          </w:p>
        </w:tc>
        <w:tc>
          <w:tcPr>
            <w:tcW w:w="1600" w:type="dxa"/>
          </w:tcPr>
          <w:p w14:paraId="367AB284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</w:t>
            </w:r>
          </w:p>
        </w:tc>
      </w:tr>
      <w:tr w:rsidR="00963305" w:rsidRPr="001B350D" w14:paraId="6BF06638" w14:textId="77777777">
        <w:tc>
          <w:tcPr>
            <w:tcW w:w="3907" w:type="dxa"/>
          </w:tcPr>
          <w:p w14:paraId="7427C4E5" w14:textId="77777777" w:rsidR="00D75293" w:rsidRPr="001B350D" w:rsidRDefault="00000000">
            <w:pPr>
              <w:snapToGrid w:val="0"/>
              <w:spacing w:line="480" w:lineRule="auto"/>
              <w:ind w:firstLine="105"/>
              <w:rPr>
                <w:sz w:val="20"/>
                <w:szCs w:val="20"/>
                <w:vertAlign w:val="superscript"/>
              </w:rPr>
            </w:pPr>
            <w:r w:rsidRPr="001B350D">
              <w:rPr>
                <w:sz w:val="20"/>
                <w:szCs w:val="20"/>
                <w:vertAlign w:val="superscript"/>
              </w:rPr>
              <w:t>$</w:t>
            </w:r>
            <w:r w:rsidRPr="001B350D">
              <w:rPr>
                <w:sz w:val="20"/>
                <w:szCs w:val="20"/>
              </w:rPr>
              <w:t>D820Y</w:t>
            </w:r>
          </w:p>
        </w:tc>
        <w:tc>
          <w:tcPr>
            <w:tcW w:w="1223" w:type="dxa"/>
          </w:tcPr>
          <w:p w14:paraId="34B9767C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3</w:t>
            </w:r>
          </w:p>
        </w:tc>
        <w:tc>
          <w:tcPr>
            <w:tcW w:w="2181" w:type="dxa"/>
          </w:tcPr>
          <w:p w14:paraId="4A033F19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3</w:t>
            </w:r>
          </w:p>
        </w:tc>
        <w:tc>
          <w:tcPr>
            <w:tcW w:w="1600" w:type="dxa"/>
          </w:tcPr>
          <w:p w14:paraId="799889EE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</w:t>
            </w:r>
          </w:p>
        </w:tc>
      </w:tr>
      <w:tr w:rsidR="00963305" w:rsidRPr="001B350D" w14:paraId="55D312D5" w14:textId="77777777">
        <w:tc>
          <w:tcPr>
            <w:tcW w:w="3907" w:type="dxa"/>
          </w:tcPr>
          <w:p w14:paraId="008E6ECE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  <w:vertAlign w:val="superscript"/>
              </w:rPr>
              <w:t>@*Íøà</w:t>
            </w:r>
            <w:r w:rsidRPr="001B350D">
              <w:rPr>
                <w:sz w:val="20"/>
                <w:szCs w:val="20"/>
              </w:rPr>
              <w:t>N822K</w:t>
            </w:r>
          </w:p>
        </w:tc>
        <w:tc>
          <w:tcPr>
            <w:tcW w:w="1223" w:type="dxa"/>
          </w:tcPr>
          <w:p w14:paraId="733D7D12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33</w:t>
            </w:r>
          </w:p>
        </w:tc>
        <w:tc>
          <w:tcPr>
            <w:tcW w:w="2181" w:type="dxa"/>
          </w:tcPr>
          <w:p w14:paraId="18F40A23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31</w:t>
            </w:r>
          </w:p>
        </w:tc>
        <w:tc>
          <w:tcPr>
            <w:tcW w:w="1600" w:type="dxa"/>
          </w:tcPr>
          <w:p w14:paraId="6535A3A0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2</w:t>
            </w:r>
          </w:p>
        </w:tc>
      </w:tr>
      <w:tr w:rsidR="00963305" w:rsidRPr="001B350D" w14:paraId="2A9DF0DA" w14:textId="77777777">
        <w:tc>
          <w:tcPr>
            <w:tcW w:w="3907" w:type="dxa"/>
          </w:tcPr>
          <w:p w14:paraId="1D8649D3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  <w:vertAlign w:val="superscript"/>
              </w:rPr>
            </w:pPr>
            <w:r w:rsidRPr="001B350D">
              <w:rPr>
                <w:sz w:val="20"/>
                <w:szCs w:val="20"/>
              </w:rPr>
              <w:t>Exon 9</w:t>
            </w:r>
          </w:p>
        </w:tc>
        <w:tc>
          <w:tcPr>
            <w:tcW w:w="1223" w:type="dxa"/>
          </w:tcPr>
          <w:p w14:paraId="43CAF254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2</w:t>
            </w:r>
          </w:p>
        </w:tc>
        <w:tc>
          <w:tcPr>
            <w:tcW w:w="2181" w:type="dxa"/>
          </w:tcPr>
          <w:p w14:paraId="5BBF4FB7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2</w:t>
            </w:r>
          </w:p>
        </w:tc>
        <w:tc>
          <w:tcPr>
            <w:tcW w:w="1600" w:type="dxa"/>
          </w:tcPr>
          <w:p w14:paraId="5561F918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</w:t>
            </w:r>
          </w:p>
        </w:tc>
      </w:tr>
      <w:tr w:rsidR="00963305" w:rsidRPr="001B350D" w14:paraId="0B52C0CB" w14:textId="77777777">
        <w:tc>
          <w:tcPr>
            <w:tcW w:w="3907" w:type="dxa"/>
          </w:tcPr>
          <w:p w14:paraId="082D9A97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 S501delinsSR</w:t>
            </w:r>
          </w:p>
        </w:tc>
        <w:tc>
          <w:tcPr>
            <w:tcW w:w="1223" w:type="dxa"/>
          </w:tcPr>
          <w:p w14:paraId="58903998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</w:t>
            </w:r>
          </w:p>
        </w:tc>
        <w:tc>
          <w:tcPr>
            <w:tcW w:w="2181" w:type="dxa"/>
          </w:tcPr>
          <w:p w14:paraId="2FFE528A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</w:t>
            </w:r>
          </w:p>
        </w:tc>
        <w:tc>
          <w:tcPr>
            <w:tcW w:w="1600" w:type="dxa"/>
          </w:tcPr>
          <w:p w14:paraId="4AB13533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</w:t>
            </w:r>
          </w:p>
        </w:tc>
      </w:tr>
      <w:tr w:rsidR="00963305" w:rsidRPr="001B350D" w14:paraId="6EB45A65" w14:textId="77777777">
        <w:tc>
          <w:tcPr>
            <w:tcW w:w="3907" w:type="dxa"/>
          </w:tcPr>
          <w:p w14:paraId="00BAE85E" w14:textId="77777777" w:rsidR="00D75293" w:rsidRPr="001B350D" w:rsidRDefault="00000000">
            <w:pPr>
              <w:snapToGrid w:val="0"/>
              <w:spacing w:line="480" w:lineRule="auto"/>
              <w:ind w:firstLine="105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F522C</w:t>
            </w:r>
          </w:p>
        </w:tc>
        <w:tc>
          <w:tcPr>
            <w:tcW w:w="1223" w:type="dxa"/>
          </w:tcPr>
          <w:p w14:paraId="1D710F9B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</w:t>
            </w:r>
          </w:p>
        </w:tc>
        <w:tc>
          <w:tcPr>
            <w:tcW w:w="2181" w:type="dxa"/>
          </w:tcPr>
          <w:p w14:paraId="15705C4B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</w:t>
            </w:r>
          </w:p>
        </w:tc>
        <w:tc>
          <w:tcPr>
            <w:tcW w:w="1600" w:type="dxa"/>
          </w:tcPr>
          <w:p w14:paraId="129163F5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</w:t>
            </w:r>
          </w:p>
        </w:tc>
      </w:tr>
      <w:tr w:rsidR="00963305" w:rsidRPr="001B350D" w14:paraId="5670FD51" w14:textId="77777777">
        <w:tc>
          <w:tcPr>
            <w:tcW w:w="3907" w:type="dxa"/>
          </w:tcPr>
          <w:p w14:paraId="17FCD994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Exon 10-11</w:t>
            </w:r>
          </w:p>
        </w:tc>
        <w:tc>
          <w:tcPr>
            <w:tcW w:w="1223" w:type="dxa"/>
          </w:tcPr>
          <w:p w14:paraId="5A33CED1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6</w:t>
            </w:r>
          </w:p>
        </w:tc>
        <w:tc>
          <w:tcPr>
            <w:tcW w:w="2181" w:type="dxa"/>
          </w:tcPr>
          <w:p w14:paraId="10920FC8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6</w:t>
            </w:r>
          </w:p>
        </w:tc>
        <w:tc>
          <w:tcPr>
            <w:tcW w:w="1600" w:type="dxa"/>
          </w:tcPr>
          <w:p w14:paraId="4E7415B1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</w:t>
            </w:r>
          </w:p>
        </w:tc>
      </w:tr>
      <w:tr w:rsidR="00963305" w:rsidRPr="001B350D" w14:paraId="5EE91F1A" w14:textId="77777777">
        <w:tc>
          <w:tcPr>
            <w:tcW w:w="3907" w:type="dxa"/>
          </w:tcPr>
          <w:p w14:paraId="47B2FA58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 M541L</w:t>
            </w:r>
          </w:p>
        </w:tc>
        <w:tc>
          <w:tcPr>
            <w:tcW w:w="1223" w:type="dxa"/>
          </w:tcPr>
          <w:p w14:paraId="383AEDB7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3</w:t>
            </w:r>
          </w:p>
        </w:tc>
        <w:tc>
          <w:tcPr>
            <w:tcW w:w="2181" w:type="dxa"/>
          </w:tcPr>
          <w:p w14:paraId="47BE66F6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3</w:t>
            </w:r>
          </w:p>
        </w:tc>
        <w:tc>
          <w:tcPr>
            <w:tcW w:w="1600" w:type="dxa"/>
          </w:tcPr>
          <w:p w14:paraId="6E80D144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</w:t>
            </w:r>
          </w:p>
        </w:tc>
      </w:tr>
      <w:tr w:rsidR="00963305" w:rsidRPr="001B350D" w14:paraId="35D80AA9" w14:textId="77777777">
        <w:tc>
          <w:tcPr>
            <w:tcW w:w="3907" w:type="dxa"/>
          </w:tcPr>
          <w:p w14:paraId="305B1CF6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  <w:vertAlign w:val="superscript"/>
              </w:rPr>
              <w:t>@</w:t>
            </w:r>
            <w:r w:rsidRPr="001B350D">
              <w:rPr>
                <w:sz w:val="20"/>
                <w:szCs w:val="20"/>
              </w:rPr>
              <w:t>V559A</w:t>
            </w:r>
          </w:p>
        </w:tc>
        <w:tc>
          <w:tcPr>
            <w:tcW w:w="1223" w:type="dxa"/>
          </w:tcPr>
          <w:p w14:paraId="3272CE27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</w:t>
            </w:r>
          </w:p>
        </w:tc>
        <w:tc>
          <w:tcPr>
            <w:tcW w:w="2181" w:type="dxa"/>
          </w:tcPr>
          <w:p w14:paraId="795B7E43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</w:t>
            </w:r>
          </w:p>
        </w:tc>
        <w:tc>
          <w:tcPr>
            <w:tcW w:w="1600" w:type="dxa"/>
          </w:tcPr>
          <w:p w14:paraId="4607D736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</w:t>
            </w:r>
          </w:p>
        </w:tc>
      </w:tr>
      <w:tr w:rsidR="00963305" w:rsidRPr="001B350D" w14:paraId="42752391" w14:textId="77777777">
        <w:tc>
          <w:tcPr>
            <w:tcW w:w="3907" w:type="dxa"/>
          </w:tcPr>
          <w:p w14:paraId="3C1DB948" w14:textId="77777777" w:rsidR="00D75293" w:rsidRPr="001B350D" w:rsidRDefault="00000000">
            <w:pPr>
              <w:snapToGrid w:val="0"/>
              <w:spacing w:line="480" w:lineRule="auto"/>
              <w:ind w:firstLine="105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Y570delinsYIDPTQLPYDHKWEFH</w:t>
            </w:r>
          </w:p>
        </w:tc>
        <w:tc>
          <w:tcPr>
            <w:tcW w:w="1223" w:type="dxa"/>
          </w:tcPr>
          <w:p w14:paraId="5B59C85C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</w:t>
            </w:r>
          </w:p>
        </w:tc>
        <w:tc>
          <w:tcPr>
            <w:tcW w:w="2181" w:type="dxa"/>
          </w:tcPr>
          <w:p w14:paraId="1E685D05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</w:t>
            </w:r>
          </w:p>
        </w:tc>
        <w:tc>
          <w:tcPr>
            <w:tcW w:w="1600" w:type="dxa"/>
          </w:tcPr>
          <w:p w14:paraId="24C55C5D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</w:t>
            </w:r>
          </w:p>
        </w:tc>
      </w:tr>
      <w:tr w:rsidR="00963305" w:rsidRPr="001B350D" w14:paraId="61BB1DAD" w14:textId="77777777">
        <w:tc>
          <w:tcPr>
            <w:tcW w:w="3907" w:type="dxa"/>
            <w:tcBorders>
              <w:bottom w:val="single" w:sz="4" w:space="0" w:color="auto"/>
            </w:tcBorders>
          </w:tcPr>
          <w:p w14:paraId="22E24BF7" w14:textId="77777777" w:rsidR="00D75293" w:rsidRPr="001B350D" w:rsidRDefault="00000000">
            <w:pPr>
              <w:snapToGrid w:val="0"/>
              <w:spacing w:line="480" w:lineRule="auto"/>
              <w:ind w:firstLine="105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V559D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5E8917D9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14:paraId="4C64C6DC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512DB665" w14:textId="77777777" w:rsidR="00D75293" w:rsidRPr="001B350D" w:rsidRDefault="00000000">
            <w:pPr>
              <w:snapToGrid w:val="0"/>
              <w:spacing w:line="480" w:lineRule="auto"/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</w:t>
            </w:r>
          </w:p>
        </w:tc>
      </w:tr>
    </w:tbl>
    <w:p w14:paraId="626E5FA5" w14:textId="77777777" w:rsidR="00D75293" w:rsidRPr="001B350D" w:rsidRDefault="00000000">
      <w:pPr>
        <w:snapToGrid w:val="0"/>
        <w:spacing w:line="480" w:lineRule="auto"/>
        <w:ind w:firstLine="0"/>
        <w:rPr>
          <w:sz w:val="20"/>
          <w:szCs w:val="20"/>
        </w:rPr>
      </w:pPr>
      <w:r w:rsidRPr="001B350D">
        <w:rPr>
          <w:sz w:val="20"/>
          <w:szCs w:val="20"/>
          <w:vertAlign w:val="superscript"/>
        </w:rPr>
        <w:t>&amp;#@%øàÍ*$</w:t>
      </w:r>
      <w:r w:rsidRPr="001B350D">
        <w:rPr>
          <w:sz w:val="20"/>
          <w:szCs w:val="20"/>
        </w:rPr>
        <w:t>These mutations coexisted in the same patient.</w:t>
      </w:r>
    </w:p>
    <w:p w14:paraId="3F582910" w14:textId="77777777" w:rsidR="00D75293" w:rsidRPr="001B350D" w:rsidRDefault="00D75293">
      <w:pPr>
        <w:ind w:firstLine="0"/>
        <w:rPr>
          <w:b/>
          <w:sz w:val="20"/>
          <w:szCs w:val="20"/>
        </w:rPr>
        <w:sectPr w:rsidR="00D75293" w:rsidRPr="001B350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8D57C97" w14:textId="69E83205" w:rsidR="001B350D" w:rsidRDefault="001B350D" w:rsidP="001B350D">
      <w:pPr>
        <w:ind w:firstLine="0"/>
        <w:jc w:val="left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drawing>
          <wp:inline distT="0" distB="0" distL="0" distR="0" wp14:anchorId="3789C324" wp14:editId="34B26C4D">
            <wp:extent cx="5265420" cy="1455420"/>
            <wp:effectExtent l="0" t="0" r="0" b="0"/>
            <wp:docPr id="17162986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24C8E" w14:textId="4967F86E" w:rsidR="001B350D" w:rsidRPr="001B350D" w:rsidRDefault="001B350D" w:rsidP="001B350D">
      <w:pPr>
        <w:ind w:firstLine="0"/>
        <w:jc w:val="left"/>
        <w:rPr>
          <w:sz w:val="20"/>
          <w:szCs w:val="20"/>
        </w:rPr>
      </w:pPr>
      <w:r w:rsidRPr="001B350D">
        <w:rPr>
          <w:b/>
          <w:sz w:val="20"/>
          <w:szCs w:val="20"/>
        </w:rPr>
        <w:t xml:space="preserve">Online Resource 6. Prognostic impact of </w:t>
      </w:r>
      <w:r w:rsidRPr="001B350D">
        <w:rPr>
          <w:b/>
          <w:i/>
          <w:sz w:val="20"/>
          <w:szCs w:val="20"/>
        </w:rPr>
        <w:t>KIT</w:t>
      </w:r>
      <w:r w:rsidRPr="001B350D">
        <w:rPr>
          <w:b/>
          <w:sz w:val="20"/>
          <w:szCs w:val="20"/>
        </w:rPr>
        <w:t xml:space="preserve"> mutations in pediatric patients with </w:t>
      </w:r>
      <w:r w:rsidRPr="001B350D">
        <w:rPr>
          <w:b/>
          <w:i/>
          <w:sz w:val="20"/>
          <w:szCs w:val="20"/>
        </w:rPr>
        <w:t>RUNX1::RUNX1T1</w:t>
      </w:r>
      <w:r w:rsidRPr="001B350D">
        <w:rPr>
          <w:b/>
          <w:sz w:val="20"/>
          <w:szCs w:val="20"/>
        </w:rPr>
        <w:t xml:space="preserve"> fusion gene</w:t>
      </w:r>
      <w:r w:rsidRPr="001B350D">
        <w:rPr>
          <w:sz w:val="20"/>
          <w:szCs w:val="20"/>
        </w:rPr>
        <w:br/>
        <w:t>Kaplan–Meier estimates for (</w:t>
      </w:r>
      <w:r>
        <w:rPr>
          <w:sz w:val="20"/>
          <w:szCs w:val="20"/>
        </w:rPr>
        <w:t>a</w:t>
      </w:r>
      <w:r w:rsidRPr="001B350D">
        <w:rPr>
          <w:sz w:val="20"/>
          <w:szCs w:val="20"/>
        </w:rPr>
        <w:t>) event-free survival (EFS), (</w:t>
      </w:r>
      <w:r>
        <w:rPr>
          <w:sz w:val="20"/>
          <w:szCs w:val="20"/>
        </w:rPr>
        <w:t>b</w:t>
      </w:r>
      <w:r w:rsidRPr="001B350D">
        <w:rPr>
          <w:sz w:val="20"/>
          <w:szCs w:val="20"/>
        </w:rPr>
        <w:t>) overall survival (OS), and (</w:t>
      </w:r>
      <w:r>
        <w:rPr>
          <w:sz w:val="20"/>
          <w:szCs w:val="20"/>
        </w:rPr>
        <w:t>c</w:t>
      </w:r>
      <w:r w:rsidRPr="001B350D">
        <w:rPr>
          <w:sz w:val="20"/>
          <w:szCs w:val="20"/>
        </w:rPr>
        <w:t>) cumulative incidence of relapse (CIR).</w:t>
      </w:r>
    </w:p>
    <w:p w14:paraId="09CFC898" w14:textId="77777777" w:rsidR="001B350D" w:rsidRPr="001B350D" w:rsidRDefault="001B350D" w:rsidP="001B350D">
      <w:pPr>
        <w:ind w:firstLine="0"/>
        <w:jc w:val="left"/>
        <w:rPr>
          <w:sz w:val="20"/>
          <w:szCs w:val="20"/>
        </w:rPr>
      </w:pPr>
      <w:r w:rsidRPr="001B350D">
        <w:rPr>
          <w:i/>
          <w:sz w:val="20"/>
          <w:szCs w:val="20"/>
        </w:rPr>
        <w:t>KIT</w:t>
      </w:r>
      <w:r w:rsidRPr="001B350D">
        <w:rPr>
          <w:sz w:val="20"/>
          <w:szCs w:val="20"/>
        </w:rPr>
        <w:t xml:space="preserve"> mutations (n = 82) </w:t>
      </w:r>
      <w:r w:rsidRPr="001B350D">
        <w:rPr>
          <w:i/>
          <w:sz w:val="20"/>
          <w:szCs w:val="20"/>
        </w:rPr>
        <w:t xml:space="preserve">vs. </w:t>
      </w:r>
      <w:r w:rsidRPr="001B350D">
        <w:rPr>
          <w:sz w:val="20"/>
          <w:szCs w:val="20"/>
        </w:rPr>
        <w:t>KIT wild type (n = 149):</w:t>
      </w:r>
    </w:p>
    <w:p w14:paraId="034F1D01" w14:textId="77777777" w:rsidR="001B350D" w:rsidRPr="001B350D" w:rsidRDefault="001B350D" w:rsidP="001B350D">
      <w:pPr>
        <w:numPr>
          <w:ilvl w:val="0"/>
          <w:numId w:val="3"/>
        </w:numPr>
        <w:jc w:val="left"/>
        <w:rPr>
          <w:sz w:val="20"/>
          <w:szCs w:val="20"/>
        </w:rPr>
      </w:pPr>
      <w:r w:rsidRPr="001B350D">
        <w:rPr>
          <w:sz w:val="20"/>
          <w:szCs w:val="20"/>
        </w:rPr>
        <w:t xml:space="preserve">EFS: 5-year 87.0% ± 3.9% </w:t>
      </w:r>
      <w:r w:rsidRPr="001B350D">
        <w:rPr>
          <w:i/>
          <w:sz w:val="20"/>
          <w:szCs w:val="20"/>
        </w:rPr>
        <w:t>vs.</w:t>
      </w:r>
      <w:r w:rsidRPr="001B350D">
        <w:rPr>
          <w:sz w:val="20"/>
          <w:szCs w:val="20"/>
        </w:rPr>
        <w:t xml:space="preserve"> 78.3% ± 3.5% (</w:t>
      </w:r>
      <w:r w:rsidRPr="001B350D">
        <w:rPr>
          <w:i/>
          <w:sz w:val="20"/>
          <w:szCs w:val="20"/>
        </w:rPr>
        <w:t>P</w:t>
      </w:r>
      <w:r w:rsidRPr="001B350D">
        <w:rPr>
          <w:sz w:val="20"/>
          <w:szCs w:val="20"/>
        </w:rPr>
        <w:t xml:space="preserve"> = 0.125, log-rank)</w:t>
      </w:r>
    </w:p>
    <w:p w14:paraId="0D18622B" w14:textId="77777777" w:rsidR="001B350D" w:rsidRPr="001B350D" w:rsidRDefault="001B350D" w:rsidP="001B350D">
      <w:pPr>
        <w:numPr>
          <w:ilvl w:val="0"/>
          <w:numId w:val="3"/>
        </w:numPr>
        <w:jc w:val="left"/>
        <w:rPr>
          <w:sz w:val="20"/>
          <w:szCs w:val="20"/>
        </w:rPr>
      </w:pPr>
      <w:r w:rsidRPr="001B350D">
        <w:rPr>
          <w:sz w:val="20"/>
          <w:szCs w:val="20"/>
        </w:rPr>
        <w:t xml:space="preserve">OS: 5-year 91.4% ± 3.4% </w:t>
      </w:r>
      <w:r w:rsidRPr="001B350D">
        <w:rPr>
          <w:i/>
          <w:sz w:val="20"/>
          <w:szCs w:val="20"/>
        </w:rPr>
        <w:t>vs.</w:t>
      </w:r>
      <w:r w:rsidRPr="001B350D">
        <w:rPr>
          <w:sz w:val="20"/>
          <w:szCs w:val="20"/>
        </w:rPr>
        <w:t xml:space="preserve"> 86.7% ± 3.0% (</w:t>
      </w:r>
      <w:r w:rsidRPr="001B350D">
        <w:rPr>
          <w:i/>
          <w:sz w:val="20"/>
          <w:szCs w:val="20"/>
        </w:rPr>
        <w:t>P</w:t>
      </w:r>
      <w:r w:rsidRPr="001B350D">
        <w:rPr>
          <w:sz w:val="20"/>
          <w:szCs w:val="20"/>
        </w:rPr>
        <w:t xml:space="preserve"> = 0.298, log-rank)</w:t>
      </w:r>
    </w:p>
    <w:p w14:paraId="7B7AC4F1" w14:textId="77777777" w:rsidR="001B350D" w:rsidRPr="001B350D" w:rsidRDefault="001B350D" w:rsidP="001B350D">
      <w:pPr>
        <w:numPr>
          <w:ilvl w:val="0"/>
          <w:numId w:val="3"/>
        </w:numPr>
        <w:jc w:val="left"/>
        <w:rPr>
          <w:sz w:val="20"/>
          <w:szCs w:val="20"/>
        </w:rPr>
      </w:pPr>
      <w:r w:rsidRPr="001B350D">
        <w:rPr>
          <w:sz w:val="20"/>
          <w:szCs w:val="20"/>
        </w:rPr>
        <w:t xml:space="preserve">CIR: 7.1% ± 3.1% </w:t>
      </w:r>
      <w:r w:rsidRPr="001B350D">
        <w:rPr>
          <w:i/>
          <w:sz w:val="20"/>
          <w:szCs w:val="20"/>
        </w:rPr>
        <w:t>vs.</w:t>
      </w:r>
      <w:r w:rsidRPr="001B350D">
        <w:rPr>
          <w:sz w:val="20"/>
          <w:szCs w:val="20"/>
        </w:rPr>
        <w:t xml:space="preserve"> 11.1% ± 2.8% (</w:t>
      </w:r>
      <w:r w:rsidRPr="001B350D">
        <w:rPr>
          <w:i/>
          <w:sz w:val="20"/>
          <w:szCs w:val="20"/>
        </w:rPr>
        <w:t>P</w:t>
      </w:r>
      <w:r w:rsidRPr="001B350D">
        <w:rPr>
          <w:sz w:val="20"/>
          <w:szCs w:val="20"/>
        </w:rPr>
        <w:t xml:space="preserve"> = 0.392, Gray’s test)</w:t>
      </w:r>
    </w:p>
    <w:p w14:paraId="2FE240A9" w14:textId="77777777" w:rsidR="001B350D" w:rsidRPr="001B350D" w:rsidRDefault="001B350D" w:rsidP="001B350D">
      <w:pPr>
        <w:ind w:firstLine="0"/>
        <w:jc w:val="left"/>
        <w:rPr>
          <w:sz w:val="20"/>
          <w:szCs w:val="20"/>
        </w:rPr>
      </w:pPr>
      <w:r w:rsidRPr="001B350D">
        <w:rPr>
          <w:sz w:val="20"/>
          <w:szCs w:val="20"/>
        </w:rPr>
        <w:t>No significant differences were observed between the endpoints. Error bars/ribbons represent ±1 standard error.</w:t>
      </w:r>
    </w:p>
    <w:p w14:paraId="15D76C56" w14:textId="77777777" w:rsidR="001B350D" w:rsidRDefault="001B350D" w:rsidP="001B350D">
      <w:pPr>
        <w:ind w:firstLine="0"/>
        <w:jc w:val="left"/>
        <w:rPr>
          <w:sz w:val="20"/>
          <w:szCs w:val="20"/>
        </w:rPr>
      </w:pPr>
    </w:p>
    <w:p w14:paraId="0463EA06" w14:textId="77777777" w:rsidR="001B350D" w:rsidRPr="001B350D" w:rsidRDefault="001B350D" w:rsidP="001B350D">
      <w:pPr>
        <w:ind w:firstLine="0"/>
        <w:jc w:val="left"/>
        <w:rPr>
          <w:sz w:val="20"/>
          <w:szCs w:val="20"/>
        </w:rPr>
        <w:sectPr w:rsidR="001B350D" w:rsidRPr="001B350D" w:rsidSect="001B350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3DD139E" w14:textId="1C6CD127" w:rsidR="00ED3385" w:rsidRDefault="00ED3385" w:rsidP="001B350D">
      <w:pPr>
        <w:ind w:firstLine="0"/>
        <w:jc w:val="left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drawing>
          <wp:inline distT="0" distB="0" distL="0" distR="0" wp14:anchorId="09DD4D40" wp14:editId="0A599EBD">
            <wp:extent cx="5265420" cy="1447800"/>
            <wp:effectExtent l="0" t="0" r="0" b="0"/>
            <wp:docPr id="4956515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5A64D" w14:textId="0445F1CB" w:rsidR="001B350D" w:rsidRPr="001B350D" w:rsidRDefault="001B350D" w:rsidP="001B350D">
      <w:pPr>
        <w:ind w:firstLine="0"/>
        <w:jc w:val="left"/>
        <w:rPr>
          <w:sz w:val="20"/>
          <w:szCs w:val="20"/>
        </w:rPr>
      </w:pPr>
      <w:r w:rsidRPr="001B350D">
        <w:rPr>
          <w:b/>
          <w:sz w:val="20"/>
          <w:szCs w:val="20"/>
        </w:rPr>
        <w:t xml:space="preserve">Online Resource 7. Prognostic impact of </w:t>
      </w:r>
      <w:r w:rsidRPr="001B350D">
        <w:rPr>
          <w:b/>
          <w:i/>
          <w:sz w:val="20"/>
          <w:szCs w:val="20"/>
        </w:rPr>
        <w:t>KIT</w:t>
      </w:r>
      <w:r w:rsidRPr="001B350D">
        <w:rPr>
          <w:b/>
          <w:sz w:val="20"/>
          <w:szCs w:val="20"/>
        </w:rPr>
        <w:t xml:space="preserve"> mutations in pediatric patients with </w:t>
      </w:r>
      <w:r w:rsidRPr="001B350D">
        <w:rPr>
          <w:b/>
          <w:i/>
          <w:sz w:val="20"/>
          <w:szCs w:val="20"/>
        </w:rPr>
        <w:t xml:space="preserve">CBFβ::MYH11 </w:t>
      </w:r>
      <w:r w:rsidRPr="001B350D">
        <w:rPr>
          <w:b/>
          <w:sz w:val="20"/>
          <w:szCs w:val="20"/>
        </w:rPr>
        <w:t>fusion gene</w:t>
      </w:r>
      <w:r w:rsidRPr="001B350D">
        <w:rPr>
          <w:sz w:val="20"/>
          <w:szCs w:val="20"/>
        </w:rPr>
        <w:br/>
        <w:t>Kaplan–Meier estimates for (</w:t>
      </w:r>
      <w:r w:rsidR="00ED3385">
        <w:rPr>
          <w:sz w:val="20"/>
          <w:szCs w:val="20"/>
        </w:rPr>
        <w:t>a</w:t>
      </w:r>
      <w:r w:rsidRPr="001B350D">
        <w:rPr>
          <w:sz w:val="20"/>
          <w:szCs w:val="20"/>
        </w:rPr>
        <w:t>) event-free survival (EFS), (</w:t>
      </w:r>
      <w:r w:rsidR="00ED3385">
        <w:rPr>
          <w:sz w:val="20"/>
          <w:szCs w:val="20"/>
        </w:rPr>
        <w:t>b</w:t>
      </w:r>
      <w:r w:rsidRPr="001B350D">
        <w:rPr>
          <w:sz w:val="20"/>
          <w:szCs w:val="20"/>
        </w:rPr>
        <w:t>) overall survival (OS), and (</w:t>
      </w:r>
      <w:r w:rsidR="00ED3385">
        <w:rPr>
          <w:sz w:val="20"/>
          <w:szCs w:val="20"/>
        </w:rPr>
        <w:t>c</w:t>
      </w:r>
      <w:r w:rsidRPr="001B350D">
        <w:rPr>
          <w:sz w:val="20"/>
          <w:szCs w:val="20"/>
        </w:rPr>
        <w:t>) cumulative incidence of relapse (CIR).</w:t>
      </w:r>
    </w:p>
    <w:p w14:paraId="41997B57" w14:textId="77777777" w:rsidR="001B350D" w:rsidRPr="001B350D" w:rsidRDefault="001B350D" w:rsidP="001B350D">
      <w:pPr>
        <w:ind w:firstLine="0"/>
        <w:jc w:val="left"/>
        <w:rPr>
          <w:sz w:val="20"/>
          <w:szCs w:val="20"/>
        </w:rPr>
      </w:pPr>
      <w:r w:rsidRPr="001B350D">
        <w:rPr>
          <w:i/>
          <w:sz w:val="20"/>
          <w:szCs w:val="20"/>
        </w:rPr>
        <w:t>KIT</w:t>
      </w:r>
      <w:r w:rsidRPr="001B350D">
        <w:rPr>
          <w:sz w:val="20"/>
          <w:szCs w:val="20"/>
        </w:rPr>
        <w:t xml:space="preserve"> mutations (n = 21) </w:t>
      </w:r>
      <w:r w:rsidRPr="001B350D">
        <w:rPr>
          <w:i/>
          <w:sz w:val="20"/>
          <w:szCs w:val="20"/>
        </w:rPr>
        <w:t>vs. KIT</w:t>
      </w:r>
      <w:r w:rsidRPr="001B350D">
        <w:rPr>
          <w:sz w:val="20"/>
          <w:szCs w:val="20"/>
        </w:rPr>
        <w:t xml:space="preserve"> wild type (n = 37):</w:t>
      </w:r>
    </w:p>
    <w:p w14:paraId="381D8841" w14:textId="77777777" w:rsidR="001B350D" w:rsidRPr="001B350D" w:rsidRDefault="001B350D" w:rsidP="001B350D">
      <w:pPr>
        <w:numPr>
          <w:ilvl w:val="0"/>
          <w:numId w:val="3"/>
        </w:numPr>
        <w:jc w:val="left"/>
        <w:rPr>
          <w:sz w:val="20"/>
          <w:szCs w:val="20"/>
        </w:rPr>
      </w:pPr>
      <w:r w:rsidRPr="001B350D">
        <w:rPr>
          <w:sz w:val="20"/>
          <w:szCs w:val="20"/>
        </w:rPr>
        <w:t xml:space="preserve">EFS: 5-year 80.4% ± 8.8% </w:t>
      </w:r>
      <w:r w:rsidRPr="001B350D">
        <w:rPr>
          <w:i/>
          <w:sz w:val="20"/>
          <w:szCs w:val="20"/>
        </w:rPr>
        <w:t>vs.</w:t>
      </w:r>
      <w:r w:rsidRPr="001B350D">
        <w:rPr>
          <w:sz w:val="20"/>
          <w:szCs w:val="20"/>
        </w:rPr>
        <w:t xml:space="preserve"> 76.1% ± 7.4% (</w:t>
      </w:r>
      <w:r w:rsidRPr="001B350D">
        <w:rPr>
          <w:i/>
          <w:sz w:val="20"/>
          <w:szCs w:val="20"/>
        </w:rPr>
        <w:t>P</w:t>
      </w:r>
      <w:r w:rsidRPr="001B350D">
        <w:rPr>
          <w:sz w:val="20"/>
          <w:szCs w:val="20"/>
        </w:rPr>
        <w:t xml:space="preserve"> = 0.977, log-rank)</w:t>
      </w:r>
    </w:p>
    <w:p w14:paraId="600102AC" w14:textId="77777777" w:rsidR="001B350D" w:rsidRPr="001B350D" w:rsidRDefault="001B350D" w:rsidP="001B350D">
      <w:pPr>
        <w:numPr>
          <w:ilvl w:val="0"/>
          <w:numId w:val="3"/>
        </w:numPr>
        <w:jc w:val="left"/>
        <w:rPr>
          <w:sz w:val="20"/>
          <w:szCs w:val="20"/>
        </w:rPr>
      </w:pPr>
      <w:r w:rsidRPr="001B350D">
        <w:rPr>
          <w:sz w:val="20"/>
          <w:szCs w:val="20"/>
        </w:rPr>
        <w:t xml:space="preserve">OS: 5-year 90.5% ± 6.4% </w:t>
      </w:r>
      <w:r w:rsidRPr="001B350D">
        <w:rPr>
          <w:i/>
          <w:sz w:val="20"/>
          <w:szCs w:val="20"/>
        </w:rPr>
        <w:t>vs.</w:t>
      </w:r>
      <w:r w:rsidRPr="001B350D">
        <w:rPr>
          <w:sz w:val="20"/>
          <w:szCs w:val="20"/>
        </w:rPr>
        <w:t xml:space="preserve"> 80.7% ± 7.1% (</w:t>
      </w:r>
      <w:r w:rsidRPr="001B350D">
        <w:rPr>
          <w:i/>
          <w:sz w:val="20"/>
          <w:szCs w:val="20"/>
        </w:rPr>
        <w:t>P</w:t>
      </w:r>
      <w:r w:rsidRPr="001B350D">
        <w:rPr>
          <w:sz w:val="20"/>
          <w:szCs w:val="20"/>
        </w:rPr>
        <w:t xml:space="preserve"> = 0.971, log-rank)</w:t>
      </w:r>
    </w:p>
    <w:p w14:paraId="21D07141" w14:textId="77777777" w:rsidR="001B350D" w:rsidRPr="001B350D" w:rsidRDefault="001B350D" w:rsidP="001B350D">
      <w:pPr>
        <w:numPr>
          <w:ilvl w:val="0"/>
          <w:numId w:val="3"/>
        </w:numPr>
        <w:jc w:val="left"/>
        <w:rPr>
          <w:sz w:val="20"/>
          <w:szCs w:val="20"/>
        </w:rPr>
      </w:pPr>
      <w:r w:rsidRPr="001B350D">
        <w:rPr>
          <w:sz w:val="20"/>
          <w:szCs w:val="20"/>
        </w:rPr>
        <w:t xml:space="preserve">CIR: 6.7% ± 6.4% </w:t>
      </w:r>
      <w:r w:rsidRPr="001B350D">
        <w:rPr>
          <w:i/>
          <w:sz w:val="20"/>
          <w:szCs w:val="20"/>
        </w:rPr>
        <w:t>vs.</w:t>
      </w:r>
      <w:r w:rsidRPr="001B350D">
        <w:rPr>
          <w:sz w:val="20"/>
          <w:szCs w:val="20"/>
        </w:rPr>
        <w:t xml:space="preserve"> 13.7% ± 6.4% (</w:t>
      </w:r>
      <w:r w:rsidRPr="001B350D">
        <w:rPr>
          <w:i/>
          <w:sz w:val="20"/>
          <w:szCs w:val="20"/>
        </w:rPr>
        <w:t>P</w:t>
      </w:r>
      <w:r w:rsidRPr="001B350D">
        <w:rPr>
          <w:sz w:val="20"/>
          <w:szCs w:val="20"/>
        </w:rPr>
        <w:t xml:space="preserve"> = 0.587, Gray’s test)</w:t>
      </w:r>
    </w:p>
    <w:p w14:paraId="54958C40" w14:textId="77777777" w:rsidR="001B350D" w:rsidRPr="001B350D" w:rsidRDefault="001B350D" w:rsidP="001B350D">
      <w:pPr>
        <w:ind w:firstLine="0"/>
        <w:jc w:val="left"/>
        <w:rPr>
          <w:sz w:val="20"/>
          <w:szCs w:val="20"/>
        </w:rPr>
      </w:pPr>
      <w:r w:rsidRPr="001B350D">
        <w:rPr>
          <w:sz w:val="20"/>
          <w:szCs w:val="20"/>
        </w:rPr>
        <w:t>No significant differences were observed across endpoints. Error bars/ribbons represent ±1 standard error.</w:t>
      </w:r>
    </w:p>
    <w:p w14:paraId="08325197" w14:textId="77777777" w:rsidR="001B350D" w:rsidRPr="001B350D" w:rsidRDefault="001B350D" w:rsidP="001B350D">
      <w:pPr>
        <w:ind w:firstLine="0"/>
        <w:jc w:val="left"/>
        <w:rPr>
          <w:sz w:val="20"/>
          <w:szCs w:val="20"/>
        </w:rPr>
        <w:sectPr w:rsidR="001B350D" w:rsidRPr="001B350D" w:rsidSect="001B350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5A3C43E" w14:textId="08DA9819" w:rsidR="00F60909" w:rsidRDefault="00F60909" w:rsidP="001B350D">
      <w:pPr>
        <w:ind w:firstLine="0"/>
        <w:jc w:val="left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drawing>
          <wp:inline distT="0" distB="0" distL="0" distR="0" wp14:anchorId="7E776AB0" wp14:editId="4B3486B1">
            <wp:extent cx="5265420" cy="1463040"/>
            <wp:effectExtent l="0" t="0" r="0" b="0"/>
            <wp:docPr id="210015286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0B545" w14:textId="1833C89C" w:rsidR="001B350D" w:rsidRPr="001B350D" w:rsidRDefault="001B350D" w:rsidP="001B350D">
      <w:pPr>
        <w:ind w:firstLine="0"/>
        <w:jc w:val="left"/>
        <w:rPr>
          <w:sz w:val="20"/>
          <w:szCs w:val="20"/>
        </w:rPr>
      </w:pPr>
      <w:r w:rsidRPr="001B350D">
        <w:rPr>
          <w:b/>
          <w:sz w:val="20"/>
          <w:szCs w:val="20"/>
        </w:rPr>
        <w:t xml:space="preserve">Online Resource 8. Prognostic impact of chimera transcript type in pediatric patients with </w:t>
      </w:r>
      <w:r w:rsidRPr="001B350D">
        <w:rPr>
          <w:b/>
          <w:i/>
          <w:sz w:val="20"/>
          <w:szCs w:val="20"/>
        </w:rPr>
        <w:t>KIT</w:t>
      </w:r>
      <w:r w:rsidRPr="001B350D">
        <w:rPr>
          <w:b/>
          <w:sz w:val="20"/>
          <w:szCs w:val="20"/>
        </w:rPr>
        <w:t xml:space="preserve"> mutations</w:t>
      </w:r>
    </w:p>
    <w:p w14:paraId="37E6E05F" w14:textId="6AD34E15" w:rsidR="001B350D" w:rsidRPr="001B350D" w:rsidRDefault="001B350D" w:rsidP="001B350D">
      <w:pPr>
        <w:ind w:firstLine="0"/>
        <w:jc w:val="left"/>
        <w:rPr>
          <w:sz w:val="20"/>
          <w:szCs w:val="20"/>
        </w:rPr>
      </w:pPr>
      <w:r w:rsidRPr="001B350D">
        <w:rPr>
          <w:sz w:val="20"/>
          <w:szCs w:val="20"/>
        </w:rPr>
        <w:t>Kaplan–Meier estimates for (</w:t>
      </w:r>
      <w:r w:rsidR="00F60909">
        <w:rPr>
          <w:sz w:val="20"/>
          <w:szCs w:val="20"/>
        </w:rPr>
        <w:t>a</w:t>
      </w:r>
      <w:r w:rsidRPr="001B350D">
        <w:rPr>
          <w:sz w:val="20"/>
          <w:szCs w:val="20"/>
        </w:rPr>
        <w:t>) event-free survival (EFS), (</w:t>
      </w:r>
      <w:r w:rsidR="00F60909">
        <w:rPr>
          <w:sz w:val="20"/>
          <w:szCs w:val="20"/>
        </w:rPr>
        <w:t>b</w:t>
      </w:r>
      <w:r w:rsidRPr="001B350D">
        <w:rPr>
          <w:sz w:val="20"/>
          <w:szCs w:val="20"/>
        </w:rPr>
        <w:t>) overall survival (OS), and (</w:t>
      </w:r>
      <w:r w:rsidR="00F60909">
        <w:rPr>
          <w:sz w:val="20"/>
          <w:szCs w:val="20"/>
        </w:rPr>
        <w:t>c</w:t>
      </w:r>
      <w:r w:rsidRPr="001B350D">
        <w:rPr>
          <w:sz w:val="20"/>
          <w:szCs w:val="20"/>
        </w:rPr>
        <w:t>) cumulative incidence of relapse (CIR).</w:t>
      </w:r>
    </w:p>
    <w:p w14:paraId="2F3A8137" w14:textId="77777777" w:rsidR="001B350D" w:rsidRPr="001B350D" w:rsidRDefault="001B350D" w:rsidP="001B350D">
      <w:pPr>
        <w:ind w:firstLine="0"/>
        <w:jc w:val="left"/>
        <w:rPr>
          <w:sz w:val="20"/>
          <w:szCs w:val="20"/>
        </w:rPr>
      </w:pPr>
      <w:r w:rsidRPr="001B350D">
        <w:rPr>
          <w:i/>
          <w:sz w:val="20"/>
          <w:szCs w:val="20"/>
        </w:rPr>
        <w:t>RUNX1::RUNX1T1</w:t>
      </w:r>
      <w:r w:rsidRPr="001B350D">
        <w:rPr>
          <w:sz w:val="20"/>
          <w:szCs w:val="20"/>
        </w:rPr>
        <w:t xml:space="preserve"> (n = 82) </w:t>
      </w:r>
      <w:r w:rsidRPr="001B350D">
        <w:rPr>
          <w:i/>
          <w:sz w:val="20"/>
          <w:szCs w:val="20"/>
        </w:rPr>
        <w:t>vs. CBFβ::MYH11</w:t>
      </w:r>
      <w:r w:rsidRPr="001B350D">
        <w:rPr>
          <w:sz w:val="20"/>
          <w:szCs w:val="20"/>
        </w:rPr>
        <w:t xml:space="preserve"> (n = 21):</w:t>
      </w:r>
    </w:p>
    <w:p w14:paraId="727BF99D" w14:textId="77777777" w:rsidR="001B350D" w:rsidRPr="001B350D" w:rsidRDefault="001B350D" w:rsidP="001B350D">
      <w:pPr>
        <w:numPr>
          <w:ilvl w:val="0"/>
          <w:numId w:val="3"/>
        </w:numPr>
        <w:jc w:val="left"/>
        <w:rPr>
          <w:sz w:val="20"/>
          <w:szCs w:val="20"/>
        </w:rPr>
      </w:pPr>
      <w:r w:rsidRPr="001B350D">
        <w:rPr>
          <w:sz w:val="20"/>
          <w:szCs w:val="20"/>
        </w:rPr>
        <w:t xml:space="preserve">EFS: 5-year 87.0% ± 3.9% </w:t>
      </w:r>
      <w:r w:rsidRPr="001B350D">
        <w:rPr>
          <w:i/>
          <w:sz w:val="20"/>
          <w:szCs w:val="20"/>
        </w:rPr>
        <w:t>vs.</w:t>
      </w:r>
      <w:r w:rsidRPr="001B350D">
        <w:rPr>
          <w:sz w:val="20"/>
          <w:szCs w:val="20"/>
        </w:rPr>
        <w:t xml:space="preserve"> 80.4% ± 8.8% (</w:t>
      </w:r>
      <w:r w:rsidRPr="001B350D">
        <w:rPr>
          <w:i/>
          <w:sz w:val="20"/>
          <w:szCs w:val="20"/>
        </w:rPr>
        <w:t>P</w:t>
      </w:r>
      <w:r w:rsidRPr="001B350D">
        <w:rPr>
          <w:sz w:val="20"/>
          <w:szCs w:val="20"/>
        </w:rPr>
        <w:t xml:space="preserve"> = 0.313, log-rank)</w:t>
      </w:r>
    </w:p>
    <w:p w14:paraId="1923E5B0" w14:textId="77777777" w:rsidR="001B350D" w:rsidRPr="001B350D" w:rsidRDefault="001B350D" w:rsidP="001B350D">
      <w:pPr>
        <w:numPr>
          <w:ilvl w:val="0"/>
          <w:numId w:val="3"/>
        </w:numPr>
        <w:jc w:val="left"/>
        <w:rPr>
          <w:sz w:val="20"/>
          <w:szCs w:val="20"/>
        </w:rPr>
      </w:pPr>
      <w:r w:rsidRPr="001B350D">
        <w:rPr>
          <w:sz w:val="20"/>
          <w:szCs w:val="20"/>
        </w:rPr>
        <w:t xml:space="preserve">OS: 5-year 91.4% ± 3.4% </w:t>
      </w:r>
      <w:r w:rsidRPr="001B350D">
        <w:rPr>
          <w:i/>
          <w:sz w:val="20"/>
          <w:szCs w:val="20"/>
        </w:rPr>
        <w:t>vs.</w:t>
      </w:r>
      <w:r w:rsidRPr="001B350D">
        <w:rPr>
          <w:sz w:val="20"/>
          <w:szCs w:val="20"/>
        </w:rPr>
        <w:t xml:space="preserve"> 90.5% ± 6.4% (</w:t>
      </w:r>
      <w:r w:rsidRPr="001B350D">
        <w:rPr>
          <w:i/>
          <w:sz w:val="20"/>
          <w:szCs w:val="20"/>
        </w:rPr>
        <w:t>P</w:t>
      </w:r>
      <w:r w:rsidRPr="001B350D">
        <w:rPr>
          <w:sz w:val="20"/>
          <w:szCs w:val="20"/>
        </w:rPr>
        <w:t xml:space="preserve"> = 0.326, log-rank)</w:t>
      </w:r>
    </w:p>
    <w:p w14:paraId="112F48EA" w14:textId="77777777" w:rsidR="001B350D" w:rsidRPr="001B350D" w:rsidRDefault="001B350D" w:rsidP="001B350D">
      <w:pPr>
        <w:numPr>
          <w:ilvl w:val="0"/>
          <w:numId w:val="3"/>
        </w:numPr>
        <w:jc w:val="left"/>
        <w:rPr>
          <w:sz w:val="20"/>
          <w:szCs w:val="20"/>
        </w:rPr>
      </w:pPr>
      <w:r w:rsidRPr="001B350D">
        <w:rPr>
          <w:sz w:val="20"/>
          <w:szCs w:val="20"/>
        </w:rPr>
        <w:t xml:space="preserve">CIR: 7.1% ± 3.1% </w:t>
      </w:r>
      <w:r w:rsidRPr="001B350D">
        <w:rPr>
          <w:i/>
          <w:sz w:val="20"/>
          <w:szCs w:val="20"/>
        </w:rPr>
        <w:t>vs.</w:t>
      </w:r>
      <w:r w:rsidRPr="001B350D">
        <w:rPr>
          <w:sz w:val="20"/>
          <w:szCs w:val="20"/>
        </w:rPr>
        <w:t xml:space="preserve"> 6.7% ± 6.4% (</w:t>
      </w:r>
      <w:r w:rsidRPr="001B350D">
        <w:rPr>
          <w:i/>
          <w:sz w:val="20"/>
          <w:szCs w:val="20"/>
        </w:rPr>
        <w:t>P</w:t>
      </w:r>
      <w:r w:rsidRPr="001B350D">
        <w:rPr>
          <w:sz w:val="20"/>
          <w:szCs w:val="20"/>
        </w:rPr>
        <w:t xml:space="preserve"> = 0.936, Gray’s test)</w:t>
      </w:r>
    </w:p>
    <w:p w14:paraId="5E0CE06B" w14:textId="77777777" w:rsidR="001B350D" w:rsidRPr="001B350D" w:rsidRDefault="001B350D" w:rsidP="001B350D">
      <w:pPr>
        <w:ind w:firstLine="0"/>
        <w:jc w:val="left"/>
        <w:rPr>
          <w:sz w:val="20"/>
          <w:szCs w:val="20"/>
        </w:rPr>
      </w:pPr>
      <w:r w:rsidRPr="001B350D">
        <w:rPr>
          <w:sz w:val="20"/>
          <w:szCs w:val="20"/>
        </w:rPr>
        <w:t>No significant differences were observed across endpoints. Error bars/ribbons represent ±1 standard error.</w:t>
      </w:r>
    </w:p>
    <w:p w14:paraId="2F0A578B" w14:textId="77777777" w:rsidR="001B350D" w:rsidRPr="001B350D" w:rsidRDefault="001B350D" w:rsidP="001B350D">
      <w:pPr>
        <w:ind w:firstLine="0"/>
        <w:jc w:val="left"/>
        <w:rPr>
          <w:sz w:val="20"/>
          <w:szCs w:val="20"/>
        </w:rPr>
        <w:sectPr w:rsidR="001B350D" w:rsidRPr="001B350D" w:rsidSect="001B350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7BBAF7C" w14:textId="56E74523" w:rsidR="00F60909" w:rsidRDefault="00F60909" w:rsidP="001B350D">
      <w:pPr>
        <w:ind w:firstLine="0"/>
        <w:jc w:val="left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drawing>
          <wp:inline distT="0" distB="0" distL="0" distR="0" wp14:anchorId="101D651F" wp14:editId="53ADBCE5">
            <wp:extent cx="5265420" cy="1432560"/>
            <wp:effectExtent l="0" t="0" r="0" b="0"/>
            <wp:docPr id="5270370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D2DD6" w14:textId="476779E2" w:rsidR="001B350D" w:rsidRPr="001B350D" w:rsidRDefault="001B350D" w:rsidP="001B350D">
      <w:pPr>
        <w:ind w:firstLine="0"/>
        <w:jc w:val="left"/>
        <w:rPr>
          <w:sz w:val="20"/>
          <w:szCs w:val="20"/>
        </w:rPr>
      </w:pPr>
      <w:r w:rsidRPr="001B350D">
        <w:rPr>
          <w:b/>
          <w:sz w:val="20"/>
          <w:szCs w:val="20"/>
        </w:rPr>
        <w:t xml:space="preserve">Online Resource 9. Prognostic impact of induction regimen in pediatric patients with </w:t>
      </w:r>
      <w:r w:rsidRPr="001B350D">
        <w:rPr>
          <w:b/>
          <w:i/>
          <w:sz w:val="20"/>
          <w:szCs w:val="20"/>
        </w:rPr>
        <w:t>KIT</w:t>
      </w:r>
      <w:r w:rsidRPr="001B350D">
        <w:rPr>
          <w:b/>
          <w:sz w:val="20"/>
          <w:szCs w:val="20"/>
        </w:rPr>
        <w:t xml:space="preserve"> mutations</w:t>
      </w:r>
    </w:p>
    <w:p w14:paraId="6C644960" w14:textId="5D63AB41" w:rsidR="001B350D" w:rsidRPr="001B350D" w:rsidRDefault="001B350D" w:rsidP="001B350D">
      <w:pPr>
        <w:ind w:firstLine="0"/>
        <w:jc w:val="left"/>
        <w:rPr>
          <w:sz w:val="20"/>
          <w:szCs w:val="20"/>
        </w:rPr>
      </w:pPr>
      <w:r w:rsidRPr="001B350D">
        <w:rPr>
          <w:sz w:val="20"/>
          <w:szCs w:val="20"/>
        </w:rPr>
        <w:t>Kaplan–Meier estimates for (</w:t>
      </w:r>
      <w:r w:rsidR="00F60909">
        <w:rPr>
          <w:sz w:val="20"/>
          <w:szCs w:val="20"/>
        </w:rPr>
        <w:t>a</w:t>
      </w:r>
      <w:r w:rsidRPr="001B350D">
        <w:rPr>
          <w:sz w:val="20"/>
          <w:szCs w:val="20"/>
        </w:rPr>
        <w:t>) event-free survival (EFS), (</w:t>
      </w:r>
      <w:r w:rsidR="00F60909">
        <w:rPr>
          <w:sz w:val="20"/>
          <w:szCs w:val="20"/>
        </w:rPr>
        <w:t>b</w:t>
      </w:r>
      <w:r w:rsidRPr="001B350D">
        <w:rPr>
          <w:sz w:val="20"/>
          <w:szCs w:val="20"/>
        </w:rPr>
        <w:t>) overall survival (OS), and (</w:t>
      </w:r>
      <w:r w:rsidR="00F60909">
        <w:rPr>
          <w:sz w:val="20"/>
          <w:szCs w:val="20"/>
        </w:rPr>
        <w:t>c</w:t>
      </w:r>
      <w:r w:rsidRPr="001B350D">
        <w:rPr>
          <w:sz w:val="20"/>
          <w:szCs w:val="20"/>
        </w:rPr>
        <w:t>) cumulative incidence of relapse (CIR).</w:t>
      </w:r>
    </w:p>
    <w:p w14:paraId="5E5FD186" w14:textId="77777777" w:rsidR="001B350D" w:rsidRPr="001B350D" w:rsidRDefault="001B350D" w:rsidP="001B350D">
      <w:pPr>
        <w:ind w:firstLine="0"/>
        <w:jc w:val="left"/>
        <w:rPr>
          <w:sz w:val="20"/>
          <w:szCs w:val="20"/>
        </w:rPr>
      </w:pPr>
      <w:r w:rsidRPr="001B350D">
        <w:rPr>
          <w:sz w:val="20"/>
          <w:szCs w:val="20"/>
        </w:rPr>
        <w:t xml:space="preserve">FLAG-IDA (n = 84) </w:t>
      </w:r>
      <w:r w:rsidRPr="001B350D">
        <w:rPr>
          <w:i/>
          <w:sz w:val="20"/>
          <w:szCs w:val="20"/>
        </w:rPr>
        <w:t xml:space="preserve">vs. </w:t>
      </w:r>
      <w:r w:rsidRPr="001B350D">
        <w:rPr>
          <w:sz w:val="20"/>
          <w:szCs w:val="20"/>
        </w:rPr>
        <w:t>DAE (n = 19):</w:t>
      </w:r>
    </w:p>
    <w:p w14:paraId="1CF5E004" w14:textId="77777777" w:rsidR="001B350D" w:rsidRPr="001B350D" w:rsidRDefault="001B350D" w:rsidP="001B350D">
      <w:pPr>
        <w:numPr>
          <w:ilvl w:val="0"/>
          <w:numId w:val="3"/>
        </w:numPr>
        <w:jc w:val="left"/>
        <w:rPr>
          <w:sz w:val="20"/>
          <w:szCs w:val="20"/>
        </w:rPr>
      </w:pPr>
      <w:r w:rsidRPr="001B350D">
        <w:rPr>
          <w:sz w:val="20"/>
          <w:szCs w:val="20"/>
        </w:rPr>
        <w:t xml:space="preserve">EFS: 5-year 85.9% ± 4.0% </w:t>
      </w:r>
      <w:r w:rsidRPr="001B350D">
        <w:rPr>
          <w:i/>
          <w:sz w:val="20"/>
          <w:szCs w:val="20"/>
        </w:rPr>
        <w:t>vs.</w:t>
      </w:r>
      <w:r w:rsidRPr="001B350D">
        <w:rPr>
          <w:sz w:val="20"/>
          <w:szCs w:val="20"/>
        </w:rPr>
        <w:t xml:space="preserve"> 84.2% ± 8.4% (</w:t>
      </w:r>
      <w:r w:rsidRPr="001B350D">
        <w:rPr>
          <w:i/>
          <w:sz w:val="20"/>
          <w:szCs w:val="20"/>
        </w:rPr>
        <w:t>P</w:t>
      </w:r>
      <w:r w:rsidRPr="001B350D">
        <w:rPr>
          <w:sz w:val="20"/>
          <w:szCs w:val="20"/>
        </w:rPr>
        <w:t xml:space="preserve"> = 0.773, log-rank)</w:t>
      </w:r>
    </w:p>
    <w:p w14:paraId="1F9FC73B" w14:textId="77777777" w:rsidR="001B350D" w:rsidRPr="001B350D" w:rsidRDefault="001B350D" w:rsidP="001B350D">
      <w:pPr>
        <w:numPr>
          <w:ilvl w:val="0"/>
          <w:numId w:val="3"/>
        </w:numPr>
        <w:jc w:val="left"/>
        <w:rPr>
          <w:sz w:val="20"/>
          <w:szCs w:val="20"/>
        </w:rPr>
      </w:pPr>
      <w:r w:rsidRPr="001B350D">
        <w:rPr>
          <w:sz w:val="20"/>
          <w:szCs w:val="20"/>
        </w:rPr>
        <w:t xml:space="preserve">OS: 5-year 91.6% ± 3.3% </w:t>
      </w:r>
      <w:r w:rsidRPr="001B350D">
        <w:rPr>
          <w:i/>
          <w:sz w:val="20"/>
          <w:szCs w:val="20"/>
        </w:rPr>
        <w:t>vs.</w:t>
      </w:r>
      <w:r w:rsidRPr="001B350D">
        <w:rPr>
          <w:sz w:val="20"/>
          <w:szCs w:val="20"/>
        </w:rPr>
        <w:t xml:space="preserve"> 88.9% ± 7.4% (</w:t>
      </w:r>
      <w:r w:rsidRPr="001B350D">
        <w:rPr>
          <w:i/>
          <w:sz w:val="20"/>
          <w:szCs w:val="20"/>
        </w:rPr>
        <w:t>P</w:t>
      </w:r>
      <w:r w:rsidRPr="001B350D">
        <w:rPr>
          <w:sz w:val="20"/>
          <w:szCs w:val="20"/>
        </w:rPr>
        <w:t xml:space="preserve"> = 0.706, log-rank)</w:t>
      </w:r>
    </w:p>
    <w:p w14:paraId="4FAAEABD" w14:textId="77777777" w:rsidR="001B350D" w:rsidRPr="001B350D" w:rsidRDefault="001B350D" w:rsidP="001B350D">
      <w:pPr>
        <w:numPr>
          <w:ilvl w:val="0"/>
          <w:numId w:val="3"/>
        </w:numPr>
        <w:jc w:val="left"/>
        <w:rPr>
          <w:sz w:val="20"/>
          <w:szCs w:val="20"/>
        </w:rPr>
      </w:pPr>
      <w:r w:rsidRPr="001B350D">
        <w:rPr>
          <w:sz w:val="20"/>
          <w:szCs w:val="20"/>
        </w:rPr>
        <w:t xml:space="preserve">CIR: 8.4% ± 3.3% </w:t>
      </w:r>
      <w:r w:rsidRPr="001B350D">
        <w:rPr>
          <w:i/>
          <w:sz w:val="20"/>
          <w:szCs w:val="20"/>
        </w:rPr>
        <w:t>vs.</w:t>
      </w:r>
      <w:r w:rsidRPr="001B350D">
        <w:rPr>
          <w:sz w:val="20"/>
          <w:szCs w:val="20"/>
        </w:rPr>
        <w:t xml:space="preserve"> 0% (</w:t>
      </w:r>
      <w:r w:rsidRPr="001B350D">
        <w:rPr>
          <w:i/>
          <w:sz w:val="20"/>
          <w:szCs w:val="20"/>
        </w:rPr>
        <w:t>P</w:t>
      </w:r>
      <w:r w:rsidRPr="001B350D">
        <w:rPr>
          <w:sz w:val="20"/>
          <w:szCs w:val="20"/>
        </w:rPr>
        <w:t xml:space="preserve"> = 0.255, Gray’s test)</w:t>
      </w:r>
    </w:p>
    <w:p w14:paraId="6AFC395D" w14:textId="77777777" w:rsidR="001B350D" w:rsidRPr="001B350D" w:rsidRDefault="001B350D" w:rsidP="001B350D">
      <w:pPr>
        <w:ind w:firstLine="0"/>
        <w:jc w:val="left"/>
        <w:rPr>
          <w:sz w:val="20"/>
          <w:szCs w:val="20"/>
        </w:rPr>
      </w:pPr>
      <w:r w:rsidRPr="001B350D">
        <w:rPr>
          <w:sz w:val="20"/>
          <w:szCs w:val="20"/>
        </w:rPr>
        <w:t>No significant differences were observed across endpoints. Error bars/ribbons represent ±1 standard error.</w:t>
      </w:r>
    </w:p>
    <w:p w14:paraId="051A94FC" w14:textId="77777777" w:rsidR="001B350D" w:rsidRDefault="001B350D">
      <w:pPr>
        <w:widowControl/>
        <w:spacing w:line="240" w:lineRule="auto"/>
        <w:ind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342C28C6" w14:textId="1D87FDA6" w:rsidR="00D75293" w:rsidRPr="001B350D" w:rsidRDefault="00000000">
      <w:pPr>
        <w:ind w:firstLine="0"/>
        <w:rPr>
          <w:sz w:val="20"/>
          <w:szCs w:val="20"/>
        </w:rPr>
      </w:pPr>
      <w:r w:rsidRPr="001B350D">
        <w:rPr>
          <w:b/>
          <w:sz w:val="20"/>
          <w:szCs w:val="20"/>
        </w:rPr>
        <w:lastRenderedPageBreak/>
        <w:t>Online Resource 10.</w:t>
      </w:r>
      <w:r w:rsidRPr="001B350D">
        <w:rPr>
          <w:sz w:val="20"/>
          <w:szCs w:val="20"/>
        </w:rPr>
        <w:t xml:space="preserve"> Clinical characteristics of CBF-AML with and without </w:t>
      </w:r>
      <w:r w:rsidRPr="001B350D">
        <w:rPr>
          <w:i/>
          <w:sz w:val="20"/>
          <w:szCs w:val="20"/>
        </w:rPr>
        <w:t>FLT3-</w:t>
      </w:r>
      <w:r w:rsidRPr="001B350D">
        <w:rPr>
          <w:sz w:val="20"/>
          <w:szCs w:val="20"/>
        </w:rPr>
        <w:t>ITD</w:t>
      </w:r>
      <w:r w:rsidRPr="001B350D">
        <w:rPr>
          <w:i/>
          <w:sz w:val="20"/>
          <w:szCs w:val="20"/>
        </w:rPr>
        <w:t xml:space="preserve"> </w:t>
      </w:r>
      <w:r w:rsidRPr="001B350D">
        <w:rPr>
          <w:sz w:val="20"/>
          <w:szCs w:val="20"/>
        </w:rPr>
        <w:t>mutations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2046"/>
        <w:gridCol w:w="1900"/>
        <w:gridCol w:w="938"/>
      </w:tblGrid>
      <w:tr w:rsidR="00963305" w:rsidRPr="001B350D" w14:paraId="739EE776" w14:textId="77777777"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</w:tcPr>
          <w:p w14:paraId="1D25053B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Characteristic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14:paraId="30465EFC" w14:textId="77777777" w:rsidR="00D75293" w:rsidRPr="001B350D" w:rsidRDefault="00000000">
            <w:pPr>
              <w:ind w:firstLine="0"/>
              <w:jc w:val="left"/>
              <w:rPr>
                <w:sz w:val="20"/>
                <w:szCs w:val="20"/>
              </w:rPr>
            </w:pPr>
            <w:r w:rsidRPr="001B350D">
              <w:rPr>
                <w:i/>
                <w:sz w:val="20"/>
                <w:szCs w:val="20"/>
              </w:rPr>
              <w:t>FLT3-</w:t>
            </w:r>
            <w:r w:rsidRPr="001B350D">
              <w:rPr>
                <w:sz w:val="20"/>
                <w:szCs w:val="20"/>
              </w:rPr>
              <w:t>ITD (n=16)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</w:tcPr>
          <w:p w14:paraId="16B6A604" w14:textId="77777777" w:rsidR="00D75293" w:rsidRPr="001B350D" w:rsidRDefault="00000000">
            <w:pPr>
              <w:ind w:firstLine="0"/>
              <w:rPr>
                <w:i/>
                <w:sz w:val="20"/>
                <w:szCs w:val="20"/>
              </w:rPr>
            </w:pPr>
            <w:r w:rsidRPr="001B350D">
              <w:rPr>
                <w:i/>
                <w:sz w:val="20"/>
                <w:szCs w:val="20"/>
              </w:rPr>
              <w:t>FLT3</w:t>
            </w:r>
            <w:r w:rsidRPr="001B350D">
              <w:rPr>
                <w:sz w:val="20"/>
                <w:szCs w:val="20"/>
              </w:rPr>
              <w:t>-wt (n=273)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14:paraId="780BB154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i/>
                <w:sz w:val="20"/>
                <w:szCs w:val="20"/>
              </w:rPr>
              <w:t xml:space="preserve">P </w:t>
            </w:r>
            <w:r w:rsidRPr="001B350D">
              <w:rPr>
                <w:sz w:val="20"/>
                <w:szCs w:val="20"/>
              </w:rPr>
              <w:t>value</w:t>
            </w:r>
          </w:p>
        </w:tc>
      </w:tr>
      <w:tr w:rsidR="00963305" w:rsidRPr="001B350D" w14:paraId="43A61F3E" w14:textId="77777777">
        <w:tc>
          <w:tcPr>
            <w:tcW w:w="3464" w:type="dxa"/>
            <w:tcBorders>
              <w:top w:val="single" w:sz="4" w:space="0" w:color="auto"/>
            </w:tcBorders>
          </w:tcPr>
          <w:p w14:paraId="32229520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Chimera transcript type, n (%)</w:t>
            </w:r>
          </w:p>
        </w:tc>
        <w:tc>
          <w:tcPr>
            <w:tcW w:w="2046" w:type="dxa"/>
            <w:tcBorders>
              <w:top w:val="single" w:sz="4" w:space="0" w:color="auto"/>
            </w:tcBorders>
          </w:tcPr>
          <w:p w14:paraId="73BFBED2" w14:textId="77777777" w:rsidR="00D75293" w:rsidRPr="001B350D" w:rsidRDefault="00D7529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</w:tcPr>
          <w:p w14:paraId="1E086219" w14:textId="77777777" w:rsidR="00D75293" w:rsidRPr="001B350D" w:rsidRDefault="00D7529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</w:tcBorders>
          </w:tcPr>
          <w:p w14:paraId="42A80A76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0.747</w:t>
            </w:r>
          </w:p>
        </w:tc>
      </w:tr>
      <w:tr w:rsidR="00963305" w:rsidRPr="001B350D" w14:paraId="3C766DE3" w14:textId="77777777">
        <w:tc>
          <w:tcPr>
            <w:tcW w:w="3464" w:type="dxa"/>
          </w:tcPr>
          <w:p w14:paraId="57096736" w14:textId="77777777" w:rsidR="00D75293" w:rsidRPr="001B350D" w:rsidRDefault="00000000">
            <w:pPr>
              <w:ind w:firstLine="0"/>
              <w:rPr>
                <w:i/>
                <w:sz w:val="20"/>
                <w:szCs w:val="20"/>
              </w:rPr>
            </w:pPr>
            <w:r w:rsidRPr="001B350D">
              <w:rPr>
                <w:i/>
                <w:sz w:val="20"/>
                <w:szCs w:val="20"/>
              </w:rPr>
              <w:t xml:space="preserve">    RUNX1::RUNX1T1</w:t>
            </w:r>
          </w:p>
        </w:tc>
        <w:tc>
          <w:tcPr>
            <w:tcW w:w="2046" w:type="dxa"/>
          </w:tcPr>
          <w:p w14:paraId="1EC96CB8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14 (87.5)</w:t>
            </w:r>
          </w:p>
        </w:tc>
        <w:tc>
          <w:tcPr>
            <w:tcW w:w="1900" w:type="dxa"/>
          </w:tcPr>
          <w:p w14:paraId="305C8A1D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217 (79.5)</w:t>
            </w:r>
          </w:p>
        </w:tc>
        <w:tc>
          <w:tcPr>
            <w:tcW w:w="938" w:type="dxa"/>
          </w:tcPr>
          <w:p w14:paraId="692B4802" w14:textId="77777777" w:rsidR="00D75293" w:rsidRPr="001B350D" w:rsidRDefault="00D75293">
            <w:pPr>
              <w:ind w:firstLine="0"/>
              <w:rPr>
                <w:sz w:val="20"/>
                <w:szCs w:val="20"/>
              </w:rPr>
            </w:pPr>
          </w:p>
        </w:tc>
      </w:tr>
      <w:tr w:rsidR="00963305" w:rsidRPr="001B350D" w14:paraId="271C6C23" w14:textId="77777777">
        <w:tc>
          <w:tcPr>
            <w:tcW w:w="3464" w:type="dxa"/>
          </w:tcPr>
          <w:p w14:paraId="26626C4B" w14:textId="77777777" w:rsidR="00D75293" w:rsidRPr="001B350D" w:rsidRDefault="00000000">
            <w:pPr>
              <w:ind w:firstLine="0"/>
              <w:rPr>
                <w:i/>
                <w:sz w:val="20"/>
                <w:szCs w:val="20"/>
              </w:rPr>
            </w:pPr>
            <w:r w:rsidRPr="001B350D">
              <w:rPr>
                <w:i/>
                <w:sz w:val="20"/>
                <w:szCs w:val="20"/>
              </w:rPr>
              <w:t xml:space="preserve">    CBF</w:t>
            </w:r>
            <w:r w:rsidRPr="001B350D">
              <w:rPr>
                <w:rFonts w:eastAsia="DengXian"/>
                <w:i/>
                <w:sz w:val="20"/>
                <w:szCs w:val="20"/>
              </w:rPr>
              <w:t>β</w:t>
            </w:r>
            <w:r w:rsidRPr="001B350D">
              <w:rPr>
                <w:i/>
                <w:sz w:val="20"/>
                <w:szCs w:val="20"/>
              </w:rPr>
              <w:t>::MYH11</w:t>
            </w:r>
          </w:p>
        </w:tc>
        <w:tc>
          <w:tcPr>
            <w:tcW w:w="2046" w:type="dxa"/>
          </w:tcPr>
          <w:p w14:paraId="28E13005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2 (12.5)</w:t>
            </w:r>
          </w:p>
        </w:tc>
        <w:tc>
          <w:tcPr>
            <w:tcW w:w="1900" w:type="dxa"/>
          </w:tcPr>
          <w:p w14:paraId="61FC0130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56 (20.5)</w:t>
            </w:r>
          </w:p>
        </w:tc>
        <w:tc>
          <w:tcPr>
            <w:tcW w:w="938" w:type="dxa"/>
          </w:tcPr>
          <w:p w14:paraId="1BC67252" w14:textId="77777777" w:rsidR="00D75293" w:rsidRPr="001B350D" w:rsidRDefault="00D75293">
            <w:pPr>
              <w:ind w:firstLine="0"/>
              <w:rPr>
                <w:sz w:val="20"/>
                <w:szCs w:val="20"/>
              </w:rPr>
            </w:pPr>
          </w:p>
        </w:tc>
      </w:tr>
      <w:tr w:rsidR="00963305" w:rsidRPr="001B350D" w14:paraId="44AC7BE0" w14:textId="77777777">
        <w:tc>
          <w:tcPr>
            <w:tcW w:w="3464" w:type="dxa"/>
          </w:tcPr>
          <w:p w14:paraId="086D44F9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Age, months</w:t>
            </w:r>
          </w:p>
        </w:tc>
        <w:tc>
          <w:tcPr>
            <w:tcW w:w="2046" w:type="dxa"/>
          </w:tcPr>
          <w:p w14:paraId="62FBB828" w14:textId="77777777" w:rsidR="00D75293" w:rsidRPr="001B350D" w:rsidRDefault="00D7529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6DD4BD1B" w14:textId="77777777" w:rsidR="00D75293" w:rsidRPr="001B350D" w:rsidRDefault="00D7529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14:paraId="1567A833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0.808</w:t>
            </w:r>
          </w:p>
        </w:tc>
      </w:tr>
      <w:tr w:rsidR="00963305" w:rsidRPr="001B350D" w14:paraId="3DB8CB20" w14:textId="77777777">
        <w:tc>
          <w:tcPr>
            <w:tcW w:w="3464" w:type="dxa"/>
          </w:tcPr>
          <w:p w14:paraId="281927ED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    Median</w:t>
            </w:r>
          </w:p>
        </w:tc>
        <w:tc>
          <w:tcPr>
            <w:tcW w:w="2046" w:type="dxa"/>
          </w:tcPr>
          <w:p w14:paraId="681D89FC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75</w:t>
            </w:r>
          </w:p>
        </w:tc>
        <w:tc>
          <w:tcPr>
            <w:tcW w:w="1900" w:type="dxa"/>
          </w:tcPr>
          <w:p w14:paraId="50436F0C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94</w:t>
            </w:r>
          </w:p>
        </w:tc>
        <w:tc>
          <w:tcPr>
            <w:tcW w:w="938" w:type="dxa"/>
          </w:tcPr>
          <w:p w14:paraId="46080BC8" w14:textId="77777777" w:rsidR="00D75293" w:rsidRPr="001B350D" w:rsidRDefault="00D75293">
            <w:pPr>
              <w:ind w:firstLine="0"/>
              <w:rPr>
                <w:sz w:val="20"/>
                <w:szCs w:val="20"/>
              </w:rPr>
            </w:pPr>
          </w:p>
        </w:tc>
      </w:tr>
      <w:tr w:rsidR="00963305" w:rsidRPr="001B350D" w14:paraId="54ACF4AE" w14:textId="77777777">
        <w:tc>
          <w:tcPr>
            <w:tcW w:w="3464" w:type="dxa"/>
          </w:tcPr>
          <w:p w14:paraId="755571CC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    Range</w:t>
            </w:r>
          </w:p>
        </w:tc>
        <w:tc>
          <w:tcPr>
            <w:tcW w:w="2046" w:type="dxa"/>
          </w:tcPr>
          <w:p w14:paraId="69FBA3E1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30–168</w:t>
            </w:r>
          </w:p>
        </w:tc>
        <w:tc>
          <w:tcPr>
            <w:tcW w:w="1900" w:type="dxa"/>
          </w:tcPr>
          <w:p w14:paraId="75CAE9D8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7–168</w:t>
            </w:r>
          </w:p>
        </w:tc>
        <w:tc>
          <w:tcPr>
            <w:tcW w:w="938" w:type="dxa"/>
          </w:tcPr>
          <w:p w14:paraId="0479EE05" w14:textId="77777777" w:rsidR="00D75293" w:rsidRPr="001B350D" w:rsidRDefault="00D75293">
            <w:pPr>
              <w:ind w:firstLine="0"/>
              <w:rPr>
                <w:sz w:val="20"/>
                <w:szCs w:val="20"/>
              </w:rPr>
            </w:pPr>
          </w:p>
        </w:tc>
      </w:tr>
      <w:tr w:rsidR="00963305" w:rsidRPr="001B350D" w14:paraId="5574BD37" w14:textId="77777777">
        <w:tc>
          <w:tcPr>
            <w:tcW w:w="3464" w:type="dxa"/>
          </w:tcPr>
          <w:p w14:paraId="0A33A044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Sex, n (%)</w:t>
            </w:r>
          </w:p>
        </w:tc>
        <w:tc>
          <w:tcPr>
            <w:tcW w:w="2046" w:type="dxa"/>
          </w:tcPr>
          <w:p w14:paraId="7997F723" w14:textId="77777777" w:rsidR="00D75293" w:rsidRPr="001B350D" w:rsidRDefault="00D7529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55F100E2" w14:textId="77777777" w:rsidR="00D75293" w:rsidRPr="001B350D" w:rsidRDefault="00D7529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14:paraId="19BBD205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0.772</w:t>
            </w:r>
          </w:p>
        </w:tc>
      </w:tr>
      <w:tr w:rsidR="00963305" w:rsidRPr="001B350D" w14:paraId="21060489" w14:textId="77777777">
        <w:tc>
          <w:tcPr>
            <w:tcW w:w="3464" w:type="dxa"/>
          </w:tcPr>
          <w:p w14:paraId="7A8BD80B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   Male</w:t>
            </w:r>
          </w:p>
        </w:tc>
        <w:tc>
          <w:tcPr>
            <w:tcW w:w="2046" w:type="dxa"/>
          </w:tcPr>
          <w:p w14:paraId="61EC21DE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14 (59.2)</w:t>
            </w:r>
          </w:p>
        </w:tc>
        <w:tc>
          <w:tcPr>
            <w:tcW w:w="1900" w:type="dxa"/>
          </w:tcPr>
          <w:p w14:paraId="3ADC35DD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160 (58.6)</w:t>
            </w:r>
          </w:p>
        </w:tc>
        <w:tc>
          <w:tcPr>
            <w:tcW w:w="938" w:type="dxa"/>
          </w:tcPr>
          <w:p w14:paraId="2D0B2E90" w14:textId="77777777" w:rsidR="00D75293" w:rsidRPr="001B350D" w:rsidRDefault="00D75293">
            <w:pPr>
              <w:ind w:firstLine="0"/>
              <w:rPr>
                <w:sz w:val="20"/>
                <w:szCs w:val="20"/>
              </w:rPr>
            </w:pPr>
          </w:p>
        </w:tc>
      </w:tr>
      <w:tr w:rsidR="00963305" w:rsidRPr="001B350D" w14:paraId="01CE30A3" w14:textId="77777777">
        <w:tc>
          <w:tcPr>
            <w:tcW w:w="3464" w:type="dxa"/>
          </w:tcPr>
          <w:p w14:paraId="7EE8B469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   Female</w:t>
            </w:r>
          </w:p>
        </w:tc>
        <w:tc>
          <w:tcPr>
            <w:tcW w:w="2046" w:type="dxa"/>
          </w:tcPr>
          <w:p w14:paraId="405E2CA3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2 (40.8)</w:t>
            </w:r>
          </w:p>
        </w:tc>
        <w:tc>
          <w:tcPr>
            <w:tcW w:w="1900" w:type="dxa"/>
          </w:tcPr>
          <w:p w14:paraId="77E332DE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113 (41.4)</w:t>
            </w:r>
          </w:p>
        </w:tc>
        <w:tc>
          <w:tcPr>
            <w:tcW w:w="938" w:type="dxa"/>
          </w:tcPr>
          <w:p w14:paraId="62235DB1" w14:textId="77777777" w:rsidR="00D75293" w:rsidRPr="001B350D" w:rsidRDefault="00D75293">
            <w:pPr>
              <w:ind w:firstLine="0"/>
              <w:rPr>
                <w:sz w:val="20"/>
                <w:szCs w:val="20"/>
              </w:rPr>
            </w:pPr>
          </w:p>
        </w:tc>
      </w:tr>
      <w:tr w:rsidR="00963305" w:rsidRPr="001B350D" w14:paraId="104C7A49" w14:textId="77777777">
        <w:tc>
          <w:tcPr>
            <w:tcW w:w="3464" w:type="dxa"/>
          </w:tcPr>
          <w:p w14:paraId="5E2C8ED1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Extramedullary involvement, n (%)</w:t>
            </w:r>
          </w:p>
        </w:tc>
        <w:tc>
          <w:tcPr>
            <w:tcW w:w="2046" w:type="dxa"/>
          </w:tcPr>
          <w:p w14:paraId="6E6FCB35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3 (26.2)</w:t>
            </w:r>
          </w:p>
        </w:tc>
        <w:tc>
          <w:tcPr>
            <w:tcW w:w="1900" w:type="dxa"/>
          </w:tcPr>
          <w:p w14:paraId="51D39495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48 (17.6)</w:t>
            </w:r>
          </w:p>
        </w:tc>
        <w:tc>
          <w:tcPr>
            <w:tcW w:w="938" w:type="dxa"/>
          </w:tcPr>
          <w:p w14:paraId="3CF7FA5C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1.000</w:t>
            </w:r>
          </w:p>
        </w:tc>
      </w:tr>
      <w:tr w:rsidR="00963305" w:rsidRPr="001B350D" w14:paraId="438F3AC3" w14:textId="77777777">
        <w:tc>
          <w:tcPr>
            <w:tcW w:w="3464" w:type="dxa"/>
          </w:tcPr>
          <w:p w14:paraId="60FBF458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WBC, ×10</w:t>
            </w:r>
            <w:r w:rsidRPr="001B350D">
              <w:rPr>
                <w:sz w:val="20"/>
                <w:szCs w:val="20"/>
                <w:vertAlign w:val="superscript"/>
              </w:rPr>
              <w:t>9</w:t>
            </w:r>
            <w:r w:rsidRPr="001B350D">
              <w:rPr>
                <w:sz w:val="20"/>
                <w:szCs w:val="20"/>
              </w:rPr>
              <w:t>/L</w:t>
            </w:r>
          </w:p>
        </w:tc>
        <w:tc>
          <w:tcPr>
            <w:tcW w:w="2046" w:type="dxa"/>
          </w:tcPr>
          <w:p w14:paraId="3CD9CC27" w14:textId="77777777" w:rsidR="00D75293" w:rsidRPr="001B350D" w:rsidRDefault="00D7529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0A79DB7F" w14:textId="77777777" w:rsidR="00D75293" w:rsidRPr="001B350D" w:rsidRDefault="00D7529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14:paraId="7FE65D1E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0.069</w:t>
            </w:r>
          </w:p>
        </w:tc>
      </w:tr>
      <w:tr w:rsidR="00963305" w:rsidRPr="001B350D" w14:paraId="6D271F18" w14:textId="77777777">
        <w:tc>
          <w:tcPr>
            <w:tcW w:w="3464" w:type="dxa"/>
          </w:tcPr>
          <w:p w14:paraId="68CE3636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    Median</w:t>
            </w:r>
          </w:p>
        </w:tc>
        <w:tc>
          <w:tcPr>
            <w:tcW w:w="2046" w:type="dxa"/>
          </w:tcPr>
          <w:p w14:paraId="4A029A9F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30.8</w:t>
            </w:r>
          </w:p>
        </w:tc>
        <w:tc>
          <w:tcPr>
            <w:tcW w:w="1900" w:type="dxa"/>
          </w:tcPr>
          <w:p w14:paraId="60F299E8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19.5</w:t>
            </w:r>
          </w:p>
        </w:tc>
        <w:tc>
          <w:tcPr>
            <w:tcW w:w="938" w:type="dxa"/>
          </w:tcPr>
          <w:p w14:paraId="56073272" w14:textId="77777777" w:rsidR="00D75293" w:rsidRPr="001B350D" w:rsidRDefault="00D75293">
            <w:pPr>
              <w:ind w:firstLine="0"/>
              <w:rPr>
                <w:sz w:val="20"/>
                <w:szCs w:val="20"/>
              </w:rPr>
            </w:pPr>
          </w:p>
        </w:tc>
      </w:tr>
      <w:tr w:rsidR="00963305" w:rsidRPr="001B350D" w14:paraId="5B7074E2" w14:textId="77777777">
        <w:tc>
          <w:tcPr>
            <w:tcW w:w="3464" w:type="dxa"/>
          </w:tcPr>
          <w:p w14:paraId="10E0DA33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    Range</w:t>
            </w:r>
          </w:p>
        </w:tc>
        <w:tc>
          <w:tcPr>
            <w:tcW w:w="2046" w:type="dxa"/>
          </w:tcPr>
          <w:p w14:paraId="1D1FA162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6.8–223.7</w:t>
            </w:r>
          </w:p>
        </w:tc>
        <w:tc>
          <w:tcPr>
            <w:tcW w:w="1900" w:type="dxa"/>
          </w:tcPr>
          <w:p w14:paraId="617EF1AF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0.1–390</w:t>
            </w:r>
          </w:p>
        </w:tc>
        <w:tc>
          <w:tcPr>
            <w:tcW w:w="938" w:type="dxa"/>
          </w:tcPr>
          <w:p w14:paraId="5E0AB28B" w14:textId="77777777" w:rsidR="00D75293" w:rsidRPr="001B350D" w:rsidRDefault="00D75293">
            <w:pPr>
              <w:ind w:firstLine="0"/>
              <w:rPr>
                <w:sz w:val="20"/>
                <w:szCs w:val="20"/>
              </w:rPr>
            </w:pPr>
          </w:p>
        </w:tc>
      </w:tr>
      <w:tr w:rsidR="00963305" w:rsidRPr="001B350D" w14:paraId="25E277FA" w14:textId="77777777">
        <w:tc>
          <w:tcPr>
            <w:tcW w:w="3464" w:type="dxa"/>
          </w:tcPr>
          <w:p w14:paraId="0440DBA5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Induction therapy, n (%)</w:t>
            </w:r>
          </w:p>
        </w:tc>
        <w:tc>
          <w:tcPr>
            <w:tcW w:w="2046" w:type="dxa"/>
          </w:tcPr>
          <w:p w14:paraId="4736FEBD" w14:textId="77777777" w:rsidR="00D75293" w:rsidRPr="001B350D" w:rsidRDefault="00D7529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23D78289" w14:textId="77777777" w:rsidR="00D75293" w:rsidRPr="001B350D" w:rsidRDefault="00D7529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14:paraId="1DB78E80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0.131</w:t>
            </w:r>
          </w:p>
        </w:tc>
      </w:tr>
      <w:tr w:rsidR="00963305" w:rsidRPr="001B350D" w14:paraId="34530957" w14:textId="77777777">
        <w:tc>
          <w:tcPr>
            <w:tcW w:w="3464" w:type="dxa"/>
          </w:tcPr>
          <w:p w14:paraId="7C21837D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   FLAG-IDA</w:t>
            </w:r>
          </w:p>
        </w:tc>
        <w:tc>
          <w:tcPr>
            <w:tcW w:w="2046" w:type="dxa"/>
          </w:tcPr>
          <w:p w14:paraId="2CBE522A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15 (93.8)</w:t>
            </w:r>
          </w:p>
        </w:tc>
        <w:tc>
          <w:tcPr>
            <w:tcW w:w="1900" w:type="dxa"/>
          </w:tcPr>
          <w:p w14:paraId="1C62E38F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203 (74.4)</w:t>
            </w:r>
          </w:p>
        </w:tc>
        <w:tc>
          <w:tcPr>
            <w:tcW w:w="938" w:type="dxa"/>
          </w:tcPr>
          <w:p w14:paraId="18C0B7AC" w14:textId="77777777" w:rsidR="00D75293" w:rsidRPr="001B350D" w:rsidRDefault="00D75293">
            <w:pPr>
              <w:ind w:firstLine="0"/>
              <w:rPr>
                <w:sz w:val="20"/>
                <w:szCs w:val="20"/>
              </w:rPr>
            </w:pPr>
          </w:p>
        </w:tc>
      </w:tr>
      <w:tr w:rsidR="00963305" w:rsidRPr="001B350D" w14:paraId="0A2EE531" w14:textId="77777777">
        <w:tc>
          <w:tcPr>
            <w:tcW w:w="3464" w:type="dxa"/>
          </w:tcPr>
          <w:p w14:paraId="709A2FDC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   DAE</w:t>
            </w:r>
          </w:p>
        </w:tc>
        <w:tc>
          <w:tcPr>
            <w:tcW w:w="2046" w:type="dxa"/>
          </w:tcPr>
          <w:p w14:paraId="662B0248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 (6.2)</w:t>
            </w:r>
          </w:p>
        </w:tc>
        <w:tc>
          <w:tcPr>
            <w:tcW w:w="1900" w:type="dxa"/>
          </w:tcPr>
          <w:p w14:paraId="1B036BA3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70 (25.6)</w:t>
            </w:r>
          </w:p>
        </w:tc>
        <w:tc>
          <w:tcPr>
            <w:tcW w:w="938" w:type="dxa"/>
          </w:tcPr>
          <w:p w14:paraId="6D44F9C5" w14:textId="77777777" w:rsidR="00D75293" w:rsidRPr="001B350D" w:rsidRDefault="00D75293">
            <w:pPr>
              <w:ind w:firstLine="0"/>
              <w:rPr>
                <w:sz w:val="20"/>
                <w:szCs w:val="20"/>
              </w:rPr>
            </w:pPr>
          </w:p>
        </w:tc>
      </w:tr>
      <w:tr w:rsidR="00963305" w:rsidRPr="001B350D" w14:paraId="190E5277" w14:textId="77777777">
        <w:tc>
          <w:tcPr>
            <w:tcW w:w="5510" w:type="dxa"/>
            <w:gridSpan w:val="2"/>
          </w:tcPr>
          <w:p w14:paraId="441B4E8F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Additional cytogenetic abnormalities (n=278), n/N (%)</w:t>
            </w:r>
          </w:p>
        </w:tc>
        <w:tc>
          <w:tcPr>
            <w:tcW w:w="1900" w:type="dxa"/>
          </w:tcPr>
          <w:p w14:paraId="66A1A1E8" w14:textId="77777777" w:rsidR="00D75293" w:rsidRPr="001B350D" w:rsidRDefault="00D75293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</w:tcPr>
          <w:p w14:paraId="61CD38F1" w14:textId="77777777" w:rsidR="00D75293" w:rsidRPr="001B350D" w:rsidRDefault="00D75293">
            <w:pPr>
              <w:ind w:firstLine="0"/>
              <w:rPr>
                <w:sz w:val="20"/>
                <w:szCs w:val="20"/>
              </w:rPr>
            </w:pPr>
          </w:p>
        </w:tc>
      </w:tr>
      <w:tr w:rsidR="00963305" w:rsidRPr="001B350D" w14:paraId="04447B9F" w14:textId="77777777">
        <w:tc>
          <w:tcPr>
            <w:tcW w:w="3464" w:type="dxa"/>
          </w:tcPr>
          <w:p w14:paraId="557E5BB2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   Loss of X/Y</w:t>
            </w:r>
          </w:p>
        </w:tc>
        <w:tc>
          <w:tcPr>
            <w:tcW w:w="2046" w:type="dxa"/>
          </w:tcPr>
          <w:p w14:paraId="6B90ABE8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6/16 (37.5)</w:t>
            </w:r>
          </w:p>
        </w:tc>
        <w:tc>
          <w:tcPr>
            <w:tcW w:w="1900" w:type="dxa"/>
          </w:tcPr>
          <w:p w14:paraId="281FC0DE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72/262 (26.4)</w:t>
            </w:r>
          </w:p>
        </w:tc>
        <w:tc>
          <w:tcPr>
            <w:tcW w:w="938" w:type="dxa"/>
          </w:tcPr>
          <w:p w14:paraId="6536D98A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0.397</w:t>
            </w:r>
          </w:p>
        </w:tc>
      </w:tr>
      <w:tr w:rsidR="00963305" w:rsidRPr="001B350D" w14:paraId="1A8BC843" w14:textId="77777777">
        <w:tc>
          <w:tcPr>
            <w:tcW w:w="3464" w:type="dxa"/>
          </w:tcPr>
          <w:p w14:paraId="5247393C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   Trisomy 4</w:t>
            </w:r>
          </w:p>
        </w:tc>
        <w:tc>
          <w:tcPr>
            <w:tcW w:w="2046" w:type="dxa"/>
          </w:tcPr>
          <w:p w14:paraId="116B8EAA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0/16 (0)</w:t>
            </w:r>
          </w:p>
        </w:tc>
        <w:tc>
          <w:tcPr>
            <w:tcW w:w="1900" w:type="dxa"/>
            <w:vAlign w:val="center"/>
          </w:tcPr>
          <w:p w14:paraId="664CB765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7/262 (2.6)</w:t>
            </w:r>
          </w:p>
        </w:tc>
        <w:tc>
          <w:tcPr>
            <w:tcW w:w="938" w:type="dxa"/>
          </w:tcPr>
          <w:p w14:paraId="28247AE7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1.000</w:t>
            </w:r>
          </w:p>
        </w:tc>
      </w:tr>
      <w:tr w:rsidR="00963305" w:rsidRPr="001B350D" w14:paraId="4315655E" w14:textId="77777777">
        <w:tc>
          <w:tcPr>
            <w:tcW w:w="3464" w:type="dxa"/>
          </w:tcPr>
          <w:p w14:paraId="7F8E6BBB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 xml:space="preserve">   Trisomy 22</w:t>
            </w:r>
          </w:p>
        </w:tc>
        <w:tc>
          <w:tcPr>
            <w:tcW w:w="2046" w:type="dxa"/>
          </w:tcPr>
          <w:p w14:paraId="15C7EA62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1/16 (6.3)</w:t>
            </w:r>
          </w:p>
        </w:tc>
        <w:tc>
          <w:tcPr>
            <w:tcW w:w="1900" w:type="dxa"/>
            <w:vAlign w:val="center"/>
          </w:tcPr>
          <w:p w14:paraId="31777869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5/262 (1.8)</w:t>
            </w:r>
          </w:p>
        </w:tc>
        <w:tc>
          <w:tcPr>
            <w:tcW w:w="938" w:type="dxa"/>
          </w:tcPr>
          <w:p w14:paraId="4F532092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0.302</w:t>
            </w:r>
          </w:p>
        </w:tc>
      </w:tr>
      <w:tr w:rsidR="00963305" w:rsidRPr="001B350D" w14:paraId="24B8EA36" w14:textId="77777777">
        <w:tc>
          <w:tcPr>
            <w:tcW w:w="3464" w:type="dxa"/>
          </w:tcPr>
          <w:p w14:paraId="26DEA94E" w14:textId="77777777" w:rsidR="00D75293" w:rsidRPr="001B350D" w:rsidRDefault="00000000">
            <w:pPr>
              <w:ind w:firstLine="240"/>
              <w:rPr>
                <w:i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del(9q)</w:t>
            </w:r>
          </w:p>
        </w:tc>
        <w:tc>
          <w:tcPr>
            <w:tcW w:w="2046" w:type="dxa"/>
          </w:tcPr>
          <w:p w14:paraId="4711ED3A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0/16 (0)</w:t>
            </w:r>
          </w:p>
        </w:tc>
        <w:tc>
          <w:tcPr>
            <w:tcW w:w="1900" w:type="dxa"/>
            <w:vAlign w:val="center"/>
          </w:tcPr>
          <w:p w14:paraId="15C6A663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12/262 (4.4)</w:t>
            </w:r>
          </w:p>
        </w:tc>
        <w:tc>
          <w:tcPr>
            <w:tcW w:w="938" w:type="dxa"/>
          </w:tcPr>
          <w:p w14:paraId="00E9CF0E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1.000</w:t>
            </w:r>
          </w:p>
        </w:tc>
      </w:tr>
      <w:tr w:rsidR="00963305" w:rsidRPr="001B350D" w14:paraId="657A72E6" w14:textId="77777777">
        <w:tc>
          <w:tcPr>
            <w:tcW w:w="3464" w:type="dxa"/>
            <w:tcBorders>
              <w:bottom w:val="single" w:sz="4" w:space="0" w:color="auto"/>
            </w:tcBorders>
          </w:tcPr>
          <w:p w14:paraId="64FDCDD7" w14:textId="77777777" w:rsidR="00D75293" w:rsidRPr="001B350D" w:rsidRDefault="00000000">
            <w:pPr>
              <w:ind w:firstLine="24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del(7q)/-7</w:t>
            </w: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14:paraId="77CEAD99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0/16 (0)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14:paraId="4EE6ABBC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8/262 (2.9)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14:paraId="02572D88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1.000</w:t>
            </w:r>
          </w:p>
        </w:tc>
      </w:tr>
    </w:tbl>
    <w:p w14:paraId="2596E01D" w14:textId="77777777" w:rsidR="00D75293" w:rsidRPr="001B350D" w:rsidRDefault="00000000">
      <w:pPr>
        <w:widowControl/>
        <w:ind w:firstLine="0"/>
        <w:jc w:val="left"/>
        <w:rPr>
          <w:sz w:val="20"/>
          <w:szCs w:val="20"/>
        </w:rPr>
      </w:pPr>
      <w:r w:rsidRPr="001B350D">
        <w:rPr>
          <w:sz w:val="20"/>
          <w:szCs w:val="20"/>
        </w:rPr>
        <w:t>Abbreviations: CBF-AML, core-binding factor acute myeloid leukemia; WBC, white blood cell count; FLAG-IDA, fludarabine, cytarabine, granulocyte colony-stimulating factor, and idarubicin; DAE,</w:t>
      </w:r>
      <w:r w:rsidRPr="001B350D">
        <w:rPr>
          <w:b/>
          <w:sz w:val="20"/>
          <w:szCs w:val="20"/>
        </w:rPr>
        <w:t xml:space="preserve"> </w:t>
      </w:r>
      <w:r w:rsidRPr="001B350D">
        <w:rPr>
          <w:sz w:val="20"/>
          <w:szCs w:val="20"/>
        </w:rPr>
        <w:t>daunorubicin, cytarabine, etoposide.</w:t>
      </w:r>
    </w:p>
    <w:p w14:paraId="28207B00" w14:textId="77777777" w:rsidR="00D75293" w:rsidRPr="001B350D" w:rsidRDefault="00D75293">
      <w:pPr>
        <w:ind w:firstLine="0"/>
        <w:rPr>
          <w:b/>
          <w:sz w:val="20"/>
          <w:szCs w:val="20"/>
        </w:rPr>
        <w:sectPr w:rsidR="00D75293" w:rsidRPr="001B350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65B8A3C" w14:textId="05CA455E" w:rsidR="002255AB" w:rsidRDefault="002255AB" w:rsidP="001B350D">
      <w:pPr>
        <w:ind w:firstLine="0"/>
        <w:jc w:val="left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drawing>
          <wp:inline distT="0" distB="0" distL="0" distR="0" wp14:anchorId="41982427" wp14:editId="5D5938E2">
            <wp:extent cx="5265420" cy="1463040"/>
            <wp:effectExtent l="0" t="0" r="0" b="0"/>
            <wp:docPr id="96554356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B0CF9" w14:textId="3F7FD6AD" w:rsidR="001B350D" w:rsidRPr="001B350D" w:rsidRDefault="001B350D" w:rsidP="001B350D">
      <w:pPr>
        <w:ind w:firstLine="0"/>
        <w:jc w:val="left"/>
        <w:rPr>
          <w:sz w:val="20"/>
          <w:szCs w:val="20"/>
        </w:rPr>
      </w:pPr>
      <w:r w:rsidRPr="001B350D">
        <w:rPr>
          <w:b/>
          <w:sz w:val="20"/>
          <w:szCs w:val="20"/>
        </w:rPr>
        <w:t xml:space="preserve">Online Resource 11. Comparative outcomes of patients with CBF-AML harboring </w:t>
      </w:r>
      <w:r w:rsidRPr="001B350D">
        <w:rPr>
          <w:b/>
          <w:i/>
          <w:sz w:val="20"/>
          <w:szCs w:val="20"/>
        </w:rPr>
        <w:t>FLT3</w:t>
      </w:r>
      <w:r w:rsidRPr="001B350D">
        <w:rPr>
          <w:b/>
          <w:sz w:val="20"/>
          <w:szCs w:val="20"/>
        </w:rPr>
        <w:t xml:space="preserve">-ITD versus those with non–CBF-AML and </w:t>
      </w:r>
      <w:r w:rsidRPr="001B350D">
        <w:rPr>
          <w:b/>
          <w:i/>
          <w:sz w:val="20"/>
          <w:szCs w:val="20"/>
        </w:rPr>
        <w:t>FLT3</w:t>
      </w:r>
      <w:r w:rsidRPr="001B350D">
        <w:rPr>
          <w:b/>
          <w:sz w:val="20"/>
          <w:szCs w:val="20"/>
        </w:rPr>
        <w:t>-ITD</w:t>
      </w:r>
    </w:p>
    <w:p w14:paraId="6B1D7117" w14:textId="314FCC31" w:rsidR="001B350D" w:rsidRPr="001B350D" w:rsidRDefault="001B350D" w:rsidP="001B350D">
      <w:pPr>
        <w:ind w:firstLine="0"/>
        <w:jc w:val="left"/>
        <w:rPr>
          <w:sz w:val="20"/>
          <w:szCs w:val="20"/>
        </w:rPr>
      </w:pPr>
      <w:r w:rsidRPr="001B350D">
        <w:rPr>
          <w:sz w:val="20"/>
          <w:szCs w:val="20"/>
        </w:rPr>
        <w:t xml:space="preserve"> Kaplan–Meier estimates for (</w:t>
      </w:r>
      <w:r w:rsidR="002255AB">
        <w:rPr>
          <w:sz w:val="20"/>
          <w:szCs w:val="20"/>
        </w:rPr>
        <w:t>a</w:t>
      </w:r>
      <w:r w:rsidRPr="001B350D">
        <w:rPr>
          <w:sz w:val="20"/>
          <w:szCs w:val="20"/>
        </w:rPr>
        <w:t>) event-free survival (EFS), (</w:t>
      </w:r>
      <w:r w:rsidR="002255AB">
        <w:rPr>
          <w:sz w:val="20"/>
          <w:szCs w:val="20"/>
        </w:rPr>
        <w:t>b</w:t>
      </w:r>
      <w:r w:rsidRPr="001B350D">
        <w:rPr>
          <w:sz w:val="20"/>
          <w:szCs w:val="20"/>
        </w:rPr>
        <w:t>) overall survival (OS), and (</w:t>
      </w:r>
      <w:r w:rsidR="002255AB">
        <w:rPr>
          <w:sz w:val="20"/>
          <w:szCs w:val="20"/>
        </w:rPr>
        <w:t>c</w:t>
      </w:r>
      <w:r w:rsidRPr="001B350D">
        <w:rPr>
          <w:sz w:val="20"/>
          <w:szCs w:val="20"/>
        </w:rPr>
        <w:t>) cumulative incidence of relapse (CIR).</w:t>
      </w:r>
    </w:p>
    <w:p w14:paraId="638867E1" w14:textId="77777777" w:rsidR="001B350D" w:rsidRPr="001B350D" w:rsidRDefault="001B350D" w:rsidP="001B350D">
      <w:pPr>
        <w:ind w:firstLine="0"/>
        <w:jc w:val="left"/>
        <w:rPr>
          <w:sz w:val="20"/>
          <w:szCs w:val="20"/>
        </w:rPr>
      </w:pPr>
      <w:r w:rsidRPr="001B350D">
        <w:rPr>
          <w:sz w:val="20"/>
          <w:szCs w:val="20"/>
        </w:rPr>
        <w:t xml:space="preserve">CBF-AML (n = 16) </w:t>
      </w:r>
      <w:r w:rsidRPr="001B350D">
        <w:rPr>
          <w:i/>
          <w:sz w:val="20"/>
          <w:szCs w:val="20"/>
        </w:rPr>
        <w:t xml:space="preserve">vs. </w:t>
      </w:r>
      <w:r w:rsidRPr="001B350D">
        <w:rPr>
          <w:sz w:val="20"/>
          <w:szCs w:val="20"/>
        </w:rPr>
        <w:t>non–CBF-AML (n = 90):</w:t>
      </w:r>
    </w:p>
    <w:p w14:paraId="03060B91" w14:textId="77777777" w:rsidR="001B350D" w:rsidRPr="001B350D" w:rsidRDefault="001B350D" w:rsidP="001B350D">
      <w:pPr>
        <w:numPr>
          <w:ilvl w:val="0"/>
          <w:numId w:val="3"/>
        </w:numPr>
        <w:jc w:val="left"/>
        <w:rPr>
          <w:sz w:val="20"/>
          <w:szCs w:val="20"/>
        </w:rPr>
      </w:pPr>
      <w:r w:rsidRPr="001B350D">
        <w:rPr>
          <w:sz w:val="20"/>
          <w:szCs w:val="20"/>
        </w:rPr>
        <w:t xml:space="preserve">EFS: 5-year 75.0% ± 10.9% </w:t>
      </w:r>
      <w:r w:rsidRPr="001B350D">
        <w:rPr>
          <w:i/>
          <w:sz w:val="20"/>
          <w:szCs w:val="20"/>
        </w:rPr>
        <w:t>vs.</w:t>
      </w:r>
      <w:r w:rsidRPr="001B350D">
        <w:rPr>
          <w:sz w:val="20"/>
          <w:szCs w:val="20"/>
        </w:rPr>
        <w:t xml:space="preserve"> 44.7% ±5.7% (</w:t>
      </w:r>
      <w:r w:rsidRPr="001B350D">
        <w:rPr>
          <w:i/>
          <w:sz w:val="20"/>
          <w:szCs w:val="20"/>
        </w:rPr>
        <w:t>P</w:t>
      </w:r>
      <w:r w:rsidRPr="001B350D">
        <w:rPr>
          <w:sz w:val="20"/>
          <w:szCs w:val="20"/>
        </w:rPr>
        <w:t xml:space="preserve"> = 0.084, log-rank)</w:t>
      </w:r>
    </w:p>
    <w:p w14:paraId="19F67193" w14:textId="77777777" w:rsidR="001B350D" w:rsidRPr="001B350D" w:rsidRDefault="001B350D" w:rsidP="001B350D">
      <w:pPr>
        <w:numPr>
          <w:ilvl w:val="0"/>
          <w:numId w:val="3"/>
        </w:numPr>
        <w:jc w:val="left"/>
        <w:rPr>
          <w:sz w:val="20"/>
          <w:szCs w:val="20"/>
        </w:rPr>
      </w:pPr>
      <w:r w:rsidRPr="001B350D">
        <w:rPr>
          <w:sz w:val="20"/>
          <w:szCs w:val="20"/>
        </w:rPr>
        <w:t xml:space="preserve">OS: 5-year 87.1% ± 8.6% </w:t>
      </w:r>
      <w:r w:rsidRPr="001B350D">
        <w:rPr>
          <w:i/>
          <w:sz w:val="20"/>
          <w:szCs w:val="20"/>
        </w:rPr>
        <w:t>vs.</w:t>
      </w:r>
      <w:r w:rsidRPr="001B350D">
        <w:rPr>
          <w:sz w:val="20"/>
          <w:szCs w:val="20"/>
        </w:rPr>
        <w:t xml:space="preserve"> 64.7% ± 5.8% (</w:t>
      </w:r>
      <w:r w:rsidRPr="001B350D">
        <w:rPr>
          <w:i/>
          <w:sz w:val="20"/>
          <w:szCs w:val="20"/>
        </w:rPr>
        <w:t>P</w:t>
      </w:r>
      <w:r w:rsidRPr="001B350D">
        <w:rPr>
          <w:sz w:val="20"/>
          <w:szCs w:val="20"/>
        </w:rPr>
        <w:t xml:space="preserve"> = 0.167, log-rank)</w:t>
      </w:r>
    </w:p>
    <w:p w14:paraId="1E6FDB37" w14:textId="77777777" w:rsidR="001B350D" w:rsidRPr="001B350D" w:rsidRDefault="001B350D" w:rsidP="001B350D">
      <w:pPr>
        <w:numPr>
          <w:ilvl w:val="0"/>
          <w:numId w:val="3"/>
        </w:numPr>
        <w:jc w:val="left"/>
        <w:rPr>
          <w:sz w:val="20"/>
          <w:szCs w:val="20"/>
        </w:rPr>
      </w:pPr>
      <w:r w:rsidRPr="001B350D">
        <w:rPr>
          <w:sz w:val="20"/>
          <w:szCs w:val="20"/>
        </w:rPr>
        <w:t xml:space="preserve">CIR: 7.7% ± 7.4% </w:t>
      </w:r>
      <w:r w:rsidRPr="001B350D">
        <w:rPr>
          <w:i/>
          <w:sz w:val="20"/>
          <w:szCs w:val="20"/>
        </w:rPr>
        <w:t>vs.</w:t>
      </w:r>
      <w:r w:rsidRPr="001B350D">
        <w:rPr>
          <w:sz w:val="20"/>
          <w:szCs w:val="20"/>
        </w:rPr>
        <w:t xml:space="preserve"> 34.9% ± 6.2% (</w:t>
      </w:r>
      <w:r w:rsidRPr="001B350D">
        <w:rPr>
          <w:i/>
          <w:sz w:val="20"/>
          <w:szCs w:val="20"/>
        </w:rPr>
        <w:t>P</w:t>
      </w:r>
      <w:r w:rsidRPr="001B350D">
        <w:rPr>
          <w:sz w:val="20"/>
          <w:szCs w:val="20"/>
        </w:rPr>
        <w:t xml:space="preserve"> = 0.082, Gray’s test)</w:t>
      </w:r>
    </w:p>
    <w:p w14:paraId="44398A0C" w14:textId="77777777" w:rsidR="001B350D" w:rsidRPr="001B350D" w:rsidRDefault="001B350D" w:rsidP="001B350D">
      <w:pPr>
        <w:ind w:firstLine="0"/>
        <w:jc w:val="left"/>
        <w:rPr>
          <w:sz w:val="20"/>
          <w:szCs w:val="20"/>
        </w:rPr>
      </w:pPr>
      <w:r w:rsidRPr="001B350D">
        <w:rPr>
          <w:sz w:val="20"/>
          <w:szCs w:val="20"/>
        </w:rPr>
        <w:t>No significant differences were observed across endpoints. Error bars/ribbons represent ±1 standard error.</w:t>
      </w:r>
    </w:p>
    <w:p w14:paraId="20EB871C" w14:textId="77777777" w:rsidR="001B350D" w:rsidRDefault="001B350D">
      <w:pPr>
        <w:widowControl/>
        <w:spacing w:line="240" w:lineRule="auto"/>
        <w:ind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011B66E7" w14:textId="7012EBC3" w:rsidR="00D75293" w:rsidRPr="001B350D" w:rsidRDefault="00000000">
      <w:pPr>
        <w:spacing w:line="240" w:lineRule="auto"/>
        <w:ind w:firstLine="0"/>
        <w:rPr>
          <w:sz w:val="20"/>
          <w:szCs w:val="20"/>
        </w:rPr>
      </w:pPr>
      <w:r w:rsidRPr="001B350D">
        <w:rPr>
          <w:b/>
          <w:sz w:val="20"/>
          <w:szCs w:val="20"/>
        </w:rPr>
        <w:lastRenderedPageBreak/>
        <w:t>Online Resource 12.</w:t>
      </w:r>
      <w:r w:rsidRPr="001B350D">
        <w:rPr>
          <w:sz w:val="20"/>
          <w:szCs w:val="20"/>
        </w:rPr>
        <w:t xml:space="preserve"> Univariate Cox regression analysis of 279 pediatric patients with CBF-AML</w:t>
      </w:r>
    </w:p>
    <w:tbl>
      <w:tblPr>
        <w:tblStyle w:val="TableGrid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56"/>
        <w:gridCol w:w="1512"/>
        <w:gridCol w:w="850"/>
        <w:gridCol w:w="851"/>
        <w:gridCol w:w="1417"/>
        <w:gridCol w:w="992"/>
      </w:tblGrid>
      <w:tr w:rsidR="00963305" w:rsidRPr="001B350D" w14:paraId="1159A939" w14:textId="77777777">
        <w:trPr>
          <w:trHeight w:val="276"/>
        </w:trPr>
        <w:tc>
          <w:tcPr>
            <w:tcW w:w="2235" w:type="dxa"/>
            <w:tcBorders>
              <w:top w:val="single" w:sz="4" w:space="0" w:color="auto"/>
            </w:tcBorders>
          </w:tcPr>
          <w:p w14:paraId="13474C5D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Risk factor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495837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Overall survival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C9FF72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Event-free survival</w:t>
            </w:r>
          </w:p>
        </w:tc>
      </w:tr>
      <w:tr w:rsidR="00963305" w:rsidRPr="001B350D" w14:paraId="641F4932" w14:textId="77777777">
        <w:trPr>
          <w:trHeight w:val="276"/>
        </w:trPr>
        <w:tc>
          <w:tcPr>
            <w:tcW w:w="2235" w:type="dxa"/>
            <w:tcBorders>
              <w:bottom w:val="single" w:sz="4" w:space="0" w:color="auto"/>
            </w:tcBorders>
          </w:tcPr>
          <w:p w14:paraId="37BDA19C" w14:textId="77777777" w:rsidR="00D75293" w:rsidRPr="001B350D" w:rsidRDefault="00D75293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0EDB677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HR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3A7DB013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D88F44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FCD1C9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HR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08DAB3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BAC4DE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i/>
                <w:color w:val="000000"/>
                <w:sz w:val="20"/>
                <w:szCs w:val="20"/>
              </w:rPr>
              <w:t>P</w:t>
            </w:r>
          </w:p>
        </w:tc>
      </w:tr>
      <w:tr w:rsidR="00963305" w:rsidRPr="001B350D" w14:paraId="0773E95B" w14:textId="77777777">
        <w:trPr>
          <w:trHeight w:val="276"/>
        </w:trPr>
        <w:tc>
          <w:tcPr>
            <w:tcW w:w="2235" w:type="dxa"/>
            <w:tcBorders>
              <w:top w:val="single" w:sz="4" w:space="0" w:color="auto"/>
            </w:tcBorders>
          </w:tcPr>
          <w:p w14:paraId="1F47E71F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Age (≥10years)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247A4F94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1.419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034BA6E7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0.697–2.886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84E9FFF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0.335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B5CB655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1.519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ECBAA4B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0.814–2.833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650DE7B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0.189</w:t>
            </w:r>
          </w:p>
        </w:tc>
      </w:tr>
      <w:tr w:rsidR="00963305" w:rsidRPr="001B350D" w14:paraId="04C0E6A7" w14:textId="77777777">
        <w:trPr>
          <w:trHeight w:val="276"/>
        </w:trPr>
        <w:tc>
          <w:tcPr>
            <w:tcW w:w="2235" w:type="dxa"/>
          </w:tcPr>
          <w:p w14:paraId="04CC0547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Sex (male)</w:t>
            </w:r>
          </w:p>
        </w:tc>
        <w:tc>
          <w:tcPr>
            <w:tcW w:w="756" w:type="dxa"/>
          </w:tcPr>
          <w:p w14:paraId="21F337A2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0.929</w:t>
            </w:r>
          </w:p>
        </w:tc>
        <w:tc>
          <w:tcPr>
            <w:tcW w:w="1512" w:type="dxa"/>
          </w:tcPr>
          <w:p w14:paraId="0AA9F63B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0.466–1.852</w:t>
            </w:r>
          </w:p>
        </w:tc>
        <w:tc>
          <w:tcPr>
            <w:tcW w:w="850" w:type="dxa"/>
          </w:tcPr>
          <w:p w14:paraId="3557E7A3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0.833</w:t>
            </w:r>
          </w:p>
        </w:tc>
        <w:tc>
          <w:tcPr>
            <w:tcW w:w="851" w:type="dxa"/>
          </w:tcPr>
          <w:p w14:paraId="085E2685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1.104</w:t>
            </w:r>
          </w:p>
        </w:tc>
        <w:tc>
          <w:tcPr>
            <w:tcW w:w="1417" w:type="dxa"/>
          </w:tcPr>
          <w:p w14:paraId="1EF868AD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0.599–2.035</w:t>
            </w:r>
          </w:p>
        </w:tc>
        <w:tc>
          <w:tcPr>
            <w:tcW w:w="992" w:type="dxa"/>
          </w:tcPr>
          <w:p w14:paraId="3AD47CB4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0.750</w:t>
            </w:r>
          </w:p>
        </w:tc>
      </w:tr>
      <w:tr w:rsidR="00963305" w:rsidRPr="001B350D" w14:paraId="5420CE97" w14:textId="77777777">
        <w:trPr>
          <w:trHeight w:val="276"/>
        </w:trPr>
        <w:tc>
          <w:tcPr>
            <w:tcW w:w="2235" w:type="dxa"/>
          </w:tcPr>
          <w:p w14:paraId="775D3F4D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WBC ≥50×10</w:t>
            </w:r>
            <w:r w:rsidRPr="001B350D">
              <w:rPr>
                <w:color w:val="000000"/>
                <w:sz w:val="20"/>
                <w:szCs w:val="20"/>
                <w:vertAlign w:val="superscript"/>
              </w:rPr>
              <w:t>9</w:t>
            </w:r>
            <w:r w:rsidRPr="001B350D">
              <w:rPr>
                <w:color w:val="000000"/>
                <w:sz w:val="20"/>
                <w:szCs w:val="20"/>
              </w:rPr>
              <w:t>/L)</w:t>
            </w:r>
          </w:p>
        </w:tc>
        <w:tc>
          <w:tcPr>
            <w:tcW w:w="756" w:type="dxa"/>
          </w:tcPr>
          <w:p w14:paraId="4F525460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1.375</w:t>
            </w:r>
          </w:p>
        </w:tc>
        <w:tc>
          <w:tcPr>
            <w:tcW w:w="1512" w:type="dxa"/>
          </w:tcPr>
          <w:p w14:paraId="247BB3D4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0.639–2.958</w:t>
            </w:r>
          </w:p>
        </w:tc>
        <w:tc>
          <w:tcPr>
            <w:tcW w:w="850" w:type="dxa"/>
          </w:tcPr>
          <w:p w14:paraId="38AE9466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0.415</w:t>
            </w:r>
          </w:p>
        </w:tc>
        <w:tc>
          <w:tcPr>
            <w:tcW w:w="851" w:type="dxa"/>
          </w:tcPr>
          <w:p w14:paraId="1C7FD25E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1.312</w:t>
            </w:r>
          </w:p>
        </w:tc>
        <w:tc>
          <w:tcPr>
            <w:tcW w:w="1417" w:type="dxa"/>
          </w:tcPr>
          <w:p w14:paraId="6EB6144C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0.660–2.611</w:t>
            </w:r>
          </w:p>
        </w:tc>
        <w:tc>
          <w:tcPr>
            <w:tcW w:w="992" w:type="dxa"/>
          </w:tcPr>
          <w:p w14:paraId="5A3591A2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0.439</w:t>
            </w:r>
          </w:p>
        </w:tc>
      </w:tr>
      <w:tr w:rsidR="00963305" w:rsidRPr="001B350D" w14:paraId="76ACF1F7" w14:textId="77777777">
        <w:trPr>
          <w:trHeight w:val="276"/>
        </w:trPr>
        <w:tc>
          <w:tcPr>
            <w:tcW w:w="2235" w:type="dxa"/>
          </w:tcPr>
          <w:p w14:paraId="09A24F6D" w14:textId="77777777" w:rsidR="00D75293" w:rsidRPr="001B350D" w:rsidRDefault="00000000">
            <w:pPr>
              <w:ind w:firstLine="0"/>
              <w:rPr>
                <w:sz w:val="20"/>
                <w:szCs w:val="20"/>
              </w:rPr>
            </w:pPr>
            <w:r w:rsidRPr="001B350D">
              <w:rPr>
                <w:sz w:val="20"/>
                <w:szCs w:val="20"/>
              </w:rPr>
              <w:t>Extramedullary involvement</w:t>
            </w:r>
          </w:p>
        </w:tc>
        <w:tc>
          <w:tcPr>
            <w:tcW w:w="756" w:type="dxa"/>
          </w:tcPr>
          <w:p w14:paraId="32CDB089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2.062</w:t>
            </w:r>
          </w:p>
        </w:tc>
        <w:tc>
          <w:tcPr>
            <w:tcW w:w="1512" w:type="dxa"/>
          </w:tcPr>
          <w:p w14:paraId="17FA4A7E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0.981–4.336</w:t>
            </w:r>
          </w:p>
        </w:tc>
        <w:tc>
          <w:tcPr>
            <w:tcW w:w="850" w:type="dxa"/>
          </w:tcPr>
          <w:p w14:paraId="78088BA0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851" w:type="dxa"/>
          </w:tcPr>
          <w:p w14:paraId="7AE180BE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1.840</w:t>
            </w:r>
          </w:p>
        </w:tc>
        <w:tc>
          <w:tcPr>
            <w:tcW w:w="1417" w:type="dxa"/>
          </w:tcPr>
          <w:p w14:paraId="3814F089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0.942–3.595</w:t>
            </w:r>
          </w:p>
        </w:tc>
        <w:tc>
          <w:tcPr>
            <w:tcW w:w="992" w:type="dxa"/>
          </w:tcPr>
          <w:p w14:paraId="165C86D2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0.074</w:t>
            </w:r>
          </w:p>
        </w:tc>
      </w:tr>
      <w:tr w:rsidR="00963305" w:rsidRPr="001B350D" w14:paraId="11EBC98C" w14:textId="77777777">
        <w:trPr>
          <w:trHeight w:val="276"/>
        </w:trPr>
        <w:tc>
          <w:tcPr>
            <w:tcW w:w="2235" w:type="dxa"/>
          </w:tcPr>
          <w:p w14:paraId="63CB7C1A" w14:textId="77777777" w:rsidR="00D75293" w:rsidRPr="001B350D" w:rsidRDefault="00000000">
            <w:pPr>
              <w:ind w:firstLine="0"/>
              <w:rPr>
                <w:i/>
                <w:color w:val="000000"/>
                <w:sz w:val="20"/>
                <w:szCs w:val="20"/>
              </w:rPr>
            </w:pPr>
            <w:r w:rsidRPr="001B350D">
              <w:rPr>
                <w:i/>
                <w:color w:val="000000"/>
                <w:sz w:val="20"/>
                <w:szCs w:val="20"/>
              </w:rPr>
              <w:t>RUNX1-RUNX1T1</w:t>
            </w:r>
          </w:p>
        </w:tc>
        <w:tc>
          <w:tcPr>
            <w:tcW w:w="756" w:type="dxa"/>
          </w:tcPr>
          <w:p w14:paraId="1064D687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0.654</w:t>
            </w:r>
          </w:p>
        </w:tc>
        <w:tc>
          <w:tcPr>
            <w:tcW w:w="1512" w:type="dxa"/>
          </w:tcPr>
          <w:p w14:paraId="0786ADCC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0.304–1.407</w:t>
            </w:r>
          </w:p>
        </w:tc>
        <w:tc>
          <w:tcPr>
            <w:tcW w:w="850" w:type="dxa"/>
          </w:tcPr>
          <w:p w14:paraId="54C619CA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0.277</w:t>
            </w:r>
          </w:p>
        </w:tc>
        <w:tc>
          <w:tcPr>
            <w:tcW w:w="851" w:type="dxa"/>
          </w:tcPr>
          <w:p w14:paraId="4ED83A71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0.895</w:t>
            </w:r>
          </w:p>
        </w:tc>
        <w:tc>
          <w:tcPr>
            <w:tcW w:w="1417" w:type="dxa"/>
          </w:tcPr>
          <w:p w14:paraId="5846D5A5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0.428–1.870</w:t>
            </w:r>
          </w:p>
        </w:tc>
        <w:tc>
          <w:tcPr>
            <w:tcW w:w="992" w:type="dxa"/>
          </w:tcPr>
          <w:p w14:paraId="307EF78E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0.768</w:t>
            </w:r>
          </w:p>
        </w:tc>
      </w:tr>
      <w:tr w:rsidR="00963305" w:rsidRPr="001B350D" w14:paraId="121B7821" w14:textId="77777777">
        <w:trPr>
          <w:trHeight w:val="276"/>
        </w:trPr>
        <w:tc>
          <w:tcPr>
            <w:tcW w:w="2235" w:type="dxa"/>
          </w:tcPr>
          <w:p w14:paraId="1D9FB3DD" w14:textId="77777777" w:rsidR="00D75293" w:rsidRPr="001B350D" w:rsidRDefault="00000000">
            <w:pPr>
              <w:ind w:firstLine="0"/>
              <w:rPr>
                <w:i/>
                <w:color w:val="000000"/>
                <w:sz w:val="20"/>
                <w:szCs w:val="20"/>
              </w:rPr>
            </w:pPr>
            <w:r w:rsidRPr="001B350D">
              <w:rPr>
                <w:i/>
                <w:color w:val="000000"/>
                <w:sz w:val="20"/>
                <w:szCs w:val="20"/>
              </w:rPr>
              <w:t>CBFB-MYH11</w:t>
            </w:r>
          </w:p>
        </w:tc>
        <w:tc>
          <w:tcPr>
            <w:tcW w:w="756" w:type="dxa"/>
          </w:tcPr>
          <w:p w14:paraId="12C3DB03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1.522</w:t>
            </w:r>
          </w:p>
        </w:tc>
        <w:tc>
          <w:tcPr>
            <w:tcW w:w="1512" w:type="dxa"/>
          </w:tcPr>
          <w:p w14:paraId="7EB5BEA1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0.708–3.275</w:t>
            </w:r>
          </w:p>
        </w:tc>
        <w:tc>
          <w:tcPr>
            <w:tcW w:w="850" w:type="dxa"/>
          </w:tcPr>
          <w:p w14:paraId="1D5F1DB4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0.282</w:t>
            </w:r>
          </w:p>
        </w:tc>
        <w:tc>
          <w:tcPr>
            <w:tcW w:w="851" w:type="dxa"/>
          </w:tcPr>
          <w:p w14:paraId="65033591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1.112</w:t>
            </w:r>
          </w:p>
        </w:tc>
        <w:tc>
          <w:tcPr>
            <w:tcW w:w="1417" w:type="dxa"/>
          </w:tcPr>
          <w:p w14:paraId="472AD7D6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0.532–2.323</w:t>
            </w:r>
          </w:p>
        </w:tc>
        <w:tc>
          <w:tcPr>
            <w:tcW w:w="992" w:type="dxa"/>
          </w:tcPr>
          <w:p w14:paraId="51A7169D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0.778</w:t>
            </w:r>
          </w:p>
        </w:tc>
      </w:tr>
      <w:tr w:rsidR="00963305" w:rsidRPr="001B350D" w14:paraId="05BF5B36" w14:textId="77777777">
        <w:trPr>
          <w:trHeight w:val="276"/>
        </w:trPr>
        <w:tc>
          <w:tcPr>
            <w:tcW w:w="2235" w:type="dxa"/>
          </w:tcPr>
          <w:p w14:paraId="42DC3D77" w14:textId="77777777" w:rsidR="00D75293" w:rsidRPr="001B350D" w:rsidRDefault="00000000">
            <w:pPr>
              <w:ind w:firstLine="0"/>
              <w:rPr>
                <w:i/>
                <w:color w:val="000000"/>
                <w:sz w:val="20"/>
                <w:szCs w:val="20"/>
              </w:rPr>
            </w:pPr>
            <w:r w:rsidRPr="001B350D">
              <w:rPr>
                <w:i/>
                <w:color w:val="000000"/>
                <w:sz w:val="20"/>
                <w:szCs w:val="20"/>
              </w:rPr>
              <w:t>FLT3</w:t>
            </w:r>
            <w:r w:rsidRPr="001B350D">
              <w:rPr>
                <w:color w:val="000000"/>
                <w:sz w:val="20"/>
                <w:szCs w:val="20"/>
              </w:rPr>
              <w:t>-ITD mutation</w:t>
            </w:r>
          </w:p>
        </w:tc>
        <w:tc>
          <w:tcPr>
            <w:tcW w:w="756" w:type="dxa"/>
          </w:tcPr>
          <w:p w14:paraId="162ECFE8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1.179</w:t>
            </w:r>
          </w:p>
        </w:tc>
        <w:tc>
          <w:tcPr>
            <w:tcW w:w="1512" w:type="dxa"/>
          </w:tcPr>
          <w:p w14:paraId="1CEAAA4F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0.281–4.940</w:t>
            </w:r>
          </w:p>
        </w:tc>
        <w:tc>
          <w:tcPr>
            <w:tcW w:w="850" w:type="dxa"/>
          </w:tcPr>
          <w:p w14:paraId="719466EC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0.822</w:t>
            </w:r>
          </w:p>
        </w:tc>
        <w:tc>
          <w:tcPr>
            <w:tcW w:w="851" w:type="dxa"/>
          </w:tcPr>
          <w:p w14:paraId="653D5DD9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0.878</w:t>
            </w:r>
          </w:p>
        </w:tc>
        <w:tc>
          <w:tcPr>
            <w:tcW w:w="1417" w:type="dxa"/>
          </w:tcPr>
          <w:p w14:paraId="7E46403E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0.212–3.638</w:t>
            </w:r>
          </w:p>
        </w:tc>
        <w:tc>
          <w:tcPr>
            <w:tcW w:w="992" w:type="dxa"/>
          </w:tcPr>
          <w:p w14:paraId="681B98BC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0.857</w:t>
            </w:r>
          </w:p>
        </w:tc>
      </w:tr>
      <w:tr w:rsidR="00963305" w:rsidRPr="001B350D" w14:paraId="08455DA6" w14:textId="77777777">
        <w:trPr>
          <w:trHeight w:val="276"/>
        </w:trPr>
        <w:tc>
          <w:tcPr>
            <w:tcW w:w="2235" w:type="dxa"/>
          </w:tcPr>
          <w:p w14:paraId="191AE436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-X/Y</w:t>
            </w:r>
          </w:p>
        </w:tc>
        <w:tc>
          <w:tcPr>
            <w:tcW w:w="756" w:type="dxa"/>
          </w:tcPr>
          <w:p w14:paraId="37B1AAEF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0.516</w:t>
            </w:r>
          </w:p>
        </w:tc>
        <w:tc>
          <w:tcPr>
            <w:tcW w:w="1512" w:type="dxa"/>
          </w:tcPr>
          <w:p w14:paraId="35F758F5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0.199–1.337</w:t>
            </w:r>
          </w:p>
        </w:tc>
        <w:tc>
          <w:tcPr>
            <w:tcW w:w="850" w:type="dxa"/>
          </w:tcPr>
          <w:p w14:paraId="6D1C8971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0.173</w:t>
            </w:r>
          </w:p>
        </w:tc>
        <w:tc>
          <w:tcPr>
            <w:tcW w:w="851" w:type="dxa"/>
          </w:tcPr>
          <w:p w14:paraId="7AD1971A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0.464</w:t>
            </w:r>
          </w:p>
        </w:tc>
        <w:tc>
          <w:tcPr>
            <w:tcW w:w="1417" w:type="dxa"/>
          </w:tcPr>
          <w:p w14:paraId="559EC5BE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0.196–1.102</w:t>
            </w:r>
          </w:p>
        </w:tc>
        <w:tc>
          <w:tcPr>
            <w:tcW w:w="992" w:type="dxa"/>
          </w:tcPr>
          <w:p w14:paraId="4714E942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0.082</w:t>
            </w:r>
          </w:p>
        </w:tc>
      </w:tr>
      <w:tr w:rsidR="00963305" w:rsidRPr="001B350D" w14:paraId="25288FED" w14:textId="77777777">
        <w:trPr>
          <w:trHeight w:val="276"/>
        </w:trPr>
        <w:tc>
          <w:tcPr>
            <w:tcW w:w="2235" w:type="dxa"/>
            <w:tcBorders>
              <w:bottom w:val="single" w:sz="4" w:space="0" w:color="auto"/>
            </w:tcBorders>
          </w:tcPr>
          <w:p w14:paraId="68266685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Induction regimen</w:t>
            </w:r>
          </w:p>
          <w:p w14:paraId="2437E585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(FLAG-IDA)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0F6CD3B2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0.520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5D0205DD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0.259–1.047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1A7E3F3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0E0B400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0.588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662BDC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0.313–1.105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AD51D1" w14:textId="77777777" w:rsidR="00D75293" w:rsidRPr="001B350D" w:rsidRDefault="00000000">
            <w:pPr>
              <w:ind w:firstLine="0"/>
              <w:rPr>
                <w:color w:val="000000"/>
                <w:sz w:val="20"/>
                <w:szCs w:val="20"/>
              </w:rPr>
            </w:pPr>
            <w:r w:rsidRPr="001B350D">
              <w:rPr>
                <w:color w:val="000000"/>
                <w:sz w:val="20"/>
                <w:szCs w:val="20"/>
              </w:rPr>
              <w:t>0.099</w:t>
            </w:r>
          </w:p>
        </w:tc>
      </w:tr>
    </w:tbl>
    <w:p w14:paraId="20263823" w14:textId="77777777" w:rsidR="00D75293" w:rsidRPr="001B350D" w:rsidRDefault="00000000">
      <w:pPr>
        <w:widowControl/>
        <w:ind w:firstLine="0"/>
        <w:jc w:val="left"/>
        <w:rPr>
          <w:sz w:val="20"/>
          <w:szCs w:val="20"/>
        </w:rPr>
      </w:pPr>
      <w:r w:rsidRPr="001B350D">
        <w:rPr>
          <w:sz w:val="20"/>
          <w:szCs w:val="20"/>
        </w:rPr>
        <w:t>Abbreviations: CBF-AML, core-binding factor acute myeloid leukemia; WBC, white blood cell count; FLAG-IDA, fludarabine, cytarabine, granulocyte colony-stimulating factor, and idarubicin; DAE,</w:t>
      </w:r>
      <w:r w:rsidRPr="001B350D">
        <w:rPr>
          <w:b/>
          <w:sz w:val="20"/>
          <w:szCs w:val="20"/>
        </w:rPr>
        <w:t xml:space="preserve"> </w:t>
      </w:r>
      <w:r w:rsidRPr="001B350D">
        <w:rPr>
          <w:sz w:val="20"/>
          <w:szCs w:val="20"/>
        </w:rPr>
        <w:t>daunorubicin, cytarabine, etoposide.</w:t>
      </w:r>
    </w:p>
    <w:sectPr w:rsidR="00D75293" w:rsidRPr="001B350D" w:rsidSect="001B350D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057D3" w14:textId="77777777" w:rsidR="00B93EA1" w:rsidRDefault="00B93EA1">
      <w:pPr>
        <w:spacing w:line="240" w:lineRule="auto"/>
      </w:pPr>
      <w:r>
        <w:separator/>
      </w:r>
    </w:p>
  </w:endnote>
  <w:endnote w:type="continuationSeparator" w:id="0">
    <w:p w14:paraId="1DC083B0" w14:textId="77777777" w:rsidR="00B93EA1" w:rsidRDefault="00B93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2C2C" w14:textId="77777777" w:rsidR="00D75293" w:rsidRDefault="00000000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t>1</w:t>
    </w:r>
    <w:r>
      <w:fldChar w:fldCharType="end"/>
    </w:r>
  </w:p>
  <w:p w14:paraId="4B298E7E" w14:textId="77777777" w:rsidR="00D75293" w:rsidRDefault="00D752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FA0B" w14:textId="77777777" w:rsidR="00D75293" w:rsidRDefault="00000000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t>8</w:t>
    </w:r>
    <w:r>
      <w:fldChar w:fldCharType="end"/>
    </w:r>
  </w:p>
  <w:p w14:paraId="6C925FEB" w14:textId="77777777" w:rsidR="00D75293" w:rsidRDefault="00D75293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73436" w14:textId="77777777" w:rsidR="00B93EA1" w:rsidRDefault="00B93EA1">
      <w:pPr>
        <w:spacing w:line="240" w:lineRule="auto"/>
      </w:pPr>
      <w:r>
        <w:separator/>
      </w:r>
    </w:p>
  </w:footnote>
  <w:footnote w:type="continuationSeparator" w:id="0">
    <w:p w14:paraId="76FD4B44" w14:textId="77777777" w:rsidR="00B93EA1" w:rsidRDefault="00B93E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D3F5" w14:textId="77777777" w:rsidR="00D75293" w:rsidRDefault="00D752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6BE" w14:textId="77777777" w:rsidR="00D75293" w:rsidRDefault="00D75293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1CD5"/>
    <w:multiLevelType w:val="multilevel"/>
    <w:tmpl w:val="B48E61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/>
        <w:sz w:val="20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43E90AF8"/>
    <w:multiLevelType w:val="multilevel"/>
    <w:tmpl w:val="EC58ABD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 w15:restartNumberingAfterBreak="0">
    <w:nsid w:val="450B759E"/>
    <w:multiLevelType w:val="multilevel"/>
    <w:tmpl w:val="198676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/>
        <w:sz w:val="20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516555C2"/>
    <w:multiLevelType w:val="multilevel"/>
    <w:tmpl w:val="607AAFC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</w:abstractNum>
  <w:abstractNum w:abstractNumId="4" w15:restartNumberingAfterBreak="0">
    <w:nsid w:val="5DCD59C8"/>
    <w:multiLevelType w:val="multilevel"/>
    <w:tmpl w:val="439AE3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/>
        <w:sz w:val="20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 w16cid:durableId="777485014">
    <w:abstractNumId w:val="0"/>
  </w:num>
  <w:num w:numId="2" w16cid:durableId="528614901">
    <w:abstractNumId w:val="3"/>
  </w:num>
  <w:num w:numId="3" w16cid:durableId="944728399">
    <w:abstractNumId w:val="4"/>
  </w:num>
  <w:num w:numId="4" w16cid:durableId="758062605">
    <w:abstractNumId w:val="1"/>
  </w:num>
  <w:num w:numId="5" w16cid:durableId="1170176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293"/>
    <w:rsid w:val="00192B91"/>
    <w:rsid w:val="001B350D"/>
    <w:rsid w:val="002255AB"/>
    <w:rsid w:val="002C4B97"/>
    <w:rsid w:val="002C5DA8"/>
    <w:rsid w:val="00393E6E"/>
    <w:rsid w:val="00455B8C"/>
    <w:rsid w:val="00626D61"/>
    <w:rsid w:val="006322AC"/>
    <w:rsid w:val="00817A3C"/>
    <w:rsid w:val="008A271B"/>
    <w:rsid w:val="00937C50"/>
    <w:rsid w:val="00946BD1"/>
    <w:rsid w:val="00963305"/>
    <w:rsid w:val="00B93EA1"/>
    <w:rsid w:val="00D75293"/>
    <w:rsid w:val="00ED3385"/>
    <w:rsid w:val="00F528BD"/>
    <w:rsid w:val="00F6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7B1EC"/>
  <w15:docId w15:val="{45B51DDA-1D07-49D3-82F7-A64E0532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">
    <w:name w:val="Normal"/>
    <w:qFormat/>
    <w:pPr>
      <w:widowControl w:val="0"/>
      <w:spacing w:line="360" w:lineRule="auto"/>
      <w:ind w:firstLine="200"/>
      <w:jc w:val="both"/>
    </w:pPr>
    <w:rPr>
      <w:rFonts w:ascii="Times New Roman" w:eastAsia="Times New Roman" w:hAnsi="Times New Roman" w:cs="Times New Roman"/>
      <w:sz w:val="24"/>
    </w:rPr>
  </w:style>
  <w:style w:type="paragraph" w:styleId="Heading3">
    <w:name w:val="heading 3"/>
    <w:basedOn w:val="Normal"/>
    <w:next w:val="Normal"/>
    <w:link w:val="Heading3Char"/>
    <w:uiPriority w:val="99"/>
    <w:rsid w:val="002C4B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pPr>
      <w:spacing w:line="305" w:lineRule="auto"/>
    </w:pPr>
    <w:rPr>
      <w:rFonts w:ascii="Calibri" w:eastAsia="Calibri" w:hAnsi="Calibri" w:cs="Calibri"/>
      <w:sz w:val="26"/>
    </w:rPr>
  </w:style>
  <w:style w:type="paragraph" w:styleId="TOC2">
    <w:name w:val="toc 2"/>
    <w:basedOn w:val="Normal"/>
    <w:pPr>
      <w:spacing w:line="330" w:lineRule="auto"/>
    </w:pPr>
    <w:rPr>
      <w:rFonts w:ascii="Calibri" w:eastAsia="Calibri" w:hAnsi="Calibri" w:cs="Calibri"/>
    </w:rPr>
  </w:style>
  <w:style w:type="paragraph" w:styleId="TOC3">
    <w:name w:val="toc 3"/>
    <w:basedOn w:val="Normal"/>
    <w:rPr>
      <w:rFonts w:ascii="Calibri" w:eastAsia="Calibri" w:hAnsi="Calibri" w:cs="Calibri"/>
      <w:sz w:val="22"/>
    </w:rPr>
  </w:style>
  <w:style w:type="paragraph" w:styleId="TOC4">
    <w:name w:val="toc 4"/>
    <w:basedOn w:val="Normal"/>
    <w:pPr>
      <w:spacing w:line="330" w:lineRule="exact"/>
    </w:pPr>
    <w:rPr>
      <w:rFonts w:ascii="Calibri" w:eastAsia="Calibri" w:hAnsi="Calibri" w:cs="Calibri"/>
    </w:rPr>
  </w:style>
  <w:style w:type="paragraph" w:styleId="TOC5">
    <w:name w:val="toc 5"/>
    <w:basedOn w:val="Normal"/>
    <w:pPr>
      <w:spacing w:line="330" w:lineRule="exact"/>
    </w:pPr>
    <w:rPr>
      <w:rFonts w:ascii="Calibri" w:eastAsia="Calibri" w:hAnsi="Calibri" w:cs="Calibri"/>
    </w:rPr>
  </w:style>
  <w:style w:type="paragraph" w:styleId="TOC6">
    <w:name w:val="toc 6"/>
    <w:basedOn w:val="Normal"/>
    <w:pPr>
      <w:spacing w:line="330" w:lineRule="exact"/>
    </w:pPr>
    <w:rPr>
      <w:rFonts w:ascii="Calibri" w:eastAsia="Calibri" w:hAnsi="Calibri" w:cs="Calibri"/>
    </w:rPr>
  </w:style>
  <w:style w:type="paragraph" w:styleId="TOC7">
    <w:name w:val="toc 7"/>
    <w:basedOn w:val="Normal"/>
    <w:pPr>
      <w:spacing w:line="330" w:lineRule="exact"/>
    </w:pPr>
    <w:rPr>
      <w:rFonts w:ascii="Calibri" w:eastAsia="Calibri" w:hAnsi="Calibri" w:cs="Calibri"/>
    </w:rPr>
  </w:style>
  <w:style w:type="paragraph" w:styleId="TOC8">
    <w:name w:val="toc 8"/>
    <w:basedOn w:val="Normal"/>
    <w:pPr>
      <w:spacing w:line="330" w:lineRule="exact"/>
    </w:pPr>
    <w:rPr>
      <w:rFonts w:ascii="Calibri" w:eastAsia="Calibri" w:hAnsi="Calibri" w:cs="Calibri"/>
    </w:rPr>
  </w:style>
  <w:style w:type="paragraph" w:styleId="TOC9">
    <w:name w:val="toc 9"/>
    <w:basedOn w:val="Normal"/>
    <w:pPr>
      <w:spacing w:line="330" w:lineRule="exact"/>
    </w:pPr>
    <w:rPr>
      <w:rFonts w:ascii="Calibri" w:eastAsia="Calibri" w:hAnsi="Calibri" w:cs="Calibri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CellMar>
        <w:top w:w="0" w:type="dxa"/>
        <w:left w:w="10" w:type="dxa"/>
        <w:bottom w:w="0" w:type="dxa"/>
        <w:right w:w="10" w:type="dxa"/>
      </w:tblCellMar>
    </w:tblPr>
  </w:style>
  <w:style w:type="character" w:styleId="CommentReference">
    <w:name w:val="annotation reference"/>
    <w:basedOn w:val="DefaultParagraphFont"/>
    <w:rPr>
      <w:sz w:val="16"/>
    </w:rPr>
  </w:style>
  <w:style w:type="character" w:styleId="EndnoteReference">
    <w:name w:val="endnote reference"/>
    <w:basedOn w:val="DefaultParagraphFont"/>
    <w:rPr>
      <w:vertAlign w:val="superscript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">
    <w:name w:val="列出段落1"/>
    <w:basedOn w:val="Normal"/>
    <w:pPr>
      <w:spacing w:after="200" w:line="276" w:lineRule="auto"/>
      <w:ind w:left="480" w:firstLine="0"/>
      <w:jc w:val="left"/>
    </w:pPr>
    <w:rPr>
      <w:rFonts w:ascii="Calibri" w:eastAsia="Calibri" w:hAnsi="Calibri" w:cs="Calibri"/>
    </w:rPr>
  </w:style>
  <w:style w:type="paragraph" w:customStyle="1" w:styleId="Statement">
    <w:name w:val="Statement"/>
    <w:basedOn w:val="Normal"/>
    <w:pPr>
      <w:ind w:left="900"/>
    </w:pPr>
    <w:rPr>
      <w:rFonts w:ascii="Calibri" w:eastAsia="Calibri" w:hAnsi="Calibri" w:cs="Calibri"/>
      <w:sz w:val="22"/>
    </w:rPr>
  </w:style>
  <w:style w:type="paragraph" w:customStyle="1" w:styleId="ChapterNumber">
    <w:name w:val="Chapter Number"/>
    <w:basedOn w:val="Normal"/>
    <w:rPr>
      <w:rFonts w:ascii="Calibri" w:eastAsia="Calibri" w:hAnsi="Calibri" w:cs="Calibri"/>
    </w:rPr>
  </w:style>
  <w:style w:type="paragraph" w:customStyle="1" w:styleId="Reference">
    <w:name w:val="Reference"/>
    <w:basedOn w:val="Normal"/>
    <w:pPr>
      <w:spacing w:after="320"/>
      <w:ind w:left="400" w:hanging="400"/>
    </w:pPr>
    <w:rPr>
      <w:rFonts w:ascii="Calibri" w:eastAsia="Calibri" w:hAnsi="Calibri" w:cs="Calibri"/>
      <w:sz w:val="22"/>
    </w:rPr>
  </w:style>
  <w:style w:type="paragraph" w:styleId="List4">
    <w:name w:val="List 4"/>
    <w:basedOn w:val="Normal"/>
    <w:pPr>
      <w:ind w:left="1600" w:hanging="400"/>
    </w:pPr>
    <w:rPr>
      <w:rFonts w:ascii="Calibri" w:eastAsia="Calibri" w:hAnsi="Calibri" w:cs="Calibri"/>
      <w:sz w:val="22"/>
    </w:rPr>
  </w:style>
  <w:style w:type="paragraph" w:customStyle="1" w:styleId="TableHead">
    <w:name w:val="Table Head"/>
    <w:basedOn w:val="Normal"/>
    <w:pPr>
      <w:shd w:val="clear" w:color="auto" w:fill="FFEDFA"/>
      <w:jc w:val="left"/>
    </w:pPr>
    <w:rPr>
      <w:rFonts w:ascii="Calibri" w:eastAsia="Calibri" w:hAnsi="Calibri" w:cs="Calibri"/>
      <w:sz w:val="20"/>
    </w:rPr>
  </w:style>
  <w:style w:type="character" w:customStyle="1" w:styleId="Heading">
    <w:name w:val="Heading:"/>
    <w:basedOn w:val="DefaultParagraphFont"/>
    <w:rPr>
      <w:color w:val="5B89C1"/>
    </w:rPr>
  </w:style>
  <w:style w:type="character" w:customStyle="1" w:styleId="NameScientific">
    <w:name w:val="Name Scientific"/>
    <w:basedOn w:val="DefaultParagraphFont"/>
  </w:style>
  <w:style w:type="paragraph" w:customStyle="1" w:styleId="Acknowledgements">
    <w:name w:val="Acknowledgements"/>
    <w:basedOn w:val="Normal"/>
    <w:pPr>
      <w:shd w:val="clear" w:color="auto" w:fill="F9EDFF"/>
      <w:spacing w:after="160" w:line="396" w:lineRule="auto"/>
    </w:pPr>
    <w:rPr>
      <w:rFonts w:ascii="Calibri" w:eastAsia="Calibri" w:hAnsi="Calibri" w:cs="Calibri"/>
      <w:sz w:val="20"/>
    </w:rPr>
  </w:style>
  <w:style w:type="character" w:customStyle="1" w:styleId="Postcode">
    <w:name w:val="Postcode"/>
    <w:basedOn w:val="DefaultParagraphFont"/>
  </w:style>
  <w:style w:type="character" w:customStyle="1" w:styleId="Edition">
    <w:name w:val="Edition"/>
    <w:basedOn w:val="DefaultParagraphFont"/>
  </w:style>
  <w:style w:type="paragraph" w:customStyle="1" w:styleId="Correspondence">
    <w:name w:val="Correspondence"/>
    <w:basedOn w:val="Normal"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</w:rPr>
  </w:style>
  <w:style w:type="paragraph" w:customStyle="1" w:styleId="Copyright">
    <w:name w:val="Copyright"/>
    <w:basedOn w:val="Normal"/>
    <w:pPr>
      <w:shd w:val="clear" w:color="auto" w:fill="E9F9FF"/>
    </w:pPr>
    <w:rPr>
      <w:rFonts w:ascii="Calibri" w:eastAsia="Calibri" w:hAnsi="Calibri" w:cs="Calibri"/>
      <w:sz w:val="18"/>
    </w:rPr>
  </w:style>
  <w:style w:type="character" w:customStyle="1" w:styleId="VolumeNumber">
    <w:name w:val="Volume Number"/>
    <w:basedOn w:val="DefaultParagraphFont"/>
  </w:style>
  <w:style w:type="paragraph" w:customStyle="1" w:styleId="Keywords">
    <w:name w:val="Keywords"/>
    <w:basedOn w:val="Normal"/>
    <w:pPr>
      <w:spacing w:line="396" w:lineRule="auto"/>
      <w:ind w:left="1000"/>
      <w:jc w:val="left"/>
    </w:pPr>
    <w:rPr>
      <w:rFonts w:ascii="Calibri" w:eastAsia="Calibri" w:hAnsi="Calibri" w:cs="Calibri"/>
      <w:sz w:val="20"/>
    </w:rPr>
  </w:style>
  <w:style w:type="character" w:customStyle="1" w:styleId="Year">
    <w:name w:val="Year"/>
    <w:basedOn w:val="DefaultParagraphFont"/>
  </w:style>
  <w:style w:type="character" w:customStyle="1" w:styleId="GlossaryTerm">
    <w:name w:val="Glossary Term"/>
    <w:basedOn w:val="DefaultParagraphFont"/>
  </w:style>
  <w:style w:type="paragraph" w:customStyle="1" w:styleId="Abstract">
    <w:name w:val="Abstract"/>
    <w:basedOn w:val="Normal"/>
    <w:pPr>
      <w:spacing w:after="160"/>
      <w:ind w:left="1440" w:right="1440" w:firstLine="0"/>
    </w:pPr>
    <w:rPr>
      <w:rFonts w:ascii="Calibri" w:eastAsia="Calibri" w:hAnsi="Calibri" w:cs="Calibri"/>
      <w:sz w:val="22"/>
    </w:rPr>
  </w:style>
  <w:style w:type="character" w:customStyle="1" w:styleId="Label">
    <w:name w:val="Label"/>
    <w:basedOn w:val="DefaultParagraphFont"/>
    <w:rPr>
      <w:vertAlign w:val="baseline"/>
    </w:rPr>
  </w:style>
  <w:style w:type="paragraph" w:customStyle="1" w:styleId="Biography">
    <w:name w:val="Biography"/>
    <w:basedOn w:val="Normal"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</w:rPr>
  </w:style>
  <w:style w:type="character" w:customStyle="1" w:styleId="GivenName">
    <w:name w:val="Given Name"/>
    <w:basedOn w:val="DefaultParagraphFont"/>
  </w:style>
  <w:style w:type="character" w:customStyle="1" w:styleId="FamilyName">
    <w:name w:val="Family Name"/>
    <w:basedOn w:val="DefaultParagraphFont"/>
  </w:style>
  <w:style w:type="paragraph" w:customStyle="1" w:styleId="Glossary">
    <w:name w:val="Glossary"/>
    <w:basedOn w:val="Normal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</w:rPr>
  </w:style>
  <w:style w:type="paragraph" w:styleId="CommentText">
    <w:name w:val="annotation text"/>
    <w:basedOn w:val="Normal"/>
    <w:pPr>
      <w:ind w:firstLine="0"/>
      <w:jc w:val="left"/>
    </w:pPr>
    <w:rPr>
      <w:rFonts w:ascii="Calibri" w:eastAsia="Calibri" w:hAnsi="Calibri" w:cs="Calibri"/>
      <w:sz w:val="20"/>
    </w:rPr>
  </w:style>
  <w:style w:type="character" w:customStyle="1" w:styleId="Location">
    <w:name w:val="Location"/>
    <w:basedOn w:val="DefaultParagraphFont"/>
  </w:style>
  <w:style w:type="character" w:customStyle="1" w:styleId="Source">
    <w:name w:val="Source"/>
    <w:basedOn w:val="DefaultParagraphFont"/>
  </w:style>
  <w:style w:type="paragraph" w:customStyle="1" w:styleId="Note">
    <w:name w:val="Note"/>
    <w:basedOn w:val="Normal"/>
    <w:pPr>
      <w:shd w:val="clear" w:color="auto" w:fill="EDF0FF"/>
      <w:spacing w:line="432" w:lineRule="auto"/>
    </w:pPr>
    <w:rPr>
      <w:rFonts w:ascii="Calibri" w:eastAsia="Calibri" w:hAnsi="Calibri" w:cs="Calibri"/>
      <w:sz w:val="20"/>
    </w:rPr>
  </w:style>
  <w:style w:type="paragraph" w:customStyle="1" w:styleId="Annotation">
    <w:name w:val="Annotation"/>
    <w:basedOn w:val="Normal"/>
    <w:pPr>
      <w:spacing w:after="160"/>
      <w:ind w:left="400" w:firstLine="0"/>
      <w:jc w:val="left"/>
    </w:pPr>
    <w:rPr>
      <w:rFonts w:ascii="Calibri" w:eastAsia="Calibri" w:hAnsi="Calibri" w:cs="Calibri"/>
      <w:sz w:val="22"/>
    </w:rPr>
  </w:style>
  <w:style w:type="paragraph" w:customStyle="1" w:styleId="TableNote">
    <w:name w:val="Table Note"/>
    <w:basedOn w:val="Normal"/>
    <w:rPr>
      <w:rFonts w:ascii="Calibri" w:eastAsia="Calibri" w:hAnsi="Calibri" w:cs="Calibri"/>
      <w:sz w:val="18"/>
    </w:rPr>
  </w:style>
  <w:style w:type="paragraph" w:customStyle="1" w:styleId="List6">
    <w:name w:val="List 6"/>
    <w:basedOn w:val="Normal"/>
    <w:pPr>
      <w:ind w:left="1860" w:hanging="400"/>
    </w:pPr>
    <w:rPr>
      <w:rFonts w:ascii="Calibri" w:eastAsia="Calibri" w:hAnsi="Calibri" w:cs="Calibri"/>
      <w:sz w:val="22"/>
    </w:rPr>
  </w:style>
  <w:style w:type="paragraph" w:styleId="Caption">
    <w:name w:val="caption"/>
    <w:basedOn w:val="Normal"/>
    <w:pPr>
      <w:shd w:val="clear" w:color="auto" w:fill="FFF5ED"/>
      <w:spacing w:before="240" w:line="349" w:lineRule="auto"/>
    </w:pPr>
    <w:rPr>
      <w:rFonts w:ascii="Calibri" w:eastAsia="Calibri" w:hAnsi="Calibri" w:cs="Calibri"/>
      <w:sz w:val="22"/>
    </w:rPr>
  </w:style>
  <w:style w:type="paragraph" w:customStyle="1" w:styleId="Surtitle">
    <w:name w:val="Surtitle"/>
    <w:basedOn w:val="Normal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character" w:customStyle="1" w:styleId="Publisher">
    <w:name w:val="Publisher"/>
    <w:basedOn w:val="DefaultParagraphFont"/>
  </w:style>
  <w:style w:type="character" w:styleId="Hyperlink">
    <w:name w:val="Hyperlink"/>
    <w:basedOn w:val="DefaultParagraphFont"/>
    <w:rPr>
      <w:color w:val="0563C1"/>
    </w:rPr>
  </w:style>
  <w:style w:type="paragraph" w:styleId="FootnoteText">
    <w:name w:val="footnote text"/>
    <w:basedOn w:val="Normal"/>
    <w:rPr>
      <w:rFonts w:ascii="Calibri" w:eastAsia="Calibri" w:hAnsi="Calibri" w:cs="Calibri"/>
    </w:rPr>
  </w:style>
  <w:style w:type="paragraph" w:styleId="List">
    <w:name w:val="List"/>
    <w:basedOn w:val="Normal"/>
    <w:pPr>
      <w:ind w:left="400" w:hanging="400"/>
    </w:pPr>
    <w:rPr>
      <w:rFonts w:ascii="Calibri" w:eastAsia="Calibri" w:hAnsi="Calibri" w:cs="Calibri"/>
      <w:sz w:val="22"/>
    </w:rPr>
  </w:style>
  <w:style w:type="paragraph" w:styleId="List3">
    <w:name w:val="List 3"/>
    <w:basedOn w:val="Normal"/>
    <w:pPr>
      <w:ind w:left="1200" w:hanging="400"/>
    </w:pPr>
    <w:rPr>
      <w:rFonts w:ascii="Calibri" w:eastAsia="Calibri" w:hAnsi="Calibri" w:cs="Calibri"/>
      <w:sz w:val="22"/>
    </w:rPr>
  </w:style>
  <w:style w:type="paragraph" w:styleId="EndnoteText">
    <w:name w:val="endnote text"/>
    <w:basedOn w:val="Normal"/>
    <w:rPr>
      <w:rFonts w:ascii="Calibri" w:eastAsia="Calibri" w:hAnsi="Calibri" w:cs="Calibri"/>
    </w:rPr>
  </w:style>
  <w:style w:type="paragraph" w:customStyle="1" w:styleId="TableBody">
    <w:name w:val="Table Body"/>
    <w:basedOn w:val="Normal"/>
    <w:pPr>
      <w:spacing w:after="160" w:line="396" w:lineRule="auto"/>
      <w:jc w:val="left"/>
    </w:pPr>
    <w:rPr>
      <w:rFonts w:ascii="Calibri" w:eastAsia="Calibri" w:hAnsi="Calibri" w:cs="Calibri"/>
      <w:sz w:val="20"/>
    </w:rPr>
  </w:style>
  <w:style w:type="paragraph" w:customStyle="1" w:styleId="Authors">
    <w:name w:val="Authors"/>
    <w:basedOn w:val="Normal"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character" w:customStyle="1" w:styleId="PageNumbers">
    <w:name w:val="Page Numbers"/>
    <w:basedOn w:val="DefaultParagraphFont"/>
  </w:style>
  <w:style w:type="paragraph" w:styleId="List5">
    <w:name w:val="List 5"/>
    <w:basedOn w:val="Normal"/>
    <w:pPr>
      <w:ind w:left="1800" w:hanging="400"/>
    </w:pPr>
    <w:rPr>
      <w:rFonts w:ascii="Calibri" w:eastAsia="Calibri" w:hAnsi="Calibri" w:cs="Calibri"/>
      <w:sz w:val="22"/>
    </w:rPr>
  </w:style>
  <w:style w:type="paragraph" w:styleId="BlockText">
    <w:name w:val="Block Text"/>
    <w:basedOn w:val="Normal"/>
    <w:pPr>
      <w:spacing w:after="160"/>
      <w:ind w:left="1200"/>
    </w:pPr>
    <w:rPr>
      <w:rFonts w:ascii="Calibri" w:eastAsia="Calibri" w:hAnsi="Calibri" w:cs="Calibri"/>
      <w:sz w:val="22"/>
    </w:rPr>
  </w:style>
  <w:style w:type="character" w:customStyle="1" w:styleId="Miscellaneous">
    <w:name w:val="Miscellaneous"/>
    <w:basedOn w:val="DefaultParagraphFont"/>
  </w:style>
  <w:style w:type="paragraph" w:customStyle="1" w:styleId="List8">
    <w:name w:val="List 8"/>
    <w:basedOn w:val="Normal"/>
    <w:pPr>
      <w:ind w:left="1980" w:hanging="400"/>
    </w:pPr>
    <w:rPr>
      <w:rFonts w:ascii="Calibri" w:eastAsia="Calibri" w:hAnsi="Calibri" w:cs="Calibri"/>
      <w:sz w:val="22"/>
    </w:rPr>
  </w:style>
  <w:style w:type="paragraph" w:customStyle="1" w:styleId="Formula">
    <w:name w:val="Formula"/>
    <w:basedOn w:val="Normal"/>
    <w:pPr>
      <w:shd w:val="clear" w:color="auto" w:fill="FFF5ED"/>
      <w:spacing w:before="120" w:after="120"/>
      <w:jc w:val="left"/>
    </w:pPr>
    <w:rPr>
      <w:rFonts w:ascii="Calibri" w:eastAsia="Calibri" w:hAnsi="Calibri" w:cs="Calibri"/>
      <w:sz w:val="22"/>
    </w:rPr>
  </w:style>
  <w:style w:type="paragraph" w:customStyle="1" w:styleId="List7">
    <w:name w:val="List 7"/>
    <w:basedOn w:val="Normal"/>
    <w:pPr>
      <w:ind w:left="1920" w:hanging="400"/>
    </w:pPr>
    <w:rPr>
      <w:rFonts w:ascii="Calibri" w:eastAsia="Calibri" w:hAnsi="Calibri" w:cs="Calibri"/>
      <w:sz w:val="22"/>
    </w:rPr>
  </w:style>
  <w:style w:type="paragraph" w:styleId="Subtitle">
    <w:name w:val="Subtitle"/>
    <w:basedOn w:val="Normal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paragraph" w:styleId="List2">
    <w:name w:val="List 2"/>
    <w:basedOn w:val="Normal"/>
    <w:pPr>
      <w:ind w:left="800" w:hanging="400"/>
    </w:pPr>
    <w:rPr>
      <w:rFonts w:ascii="Calibri" w:eastAsia="Calibri" w:hAnsi="Calibri" w:cs="Calibri"/>
      <w:sz w:val="22"/>
    </w:rPr>
  </w:style>
  <w:style w:type="paragraph" w:customStyle="1" w:styleId="TableList">
    <w:name w:val="Table List"/>
    <w:basedOn w:val="Normal"/>
    <w:pPr>
      <w:ind w:left="300" w:hanging="300"/>
      <w:jc w:val="left"/>
    </w:pPr>
    <w:rPr>
      <w:rFonts w:ascii="Calibri" w:eastAsia="Calibri" w:hAnsi="Calibri" w:cs="Calibri"/>
      <w:sz w:val="20"/>
    </w:rPr>
  </w:style>
  <w:style w:type="paragraph" w:customStyle="1" w:styleId="TableHeadSpan">
    <w:name w:val="Table Head Span"/>
    <w:basedOn w:val="Normal"/>
    <w:pPr>
      <w:shd w:val="clear" w:color="auto" w:fill="FFEDFA"/>
      <w:jc w:val="left"/>
    </w:pPr>
    <w:rPr>
      <w:rFonts w:ascii="Calibri" w:eastAsia="Calibri" w:hAnsi="Calibri" w:cs="Calibri"/>
    </w:rPr>
  </w:style>
  <w:style w:type="character" w:customStyle="1" w:styleId="IssueNumber">
    <w:name w:val="Issue Number"/>
    <w:basedOn w:val="DefaultParagraphFont"/>
  </w:style>
  <w:style w:type="character" w:customStyle="1" w:styleId="Country">
    <w:name w:val="Country"/>
    <w:basedOn w:val="DefaultParagraphFont"/>
  </w:style>
  <w:style w:type="character" w:customStyle="1" w:styleId="ArticleTitle">
    <w:name w:val="Article Title"/>
    <w:basedOn w:val="DefaultParagraphFont"/>
    <w:qFormat/>
  </w:style>
  <w:style w:type="character" w:customStyle="1" w:styleId="Cross-reference">
    <w:name w:val="Cross-reference"/>
    <w:basedOn w:val="DefaultParagraphFont"/>
  </w:style>
  <w:style w:type="paragraph" w:customStyle="1" w:styleId="QuotationSource">
    <w:name w:val="Quotation Source"/>
    <w:basedOn w:val="Normal"/>
    <w:pPr>
      <w:spacing w:after="170"/>
      <w:ind w:left="1200"/>
      <w:jc w:val="right"/>
    </w:pPr>
    <w:rPr>
      <w:rFonts w:ascii="Calibri" w:eastAsia="Calibri" w:hAnsi="Calibri" w:cs="Calibri"/>
      <w:sz w:val="22"/>
    </w:rPr>
  </w:style>
  <w:style w:type="paragraph" w:customStyle="1" w:styleId="AbstractSubheading">
    <w:name w:val="Abstract Subheading"/>
    <w:basedOn w:val="Normal"/>
    <w:next w:val="Normal"/>
    <w:pPr>
      <w:keepNext/>
      <w:keepLines/>
      <w:ind w:left="1440"/>
      <w:outlineLvl w:val="8"/>
    </w:pPr>
    <w:rPr>
      <w:sz w:val="22"/>
    </w:rPr>
  </w:style>
  <w:style w:type="character" w:customStyle="1" w:styleId="GrantID">
    <w:name w:val="Grant ID"/>
    <w:basedOn w:val="DefaultParagraphFont"/>
  </w:style>
  <w:style w:type="character" w:customStyle="1" w:styleId="Organization">
    <w:name w:val="Organization"/>
    <w:basedOn w:val="DefaultParagraphFont"/>
  </w:style>
  <w:style w:type="character" w:customStyle="1" w:styleId="Conference">
    <w:name w:val="Conference"/>
    <w:basedOn w:val="DefaultParagraphFont"/>
  </w:style>
  <w:style w:type="character" w:customStyle="1" w:styleId="GeneSequence">
    <w:name w:val="Gene Sequence"/>
    <w:basedOn w:val="DefaultParagraphFont"/>
  </w:style>
  <w:style w:type="paragraph" w:customStyle="1" w:styleId="Affiliation">
    <w:name w:val="Affiliation"/>
    <w:basedOn w:val="Normal"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</w:rPr>
  </w:style>
  <w:style w:type="paragraph" w:customStyle="1" w:styleId="Quotation">
    <w:name w:val="Quotation"/>
    <w:basedOn w:val="Normal"/>
    <w:pPr>
      <w:spacing w:after="160"/>
      <w:ind w:left="1200" w:right="1200"/>
    </w:pPr>
    <w:rPr>
      <w:rFonts w:ascii="Calibri" w:eastAsia="Calibri" w:hAnsi="Calibri" w:cs="Calibri"/>
      <w:sz w:val="22"/>
    </w:rPr>
  </w:style>
  <w:style w:type="character" w:customStyle="1" w:styleId="City">
    <w:name w:val="City"/>
    <w:basedOn w:val="DefaultParagraphFont"/>
  </w:style>
  <w:style w:type="character" w:customStyle="1" w:styleId="DatabaseLink">
    <w:name w:val="Database Link"/>
    <w:basedOn w:val="DefaultParagraphFont"/>
  </w:style>
  <w:style w:type="character" w:customStyle="1" w:styleId="Region">
    <w:name w:val="Region"/>
    <w:basedOn w:val="DefaultParagraphFont"/>
  </w:style>
  <w:style w:type="paragraph" w:customStyle="1" w:styleId="List1">
    <w:name w:val="List 1"/>
    <w:basedOn w:val="Normal"/>
    <w:pPr>
      <w:ind w:left="1200" w:hanging="600"/>
    </w:pPr>
    <w:rPr>
      <w:sz w:val="22"/>
    </w:rPr>
  </w:style>
  <w:style w:type="paragraph" w:customStyle="1" w:styleId="List9">
    <w:name w:val="List 9"/>
    <w:basedOn w:val="Normal"/>
    <w:pPr>
      <w:ind w:left="1200" w:hanging="600"/>
    </w:pPr>
    <w:rPr>
      <w:sz w:val="22"/>
    </w:rPr>
  </w:style>
  <w:style w:type="paragraph" w:styleId="Revision">
    <w:name w:val="Revision"/>
    <w:rPr>
      <w:rFonts w:ascii="Times New Roman" w:eastAsia="Times New Roman" w:hAnsi="Times New Roman" w:cs="Times New Roman"/>
      <w:sz w:val="24"/>
    </w:rPr>
  </w:style>
  <w:style w:type="paragraph" w:styleId="CommentSubject">
    <w:name w:val="annotation subject"/>
    <w:basedOn w:val="CommentText"/>
    <w:pPr>
      <w:spacing w:line="240" w:lineRule="auto"/>
      <w:ind w:firstLine="200"/>
      <w:jc w:val="both"/>
    </w:pPr>
    <w:rPr>
      <w:rFonts w:ascii="Times New Roman" w:eastAsia="Times New Roman" w:hAnsi="Times New Roman" w:cs="Times New Roman"/>
      <w:b/>
    </w:rPr>
  </w:style>
  <w:style w:type="character" w:styleId="UnresolvedMention">
    <w:name w:val="Unresolved Mention"/>
    <w:basedOn w:val="DefaultParagraphFont"/>
    <w:rPr>
      <w:color w:val="605E5C"/>
    </w:rPr>
  </w:style>
  <w:style w:type="character" w:styleId="PageNumber">
    <w:name w:val="page number"/>
    <w:basedOn w:val="DefaultParagraphFont"/>
  </w:style>
  <w:style w:type="character" w:styleId="PlaceholderText">
    <w:name w:val="Placeholder Text"/>
    <w:basedOn w:val="DefaultParagraphFont"/>
    <w:rPr>
      <w:color w:val="666666"/>
    </w:rPr>
  </w:style>
  <w:style w:type="table" w:customStyle="1" w:styleId="10">
    <w:name w:val="网格型1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9"/>
    <w:rsid w:val="002C4B97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2.xml"/><Relationship Id="rId18" Type="http://schemas.openxmlformats.org/officeDocument/2006/relationships/image" Target="media/image7.tiff"/><Relationship Id="rId3" Type="http://schemas.openxmlformats.org/officeDocument/2006/relationships/settings" Target="settings.xml"/><Relationship Id="rId7" Type="http://schemas.openxmlformats.org/officeDocument/2006/relationships/hyperlink" Target="mailto:dryanglihua@163.com" TargetMode="External"/><Relationship Id="rId12" Type="http://schemas.openxmlformats.org/officeDocument/2006/relationships/header" Target="header2.xml"/><Relationship Id="rId17" Type="http://schemas.openxmlformats.org/officeDocument/2006/relationships/image" Target="media/image6.tiff"/><Relationship Id="rId2" Type="http://schemas.openxmlformats.org/officeDocument/2006/relationships/styles" Target="styles.xml"/><Relationship Id="rId16" Type="http://schemas.openxmlformats.org/officeDocument/2006/relationships/image" Target="media/image5.tif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tiff"/><Relationship Id="rId5" Type="http://schemas.openxmlformats.org/officeDocument/2006/relationships/footnotes" Target="footnotes.xml"/><Relationship Id="rId15" Type="http://schemas.openxmlformats.org/officeDocument/2006/relationships/image" Target="media/image4.tif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25144FF-14B1-4778-9AB7-F38D56CF77A0}">
  <we:reference id="WA200001361" version="2.129.3.0" store="Omex" storeType="omex"/>
  <we:alternateReferences>
    <we:reference id="WA200001361" version="2.129.3.0" store="WA200001361" storeType="omex"/>
  </we:alternateReferences>
  <we:properties>
    <we:property name="paperpal-document-id" value="&quot;eeac932e-bef7-4aa1-a707-bae61380fbad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1584</Words>
  <Characters>9029</Characters>
  <Application>Microsoft Office Word</Application>
  <DocSecurity>0</DocSecurity>
  <Lines>75</Lines>
  <Paragraphs>21</Paragraphs>
  <ScaleCrop>false</ScaleCrop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  <cp:revision>10</cp:revision>
  <dcterms:created xsi:type="dcterms:W3CDTF">2025-12-23T11:43:00Z</dcterms:created>
  <dcterms:modified xsi:type="dcterms:W3CDTF">2025-12-29T03:32:00Z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GrammarlyDocumentId">
    <vt:lpwstr>08c900c7-74ef-4b18-8ff5-9db3ee693da1</vt:lpwstr>
  </property>
  <property fmtid="{D5CDD505-2E9C-101B-9397-08002B2CF9AE}" pid="6" name="JournalID">
    <vt:lpwstr/>
  </property>
  <property fmtid="{D5CDD505-2E9C-101B-9397-08002B2CF9AE}" pid="7" name="Merops -Original extension">
    <vt:lpwstr>docx</vt:lpwstr>
  </property>
  <property fmtid="{D5CDD505-2E9C-101B-9397-08002B2CF9AE}" pid="8" name="Merops change count">
    <vt:lpwstr>0</vt:lpwstr>
  </property>
  <property fmtid="{D5CDD505-2E9C-101B-9397-08002B2CF9AE}" pid="9" name="Merops client version">
    <vt:lpwstr/>
  </property>
  <property fmtid="{D5CDD505-2E9C-101B-9397-08002B2CF9AE}" pid="10" name="Merops comment count">
    <vt:lpwstr>0</vt:lpwstr>
  </property>
  <property fmtid="{D5CDD505-2E9C-101B-9397-08002B2CF9AE}" pid="11" name="Merops DOI links count">
    <vt:lpwstr>0</vt:lpwstr>
  </property>
  <property fmtid="{D5CDD505-2E9C-101B-9397-08002B2CF9AE}" pid="12" name="Merops email addresses count">
    <vt:lpwstr>0</vt:lpwstr>
  </property>
  <property fmtid="{D5CDD505-2E9C-101B-9397-08002B2CF9AE}" pid="13" name="Merops figures count">
    <vt:lpwstr>7</vt:lpwstr>
  </property>
  <property fmtid="{D5CDD505-2E9C-101B-9397-08002B2CF9AE}" pid="14" name="Merops footnotes/endnotes count">
    <vt:lpwstr>0</vt:lpwstr>
  </property>
  <property fmtid="{D5CDD505-2E9C-101B-9397-08002B2CF9AE}" pid="15" name="Merops graphics count">
    <vt:lpwstr>7</vt:lpwstr>
  </property>
  <property fmtid="{D5CDD505-2E9C-101B-9397-08002B2CF9AE}" pid="16" name="Merops input file path">
    <vt:lpwstr>crm_37c08947-e979-4668-a420-60f7ef487f23.docx</vt:lpwstr>
  </property>
  <property fmtid="{D5CDD505-2E9C-101B-9397-08002B2CF9AE}" pid="17" name="Merops intra-document links count">
    <vt:lpwstr>0</vt:lpwstr>
  </property>
  <property fmtid="{D5CDD505-2E9C-101B-9397-08002B2CF9AE}" pid="18" name="Merops item path">
    <vt:lpwstr>MG-Session/On-20251220/I:7c24cd18-a8bd-4a9f-a70f-17195f2e6640</vt:lpwstr>
  </property>
  <property fmtid="{D5CDD505-2E9C-101B-9397-08002B2CF9AE}" pid="19" name="Merops processed date">
    <vt:lpwstr>2025/12/20 05:55:23 AM</vt:lpwstr>
  </property>
  <property fmtid="{D5CDD505-2E9C-101B-9397-08002B2CF9AE}" pid="20" name="Merops PubMed links count">
    <vt:lpwstr>0</vt:lpwstr>
  </property>
  <property fmtid="{D5CDD505-2E9C-101B-9397-08002B2CF9AE}" pid="21" name="Merops references count">
    <vt:lpwstr>0</vt:lpwstr>
  </property>
  <property fmtid="{D5CDD505-2E9C-101B-9397-08002B2CF9AE}" pid="22" name="Merops Scopus links count">
    <vt:lpwstr>0</vt:lpwstr>
  </property>
  <property fmtid="{D5CDD505-2E9C-101B-9397-08002B2CF9AE}" pid="23" name="Merops server path">
    <vt:lpwstr/>
  </property>
  <property fmtid="{D5CDD505-2E9C-101B-9397-08002B2CF9AE}" pid="24" name="Merops Standard Set">
    <vt:lpwstr>merops/preset-v1/springer-basic-brackets</vt:lpwstr>
  </property>
  <property fmtid="{D5CDD505-2E9C-101B-9397-08002B2CF9AE}" pid="25" name="Merops Standard Set modified">
    <vt:lpwstr/>
  </property>
  <property fmtid="{D5CDD505-2E9C-101B-9397-08002B2CF9AE}" pid="26" name="Merops tables count">
    <vt:lpwstr>5</vt:lpwstr>
  </property>
  <property fmtid="{D5CDD505-2E9C-101B-9397-08002B2CF9AE}" pid="27" name="Merops word count">
    <vt:lpwstr>1404</vt:lpwstr>
  </property>
  <property fmtid="{D5CDD505-2E9C-101B-9397-08002B2CF9AE}" pid="28" name="Merops WorldCat links count">
    <vt:lpwstr>0</vt:lpwstr>
  </property>
  <property fmtid="{D5CDD505-2E9C-101B-9397-08002B2CF9AE}" pid="29" name="ppub">
    <vt:lpwstr/>
  </property>
  <property fmtid="{D5CDD505-2E9C-101B-9397-08002B2CF9AE}" pid="30" name="Publisher">
    <vt:lpwstr/>
  </property>
  <property fmtid="{D5CDD505-2E9C-101B-9397-08002B2CF9AE}" pid="31" name="Publisher-location">
    <vt:lpwstr/>
  </property>
  <property fmtid="{D5CDD505-2E9C-101B-9397-08002B2CF9AE}" pid="32" name="ReceivedDate">
    <vt:lpwstr/>
  </property>
  <property fmtid="{D5CDD505-2E9C-101B-9397-08002B2CF9AE}" pid="33" name="Reference citation style">
    <vt:lpwstr/>
  </property>
  <property fmtid="{D5CDD505-2E9C-101B-9397-08002B2CF9AE}" pid="34" name="Source">
    <vt:lpwstr/>
  </property>
  <property fmtid="{D5CDD505-2E9C-101B-9397-08002B2CF9AE}" pid="35" name="Source-abbreviated">
    <vt:lpwstr/>
  </property>
  <property fmtid="{D5CDD505-2E9C-101B-9397-08002B2CF9AE}" pid="36" name="Source-short">
    <vt:lpwstr/>
  </property>
  <property fmtid="{D5CDD505-2E9C-101B-9397-08002B2CF9AE}" pid="37" name="Subject">
    <vt:lpwstr/>
  </property>
</Properties>
</file>