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B11BDF" w14:textId="0C83376E" w:rsidR="006D3F71" w:rsidRPr="00DD16B1" w:rsidRDefault="006D3F71" w:rsidP="006D3F71">
      <w:pPr>
        <w:outlineLvl w:val="0"/>
        <w:rPr>
          <w:rFonts w:ascii="Times New Roman" w:hAnsi="Times New Roman"/>
          <w:b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Table </w:t>
      </w:r>
      <w:r w:rsidR="00935160">
        <w:rPr>
          <w:rFonts w:ascii="Times New Roman" w:hAnsi="Times New Roman"/>
          <w:b/>
          <w:color w:val="000000" w:themeColor="text1"/>
          <w:sz w:val="22"/>
          <w:szCs w:val="22"/>
        </w:rPr>
        <w:t>S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>3</w:t>
      </w:r>
      <w:r w:rsidR="00935160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 EGFR tyrosine kinase inhibitors (TKIs) clinical plasma drug concentrations.</w:t>
      </w:r>
    </w:p>
    <w:tbl>
      <w:tblPr>
        <w:tblStyle w:val="a5"/>
        <w:tblW w:w="10800" w:type="dxa"/>
        <w:tblLook w:val="04A0" w:firstRow="1" w:lastRow="0" w:firstColumn="1" w:lastColumn="0" w:noHBand="0" w:noVBand="1"/>
      </w:tblPr>
      <w:tblGrid>
        <w:gridCol w:w="2854"/>
        <w:gridCol w:w="1177"/>
        <w:gridCol w:w="1409"/>
        <w:gridCol w:w="1211"/>
        <w:gridCol w:w="1475"/>
        <w:gridCol w:w="1337"/>
        <w:gridCol w:w="1337"/>
      </w:tblGrid>
      <w:tr w:rsidR="00541481" w:rsidRPr="00DD16B1" w14:paraId="5B4FB1A6" w14:textId="23442586" w:rsidTr="00541481">
        <w:tc>
          <w:tcPr>
            <w:tcW w:w="2854" w:type="dxa"/>
          </w:tcPr>
          <w:p w14:paraId="7C87095B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77" w:type="dxa"/>
          </w:tcPr>
          <w:p w14:paraId="637EF5F9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Afatinib</w:t>
            </w:r>
          </w:p>
        </w:tc>
        <w:tc>
          <w:tcPr>
            <w:tcW w:w="1409" w:type="dxa"/>
          </w:tcPr>
          <w:p w14:paraId="18AF2C7F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Erlotinib</w:t>
            </w:r>
          </w:p>
        </w:tc>
        <w:tc>
          <w:tcPr>
            <w:tcW w:w="1211" w:type="dxa"/>
          </w:tcPr>
          <w:p w14:paraId="134AD237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Gefitinib</w:t>
            </w:r>
          </w:p>
        </w:tc>
        <w:tc>
          <w:tcPr>
            <w:tcW w:w="1475" w:type="dxa"/>
          </w:tcPr>
          <w:p w14:paraId="386F45CC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Icotinib</w:t>
            </w:r>
          </w:p>
        </w:tc>
        <w:tc>
          <w:tcPr>
            <w:tcW w:w="1337" w:type="dxa"/>
          </w:tcPr>
          <w:p w14:paraId="1FD57755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Osimertinib</w:t>
            </w:r>
          </w:p>
        </w:tc>
        <w:tc>
          <w:tcPr>
            <w:tcW w:w="1337" w:type="dxa"/>
          </w:tcPr>
          <w:p w14:paraId="08604B71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1481" w:rsidRPr="00DD16B1" w14:paraId="3D45784D" w14:textId="713AE5A5" w:rsidTr="00541481">
        <w:tc>
          <w:tcPr>
            <w:tcW w:w="2854" w:type="dxa"/>
          </w:tcPr>
          <w:p w14:paraId="1B5F08DF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Multiple Does</w:t>
            </w:r>
          </w:p>
        </w:tc>
        <w:tc>
          <w:tcPr>
            <w:tcW w:w="1177" w:type="dxa"/>
          </w:tcPr>
          <w:p w14:paraId="27E40524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09" w:type="dxa"/>
          </w:tcPr>
          <w:p w14:paraId="71A5FD68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211" w:type="dxa"/>
          </w:tcPr>
          <w:p w14:paraId="07F77BFD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75" w:type="dxa"/>
          </w:tcPr>
          <w:p w14:paraId="3C5C6078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337" w:type="dxa"/>
          </w:tcPr>
          <w:p w14:paraId="3EEDA0FA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337" w:type="dxa"/>
          </w:tcPr>
          <w:p w14:paraId="7B88E299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1481" w:rsidRPr="00DD16B1" w14:paraId="2E6D17AD" w14:textId="4D6A0AEE" w:rsidTr="00541481">
        <w:tc>
          <w:tcPr>
            <w:tcW w:w="2854" w:type="dxa"/>
          </w:tcPr>
          <w:p w14:paraId="2D2507E0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Max Plasma Concentration </w:t>
            </w: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#1</w:t>
            </w:r>
          </w:p>
        </w:tc>
        <w:tc>
          <w:tcPr>
            <w:tcW w:w="1177" w:type="dxa"/>
          </w:tcPr>
          <w:p w14:paraId="00ABF76B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38 ng/ml</w:t>
            </w:r>
          </w:p>
          <w:p w14:paraId="603F6B95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(78.2 nM)</w:t>
            </w:r>
          </w:p>
        </w:tc>
        <w:tc>
          <w:tcPr>
            <w:tcW w:w="1409" w:type="dxa"/>
          </w:tcPr>
          <w:p w14:paraId="7C0F174E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2120 ng/ml</w:t>
            </w:r>
          </w:p>
          <w:p w14:paraId="69FE1161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(4931.4 nM)</w:t>
            </w:r>
          </w:p>
        </w:tc>
        <w:tc>
          <w:tcPr>
            <w:tcW w:w="1211" w:type="dxa"/>
          </w:tcPr>
          <w:p w14:paraId="52EDB4CB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378 ng/ml</w:t>
            </w:r>
          </w:p>
          <w:p w14:paraId="043DA192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(845.8 nM)</w:t>
            </w:r>
          </w:p>
        </w:tc>
        <w:tc>
          <w:tcPr>
            <w:tcW w:w="1475" w:type="dxa"/>
          </w:tcPr>
          <w:p w14:paraId="4B6C1F00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2047 ng/ml</w:t>
            </w:r>
          </w:p>
          <w:p w14:paraId="0DEE2F5A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(5229.9 nM)</w:t>
            </w:r>
          </w:p>
        </w:tc>
        <w:tc>
          <w:tcPr>
            <w:tcW w:w="1337" w:type="dxa"/>
          </w:tcPr>
          <w:p w14:paraId="059B35D6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625 nM</w:t>
            </w:r>
          </w:p>
        </w:tc>
        <w:tc>
          <w:tcPr>
            <w:tcW w:w="1337" w:type="dxa"/>
          </w:tcPr>
          <w:p w14:paraId="78323655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1481" w:rsidRPr="00DD16B1" w14:paraId="33115B15" w14:textId="395B4DF8" w:rsidTr="00541481">
        <w:tc>
          <w:tcPr>
            <w:tcW w:w="2854" w:type="dxa"/>
          </w:tcPr>
          <w:p w14:paraId="2A3225E2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1177" w:type="dxa"/>
          </w:tcPr>
          <w:p w14:paraId="60E4275E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09" w:type="dxa"/>
          </w:tcPr>
          <w:p w14:paraId="2BC719F1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11" w:type="dxa"/>
          </w:tcPr>
          <w:p w14:paraId="103AEF65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475" w:type="dxa"/>
          </w:tcPr>
          <w:p w14:paraId="3FFEBC0D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337" w:type="dxa"/>
          </w:tcPr>
          <w:p w14:paraId="2A8107B4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337" w:type="dxa"/>
          </w:tcPr>
          <w:p w14:paraId="7ECAFCEE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  <w:tr w:rsidR="00541481" w:rsidRPr="00DD16B1" w14:paraId="265EBE7A" w14:textId="4C562E7F" w:rsidTr="00541481">
        <w:tc>
          <w:tcPr>
            <w:tcW w:w="2854" w:type="dxa"/>
          </w:tcPr>
          <w:p w14:paraId="3BE0148A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Drug Concentration Set</w:t>
            </w:r>
          </w:p>
        </w:tc>
        <w:tc>
          <w:tcPr>
            <w:tcW w:w="1177" w:type="dxa"/>
          </w:tcPr>
          <w:p w14:paraId="1E80B8CB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50/600 nM</w:t>
            </w:r>
          </w:p>
        </w:tc>
        <w:tc>
          <w:tcPr>
            <w:tcW w:w="1409" w:type="dxa"/>
          </w:tcPr>
          <w:p w14:paraId="4B3E023C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600 nM</w:t>
            </w:r>
          </w:p>
        </w:tc>
        <w:tc>
          <w:tcPr>
            <w:tcW w:w="1211" w:type="dxa"/>
          </w:tcPr>
          <w:p w14:paraId="24E8A45F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600 nM</w:t>
            </w:r>
          </w:p>
        </w:tc>
        <w:tc>
          <w:tcPr>
            <w:tcW w:w="1475" w:type="dxa"/>
          </w:tcPr>
          <w:p w14:paraId="0BF68B8F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600 nM</w:t>
            </w:r>
          </w:p>
        </w:tc>
        <w:tc>
          <w:tcPr>
            <w:tcW w:w="1337" w:type="dxa"/>
          </w:tcPr>
          <w:p w14:paraId="0C54A586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200/600 nM</w:t>
            </w:r>
          </w:p>
        </w:tc>
        <w:tc>
          <w:tcPr>
            <w:tcW w:w="1337" w:type="dxa"/>
          </w:tcPr>
          <w:p w14:paraId="214297AE" w14:textId="77777777" w:rsidR="00541481" w:rsidRPr="00DD16B1" w:rsidRDefault="00541481" w:rsidP="008C0DF8">
            <w:pPr>
              <w:outlineLvl w:val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1BBE1C06" w14:textId="77777777" w:rsidR="006D3F71" w:rsidRPr="00DD16B1" w:rsidRDefault="006D3F71" w:rsidP="006D3F71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color w:val="000000" w:themeColor="text1"/>
          <w:sz w:val="22"/>
          <w:szCs w:val="22"/>
        </w:rPr>
        <w:t>#1 Max Plasma Concentration: Geometric Mean of maximum drug concentration in plasma</w:t>
      </w:r>
    </w:p>
    <w:p w14:paraId="6745D384" w14:textId="77777777" w:rsidR="006D3F71" w:rsidRPr="00DD16B1" w:rsidRDefault="006D3F71" w:rsidP="006D3F71">
      <w:pPr>
        <w:outlineLvl w:val="0"/>
        <w:rPr>
          <w:rFonts w:ascii="Times New Roman" w:hAnsi="Times New Roman"/>
          <w:b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>References</w:t>
      </w:r>
    </w:p>
    <w:p w14:paraId="7CD057C6" w14:textId="345DEEA2" w:rsidR="006D3F71" w:rsidRPr="00935160" w:rsidRDefault="006D3F71" w:rsidP="006D3F71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C01919">
        <w:rPr>
          <w:rFonts w:ascii="Times New Roman" w:hAnsi="Times New Roman"/>
          <w:color w:val="000000" w:themeColor="text1"/>
          <w:sz w:val="22"/>
          <w:szCs w:val="22"/>
        </w:rPr>
        <w:t>1. Wind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S, Schmid M, Erhardt J</w:t>
      </w:r>
      <w:r w:rsidRPr="00C01919">
        <w:rPr>
          <w:rFonts w:ascii="Times New Roman" w:hAnsi="Times New Roman"/>
          <w:color w:val="000000" w:themeColor="text1"/>
          <w:sz w:val="22"/>
          <w:szCs w:val="22"/>
        </w:rPr>
        <w:t xml:space="preserve">, 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>Goeldner RG, Stopfer P</w:t>
      </w:r>
      <w:r w:rsidRPr="00C01919">
        <w:rPr>
          <w:rFonts w:ascii="Times New Roman" w:hAnsi="Times New Roman"/>
          <w:color w:val="000000" w:themeColor="text1"/>
          <w:sz w:val="22"/>
          <w:szCs w:val="22"/>
        </w:rPr>
        <w:t xml:space="preserve">. Pharmacokinetics of afatinib, a selective irreversible ErbB family blocker, in patients with advanced solid tumours. 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>Clin Pharmacokinet</w:t>
      </w:r>
      <w:r w:rsidR="00935160">
        <w:rPr>
          <w:rFonts w:ascii="Times New Roman" w:hAnsi="Times New Roman"/>
          <w:color w:val="000000" w:themeColor="text1"/>
          <w:sz w:val="22"/>
          <w:szCs w:val="22"/>
        </w:rPr>
        <w:t>.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 xml:space="preserve"> 2013; 52(12): 1101-9.</w:t>
      </w:r>
    </w:p>
    <w:p w14:paraId="5FC44B8D" w14:textId="2504A440" w:rsidR="006D3F71" w:rsidRPr="00935160" w:rsidRDefault="006D3F71" w:rsidP="006D3F71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935160">
        <w:rPr>
          <w:rFonts w:ascii="Times New Roman" w:hAnsi="Times New Roman"/>
          <w:color w:val="000000" w:themeColor="text1"/>
          <w:sz w:val="22"/>
          <w:szCs w:val="22"/>
        </w:rPr>
        <w:t xml:space="preserve">2. Hidalgo M. Siu LL, Nemunaitis J, 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 xml:space="preserve">Rizzo 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>J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 xml:space="preserve">, Hammond </w:t>
      </w:r>
      <w:r w:rsidR="00541481">
        <w:rPr>
          <w:rFonts w:ascii="Times New Roman" w:hAnsi="Times New Roman"/>
          <w:color w:val="000000" w:themeColor="text1"/>
          <w:sz w:val="22"/>
          <w:szCs w:val="22"/>
        </w:rPr>
        <w:t>L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 xml:space="preserve">, Takimoto 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>C</w:t>
      </w:r>
      <w:r w:rsidR="00541481">
        <w:rPr>
          <w:rFonts w:ascii="Times New Roman" w:hAnsi="Times New Roman"/>
          <w:color w:val="000000" w:themeColor="text1"/>
          <w:sz w:val="22"/>
          <w:szCs w:val="22"/>
        </w:rPr>
        <w:t>,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>et al. Phase I and pharmacologic study of OSI-774, an epidermal growth factor receptor tyrosine kinase inhibitor, in patients with advanced solid malignancies. J Clin Oncol</w:t>
      </w:r>
      <w:r w:rsidR="00935160">
        <w:rPr>
          <w:rFonts w:ascii="Times New Roman" w:hAnsi="Times New Roman"/>
          <w:color w:val="000000" w:themeColor="text1"/>
          <w:sz w:val="22"/>
          <w:szCs w:val="22"/>
        </w:rPr>
        <w:t>.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 xml:space="preserve"> 2001; 19(13): 3267-79.</w:t>
      </w:r>
    </w:p>
    <w:p w14:paraId="08934D8C" w14:textId="63F363DC" w:rsidR="006D3F71" w:rsidRPr="00935160" w:rsidRDefault="006D3F71" w:rsidP="006D3F71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935160">
        <w:rPr>
          <w:rFonts w:ascii="Times New Roman" w:hAnsi="Times New Roman"/>
          <w:color w:val="000000" w:themeColor="text1"/>
          <w:sz w:val="22"/>
          <w:szCs w:val="22"/>
        </w:rPr>
        <w:t>3. Ranson M. Hammond L, Ferry D,</w:t>
      </w:r>
      <w:r w:rsidR="00541481" w:rsidRPr="00541481">
        <w:t xml:space="preserve"> 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 xml:space="preserve">Kris </w:t>
      </w:r>
      <w:r w:rsidR="00541481">
        <w:rPr>
          <w:rFonts w:ascii="Times New Roman" w:hAnsi="Times New Roman"/>
          <w:color w:val="000000" w:themeColor="text1"/>
          <w:sz w:val="22"/>
          <w:szCs w:val="22"/>
        </w:rPr>
        <w:t>M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 xml:space="preserve">, Tullo 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>A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 xml:space="preserve">, Murray </w:t>
      </w:r>
      <w:r w:rsidR="00541481" w:rsidRPr="00541481">
        <w:rPr>
          <w:rFonts w:ascii="Times New Roman" w:hAnsi="Times New Roman"/>
          <w:color w:val="000000" w:themeColor="text1"/>
          <w:sz w:val="22"/>
          <w:szCs w:val="22"/>
        </w:rPr>
        <w:t>P</w:t>
      </w:r>
      <w:r w:rsidR="00541481">
        <w:rPr>
          <w:rFonts w:ascii="Times New Roman" w:hAnsi="Times New Roman"/>
          <w:color w:val="000000" w:themeColor="text1"/>
          <w:sz w:val="22"/>
          <w:szCs w:val="22"/>
        </w:rPr>
        <w:t>,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 xml:space="preserve"> et al. ZD1839, a selective oral epidermal growth factor receptor-tyrosine kinase inhibitor, is well tolerated and active in patients with solid, malignant tumors: results of a phase I trial. J Clin Oncol</w:t>
      </w:r>
      <w:r w:rsidR="00935160">
        <w:rPr>
          <w:rFonts w:ascii="Times New Roman" w:hAnsi="Times New Roman"/>
          <w:color w:val="000000" w:themeColor="text1"/>
          <w:sz w:val="22"/>
          <w:szCs w:val="22"/>
        </w:rPr>
        <w:t>.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 xml:space="preserve"> 2002; 20(9): 2240-50.</w:t>
      </w:r>
    </w:p>
    <w:p w14:paraId="1612A7DD" w14:textId="02C26C5E" w:rsidR="006D3F71" w:rsidRPr="00935160" w:rsidRDefault="006D3F71" w:rsidP="006D3F71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935160">
        <w:rPr>
          <w:rFonts w:ascii="Times New Roman" w:hAnsi="Times New Roman"/>
          <w:color w:val="000000" w:themeColor="text1"/>
          <w:sz w:val="22"/>
          <w:szCs w:val="22"/>
        </w:rPr>
        <w:t xml:space="preserve">4. Ni J, Liu DY, Hu B, </w:t>
      </w:r>
      <w:r w:rsidR="00541481">
        <w:rPr>
          <w:rFonts w:ascii="Times New Roman" w:hAnsi="Times New Roman"/>
          <w:color w:val="000000" w:themeColor="text1"/>
          <w:sz w:val="22"/>
          <w:szCs w:val="22"/>
        </w:rPr>
        <w:t xml:space="preserve">Li C, Jiang J, Wang HP, 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>et al. Relationship between icotinib hydrochloride exposure and clinical outcome in Chinese patients with advanced non-small cell lung cancer. Cancer</w:t>
      </w:r>
      <w:r w:rsidR="00935160">
        <w:rPr>
          <w:rFonts w:ascii="Times New Roman" w:hAnsi="Times New Roman"/>
          <w:color w:val="000000" w:themeColor="text1"/>
          <w:sz w:val="22"/>
          <w:szCs w:val="22"/>
        </w:rPr>
        <w:t>.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 xml:space="preserve"> 2015; 121 Suppl 17: 3146-56.</w:t>
      </w:r>
      <w:bookmarkStart w:id="0" w:name="_GoBack"/>
      <w:bookmarkEnd w:id="0"/>
    </w:p>
    <w:p w14:paraId="64BE7F02" w14:textId="301DF91F" w:rsidR="006D3F71" w:rsidRPr="00935160" w:rsidRDefault="006D3F71" w:rsidP="006D3F71">
      <w:pPr>
        <w:rPr>
          <w:rFonts w:ascii="Times New Roman" w:hAnsi="Times New Roman"/>
          <w:color w:val="000000" w:themeColor="text1"/>
          <w:sz w:val="22"/>
          <w:szCs w:val="22"/>
        </w:rPr>
      </w:pPr>
      <w:r w:rsidRPr="00935160">
        <w:rPr>
          <w:rFonts w:ascii="Times New Roman" w:hAnsi="Times New Roman"/>
          <w:color w:val="000000" w:themeColor="text1"/>
          <w:sz w:val="22"/>
          <w:szCs w:val="22"/>
        </w:rPr>
        <w:t xml:space="preserve">5. Zhao H, Cao J, Chang J, </w:t>
      </w:r>
      <w:r w:rsidR="00993020">
        <w:rPr>
          <w:rFonts w:ascii="Times New Roman" w:hAnsi="Times New Roman"/>
          <w:color w:val="000000" w:themeColor="text1"/>
          <w:sz w:val="22"/>
          <w:szCs w:val="22"/>
        </w:rPr>
        <w:t xml:space="preserve">Zhang Z, Yang L, Wang J, 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>et al. Pharmacokinetics of Osimertinib in Chinese Patients With Advanced NSCLC: A Phase 1 Study. J Clin Pharmacol</w:t>
      </w:r>
      <w:r w:rsidR="00935160">
        <w:rPr>
          <w:rFonts w:ascii="Times New Roman" w:hAnsi="Times New Roman"/>
          <w:color w:val="000000" w:themeColor="text1"/>
          <w:sz w:val="22"/>
          <w:szCs w:val="22"/>
        </w:rPr>
        <w:t>.</w:t>
      </w:r>
      <w:r w:rsidRPr="00935160">
        <w:rPr>
          <w:rFonts w:ascii="Times New Roman" w:hAnsi="Times New Roman"/>
          <w:color w:val="000000" w:themeColor="text1"/>
          <w:sz w:val="22"/>
          <w:szCs w:val="22"/>
        </w:rPr>
        <w:t xml:space="preserve"> 2018; 58:504-513.</w:t>
      </w:r>
    </w:p>
    <w:p w14:paraId="7FD0E302" w14:textId="77777777" w:rsidR="001503C4" w:rsidRDefault="001503C4"/>
    <w:sectPr w:rsidR="001503C4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03A6C7" w14:textId="77777777" w:rsidR="00536060" w:rsidRDefault="00536060" w:rsidP="001503C4">
      <w:r>
        <w:separator/>
      </w:r>
    </w:p>
  </w:endnote>
  <w:endnote w:type="continuationSeparator" w:id="0">
    <w:p w14:paraId="19D3DB10" w14:textId="77777777" w:rsidR="00536060" w:rsidRDefault="00536060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DengXian Light">
    <w:altName w:val="Arial Unicode MS"/>
    <w:charset w:val="88"/>
    <w:family w:val="auto"/>
    <w:pitch w:val="variable"/>
    <w:sig w:usb0="00000000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2B2E29" w14:textId="77777777" w:rsidR="00536060" w:rsidRDefault="00536060" w:rsidP="001503C4">
      <w:r>
        <w:separator/>
      </w:r>
    </w:p>
  </w:footnote>
  <w:footnote w:type="continuationSeparator" w:id="0">
    <w:p w14:paraId="6C28AC76" w14:textId="77777777" w:rsidR="00536060" w:rsidRDefault="00536060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1503C4"/>
    <w:rsid w:val="00206CDA"/>
    <w:rsid w:val="00536060"/>
    <w:rsid w:val="00541481"/>
    <w:rsid w:val="006D3F71"/>
    <w:rsid w:val="00935160"/>
    <w:rsid w:val="00993020"/>
    <w:rsid w:val="009A3109"/>
    <w:rsid w:val="00B27DFA"/>
    <w:rsid w:val="00B720C4"/>
    <w:rsid w:val="00BC22A3"/>
    <w:rsid w:val="00E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F71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  <w:style w:type="table" w:styleId="a5">
    <w:name w:val="Table Grid"/>
    <w:basedOn w:val="a1"/>
    <w:uiPriority w:val="39"/>
    <w:rsid w:val="006D3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4</cp:revision>
  <dcterms:created xsi:type="dcterms:W3CDTF">2020-10-26T10:45:00Z</dcterms:created>
  <dcterms:modified xsi:type="dcterms:W3CDTF">2021-08-19T12:31:00Z</dcterms:modified>
</cp:coreProperties>
</file>