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5BDCE6" w14:textId="77777777" w:rsidR="003F6BB0" w:rsidRPr="00DD16B1" w:rsidRDefault="003F6BB0" w:rsidP="003F6BB0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7E27D503" wp14:editId="5923D4E4">
            <wp:extent cx="5943600" cy="72847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8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6675A" w14:textId="397F6EF0" w:rsidR="003F6BB0" w:rsidRPr="00DD16B1" w:rsidRDefault="003F6BB0" w:rsidP="00A87E6D">
      <w:pPr>
        <w:spacing w:line="480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Figure </w:t>
      </w:r>
      <w:r w:rsidR="00BA4650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color w:val="000000" w:themeColor="text1"/>
          <w:sz w:val="22"/>
          <w:szCs w:val="22"/>
        </w:rPr>
        <w:t>8</w:t>
      </w:r>
      <w:r w:rsidR="00BA4650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="00482092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bookmarkStart w:id="0" w:name="_GoBack"/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Heatmap depicting enrichment results of </w:t>
      </w:r>
      <w:r w:rsidRPr="00DD16B1">
        <w:rPr>
          <w:rFonts w:ascii="Times New Roman" w:hAnsi="Times New Roman"/>
          <w:b/>
          <w:bCs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Ins-2 variants on five TKIs cytotoxicity. </w:t>
      </w:r>
      <w:r w:rsidRPr="00DB5C2C">
        <w:rPr>
          <w:rFonts w:ascii="Times New Roman" w:hAnsi="Times New Roman"/>
          <w:color w:val="000000" w:themeColor="text1"/>
          <w:sz w:val="22"/>
          <w:szCs w:val="22"/>
        </w:rPr>
        <w:t xml:space="preserve">The enrichment scores are shown as the ratio (log2) of the cell number post-TKI treatment to that pre-TKI treatment.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Each column indicates one amino acid residue in </w:t>
      </w:r>
      <w:r w:rsidRPr="00DD16B1">
        <w:rPr>
          <w:rFonts w:ascii="Times New Roman" w:hAnsi="Times New Roman"/>
          <w:i/>
          <w:iCs/>
          <w:color w:val="000000" w:themeColor="text1"/>
          <w:sz w:val="22"/>
          <w:szCs w:val="22"/>
        </w:rPr>
        <w:t>EGFR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protein. The first row indicates the amino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lastRenderedPageBreak/>
        <w:t xml:space="preserve">acid position. For the six screening assays, each amino acid position in EGFR protein (from 762 to 776, indicated with different colors on the top) was filled with a 20×20 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((AA1, AA2) 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matrix. The rows (20) and columns (20) of each matrix in each assay represent different amino acids, respectively. Each element in the matrix indicates a d</w:t>
      </w:r>
      <w:r>
        <w:rPr>
          <w:rFonts w:ascii="Times New Roman" w:hAnsi="Times New Roman"/>
          <w:color w:val="000000" w:themeColor="text1"/>
          <w:sz w:val="22"/>
          <w:szCs w:val="22"/>
        </w:rPr>
        <w:t>ouble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amino acid insertion. Red to blue represent high and low variants abundance, respectively. Variants that were not covered are colored in white. Cells were treated with DMSO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(control)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, 50 nM of afatinib, 600 nM of erlotinib, 600 nM of gefitinib, 600 nM of </w:t>
      </w:r>
      <w:r w:rsidR="00766D95">
        <w:rPr>
          <w:rFonts w:ascii="Times New Roman" w:hAnsi="Times New Roman"/>
          <w:color w:val="000000" w:themeColor="text1"/>
          <w:sz w:val="22"/>
          <w:szCs w:val="22"/>
        </w:rPr>
        <w:t>i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>cotinib, or 200 nM of osimertinib, respectively.</w:t>
      </w:r>
    </w:p>
    <w:bookmarkEnd w:id="0"/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753142" w14:textId="77777777" w:rsidR="00F44511" w:rsidRDefault="00F44511" w:rsidP="001503C4">
      <w:r>
        <w:separator/>
      </w:r>
    </w:p>
  </w:endnote>
  <w:endnote w:type="continuationSeparator" w:id="0">
    <w:p w14:paraId="6F19D2A4" w14:textId="77777777" w:rsidR="00F44511" w:rsidRDefault="00F44511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4CDCAF" w14:textId="77777777" w:rsidR="00F44511" w:rsidRDefault="00F44511" w:rsidP="001503C4">
      <w:r>
        <w:separator/>
      </w:r>
    </w:p>
  </w:footnote>
  <w:footnote w:type="continuationSeparator" w:id="0">
    <w:p w14:paraId="12EA68E2" w14:textId="77777777" w:rsidR="00F44511" w:rsidRDefault="00F44511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350A16"/>
    <w:rsid w:val="003A2CD2"/>
    <w:rsid w:val="003F6BB0"/>
    <w:rsid w:val="00482092"/>
    <w:rsid w:val="00766D95"/>
    <w:rsid w:val="009A3109"/>
    <w:rsid w:val="00A87E6D"/>
    <w:rsid w:val="00B27DFA"/>
    <w:rsid w:val="00BA4650"/>
    <w:rsid w:val="00BC22A3"/>
    <w:rsid w:val="00EA0E36"/>
    <w:rsid w:val="00EF1F21"/>
    <w:rsid w:val="00F44511"/>
    <w:rsid w:val="00FD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6BB0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6</cp:revision>
  <dcterms:created xsi:type="dcterms:W3CDTF">2020-10-26T10:45:00Z</dcterms:created>
  <dcterms:modified xsi:type="dcterms:W3CDTF">2021-08-24T13:47:00Z</dcterms:modified>
</cp:coreProperties>
</file>